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2"/>
          <w:szCs w:val="12"/>
          <w:b w:val="1"/>
          <w:bCs w:val="1"/>
          <w:u w:val="single" w:color="auto"/>
          <w:color w:val="0000EE"/>
        </w:rPr>
      </w:pPr>
      <w:hyperlink w:anchor="page2">
        <w:r>
          <w:rPr>
            <w:rFonts w:ascii="Arial" w:cs="Arial" w:eastAsia="Arial" w:hAnsi="Arial"/>
            <w:sz w:val="12"/>
            <w:szCs w:val="12"/>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16" w:lineRule="exact"/>
        <w:rPr>
          <w:sz w:val="24"/>
          <w:szCs w:val="24"/>
          <w:color w:val="auto"/>
        </w:rPr>
      </w:pPr>
    </w:p>
    <w:p>
      <w:pPr>
        <w:jc w:val="center"/>
        <w:ind w:right="-47"/>
        <w:spacing w:after="0"/>
        <w:rPr>
          <w:sz w:val="20"/>
          <w:szCs w:val="20"/>
          <w:color w:val="auto"/>
        </w:rPr>
      </w:pPr>
      <w:r>
        <w:rPr>
          <w:rFonts w:ascii="Arial" w:cs="Arial" w:eastAsia="Arial" w:hAnsi="Arial"/>
          <w:sz w:val="12"/>
          <w:szCs w:val="12"/>
          <w:color w:val="auto"/>
        </w:rPr>
        <w:t>UNITED STATES SECURITIES AND EXCHANGE COMMISSION</w:t>
      </w:r>
    </w:p>
    <w:p>
      <w:pPr>
        <w:spacing w:after="0" w:line="10" w:lineRule="exact"/>
        <w:rPr>
          <w:sz w:val="24"/>
          <w:szCs w:val="24"/>
          <w:color w:val="auto"/>
        </w:rPr>
      </w:pPr>
    </w:p>
    <w:p>
      <w:pPr>
        <w:jc w:val="center"/>
        <w:ind w:right="-47"/>
        <w:spacing w:after="0"/>
        <w:rPr>
          <w:sz w:val="20"/>
          <w:szCs w:val="20"/>
          <w:color w:val="auto"/>
        </w:rPr>
      </w:pPr>
      <w:r>
        <w:rPr>
          <w:rFonts w:ascii="Arial" w:cs="Arial" w:eastAsia="Arial" w:hAnsi="Arial"/>
          <w:sz w:val="12"/>
          <w:szCs w:val="12"/>
          <w:color w:val="auto"/>
        </w:rPr>
        <w:t>Washington, D.C. 20549</w:t>
      </w:r>
    </w:p>
    <w:p>
      <w:pPr>
        <w:spacing w:after="0" w:line="5" w:lineRule="exact"/>
        <w:rPr>
          <w:sz w:val="24"/>
          <w:szCs w:val="24"/>
          <w:color w:val="auto"/>
        </w:rPr>
      </w:pPr>
    </w:p>
    <w:p>
      <w:pPr>
        <w:jc w:val="center"/>
        <w:ind w:right="-47"/>
        <w:spacing w:after="0"/>
        <w:rPr>
          <w:sz w:val="20"/>
          <w:szCs w:val="20"/>
          <w:color w:val="auto"/>
        </w:rPr>
      </w:pPr>
      <w:r>
        <w:rPr>
          <w:rFonts w:ascii="Arial" w:cs="Arial" w:eastAsia="Arial" w:hAnsi="Arial"/>
          <w:sz w:val="22"/>
          <w:szCs w:val="22"/>
          <w:b w:val="1"/>
          <w:bCs w:val="1"/>
          <w:color w:val="auto"/>
        </w:rPr>
        <w:t>Form 10-K</w:t>
      </w:r>
    </w:p>
    <w:p>
      <w:pPr>
        <w:spacing w:after="0" w:line="12" w:lineRule="exact"/>
        <w:rPr>
          <w:sz w:val="24"/>
          <w:szCs w:val="24"/>
          <w:color w:val="auto"/>
        </w:rPr>
      </w:pPr>
    </w:p>
    <w:p>
      <w:pPr>
        <w:ind w:left="8"/>
        <w:spacing w:after="0"/>
        <w:rPr>
          <w:sz w:val="20"/>
          <w:szCs w:val="20"/>
          <w:color w:val="auto"/>
        </w:rPr>
      </w:pPr>
      <w:r>
        <w:rPr>
          <w:rFonts w:ascii="Arial" w:cs="Arial" w:eastAsia="Arial" w:hAnsi="Arial"/>
          <w:sz w:val="12"/>
          <w:szCs w:val="12"/>
          <w:b w:val="1"/>
          <w:bCs w:val="1"/>
          <w:color w:val="auto"/>
        </w:rPr>
        <w:t>(Mark One)</w:t>
      </w:r>
    </w:p>
    <w:p>
      <w:pPr>
        <w:spacing w:after="0" w:line="12" w:lineRule="exact"/>
        <w:rPr>
          <w:sz w:val="24"/>
          <w:szCs w:val="24"/>
          <w:color w:val="auto"/>
        </w:rPr>
      </w:pPr>
    </w:p>
    <w:p>
      <w:pPr>
        <w:ind w:left="468" w:hanging="468"/>
        <w:spacing w:after="0"/>
        <w:tabs>
          <w:tab w:leader="none" w:pos="468"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27" w:lineRule="exact"/>
        <w:rPr>
          <w:sz w:val="24"/>
          <w:szCs w:val="24"/>
          <w:color w:val="auto"/>
        </w:rPr>
      </w:pPr>
    </w:p>
    <w:p>
      <w:pPr>
        <w:jc w:val="center"/>
        <w:ind w:right="-47"/>
        <w:spacing w:after="0"/>
        <w:rPr>
          <w:sz w:val="20"/>
          <w:szCs w:val="20"/>
          <w:color w:val="auto"/>
        </w:rPr>
      </w:pPr>
      <w:r>
        <w:rPr>
          <w:rFonts w:ascii="Arial" w:cs="Arial" w:eastAsia="Arial" w:hAnsi="Arial"/>
          <w:sz w:val="12"/>
          <w:szCs w:val="12"/>
          <w:b w:val="1"/>
          <w:bCs w:val="1"/>
          <w:color w:val="auto"/>
        </w:rPr>
        <w:t>For the fiscal year ended December 31, 2011</w:t>
      </w:r>
    </w:p>
    <w:p>
      <w:pPr>
        <w:spacing w:after="0" w:line="32" w:lineRule="exact"/>
        <w:rPr>
          <w:sz w:val="24"/>
          <w:szCs w:val="24"/>
          <w:color w:val="auto"/>
        </w:rPr>
      </w:pPr>
    </w:p>
    <w:p>
      <w:pPr>
        <w:jc w:val="center"/>
        <w:ind w:right="-47"/>
        <w:spacing w:after="0"/>
        <w:rPr>
          <w:sz w:val="20"/>
          <w:szCs w:val="20"/>
          <w:color w:val="auto"/>
        </w:rPr>
      </w:pPr>
      <w:r>
        <w:rPr>
          <w:rFonts w:ascii="Arial" w:cs="Arial" w:eastAsia="Arial" w:hAnsi="Arial"/>
          <w:sz w:val="9"/>
          <w:szCs w:val="9"/>
          <w:b w:val="1"/>
          <w:bCs w:val="1"/>
          <w:color w:val="auto"/>
        </w:rPr>
        <w:t>OR</w:t>
      </w:r>
    </w:p>
    <w:p>
      <w:pPr>
        <w:spacing w:after="0" w:line="33" w:lineRule="exact"/>
        <w:rPr>
          <w:sz w:val="24"/>
          <w:szCs w:val="24"/>
          <w:color w:val="auto"/>
        </w:rPr>
      </w:pPr>
    </w:p>
    <w:p>
      <w:pPr>
        <w:ind w:left="468" w:hanging="468"/>
        <w:spacing w:after="0"/>
        <w:tabs>
          <w:tab w:leader="none" w:pos="468"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20" w:lineRule="exact"/>
        <w:rPr>
          <w:sz w:val="24"/>
          <w:szCs w:val="24"/>
          <w:color w:val="auto"/>
        </w:rPr>
      </w:pPr>
    </w:p>
    <w:tbl>
      <w:tblPr>
        <w:tblLayout w:type="fixed"/>
        <w:tblInd w:w="4548" w:type="dxa"/>
        <w:tblCellMar>
          <w:top w:w="0" w:type="dxa"/>
          <w:left w:w="0" w:type="dxa"/>
          <w:bottom w:w="0" w:type="dxa"/>
          <w:right w:w="0" w:type="dxa"/>
        </w:tblCellMar>
      </w:tblPr>
      <w:tr>
        <w:trPr>
          <w:trHeight w:val="138"/>
        </w:trPr>
        <w:tc>
          <w:tcPr>
            <w:tcW w:w="1540" w:type="dxa"/>
            <w:vAlign w:val="bottom"/>
          </w:tcPr>
          <w:p>
            <w:pPr>
              <w:spacing w:after="0"/>
              <w:rPr>
                <w:sz w:val="20"/>
                <w:szCs w:val="20"/>
                <w:color w:val="auto"/>
              </w:rPr>
            </w:pPr>
            <w:r>
              <w:rPr>
                <w:rFonts w:ascii="Arial" w:cs="Arial" w:eastAsia="Arial" w:hAnsi="Arial"/>
                <w:sz w:val="12"/>
                <w:szCs w:val="12"/>
                <w:b w:val="1"/>
                <w:bCs w:val="1"/>
                <w:color w:val="auto"/>
                <w:w w:val="90"/>
              </w:rPr>
              <w:t>For the transition period from</w:t>
            </w:r>
          </w:p>
        </w:tc>
        <w:tc>
          <w:tcPr>
            <w:tcW w:w="340" w:type="dxa"/>
            <w:vAlign w:val="bottom"/>
            <w:tcBorders>
              <w:bottom w:val="single" w:sz="8" w:color="auto"/>
            </w:tcBorders>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rPr>
              <w:t>to</w:t>
            </w:r>
          </w:p>
        </w:tc>
      </w:tr>
      <w:tr>
        <w:trPr>
          <w:trHeight w:val="148"/>
        </w:trPr>
        <w:tc>
          <w:tcPr>
            <w:tcW w:w="202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Commission File Number 1-4601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-106045</wp:posOffset>
            </wp:positionV>
            <wp:extent cx="2228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 cy="5715"/>
                    </a:xfrm>
                    <a:prstGeom prst="rect">
                      <a:avLst/>
                    </a:prstGeom>
                    <a:noFill/>
                  </pic:spPr>
                </pic:pic>
              </a:graphicData>
            </a:graphic>
          </wp:anchor>
        </w:drawing>
      </w:r>
    </w:p>
    <w:tbl>
      <w:tblPr>
        <w:tblLayout w:type="fixed"/>
        <w:tblInd w:w="1768" w:type="dxa"/>
        <w:tblCellMar>
          <w:top w:w="0" w:type="dxa"/>
          <w:left w:w="0" w:type="dxa"/>
          <w:bottom w:w="0" w:type="dxa"/>
          <w:right w:w="0" w:type="dxa"/>
        </w:tblCellMar>
      </w:tblPr>
      <w:tr>
        <w:trPr>
          <w:trHeight w:val="237"/>
        </w:trPr>
        <w:tc>
          <w:tcPr>
            <w:tcW w:w="7880" w:type="dxa"/>
            <w:vAlign w:val="bottom"/>
            <w:gridSpan w:val="2"/>
          </w:tcPr>
          <w:p>
            <w:pPr>
              <w:jc w:val="center"/>
              <w:spacing w:after="0" w:line="238" w:lineRule="exact"/>
              <w:rPr>
                <w:sz w:val="20"/>
                <w:szCs w:val="20"/>
                <w:color w:val="auto"/>
              </w:rPr>
            </w:pPr>
            <w:r>
              <w:rPr>
                <w:rFonts w:ascii="Arial" w:cs="Arial" w:eastAsia="Arial" w:hAnsi="Arial"/>
                <w:sz w:val="22"/>
                <w:szCs w:val="22"/>
                <w:b w:val="1"/>
                <w:bCs w:val="1"/>
                <w:color w:val="auto"/>
                <w:w w:val="90"/>
              </w:rPr>
              <w:t>Schlumberger N.V. (Schlumberger Limited)</w:t>
            </w:r>
          </w:p>
        </w:tc>
      </w:tr>
      <w:tr>
        <w:trPr>
          <w:trHeight w:val="116"/>
        </w:trPr>
        <w:tc>
          <w:tcPr>
            <w:tcW w:w="2480" w:type="dxa"/>
            <w:vAlign w:val="bottom"/>
          </w:tcPr>
          <w:p>
            <w:pPr>
              <w:spacing w:after="0"/>
              <w:rPr>
                <w:sz w:val="10"/>
                <w:szCs w:val="10"/>
                <w:color w:val="auto"/>
              </w:rPr>
            </w:pPr>
          </w:p>
        </w:tc>
        <w:tc>
          <w:tcPr>
            <w:tcW w:w="5400" w:type="dxa"/>
            <w:vAlign w:val="bottom"/>
          </w:tcPr>
          <w:p>
            <w:pPr>
              <w:jc w:val="center"/>
              <w:ind w:right="2363"/>
              <w:spacing w:after="0"/>
              <w:rPr>
                <w:sz w:val="20"/>
                <w:szCs w:val="20"/>
                <w:color w:val="auto"/>
              </w:rPr>
            </w:pPr>
            <w:r>
              <w:rPr>
                <w:rFonts w:ascii="Arial" w:cs="Arial" w:eastAsia="Arial" w:hAnsi="Arial"/>
                <w:sz w:val="9"/>
                <w:szCs w:val="9"/>
                <w:b w:val="1"/>
                <w:bCs w:val="1"/>
                <w:color w:val="auto"/>
                <w:w w:val="89"/>
              </w:rPr>
              <w:t>(Exact name of registrant as specified in its charter)</w:t>
            </w:r>
          </w:p>
        </w:tc>
      </w:tr>
      <w:tr>
        <w:trPr>
          <w:trHeight w:val="164"/>
        </w:trPr>
        <w:tc>
          <w:tcPr>
            <w:tcW w:w="2480" w:type="dxa"/>
            <w:vAlign w:val="bottom"/>
          </w:tcPr>
          <w:p>
            <w:pPr>
              <w:jc w:val="center"/>
              <w:ind w:right="319"/>
              <w:spacing w:after="0"/>
              <w:rPr>
                <w:sz w:val="20"/>
                <w:szCs w:val="20"/>
                <w:color w:val="auto"/>
              </w:rPr>
            </w:pPr>
            <w:r>
              <w:rPr>
                <w:rFonts w:ascii="Arial" w:cs="Arial" w:eastAsia="Arial" w:hAnsi="Arial"/>
                <w:sz w:val="12"/>
                <w:szCs w:val="12"/>
                <w:b w:val="1"/>
                <w:bCs w:val="1"/>
                <w:color w:val="auto"/>
                <w:w w:val="87"/>
              </w:rPr>
              <w:t>Curaçao</w:t>
            </w:r>
          </w:p>
        </w:tc>
        <w:tc>
          <w:tcPr>
            <w:tcW w:w="5400" w:type="dxa"/>
            <w:vAlign w:val="bottom"/>
          </w:tcPr>
          <w:p>
            <w:pPr>
              <w:spacing w:after="0"/>
              <w:rPr>
                <w:sz w:val="14"/>
                <w:szCs w:val="14"/>
                <w:color w:val="auto"/>
              </w:rPr>
            </w:pPr>
          </w:p>
        </w:tc>
      </w:tr>
      <w:tr>
        <w:trPr>
          <w:trHeight w:val="144"/>
        </w:trPr>
        <w:tc>
          <w:tcPr>
            <w:tcW w:w="2480" w:type="dxa"/>
            <w:vAlign w:val="bottom"/>
          </w:tcPr>
          <w:p>
            <w:pPr>
              <w:jc w:val="center"/>
              <w:ind w:right="319"/>
              <w:spacing w:after="0"/>
              <w:rPr>
                <w:sz w:val="20"/>
                <w:szCs w:val="20"/>
                <w:color w:val="auto"/>
              </w:rPr>
            </w:pPr>
            <w:r>
              <w:rPr>
                <w:rFonts w:ascii="Arial" w:cs="Arial" w:eastAsia="Arial" w:hAnsi="Arial"/>
                <w:sz w:val="12"/>
                <w:szCs w:val="12"/>
                <w:b w:val="1"/>
                <w:bCs w:val="1"/>
                <w:color w:val="auto"/>
                <w:w w:val="88"/>
              </w:rPr>
              <w:t>(State or other jurisdiction of</w:t>
            </w:r>
          </w:p>
        </w:tc>
        <w:tc>
          <w:tcPr>
            <w:tcW w:w="5400" w:type="dxa"/>
            <w:vAlign w:val="bottom"/>
          </w:tcPr>
          <w:p>
            <w:pPr>
              <w:jc w:val="center"/>
              <w:ind w:left="3623"/>
              <w:spacing w:after="0"/>
              <w:rPr>
                <w:sz w:val="20"/>
                <w:szCs w:val="20"/>
                <w:color w:val="auto"/>
              </w:rPr>
            </w:pPr>
            <w:r>
              <w:rPr>
                <w:rFonts w:ascii="Arial" w:cs="Arial" w:eastAsia="Arial" w:hAnsi="Arial"/>
                <w:sz w:val="12"/>
                <w:szCs w:val="12"/>
                <w:b w:val="1"/>
                <w:bCs w:val="1"/>
                <w:color w:val="auto"/>
                <w:w w:val="87"/>
              </w:rPr>
              <w:t>52-0684746</w:t>
            </w:r>
          </w:p>
        </w:tc>
      </w:tr>
      <w:tr>
        <w:trPr>
          <w:trHeight w:val="150"/>
        </w:trPr>
        <w:tc>
          <w:tcPr>
            <w:tcW w:w="2480" w:type="dxa"/>
            <w:vAlign w:val="bottom"/>
          </w:tcPr>
          <w:p>
            <w:pPr>
              <w:jc w:val="center"/>
              <w:ind w:right="339"/>
              <w:spacing w:after="0"/>
              <w:rPr>
                <w:sz w:val="20"/>
                <w:szCs w:val="20"/>
                <w:color w:val="auto"/>
              </w:rPr>
            </w:pPr>
            <w:r>
              <w:rPr>
                <w:rFonts w:ascii="Arial" w:cs="Arial" w:eastAsia="Arial" w:hAnsi="Arial"/>
                <w:sz w:val="12"/>
                <w:szCs w:val="12"/>
                <w:b w:val="1"/>
                <w:bCs w:val="1"/>
                <w:color w:val="auto"/>
                <w:w w:val="88"/>
              </w:rPr>
              <w:t>incorporation or organization)</w:t>
            </w:r>
          </w:p>
        </w:tc>
        <w:tc>
          <w:tcPr>
            <w:tcW w:w="5400" w:type="dxa"/>
            <w:vAlign w:val="bottom"/>
          </w:tcPr>
          <w:p>
            <w:pPr>
              <w:jc w:val="center"/>
              <w:ind w:left="3623"/>
              <w:spacing w:after="0"/>
              <w:rPr>
                <w:sz w:val="20"/>
                <w:szCs w:val="20"/>
                <w:color w:val="auto"/>
              </w:rPr>
            </w:pPr>
            <w:r>
              <w:rPr>
                <w:rFonts w:ascii="Arial" w:cs="Arial" w:eastAsia="Arial" w:hAnsi="Arial"/>
                <w:sz w:val="12"/>
                <w:szCs w:val="12"/>
                <w:b w:val="1"/>
                <w:bCs w:val="1"/>
                <w:color w:val="auto"/>
                <w:w w:val="92"/>
              </w:rPr>
              <w:t>(IRS Employer Identification No.)</w:t>
            </w:r>
          </w:p>
        </w:tc>
      </w:tr>
      <w:tr>
        <w:trPr>
          <w:trHeight w:val="147"/>
        </w:trPr>
        <w:tc>
          <w:tcPr>
            <w:tcW w:w="2480" w:type="dxa"/>
            <w:vAlign w:val="bottom"/>
          </w:tcPr>
          <w:p>
            <w:pPr>
              <w:jc w:val="center"/>
              <w:ind w:right="319"/>
              <w:spacing w:after="0"/>
              <w:rPr>
                <w:sz w:val="20"/>
                <w:szCs w:val="20"/>
                <w:color w:val="auto"/>
              </w:rPr>
            </w:pPr>
            <w:r>
              <w:rPr>
                <w:rFonts w:ascii="Arial" w:cs="Arial" w:eastAsia="Arial" w:hAnsi="Arial"/>
                <w:sz w:val="12"/>
                <w:szCs w:val="12"/>
                <w:b w:val="1"/>
                <w:bCs w:val="1"/>
                <w:color w:val="auto"/>
                <w:w w:val="88"/>
              </w:rPr>
              <w:t>42, rue Saint-Dominique</w:t>
            </w:r>
          </w:p>
        </w:tc>
        <w:tc>
          <w:tcPr>
            <w:tcW w:w="5400" w:type="dxa"/>
            <w:vAlign w:val="bottom"/>
          </w:tcPr>
          <w:p>
            <w:pPr>
              <w:spacing w:after="0"/>
              <w:rPr>
                <w:sz w:val="12"/>
                <w:szCs w:val="12"/>
                <w:color w:val="auto"/>
              </w:rPr>
            </w:pPr>
          </w:p>
        </w:tc>
      </w:tr>
      <w:tr>
        <w:trPr>
          <w:trHeight w:val="153"/>
        </w:trPr>
        <w:tc>
          <w:tcPr>
            <w:tcW w:w="2480" w:type="dxa"/>
            <w:vAlign w:val="bottom"/>
          </w:tcPr>
          <w:p>
            <w:pPr>
              <w:jc w:val="center"/>
              <w:ind w:right="319"/>
              <w:spacing w:after="0"/>
              <w:rPr>
                <w:sz w:val="20"/>
                <w:szCs w:val="20"/>
                <w:color w:val="auto"/>
              </w:rPr>
            </w:pPr>
            <w:r>
              <w:rPr>
                <w:rFonts w:ascii="Arial" w:cs="Arial" w:eastAsia="Arial" w:hAnsi="Arial"/>
                <w:sz w:val="12"/>
                <w:szCs w:val="12"/>
                <w:b w:val="1"/>
                <w:bCs w:val="1"/>
                <w:color w:val="auto"/>
                <w:w w:val="87"/>
              </w:rPr>
              <w:t>Paris, France</w:t>
            </w:r>
          </w:p>
        </w:tc>
        <w:tc>
          <w:tcPr>
            <w:tcW w:w="5400" w:type="dxa"/>
            <w:vAlign w:val="bottom"/>
          </w:tcPr>
          <w:p>
            <w:pPr>
              <w:jc w:val="center"/>
              <w:ind w:left="3623"/>
              <w:spacing w:after="0"/>
              <w:rPr>
                <w:sz w:val="20"/>
                <w:szCs w:val="20"/>
                <w:color w:val="auto"/>
              </w:rPr>
            </w:pPr>
            <w:r>
              <w:rPr>
                <w:rFonts w:ascii="Arial" w:cs="Arial" w:eastAsia="Arial" w:hAnsi="Arial"/>
                <w:sz w:val="12"/>
                <w:szCs w:val="12"/>
                <w:b w:val="1"/>
                <w:bCs w:val="1"/>
                <w:color w:val="auto"/>
                <w:w w:val="83"/>
              </w:rPr>
              <w:t>75007</w:t>
            </w:r>
          </w:p>
        </w:tc>
      </w:tr>
      <w:tr>
        <w:trPr>
          <w:trHeight w:val="144"/>
        </w:trPr>
        <w:tc>
          <w:tcPr>
            <w:tcW w:w="2480" w:type="dxa"/>
            <w:vAlign w:val="bottom"/>
          </w:tcPr>
          <w:p>
            <w:pPr>
              <w:jc w:val="center"/>
              <w:ind w:right="319"/>
              <w:spacing w:after="0"/>
              <w:rPr>
                <w:sz w:val="20"/>
                <w:szCs w:val="20"/>
                <w:color w:val="auto"/>
              </w:rPr>
            </w:pPr>
            <w:r>
              <w:rPr>
                <w:rFonts w:ascii="Arial" w:cs="Arial" w:eastAsia="Arial" w:hAnsi="Arial"/>
                <w:sz w:val="12"/>
                <w:szCs w:val="12"/>
                <w:b w:val="1"/>
                <w:bCs w:val="1"/>
                <w:color w:val="auto"/>
                <w:w w:val="89"/>
              </w:rPr>
              <w:t>5599 San Felipe, 17</w:t>
            </w:r>
            <w:r>
              <w:rPr>
                <w:rFonts w:ascii="Arial" w:cs="Arial" w:eastAsia="Arial" w:hAnsi="Arial"/>
                <w:sz w:val="7"/>
                <w:szCs w:val="7"/>
                <w:b w:val="1"/>
                <w:bCs w:val="1"/>
                <w:color w:val="auto"/>
                <w:w w:val="89"/>
              </w:rPr>
              <w:t>th</w:t>
            </w:r>
            <w:r>
              <w:rPr>
                <w:rFonts w:ascii="Arial" w:cs="Arial" w:eastAsia="Arial" w:hAnsi="Arial"/>
                <w:sz w:val="12"/>
                <w:szCs w:val="12"/>
                <w:b w:val="1"/>
                <w:bCs w:val="1"/>
                <w:color w:val="auto"/>
                <w:w w:val="89"/>
              </w:rPr>
              <w:t xml:space="preserve"> Floor</w:t>
            </w:r>
          </w:p>
        </w:tc>
        <w:tc>
          <w:tcPr>
            <w:tcW w:w="5400" w:type="dxa"/>
            <w:vAlign w:val="bottom"/>
          </w:tcPr>
          <w:p>
            <w:pPr>
              <w:spacing w:after="0"/>
              <w:rPr>
                <w:sz w:val="12"/>
                <w:szCs w:val="12"/>
                <w:color w:val="auto"/>
              </w:rPr>
            </w:pPr>
          </w:p>
        </w:tc>
      </w:tr>
      <w:tr>
        <w:trPr>
          <w:trHeight w:val="153"/>
        </w:trPr>
        <w:tc>
          <w:tcPr>
            <w:tcW w:w="2480" w:type="dxa"/>
            <w:vAlign w:val="bottom"/>
          </w:tcPr>
          <w:p>
            <w:pPr>
              <w:jc w:val="center"/>
              <w:ind w:right="339"/>
              <w:spacing w:after="0"/>
              <w:rPr>
                <w:sz w:val="20"/>
                <w:szCs w:val="20"/>
                <w:color w:val="auto"/>
              </w:rPr>
            </w:pPr>
            <w:r>
              <w:rPr>
                <w:rFonts w:ascii="Arial" w:cs="Arial" w:eastAsia="Arial" w:hAnsi="Arial"/>
                <w:sz w:val="12"/>
                <w:szCs w:val="12"/>
                <w:b w:val="1"/>
                <w:bCs w:val="1"/>
                <w:color w:val="auto"/>
                <w:w w:val="87"/>
              </w:rPr>
              <w:t>Houston, Texas, United States of America</w:t>
            </w:r>
          </w:p>
        </w:tc>
        <w:tc>
          <w:tcPr>
            <w:tcW w:w="5400" w:type="dxa"/>
            <w:vAlign w:val="bottom"/>
          </w:tcPr>
          <w:p>
            <w:pPr>
              <w:jc w:val="center"/>
              <w:ind w:left="3623"/>
              <w:spacing w:after="0"/>
              <w:rPr>
                <w:sz w:val="20"/>
                <w:szCs w:val="20"/>
                <w:color w:val="auto"/>
              </w:rPr>
            </w:pPr>
            <w:r>
              <w:rPr>
                <w:rFonts w:ascii="Arial" w:cs="Arial" w:eastAsia="Arial" w:hAnsi="Arial"/>
                <w:sz w:val="12"/>
                <w:szCs w:val="12"/>
                <w:b w:val="1"/>
                <w:bCs w:val="1"/>
                <w:color w:val="auto"/>
                <w:w w:val="83"/>
              </w:rPr>
              <w:t>77056</w:t>
            </w:r>
          </w:p>
        </w:tc>
      </w:tr>
      <w:tr>
        <w:trPr>
          <w:trHeight w:val="144"/>
        </w:trPr>
        <w:tc>
          <w:tcPr>
            <w:tcW w:w="2480" w:type="dxa"/>
            <w:vAlign w:val="bottom"/>
          </w:tcPr>
          <w:p>
            <w:pPr>
              <w:jc w:val="center"/>
              <w:ind w:right="339"/>
              <w:spacing w:after="0"/>
              <w:rPr>
                <w:sz w:val="20"/>
                <w:szCs w:val="20"/>
                <w:color w:val="auto"/>
              </w:rPr>
            </w:pPr>
            <w:r>
              <w:rPr>
                <w:rFonts w:ascii="Arial" w:cs="Arial" w:eastAsia="Arial" w:hAnsi="Arial"/>
                <w:sz w:val="12"/>
                <w:szCs w:val="12"/>
                <w:b w:val="1"/>
                <w:bCs w:val="1"/>
                <w:color w:val="auto"/>
                <w:w w:val="89"/>
              </w:rPr>
              <w:t>Parkstraat 83, The Hague,</w:t>
            </w:r>
          </w:p>
        </w:tc>
        <w:tc>
          <w:tcPr>
            <w:tcW w:w="5400" w:type="dxa"/>
            <w:vAlign w:val="bottom"/>
          </w:tcPr>
          <w:p>
            <w:pPr>
              <w:spacing w:after="0"/>
              <w:rPr>
                <w:sz w:val="12"/>
                <w:szCs w:val="12"/>
                <w:color w:val="auto"/>
              </w:rPr>
            </w:pPr>
          </w:p>
        </w:tc>
      </w:tr>
      <w:tr>
        <w:trPr>
          <w:trHeight w:val="153"/>
        </w:trPr>
        <w:tc>
          <w:tcPr>
            <w:tcW w:w="2480" w:type="dxa"/>
            <w:vAlign w:val="bottom"/>
          </w:tcPr>
          <w:p>
            <w:pPr>
              <w:jc w:val="center"/>
              <w:ind w:right="339"/>
              <w:spacing w:after="0"/>
              <w:rPr>
                <w:sz w:val="20"/>
                <w:szCs w:val="20"/>
                <w:color w:val="auto"/>
              </w:rPr>
            </w:pPr>
            <w:r>
              <w:rPr>
                <w:rFonts w:ascii="Arial" w:cs="Arial" w:eastAsia="Arial" w:hAnsi="Arial"/>
                <w:sz w:val="12"/>
                <w:szCs w:val="12"/>
                <w:b w:val="1"/>
                <w:bCs w:val="1"/>
                <w:color w:val="auto"/>
                <w:w w:val="89"/>
              </w:rPr>
              <w:t>The Netherlands</w:t>
            </w:r>
          </w:p>
        </w:tc>
        <w:tc>
          <w:tcPr>
            <w:tcW w:w="5400" w:type="dxa"/>
            <w:vAlign w:val="bottom"/>
          </w:tcPr>
          <w:p>
            <w:pPr>
              <w:jc w:val="center"/>
              <w:ind w:left="3623"/>
              <w:spacing w:after="0"/>
              <w:rPr>
                <w:sz w:val="20"/>
                <w:szCs w:val="20"/>
                <w:color w:val="auto"/>
              </w:rPr>
            </w:pPr>
            <w:r>
              <w:rPr>
                <w:rFonts w:ascii="Arial" w:cs="Arial" w:eastAsia="Arial" w:hAnsi="Arial"/>
                <w:sz w:val="12"/>
                <w:szCs w:val="12"/>
                <w:b w:val="1"/>
                <w:bCs w:val="1"/>
                <w:color w:val="auto"/>
                <w:w w:val="86"/>
              </w:rPr>
              <w:t>2514 JG</w:t>
            </w:r>
          </w:p>
        </w:tc>
      </w:tr>
      <w:tr>
        <w:trPr>
          <w:trHeight w:val="146"/>
        </w:trPr>
        <w:tc>
          <w:tcPr>
            <w:tcW w:w="2480" w:type="dxa"/>
            <w:vAlign w:val="bottom"/>
          </w:tcPr>
          <w:p>
            <w:pPr>
              <w:jc w:val="center"/>
              <w:ind w:right="319"/>
              <w:spacing w:after="0"/>
              <w:rPr>
                <w:sz w:val="20"/>
                <w:szCs w:val="20"/>
                <w:color w:val="auto"/>
              </w:rPr>
            </w:pPr>
            <w:r>
              <w:rPr>
                <w:rFonts w:ascii="Arial" w:cs="Arial" w:eastAsia="Arial" w:hAnsi="Arial"/>
                <w:sz w:val="12"/>
                <w:szCs w:val="12"/>
                <w:b w:val="1"/>
                <w:bCs w:val="1"/>
                <w:color w:val="auto"/>
                <w:w w:val="85"/>
              </w:rPr>
              <w:t>(Addresses of principal executive offices)</w:t>
            </w:r>
          </w:p>
        </w:tc>
        <w:tc>
          <w:tcPr>
            <w:tcW w:w="5400" w:type="dxa"/>
            <w:vAlign w:val="bottom"/>
          </w:tcPr>
          <w:p>
            <w:pPr>
              <w:jc w:val="center"/>
              <w:ind w:left="3623"/>
              <w:spacing w:after="0"/>
              <w:rPr>
                <w:sz w:val="20"/>
                <w:szCs w:val="20"/>
                <w:color w:val="auto"/>
              </w:rPr>
            </w:pPr>
            <w:r>
              <w:rPr>
                <w:rFonts w:ascii="Arial" w:cs="Arial" w:eastAsia="Arial" w:hAnsi="Arial"/>
                <w:sz w:val="12"/>
                <w:szCs w:val="12"/>
                <w:b w:val="1"/>
                <w:bCs w:val="1"/>
                <w:color w:val="auto"/>
                <w:w w:val="90"/>
              </w:rPr>
              <w:t>(Zip Codes)</w:t>
            </w:r>
          </w:p>
        </w:tc>
      </w:tr>
      <w:tr>
        <w:trPr>
          <w:trHeight w:val="142"/>
        </w:trPr>
        <w:tc>
          <w:tcPr>
            <w:tcW w:w="7880" w:type="dxa"/>
            <w:vAlign w:val="bottom"/>
            <w:gridSpan w:val="2"/>
          </w:tcPr>
          <w:p>
            <w:pPr>
              <w:jc w:val="center"/>
              <w:ind w:left="19"/>
              <w:spacing w:after="0"/>
              <w:rPr>
                <w:sz w:val="20"/>
                <w:szCs w:val="20"/>
                <w:color w:val="auto"/>
              </w:rPr>
            </w:pPr>
            <w:r>
              <w:rPr>
                <w:rFonts w:ascii="Arial" w:cs="Arial" w:eastAsia="Arial" w:hAnsi="Arial"/>
                <w:sz w:val="12"/>
                <w:szCs w:val="12"/>
                <w:color w:val="auto"/>
                <w:w w:val="87"/>
              </w:rPr>
              <w:t>Registrant’s telephone number in the United States, including area code, is:</w:t>
            </w:r>
          </w:p>
        </w:tc>
      </w:tr>
      <w:tr>
        <w:trPr>
          <w:trHeight w:val="146"/>
        </w:trPr>
        <w:tc>
          <w:tcPr>
            <w:tcW w:w="2480" w:type="dxa"/>
            <w:vAlign w:val="bottom"/>
          </w:tcPr>
          <w:p>
            <w:pPr>
              <w:spacing w:after="0"/>
              <w:rPr>
                <w:sz w:val="12"/>
                <w:szCs w:val="12"/>
                <w:color w:val="auto"/>
              </w:rPr>
            </w:pPr>
          </w:p>
        </w:tc>
        <w:tc>
          <w:tcPr>
            <w:tcW w:w="5400" w:type="dxa"/>
            <w:vAlign w:val="bottom"/>
          </w:tcPr>
          <w:p>
            <w:pPr>
              <w:jc w:val="center"/>
              <w:ind w:right="2363"/>
              <w:spacing w:after="0"/>
              <w:rPr>
                <w:sz w:val="20"/>
                <w:szCs w:val="20"/>
                <w:color w:val="auto"/>
              </w:rPr>
            </w:pPr>
            <w:r>
              <w:rPr>
                <w:rFonts w:ascii="Arial" w:cs="Arial" w:eastAsia="Arial" w:hAnsi="Arial"/>
                <w:sz w:val="12"/>
                <w:szCs w:val="12"/>
                <w:b w:val="1"/>
                <w:bCs w:val="1"/>
                <w:color w:val="auto"/>
                <w:w w:val="90"/>
              </w:rPr>
              <w:t>(713) 375-3400</w:t>
            </w:r>
          </w:p>
        </w:tc>
      </w:tr>
      <w:tr>
        <w:trPr>
          <w:trHeight w:val="148"/>
        </w:trPr>
        <w:tc>
          <w:tcPr>
            <w:tcW w:w="2480" w:type="dxa"/>
            <w:vAlign w:val="bottom"/>
          </w:tcPr>
          <w:p>
            <w:pPr>
              <w:spacing w:after="0"/>
              <w:rPr>
                <w:sz w:val="12"/>
                <w:szCs w:val="12"/>
                <w:color w:val="auto"/>
              </w:rPr>
            </w:pPr>
          </w:p>
        </w:tc>
        <w:tc>
          <w:tcPr>
            <w:tcW w:w="5400" w:type="dxa"/>
            <w:vAlign w:val="bottom"/>
          </w:tcPr>
          <w:p>
            <w:pPr>
              <w:jc w:val="center"/>
              <w:ind w:right="2363"/>
              <w:spacing w:after="0"/>
              <w:rPr>
                <w:sz w:val="20"/>
                <w:szCs w:val="20"/>
                <w:color w:val="auto"/>
              </w:rPr>
            </w:pPr>
            <w:r>
              <w:rPr>
                <w:rFonts w:ascii="Arial" w:cs="Arial" w:eastAsia="Arial" w:hAnsi="Arial"/>
                <w:sz w:val="12"/>
                <w:szCs w:val="12"/>
                <w:color w:val="auto"/>
                <w:w w:val="88"/>
              </w:rPr>
              <w:t>Securities registered pursuant to Section 12(b) of the Act:</w:t>
            </w:r>
          </w:p>
        </w:tc>
      </w:tr>
      <w:tr>
        <w:trPr>
          <w:trHeight w:val="149"/>
        </w:trPr>
        <w:tc>
          <w:tcPr>
            <w:tcW w:w="2480" w:type="dxa"/>
            <w:vAlign w:val="bottom"/>
          </w:tcPr>
          <w:p>
            <w:pPr>
              <w:jc w:val="center"/>
              <w:ind w:right="339"/>
              <w:spacing w:after="0"/>
              <w:rPr>
                <w:sz w:val="20"/>
                <w:szCs w:val="20"/>
                <w:color w:val="auto"/>
              </w:rPr>
            </w:pPr>
            <w:r>
              <w:rPr>
                <w:rFonts w:ascii="Arial" w:cs="Arial" w:eastAsia="Arial" w:hAnsi="Arial"/>
                <w:sz w:val="9"/>
                <w:szCs w:val="9"/>
                <w:b w:val="1"/>
                <w:bCs w:val="1"/>
                <w:color w:val="auto"/>
                <w:w w:val="87"/>
              </w:rPr>
              <w:t>Title of each class</w:t>
            </w:r>
          </w:p>
        </w:tc>
        <w:tc>
          <w:tcPr>
            <w:tcW w:w="5400" w:type="dxa"/>
            <w:vAlign w:val="bottom"/>
          </w:tcPr>
          <w:p>
            <w:pPr>
              <w:jc w:val="center"/>
              <w:ind w:left="3623"/>
              <w:spacing w:after="0"/>
              <w:rPr>
                <w:sz w:val="20"/>
                <w:szCs w:val="20"/>
                <w:color w:val="auto"/>
              </w:rPr>
            </w:pPr>
            <w:r>
              <w:rPr>
                <w:rFonts w:ascii="Arial" w:cs="Arial" w:eastAsia="Arial" w:hAnsi="Arial"/>
                <w:sz w:val="9"/>
                <w:szCs w:val="9"/>
                <w:b w:val="1"/>
                <w:bCs w:val="1"/>
                <w:color w:val="auto"/>
                <w:w w:val="88"/>
              </w:rPr>
              <w:t>Name of each exchange on which registered</w:t>
            </w:r>
          </w:p>
        </w:tc>
      </w:tr>
      <w:tr>
        <w:trPr>
          <w:trHeight w:val="144"/>
        </w:trPr>
        <w:tc>
          <w:tcPr>
            <w:tcW w:w="2480" w:type="dxa"/>
            <w:vAlign w:val="bottom"/>
          </w:tcPr>
          <w:p>
            <w:pPr>
              <w:ind w:left="360"/>
              <w:spacing w:after="0"/>
              <w:rPr>
                <w:sz w:val="20"/>
                <w:szCs w:val="20"/>
                <w:color w:val="auto"/>
              </w:rPr>
            </w:pPr>
            <w:r>
              <w:rPr>
                <w:rFonts w:ascii="Arial" w:cs="Arial" w:eastAsia="Arial" w:hAnsi="Arial"/>
                <w:sz w:val="12"/>
                <w:szCs w:val="12"/>
                <w:color w:val="auto"/>
                <w:w w:val="93"/>
              </w:rPr>
              <w:t>Common Stock, par value $0.01 per share</w:t>
            </w:r>
          </w:p>
        </w:tc>
        <w:tc>
          <w:tcPr>
            <w:tcW w:w="5400" w:type="dxa"/>
            <w:vAlign w:val="bottom"/>
          </w:tcPr>
          <w:p>
            <w:pPr>
              <w:ind w:left="2420"/>
              <w:spacing w:after="0"/>
              <w:rPr>
                <w:sz w:val="20"/>
                <w:szCs w:val="20"/>
                <w:color w:val="auto"/>
              </w:rPr>
            </w:pPr>
            <w:r>
              <w:rPr>
                <w:rFonts w:ascii="Arial" w:cs="Arial" w:eastAsia="Arial" w:hAnsi="Arial"/>
                <w:sz w:val="12"/>
                <w:szCs w:val="12"/>
                <w:color w:val="auto"/>
              </w:rPr>
              <w:t>New York Stock Exchange</w:t>
            </w:r>
          </w:p>
        </w:tc>
      </w:tr>
      <w:tr>
        <w:trPr>
          <w:trHeight w:val="144"/>
        </w:trPr>
        <w:tc>
          <w:tcPr>
            <w:tcW w:w="2480" w:type="dxa"/>
            <w:vAlign w:val="bottom"/>
          </w:tcPr>
          <w:p>
            <w:pPr>
              <w:spacing w:after="0"/>
              <w:rPr>
                <w:sz w:val="12"/>
                <w:szCs w:val="12"/>
                <w:color w:val="auto"/>
              </w:rPr>
            </w:pPr>
          </w:p>
        </w:tc>
        <w:tc>
          <w:tcPr>
            <w:tcW w:w="5400" w:type="dxa"/>
            <w:vAlign w:val="bottom"/>
          </w:tcPr>
          <w:p>
            <w:pPr>
              <w:ind w:left="2420"/>
              <w:spacing w:after="0"/>
              <w:rPr>
                <w:sz w:val="20"/>
                <w:szCs w:val="20"/>
                <w:color w:val="auto"/>
              </w:rPr>
            </w:pPr>
            <w:r>
              <w:rPr>
                <w:rFonts w:ascii="Arial" w:cs="Arial" w:eastAsia="Arial" w:hAnsi="Arial"/>
                <w:sz w:val="12"/>
                <w:szCs w:val="12"/>
                <w:color w:val="auto"/>
              </w:rPr>
              <w:t>Euronext Paris</w:t>
            </w:r>
          </w:p>
        </w:tc>
      </w:tr>
      <w:tr>
        <w:trPr>
          <w:trHeight w:val="144"/>
        </w:trPr>
        <w:tc>
          <w:tcPr>
            <w:tcW w:w="2480" w:type="dxa"/>
            <w:vAlign w:val="bottom"/>
          </w:tcPr>
          <w:p>
            <w:pPr>
              <w:spacing w:after="0"/>
              <w:rPr>
                <w:sz w:val="12"/>
                <w:szCs w:val="12"/>
                <w:color w:val="auto"/>
              </w:rPr>
            </w:pPr>
          </w:p>
        </w:tc>
        <w:tc>
          <w:tcPr>
            <w:tcW w:w="5400" w:type="dxa"/>
            <w:vAlign w:val="bottom"/>
          </w:tcPr>
          <w:p>
            <w:pPr>
              <w:ind w:left="2420"/>
              <w:spacing w:after="0"/>
              <w:rPr>
                <w:sz w:val="20"/>
                <w:szCs w:val="20"/>
                <w:color w:val="auto"/>
              </w:rPr>
            </w:pPr>
            <w:r>
              <w:rPr>
                <w:rFonts w:ascii="Arial" w:cs="Arial" w:eastAsia="Arial" w:hAnsi="Arial"/>
                <w:sz w:val="12"/>
                <w:szCs w:val="12"/>
                <w:color w:val="auto"/>
              </w:rPr>
              <w:t>The London Stock Exchange</w:t>
            </w:r>
          </w:p>
        </w:tc>
      </w:tr>
      <w:tr>
        <w:trPr>
          <w:trHeight w:val="148"/>
        </w:trPr>
        <w:tc>
          <w:tcPr>
            <w:tcW w:w="2480" w:type="dxa"/>
            <w:vAlign w:val="bottom"/>
          </w:tcPr>
          <w:p>
            <w:pPr>
              <w:spacing w:after="0"/>
              <w:rPr>
                <w:sz w:val="12"/>
                <w:szCs w:val="12"/>
                <w:color w:val="auto"/>
              </w:rPr>
            </w:pPr>
          </w:p>
        </w:tc>
        <w:tc>
          <w:tcPr>
            <w:tcW w:w="5400" w:type="dxa"/>
            <w:vAlign w:val="bottom"/>
          </w:tcPr>
          <w:p>
            <w:pPr>
              <w:ind w:left="2420"/>
              <w:spacing w:after="0"/>
              <w:rPr>
                <w:sz w:val="20"/>
                <w:szCs w:val="20"/>
                <w:color w:val="auto"/>
              </w:rPr>
            </w:pPr>
            <w:r>
              <w:rPr>
                <w:rFonts w:ascii="Arial" w:cs="Arial" w:eastAsia="Arial" w:hAnsi="Arial"/>
                <w:sz w:val="12"/>
                <w:szCs w:val="12"/>
                <w:color w:val="auto"/>
              </w:rPr>
              <w:t>SIX Swiss Exchange</w:t>
            </w:r>
          </w:p>
        </w:tc>
      </w:tr>
      <w:tr>
        <w:trPr>
          <w:trHeight w:val="147"/>
        </w:trPr>
        <w:tc>
          <w:tcPr>
            <w:tcW w:w="2480" w:type="dxa"/>
            <w:vAlign w:val="bottom"/>
          </w:tcPr>
          <w:p>
            <w:pPr>
              <w:spacing w:after="0"/>
              <w:rPr>
                <w:sz w:val="12"/>
                <w:szCs w:val="12"/>
                <w:color w:val="auto"/>
              </w:rPr>
            </w:pPr>
          </w:p>
        </w:tc>
        <w:tc>
          <w:tcPr>
            <w:tcW w:w="5400" w:type="dxa"/>
            <w:vAlign w:val="bottom"/>
          </w:tcPr>
          <w:p>
            <w:pPr>
              <w:jc w:val="center"/>
              <w:ind w:right="2363"/>
              <w:spacing w:after="0"/>
              <w:rPr>
                <w:sz w:val="20"/>
                <w:szCs w:val="20"/>
                <w:color w:val="auto"/>
              </w:rPr>
            </w:pPr>
            <w:r>
              <w:rPr>
                <w:rFonts w:ascii="Arial" w:cs="Arial" w:eastAsia="Arial" w:hAnsi="Arial"/>
                <w:sz w:val="12"/>
                <w:szCs w:val="12"/>
                <w:color w:val="auto"/>
                <w:w w:val="88"/>
              </w:rPr>
              <w:t>Securities registered pursuant to Section 12(g) of the Act:</w:t>
            </w:r>
          </w:p>
        </w:tc>
      </w:tr>
      <w:tr>
        <w:trPr>
          <w:trHeight w:val="150"/>
        </w:trPr>
        <w:tc>
          <w:tcPr>
            <w:tcW w:w="2480" w:type="dxa"/>
            <w:vAlign w:val="bottom"/>
          </w:tcPr>
          <w:p>
            <w:pPr>
              <w:spacing w:after="0"/>
              <w:rPr>
                <w:sz w:val="13"/>
                <w:szCs w:val="13"/>
                <w:color w:val="auto"/>
              </w:rPr>
            </w:pPr>
          </w:p>
        </w:tc>
        <w:tc>
          <w:tcPr>
            <w:tcW w:w="5400" w:type="dxa"/>
            <w:vAlign w:val="bottom"/>
          </w:tcPr>
          <w:p>
            <w:pPr>
              <w:jc w:val="center"/>
              <w:ind w:right="2363"/>
              <w:spacing w:after="0"/>
              <w:rPr>
                <w:sz w:val="20"/>
                <w:szCs w:val="20"/>
                <w:color w:val="auto"/>
              </w:rPr>
            </w:pPr>
            <w:r>
              <w:rPr>
                <w:rFonts w:ascii="Arial" w:cs="Arial" w:eastAsia="Arial" w:hAnsi="Arial"/>
                <w:sz w:val="12"/>
                <w:szCs w:val="12"/>
                <w:b w:val="1"/>
                <w:bCs w:val="1"/>
                <w:color w:val="auto"/>
                <w:w w:val="86"/>
              </w:rPr>
              <w:t>None</w:t>
            </w:r>
          </w:p>
        </w:tc>
      </w:tr>
    </w:tbl>
    <w:p>
      <w:pPr>
        <w:ind w:left="8" w:right="5040"/>
        <w:spacing w:after="0" w:line="147" w:lineRule="exact"/>
        <w:rPr>
          <w:sz w:val="20"/>
          <w:szCs w:val="20"/>
          <w:color w:val="auto"/>
        </w:rPr>
      </w:pPr>
      <w:r>
        <w:rPr>
          <w:rFonts w:ascii="Arial" w:cs="Arial" w:eastAsia="Arial" w:hAnsi="Arial"/>
          <w:sz w:val="9"/>
          <w:szCs w:val="9"/>
          <w:color w:val="auto"/>
        </w:rPr>
        <w:t xml:space="preserve">Indicate by check mark if the registrant is a well-known seasoned issuer, as defined in Rule 405 of the Securities Act.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r>
        <w:rPr>
          <w:rFonts w:ascii="Arial" w:cs="Arial" w:eastAsia="Arial" w:hAnsi="Arial"/>
          <w:sz w:val="9"/>
          <w:szCs w:val="9"/>
          <w:color w:val="auto"/>
        </w:rPr>
        <w:t xml:space="preserve"> Indicate by check mark if the registrant is not required to file reports pursuant to Section 13 or Section 15(d) of the Act.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p>
      <w:pPr>
        <w:spacing w:after="0" w:line="1" w:lineRule="exact"/>
        <w:rPr>
          <w:sz w:val="24"/>
          <w:szCs w:val="24"/>
          <w:color w:val="auto"/>
        </w:rPr>
      </w:pPr>
    </w:p>
    <w:p>
      <w:pPr>
        <w:ind w:left="8" w:right="60"/>
        <w:spacing w:after="0" w:line="144"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left="8"/>
        <w:spacing w:after="0" w:line="144"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left="8" w:right="480"/>
        <w:spacing w:after="0" w:line="144"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1" w:lineRule="exact"/>
        <w:rPr>
          <w:sz w:val="24"/>
          <w:szCs w:val="24"/>
          <w:color w:val="auto"/>
        </w:rPr>
      </w:pPr>
    </w:p>
    <w:p>
      <w:pPr>
        <w:ind w:left="8" w:right="300"/>
        <w:spacing w:after="0" w:line="24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 </w:t>
      </w:r>
      <w:r>
        <w:rPr>
          <w:rFonts w:ascii="MS PGothic" w:cs="MS PGothic" w:eastAsia="MS PGothic" w:hAnsi="MS PGothic"/>
          <w:sz w:val="12"/>
          <w:szCs w:val="12"/>
          <w:color w:val="auto"/>
        </w:rPr>
        <w:t>☐</w:t>
      </w:r>
    </w:p>
    <w:p>
      <w:pPr>
        <w:spacing w:after="0" w:line="8"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0" w:lineRule="exact"/>
        <w:rPr>
          <w:sz w:val="24"/>
          <w:szCs w:val="24"/>
          <w:color w:val="auto"/>
        </w:rPr>
      </w:pPr>
    </w:p>
    <w:p>
      <w:pPr>
        <w:ind w:left="8"/>
        <w:spacing w:after="0"/>
        <w:rPr>
          <w:sz w:val="20"/>
          <w:szCs w:val="20"/>
          <w:color w:val="auto"/>
        </w:rPr>
      </w:pPr>
      <w:r>
        <w:rPr>
          <w:rFonts w:ascii="Arial" w:cs="Arial" w:eastAsia="Arial" w:hAnsi="Arial"/>
          <w:sz w:val="12"/>
          <w:szCs w:val="12"/>
          <w:color w:val="auto"/>
        </w:rPr>
        <w:t>As of June 30, 2011, the aggregate market value of the common stock of the registrant held by non-affiliates of the registrant was approximately $116.3 billion.</w:t>
      </w:r>
    </w:p>
    <w:p>
      <w:pPr>
        <w:ind w:left="8"/>
        <w:spacing w:after="0"/>
        <w:rPr>
          <w:sz w:val="20"/>
          <w:szCs w:val="20"/>
          <w:color w:val="auto"/>
        </w:rPr>
      </w:pPr>
      <w:r>
        <w:rPr>
          <w:rFonts w:ascii="Arial" w:cs="Arial" w:eastAsia="Arial" w:hAnsi="Arial"/>
          <w:sz w:val="12"/>
          <w:szCs w:val="12"/>
          <w:color w:val="auto"/>
        </w:rPr>
        <w:t>As of December 31, 2011, the number of shares of common stock outstanding was 1,333,775,406.</w:t>
      </w:r>
    </w:p>
    <w:p>
      <w:pPr>
        <w:spacing w:after="0" w:line="6" w:lineRule="exact"/>
        <w:rPr>
          <w:sz w:val="24"/>
          <w:szCs w:val="24"/>
          <w:color w:val="auto"/>
        </w:rPr>
      </w:pPr>
    </w:p>
    <w:p>
      <w:pPr>
        <w:jc w:val="center"/>
        <w:ind w:right="-47"/>
        <w:spacing w:after="0"/>
        <w:rPr>
          <w:sz w:val="20"/>
          <w:szCs w:val="20"/>
          <w:color w:val="auto"/>
        </w:rPr>
      </w:pPr>
      <w:r>
        <w:rPr>
          <w:rFonts w:ascii="Arial" w:cs="Arial" w:eastAsia="Arial" w:hAnsi="Arial"/>
          <w:sz w:val="12"/>
          <w:szCs w:val="12"/>
          <w:b w:val="1"/>
          <w:bCs w:val="1"/>
          <w:color w:val="auto"/>
        </w:rPr>
        <w:t>DOCUMENTS INCORPORATED BY REFERENCE</w:t>
      </w:r>
    </w:p>
    <w:p>
      <w:pPr>
        <w:spacing w:after="0" w:line="6" w:lineRule="exact"/>
        <w:rPr>
          <w:sz w:val="24"/>
          <w:szCs w:val="24"/>
          <w:color w:val="auto"/>
        </w:rPr>
      </w:pPr>
    </w:p>
    <w:p>
      <w:pPr>
        <w:ind w:left="8" w:right="480"/>
        <w:spacing w:after="0" w:line="306" w:lineRule="auto"/>
        <w:rPr>
          <w:sz w:val="20"/>
          <w:szCs w:val="20"/>
          <w:color w:val="auto"/>
        </w:rPr>
      </w:pPr>
      <w:r>
        <w:rPr>
          <w:rFonts w:ascii="Arial" w:cs="Arial" w:eastAsia="Arial" w:hAnsi="Arial"/>
          <w:sz w:val="11"/>
          <w:szCs w:val="11"/>
          <w:color w:val="auto"/>
        </w:rPr>
        <w:t>Certain information required to be furnished pursuant to Part III of this Form 10-K is set forth in, and is hereby incorporated by reference herein from, Schlumberger’s definitive proxy statement for its 2012 Annual General Meeting of Stockholders, to be filed by Schlumberger with the Securities and Exchange Commission pursuant to Regulation 14A within 120 days after December 31, 2011 (the “2012 Proxy Statement”).</w:t>
      </w:r>
    </w:p>
    <w:p>
      <w:pPr>
        <w:sectPr>
          <w:pgSz w:w="11900" w:h="16838" w:orient="portrait"/>
          <w:cols w:equalWidth="0" w:num="1">
            <w:col w:w="11428"/>
          </w:cols>
          <w:pgMar w:left="212" w:top="201" w:right="259" w:bottom="1440" w:gutter="0" w:footer="0" w:header="0"/>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485140</wp:posOffset>
            </wp:positionV>
            <wp:extent cx="72923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700" w:type="dxa"/>
            <w:vAlign w:val="bottom"/>
            <w:gridSpan w:val="6"/>
          </w:tcPr>
          <w:p>
            <w:pPr>
              <w:jc w:val="center"/>
              <w:ind w:right="4280"/>
              <w:spacing w:after="0"/>
              <w:rPr>
                <w:sz w:val="20"/>
                <w:szCs w:val="20"/>
                <w:color w:val="auto"/>
              </w:rPr>
            </w:pPr>
            <w:r>
              <w:rPr>
                <w:rFonts w:ascii="Arial" w:cs="Arial" w:eastAsia="Arial" w:hAnsi="Arial"/>
                <w:sz w:val="12"/>
                <w:szCs w:val="12"/>
                <w:color w:val="auto"/>
                <w:w w:val="96"/>
              </w:rPr>
              <w:t>SCHLUMBERGER LIMITED</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980" w:type="dxa"/>
            <w:vAlign w:val="bottom"/>
            <w:gridSpan w:val="4"/>
          </w:tcPr>
          <w:p>
            <w:pPr>
              <w:jc w:val="center"/>
              <w:ind w:right="5000"/>
              <w:spacing w:after="0"/>
              <w:rPr>
                <w:sz w:val="20"/>
                <w:szCs w:val="20"/>
                <w:color w:val="auto"/>
              </w:rPr>
            </w:pPr>
            <w:r>
              <w:rPr>
                <w:rFonts w:ascii="Arial" w:cs="Arial" w:eastAsia="Arial" w:hAnsi="Arial"/>
                <w:sz w:val="12"/>
                <w:szCs w:val="12"/>
                <w:color w:val="auto"/>
                <w:w w:val="86"/>
              </w:rPr>
              <w:t>Table of Contents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980" w:type="dxa"/>
            <w:vAlign w:val="bottom"/>
            <w:gridSpan w:val="4"/>
          </w:tcPr>
          <w:p>
            <w:pPr>
              <w:jc w:val="center"/>
              <w:ind w:right="5000"/>
              <w:spacing w:after="0"/>
              <w:rPr>
                <w:sz w:val="20"/>
                <w:szCs w:val="20"/>
                <w:color w:val="auto"/>
              </w:rPr>
            </w:pPr>
            <w:r>
              <w:rPr>
                <w:rFonts w:ascii="Arial" w:cs="Arial" w:eastAsia="Arial" w:hAnsi="Arial"/>
                <w:sz w:val="16"/>
                <w:szCs w:val="16"/>
                <w:b w:val="1"/>
                <w:bCs w:val="1"/>
                <w:color w:val="auto"/>
                <w:w w:val="98"/>
              </w:rPr>
              <w:t>Form 10-K</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80" w:type="dxa"/>
            <w:vAlign w:val="bottom"/>
            <w:vMerge w:val="restart"/>
          </w:tcPr>
          <w:p>
            <w:pPr>
              <w:spacing w:after="0"/>
              <w:rPr>
                <w:rFonts w:ascii="Arial" w:cs="Arial" w:eastAsia="Arial" w:hAnsi="Arial"/>
                <w:sz w:val="12"/>
                <w:szCs w:val="12"/>
                <w:b w:val="1"/>
                <w:bCs w:val="1"/>
                <w:color w:val="0000EE"/>
                <w:w w:val="91"/>
              </w:rPr>
            </w:pPr>
            <w:hyperlink w:anchor="page3">
              <w:r>
                <w:rPr>
                  <w:rFonts w:ascii="Arial" w:cs="Arial" w:eastAsia="Arial" w:hAnsi="Arial"/>
                  <w:sz w:val="12"/>
                  <w:szCs w:val="12"/>
                  <w:b w:val="1"/>
                  <w:bCs w:val="1"/>
                  <w:color w:val="0000EE"/>
                  <w:w w:val="91"/>
                </w:rPr>
                <w:t>PART I</w:t>
              </w:r>
            </w:hyperlink>
          </w:p>
        </w:tc>
        <w:tc>
          <w:tcPr>
            <w:tcW w:w="1320" w:type="dxa"/>
            <w:vAlign w:val="bottom"/>
            <w:gridSpan w:val="4"/>
            <w:vMerge w:val="restart"/>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60" w:type="dxa"/>
            <w:vAlign w:val="bottom"/>
            <w:gridSpan w:val="2"/>
          </w:tcPr>
          <w:p>
            <w:pPr>
              <w:spacing w:after="0"/>
              <w:rPr>
                <w:sz w:val="20"/>
                <w:szCs w:val="20"/>
                <w:color w:val="auto"/>
              </w:rPr>
            </w:pPr>
            <w:r>
              <w:rPr>
                <w:rFonts w:ascii="Arial" w:cs="Arial" w:eastAsia="Arial" w:hAnsi="Arial"/>
                <w:sz w:val="9"/>
                <w:szCs w:val="9"/>
                <w:b w:val="1"/>
                <w:bCs w:val="1"/>
                <w:color w:val="auto"/>
              </w:rPr>
              <w:t>Page</w:t>
            </w:r>
          </w:p>
        </w:tc>
        <w:tc>
          <w:tcPr>
            <w:tcW w:w="0" w:type="dxa"/>
            <w:vAlign w:val="bottom"/>
          </w:tcPr>
          <w:p>
            <w:pPr>
              <w:spacing w:after="0"/>
              <w:rPr>
                <w:sz w:val="1"/>
                <w:szCs w:val="1"/>
                <w:color w:val="auto"/>
              </w:rPr>
            </w:pPr>
          </w:p>
        </w:tc>
      </w:tr>
      <w:tr>
        <w:trPr>
          <w:trHeight w:val="102"/>
        </w:trPr>
        <w:tc>
          <w:tcPr>
            <w:tcW w:w="380" w:type="dxa"/>
            <w:vAlign w:val="bottom"/>
            <w:tcBorders>
              <w:bottom w:val="single" w:sz="8" w:color="0000EE"/>
            </w:tcBorders>
            <w:vMerge w:val="continue"/>
          </w:tcPr>
          <w:p>
            <w:pPr>
              <w:spacing w:after="0"/>
              <w:rPr>
                <w:sz w:val="8"/>
                <w:szCs w:val="8"/>
                <w:color w:val="auto"/>
              </w:rPr>
            </w:pPr>
          </w:p>
        </w:tc>
        <w:tc>
          <w:tcPr>
            <w:tcW w:w="1320" w:type="dxa"/>
            <w:vAlign w:val="bottom"/>
            <w:gridSpan w:val="4"/>
            <w:vMerge w:val="continue"/>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1.</w:t>
            </w:r>
          </w:p>
        </w:tc>
        <w:tc>
          <w:tcPr>
            <w:tcW w:w="420" w:type="dxa"/>
            <w:vAlign w:val="bottom"/>
            <w:tcBorders>
              <w:bottom w:val="single" w:sz="8" w:color="0000EE"/>
            </w:tcBorders>
          </w:tcPr>
          <w:p>
            <w:pPr>
              <w:spacing w:after="0" w:line="124" w:lineRule="exact"/>
              <w:rPr>
                <w:rFonts w:ascii="Arial" w:cs="Arial" w:eastAsia="Arial" w:hAnsi="Arial"/>
                <w:sz w:val="12"/>
                <w:szCs w:val="12"/>
                <w:color w:val="0000EE"/>
                <w:w w:val="82"/>
              </w:rPr>
            </w:pPr>
            <w:hyperlink w:anchor="page3">
              <w:r>
                <w:rPr>
                  <w:rFonts w:ascii="Arial" w:cs="Arial" w:eastAsia="Arial" w:hAnsi="Arial"/>
                  <w:sz w:val="12"/>
                  <w:szCs w:val="12"/>
                  <w:color w:val="0000EE"/>
                  <w:w w:val="82"/>
                </w:rPr>
                <w:t>Business</w:t>
              </w:r>
            </w:hyperlink>
          </w:p>
        </w:tc>
        <w:tc>
          <w:tcPr>
            <w:tcW w:w="9100" w:type="dxa"/>
            <w:vAlign w:val="bottom"/>
            <w:gridSpan w:val="18"/>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1A.</w:t>
            </w:r>
          </w:p>
        </w:tc>
        <w:tc>
          <w:tcPr>
            <w:tcW w:w="9520" w:type="dxa"/>
            <w:vAlign w:val="bottom"/>
            <w:gridSpan w:val="19"/>
          </w:tcPr>
          <w:p>
            <w:pPr>
              <w:spacing w:after="0" w:line="124" w:lineRule="exact"/>
              <w:rPr>
                <w:rFonts w:ascii="Arial" w:cs="Arial" w:eastAsia="Arial" w:hAnsi="Arial"/>
                <w:sz w:val="12"/>
                <w:szCs w:val="12"/>
                <w:color w:val="0000EE"/>
              </w:rPr>
            </w:pPr>
            <w:hyperlink w:anchor="page7">
              <w:r>
                <w:rPr>
                  <w:rFonts w:ascii="Arial" w:cs="Arial" w:eastAsia="Arial" w:hAnsi="Arial"/>
                  <w:sz w:val="12"/>
                  <w:szCs w:val="12"/>
                  <w:color w:val="0000EE"/>
                </w:rPr>
                <w:t>Risk Factors</w:t>
              </w:r>
            </w:hyperlink>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1B.</w:t>
            </w:r>
          </w:p>
        </w:tc>
        <w:tc>
          <w:tcPr>
            <w:tcW w:w="9520" w:type="dxa"/>
            <w:vAlign w:val="bottom"/>
            <w:gridSpan w:val="19"/>
          </w:tcPr>
          <w:p>
            <w:pPr>
              <w:spacing w:after="0" w:line="124" w:lineRule="exact"/>
              <w:rPr>
                <w:rFonts w:ascii="Arial" w:cs="Arial" w:eastAsia="Arial" w:hAnsi="Arial"/>
                <w:sz w:val="12"/>
                <w:szCs w:val="12"/>
                <w:color w:val="0000EE"/>
              </w:rPr>
            </w:pPr>
            <w:hyperlink w:anchor="page11">
              <w:r>
                <w:rPr>
                  <w:rFonts w:ascii="Arial" w:cs="Arial" w:eastAsia="Arial" w:hAnsi="Arial"/>
                  <w:sz w:val="12"/>
                  <w:szCs w:val="12"/>
                  <w:color w:val="0000EE"/>
                </w:rPr>
                <w:t>Unresolved Staff Comments</w:t>
              </w:r>
            </w:hyperlink>
          </w:p>
        </w:tc>
        <w:tc>
          <w:tcPr>
            <w:tcW w:w="260" w:type="dxa"/>
            <w:vAlign w:val="bottom"/>
            <w:gridSpan w:val="2"/>
          </w:tcPr>
          <w:p>
            <w:pPr>
              <w:jc w:val="right"/>
              <w:ind w:right="60"/>
              <w:spacing w:after="0" w:line="124"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2.</w:t>
            </w:r>
          </w:p>
        </w:tc>
        <w:tc>
          <w:tcPr>
            <w:tcW w:w="1320" w:type="dxa"/>
            <w:vAlign w:val="bottom"/>
            <w:tcBorders>
              <w:top w:val="single" w:sz="8" w:color="0000EE"/>
            </w:tcBorders>
            <w:gridSpan w:val="9"/>
          </w:tcPr>
          <w:p>
            <w:pPr>
              <w:spacing w:after="0" w:line="124" w:lineRule="exact"/>
              <w:rPr>
                <w:rFonts w:ascii="Arial" w:cs="Arial" w:eastAsia="Arial" w:hAnsi="Arial"/>
                <w:sz w:val="12"/>
                <w:szCs w:val="12"/>
                <w:color w:val="0000EE"/>
              </w:rPr>
            </w:pPr>
            <w:hyperlink w:anchor="page11">
              <w:r>
                <w:rPr>
                  <w:rFonts w:ascii="Arial" w:cs="Arial" w:eastAsia="Arial" w:hAnsi="Arial"/>
                  <w:sz w:val="12"/>
                  <w:szCs w:val="12"/>
                  <w:color w:val="0000EE"/>
                </w:rPr>
                <w:t>Properties</w:t>
              </w:r>
            </w:hyperlink>
          </w:p>
        </w:tc>
        <w:tc>
          <w:tcPr>
            <w:tcW w:w="8200" w:type="dxa"/>
            <w:vAlign w:val="bottom"/>
            <w:gridSpan w:val="10"/>
          </w:tcPr>
          <w:p>
            <w:pPr>
              <w:spacing w:after="0"/>
              <w:rPr>
                <w:sz w:val="10"/>
                <w:szCs w:val="10"/>
                <w:color w:val="auto"/>
              </w:rPr>
            </w:pPr>
          </w:p>
        </w:tc>
        <w:tc>
          <w:tcPr>
            <w:tcW w:w="260" w:type="dxa"/>
            <w:vAlign w:val="bottom"/>
            <w:gridSpan w:val="2"/>
          </w:tcPr>
          <w:p>
            <w:pPr>
              <w:jc w:val="right"/>
              <w:ind w:right="60"/>
              <w:spacing w:after="0" w:line="124"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3.</w:t>
            </w:r>
          </w:p>
        </w:tc>
        <w:tc>
          <w:tcPr>
            <w:tcW w:w="9520" w:type="dxa"/>
            <w:vAlign w:val="bottom"/>
            <w:gridSpan w:val="19"/>
          </w:tcPr>
          <w:p>
            <w:pPr>
              <w:spacing w:after="0" w:line="124" w:lineRule="exact"/>
              <w:rPr>
                <w:rFonts w:ascii="Arial" w:cs="Arial" w:eastAsia="Arial" w:hAnsi="Arial"/>
                <w:sz w:val="12"/>
                <w:szCs w:val="12"/>
                <w:color w:val="0000EE"/>
              </w:rPr>
            </w:pPr>
            <w:hyperlink w:anchor="page11">
              <w:r>
                <w:rPr>
                  <w:rFonts w:ascii="Arial" w:cs="Arial" w:eastAsia="Arial" w:hAnsi="Arial"/>
                  <w:sz w:val="12"/>
                  <w:szCs w:val="12"/>
                  <w:color w:val="0000EE"/>
                </w:rPr>
                <w:t>Legal Proceedings</w:t>
              </w:r>
            </w:hyperlink>
          </w:p>
        </w:tc>
        <w:tc>
          <w:tcPr>
            <w:tcW w:w="260" w:type="dxa"/>
            <w:vAlign w:val="bottom"/>
            <w:gridSpan w:val="2"/>
          </w:tcPr>
          <w:p>
            <w:pPr>
              <w:jc w:val="right"/>
              <w:ind w:right="60"/>
              <w:spacing w:after="0" w:line="124"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4.</w:t>
            </w:r>
          </w:p>
        </w:tc>
        <w:tc>
          <w:tcPr>
            <w:tcW w:w="9520" w:type="dxa"/>
            <w:vAlign w:val="bottom"/>
            <w:gridSpan w:val="19"/>
          </w:tcPr>
          <w:p>
            <w:pPr>
              <w:spacing w:after="0" w:line="124" w:lineRule="exact"/>
              <w:rPr>
                <w:rFonts w:ascii="Arial" w:cs="Arial" w:eastAsia="Arial" w:hAnsi="Arial"/>
                <w:sz w:val="12"/>
                <w:szCs w:val="12"/>
                <w:color w:val="0000EE"/>
              </w:rPr>
            </w:pPr>
            <w:hyperlink w:anchor="page11">
              <w:r>
                <w:rPr>
                  <w:rFonts w:ascii="Arial" w:cs="Arial" w:eastAsia="Arial" w:hAnsi="Arial"/>
                  <w:sz w:val="12"/>
                  <w:szCs w:val="12"/>
                  <w:color w:val="0000EE"/>
                </w:rPr>
                <w:t>Mine Safety Disclosures</w:t>
              </w:r>
            </w:hyperlink>
          </w:p>
        </w:tc>
        <w:tc>
          <w:tcPr>
            <w:tcW w:w="260" w:type="dxa"/>
            <w:vAlign w:val="bottom"/>
            <w:gridSpan w:val="2"/>
          </w:tcPr>
          <w:p>
            <w:pPr>
              <w:jc w:val="right"/>
              <w:ind w:right="60"/>
              <w:spacing w:after="0" w:line="124"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68"/>
        </w:trPr>
        <w:tc>
          <w:tcPr>
            <w:tcW w:w="420" w:type="dxa"/>
            <w:vAlign w:val="bottom"/>
            <w:tcBorders>
              <w:bottom w:val="single" w:sz="8" w:color="0000EE"/>
            </w:tcBorders>
            <w:gridSpan w:val="2"/>
          </w:tcPr>
          <w:p>
            <w:pPr>
              <w:spacing w:after="0"/>
              <w:rPr>
                <w:rFonts w:ascii="Arial" w:cs="Arial" w:eastAsia="Arial" w:hAnsi="Arial"/>
                <w:sz w:val="12"/>
                <w:szCs w:val="12"/>
                <w:b w:val="1"/>
                <w:bCs w:val="1"/>
                <w:color w:val="0000EE"/>
                <w:w w:val="93"/>
              </w:rPr>
            </w:pPr>
            <w:hyperlink w:anchor="page12">
              <w:r>
                <w:rPr>
                  <w:rFonts w:ascii="Arial" w:cs="Arial" w:eastAsia="Arial" w:hAnsi="Arial"/>
                  <w:sz w:val="12"/>
                  <w:szCs w:val="12"/>
                  <w:b w:val="1"/>
                  <w:bCs w:val="1"/>
                  <w:color w:val="0000EE"/>
                  <w:w w:val="93"/>
                </w:rPr>
                <w:t>PART II</w:t>
              </w:r>
            </w:hyperlink>
          </w:p>
        </w:tc>
        <w:tc>
          <w:tcPr>
            <w:tcW w:w="1280" w:type="dxa"/>
            <w:vAlign w:val="bottom"/>
            <w:gridSpan w:val="3"/>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5.</w:t>
            </w:r>
          </w:p>
        </w:tc>
        <w:tc>
          <w:tcPr>
            <w:tcW w:w="9520" w:type="dxa"/>
            <w:vAlign w:val="bottom"/>
            <w:gridSpan w:val="19"/>
          </w:tcPr>
          <w:p>
            <w:pPr>
              <w:spacing w:after="0" w:line="124" w:lineRule="exact"/>
              <w:rPr>
                <w:rFonts w:ascii="Arial" w:cs="Arial" w:eastAsia="Arial" w:hAnsi="Arial"/>
                <w:sz w:val="12"/>
                <w:szCs w:val="12"/>
                <w:color w:val="0000EE"/>
              </w:rPr>
            </w:pPr>
            <w:hyperlink w:anchor="page12">
              <w:r>
                <w:rPr>
                  <w:rFonts w:ascii="Arial" w:cs="Arial" w:eastAsia="Arial" w:hAnsi="Arial"/>
                  <w:sz w:val="12"/>
                  <w:szCs w:val="12"/>
                  <w:color w:val="0000EE"/>
                </w:rPr>
                <w:t>Market for Schlumberger’s Common Stock, Related Stockholder Matters and Issuer Purchases of Equity Securities</w:t>
              </w:r>
            </w:hyperlink>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12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6.</w:t>
            </w:r>
          </w:p>
        </w:tc>
        <w:tc>
          <w:tcPr>
            <w:tcW w:w="5380" w:type="dxa"/>
            <w:vAlign w:val="bottom"/>
            <w:tcBorders>
              <w:top w:val="single" w:sz="8" w:color="0000EE"/>
            </w:tcBorders>
            <w:gridSpan w:val="18"/>
          </w:tcPr>
          <w:p>
            <w:pPr>
              <w:spacing w:after="0" w:line="124" w:lineRule="exact"/>
              <w:rPr>
                <w:rFonts w:ascii="Arial" w:cs="Arial" w:eastAsia="Arial" w:hAnsi="Arial"/>
                <w:sz w:val="12"/>
                <w:szCs w:val="12"/>
                <w:color w:val="0000EE"/>
              </w:rPr>
            </w:pPr>
            <w:hyperlink w:anchor="page14">
              <w:r>
                <w:rPr>
                  <w:rFonts w:ascii="Arial" w:cs="Arial" w:eastAsia="Arial" w:hAnsi="Arial"/>
                  <w:sz w:val="12"/>
                  <w:szCs w:val="12"/>
                  <w:color w:val="0000EE"/>
                </w:rPr>
                <w:t>Selected Financial Data</w:t>
              </w:r>
            </w:hyperlink>
          </w:p>
        </w:tc>
        <w:tc>
          <w:tcPr>
            <w:tcW w:w="414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14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7.</w:t>
            </w:r>
          </w:p>
        </w:tc>
        <w:tc>
          <w:tcPr>
            <w:tcW w:w="4200" w:type="dxa"/>
            <w:vAlign w:val="bottom"/>
            <w:tcBorders>
              <w:bottom w:val="single" w:sz="8" w:color="0000EE"/>
            </w:tcBorders>
            <w:gridSpan w:val="16"/>
          </w:tcPr>
          <w:p>
            <w:pPr>
              <w:spacing w:after="0" w:line="124" w:lineRule="exact"/>
              <w:rPr>
                <w:rFonts w:ascii="Arial" w:cs="Arial" w:eastAsia="Arial" w:hAnsi="Arial"/>
                <w:sz w:val="12"/>
                <w:szCs w:val="12"/>
                <w:color w:val="0000EE"/>
                <w:w w:val="88"/>
              </w:rPr>
            </w:pPr>
            <w:hyperlink w:anchor="page15">
              <w:r>
                <w:rPr>
                  <w:rFonts w:ascii="Arial" w:cs="Arial" w:eastAsia="Arial" w:hAnsi="Arial"/>
                  <w:sz w:val="12"/>
                  <w:szCs w:val="12"/>
                  <w:color w:val="0000EE"/>
                  <w:w w:val="88"/>
                </w:rPr>
                <w:t>Management’s Discussion and Analysis of Financial Condition and Results of Operations</w:t>
              </w:r>
            </w:hyperlink>
          </w:p>
        </w:tc>
        <w:tc>
          <w:tcPr>
            <w:tcW w:w="5320" w:type="dxa"/>
            <w:vAlign w:val="bottom"/>
            <w:gridSpan w:val="3"/>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15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7A.</w:t>
            </w:r>
          </w:p>
        </w:tc>
        <w:tc>
          <w:tcPr>
            <w:tcW w:w="9520" w:type="dxa"/>
            <w:vAlign w:val="bottom"/>
            <w:gridSpan w:val="19"/>
          </w:tcPr>
          <w:p>
            <w:pPr>
              <w:spacing w:after="0" w:line="124" w:lineRule="exact"/>
              <w:rPr>
                <w:rFonts w:ascii="Arial" w:cs="Arial" w:eastAsia="Arial" w:hAnsi="Arial"/>
                <w:sz w:val="12"/>
                <w:szCs w:val="12"/>
                <w:color w:val="0000EE"/>
              </w:rPr>
            </w:pPr>
            <w:hyperlink w:anchor="page31">
              <w:r>
                <w:rPr>
                  <w:rFonts w:ascii="Arial" w:cs="Arial" w:eastAsia="Arial" w:hAnsi="Arial"/>
                  <w:sz w:val="12"/>
                  <w:szCs w:val="12"/>
                  <w:color w:val="0000EE"/>
                </w:rPr>
                <w:t>Quantitative and Qualitative Disclosures About Market Risk</w:t>
              </w:r>
            </w:hyperlink>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8.</w:t>
            </w:r>
          </w:p>
        </w:tc>
        <w:tc>
          <w:tcPr>
            <w:tcW w:w="2820" w:type="dxa"/>
            <w:vAlign w:val="bottom"/>
            <w:tcBorders>
              <w:top w:val="single" w:sz="8" w:color="0000EE"/>
            </w:tcBorders>
            <w:gridSpan w:val="13"/>
          </w:tcPr>
          <w:p>
            <w:pPr>
              <w:spacing w:after="0" w:line="124" w:lineRule="exact"/>
              <w:rPr>
                <w:rFonts w:ascii="Arial" w:cs="Arial" w:eastAsia="Arial" w:hAnsi="Arial"/>
                <w:sz w:val="12"/>
                <w:szCs w:val="12"/>
                <w:color w:val="0000EE"/>
              </w:rPr>
            </w:pPr>
            <w:hyperlink w:anchor="page33">
              <w:r>
                <w:rPr>
                  <w:rFonts w:ascii="Arial" w:cs="Arial" w:eastAsia="Arial" w:hAnsi="Arial"/>
                  <w:sz w:val="12"/>
                  <w:szCs w:val="12"/>
                  <w:color w:val="0000EE"/>
                </w:rPr>
                <w:t>Financial Statements and Supplementary Data</w:t>
              </w:r>
            </w:hyperlink>
          </w:p>
        </w:tc>
        <w:tc>
          <w:tcPr>
            <w:tcW w:w="6700" w:type="dxa"/>
            <w:vAlign w:val="bottom"/>
            <w:gridSpan w:val="6"/>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33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9.</w:t>
            </w:r>
          </w:p>
        </w:tc>
        <w:tc>
          <w:tcPr>
            <w:tcW w:w="9520" w:type="dxa"/>
            <w:vAlign w:val="bottom"/>
            <w:gridSpan w:val="19"/>
          </w:tcPr>
          <w:p>
            <w:pPr>
              <w:spacing w:after="0" w:line="124" w:lineRule="exact"/>
              <w:rPr>
                <w:rFonts w:ascii="Arial" w:cs="Arial" w:eastAsia="Arial" w:hAnsi="Arial"/>
                <w:sz w:val="12"/>
                <w:szCs w:val="12"/>
                <w:color w:val="0000EE"/>
              </w:rPr>
            </w:pPr>
            <w:hyperlink w:anchor="page73">
              <w:r>
                <w:rPr>
                  <w:rFonts w:ascii="Arial" w:cs="Arial" w:eastAsia="Arial" w:hAnsi="Arial"/>
                  <w:sz w:val="12"/>
                  <w:szCs w:val="12"/>
                  <w:color w:val="0000EE"/>
                </w:rPr>
                <w:t>Changes in and Disagreements with Accountants on Accounting and Financial Disclosure</w:t>
              </w:r>
            </w:hyperlink>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73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9A.</w:t>
            </w:r>
          </w:p>
        </w:tc>
        <w:tc>
          <w:tcPr>
            <w:tcW w:w="4200" w:type="dxa"/>
            <w:vAlign w:val="bottom"/>
            <w:tcBorders>
              <w:top w:val="single" w:sz="8" w:color="0000EE"/>
            </w:tcBorders>
            <w:gridSpan w:val="16"/>
          </w:tcPr>
          <w:p>
            <w:pPr>
              <w:spacing w:after="0" w:line="124" w:lineRule="exact"/>
              <w:rPr>
                <w:rFonts w:ascii="Arial" w:cs="Arial" w:eastAsia="Arial" w:hAnsi="Arial"/>
                <w:sz w:val="12"/>
                <w:szCs w:val="12"/>
                <w:color w:val="0000EE"/>
              </w:rPr>
            </w:pPr>
            <w:hyperlink w:anchor="page73">
              <w:r>
                <w:rPr>
                  <w:rFonts w:ascii="Arial" w:cs="Arial" w:eastAsia="Arial" w:hAnsi="Arial"/>
                  <w:sz w:val="12"/>
                  <w:szCs w:val="12"/>
                  <w:color w:val="0000EE"/>
                </w:rPr>
                <w:t>Controls and Procedures</w:t>
              </w:r>
            </w:hyperlink>
          </w:p>
        </w:tc>
        <w:tc>
          <w:tcPr>
            <w:tcW w:w="5320" w:type="dxa"/>
            <w:vAlign w:val="bottom"/>
            <w:gridSpan w:val="3"/>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73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9B.</w:t>
            </w:r>
          </w:p>
        </w:tc>
        <w:tc>
          <w:tcPr>
            <w:tcW w:w="1140" w:type="dxa"/>
            <w:vAlign w:val="bottom"/>
            <w:tcBorders>
              <w:top w:val="single" w:sz="8" w:color="0000EE"/>
            </w:tcBorders>
            <w:gridSpan w:val="7"/>
          </w:tcPr>
          <w:p>
            <w:pPr>
              <w:spacing w:after="0" w:line="124" w:lineRule="exact"/>
              <w:rPr>
                <w:rFonts w:ascii="Arial" w:cs="Arial" w:eastAsia="Arial" w:hAnsi="Arial"/>
                <w:sz w:val="12"/>
                <w:szCs w:val="12"/>
                <w:color w:val="0000EE"/>
              </w:rPr>
            </w:pPr>
            <w:hyperlink w:anchor="page74">
              <w:r>
                <w:rPr>
                  <w:rFonts w:ascii="Arial" w:cs="Arial" w:eastAsia="Arial" w:hAnsi="Arial"/>
                  <w:sz w:val="12"/>
                  <w:szCs w:val="12"/>
                  <w:color w:val="0000EE"/>
                </w:rPr>
                <w:t>Other Information</w:t>
              </w:r>
            </w:hyperlink>
          </w:p>
        </w:tc>
        <w:tc>
          <w:tcPr>
            <w:tcW w:w="8380" w:type="dxa"/>
            <w:vAlign w:val="bottom"/>
            <w:gridSpan w:val="12"/>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74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480" w:type="dxa"/>
            <w:vAlign w:val="bottom"/>
            <w:tcBorders>
              <w:bottom w:val="single" w:sz="8" w:color="0000EE"/>
            </w:tcBorders>
            <w:gridSpan w:val="4"/>
          </w:tcPr>
          <w:p>
            <w:pPr>
              <w:spacing w:after="0"/>
              <w:rPr>
                <w:rFonts w:ascii="Arial" w:cs="Arial" w:eastAsia="Arial" w:hAnsi="Arial"/>
                <w:sz w:val="12"/>
                <w:szCs w:val="12"/>
                <w:b w:val="1"/>
                <w:bCs w:val="1"/>
                <w:color w:val="0000EE"/>
                <w:w w:val="99"/>
              </w:rPr>
            </w:pPr>
            <w:hyperlink w:anchor="page74">
              <w:r>
                <w:rPr>
                  <w:rFonts w:ascii="Arial" w:cs="Arial" w:eastAsia="Arial" w:hAnsi="Arial"/>
                  <w:sz w:val="12"/>
                  <w:szCs w:val="12"/>
                  <w:b w:val="1"/>
                  <w:bCs w:val="1"/>
                  <w:color w:val="0000EE"/>
                  <w:w w:val="99"/>
                </w:rPr>
                <w:t>PART III</w:t>
              </w:r>
            </w:hyperlink>
          </w:p>
        </w:tc>
        <w:tc>
          <w:tcPr>
            <w:tcW w:w="1220" w:type="dxa"/>
            <w:vAlign w:val="bottom"/>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10.</w:t>
            </w:r>
          </w:p>
        </w:tc>
        <w:tc>
          <w:tcPr>
            <w:tcW w:w="9520" w:type="dxa"/>
            <w:vAlign w:val="bottom"/>
            <w:gridSpan w:val="19"/>
          </w:tcPr>
          <w:p>
            <w:pPr>
              <w:spacing w:after="0" w:line="124" w:lineRule="exact"/>
              <w:rPr>
                <w:rFonts w:ascii="Arial" w:cs="Arial" w:eastAsia="Arial" w:hAnsi="Arial"/>
                <w:sz w:val="12"/>
                <w:szCs w:val="12"/>
                <w:color w:val="0000EE"/>
              </w:rPr>
            </w:pPr>
            <w:hyperlink w:anchor="page74">
              <w:r>
                <w:rPr>
                  <w:rFonts w:ascii="Arial" w:cs="Arial" w:eastAsia="Arial" w:hAnsi="Arial"/>
                  <w:sz w:val="12"/>
                  <w:szCs w:val="12"/>
                  <w:color w:val="0000EE"/>
                </w:rPr>
                <w:t>Directors, Executive Officers and Corporate Governance of Schlumberger</w:t>
              </w:r>
            </w:hyperlink>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74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11.</w:t>
            </w:r>
          </w:p>
        </w:tc>
        <w:tc>
          <w:tcPr>
            <w:tcW w:w="3460" w:type="dxa"/>
            <w:vAlign w:val="bottom"/>
            <w:tcBorders>
              <w:top w:val="single" w:sz="8" w:color="0000EE"/>
            </w:tcBorders>
            <w:gridSpan w:val="14"/>
          </w:tcPr>
          <w:p>
            <w:pPr>
              <w:spacing w:after="0" w:line="124" w:lineRule="exact"/>
              <w:rPr>
                <w:rFonts w:ascii="Arial" w:cs="Arial" w:eastAsia="Arial" w:hAnsi="Arial"/>
                <w:sz w:val="12"/>
                <w:szCs w:val="12"/>
                <w:color w:val="0000EE"/>
              </w:rPr>
            </w:pPr>
            <w:hyperlink w:anchor="page74">
              <w:r>
                <w:rPr>
                  <w:rFonts w:ascii="Arial" w:cs="Arial" w:eastAsia="Arial" w:hAnsi="Arial"/>
                  <w:sz w:val="12"/>
                  <w:szCs w:val="12"/>
                  <w:color w:val="0000EE"/>
                </w:rPr>
                <w:t>Executive Compensation</w:t>
              </w:r>
            </w:hyperlink>
          </w:p>
        </w:tc>
        <w:tc>
          <w:tcPr>
            <w:tcW w:w="6060" w:type="dxa"/>
            <w:vAlign w:val="bottom"/>
            <w:gridSpan w:val="5"/>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74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12.</w:t>
            </w:r>
          </w:p>
        </w:tc>
        <w:tc>
          <w:tcPr>
            <w:tcW w:w="4740" w:type="dxa"/>
            <w:vAlign w:val="bottom"/>
            <w:tcBorders>
              <w:bottom w:val="single" w:sz="8" w:color="0000EE"/>
            </w:tcBorders>
            <w:gridSpan w:val="17"/>
          </w:tcPr>
          <w:p>
            <w:pPr>
              <w:spacing w:after="0" w:line="124" w:lineRule="exact"/>
              <w:rPr>
                <w:rFonts w:ascii="Arial" w:cs="Arial" w:eastAsia="Arial" w:hAnsi="Arial"/>
                <w:sz w:val="12"/>
                <w:szCs w:val="12"/>
                <w:color w:val="0000EE"/>
                <w:w w:val="88"/>
              </w:rPr>
            </w:pPr>
            <w:hyperlink w:anchor="page74">
              <w:r>
                <w:rPr>
                  <w:rFonts w:ascii="Arial" w:cs="Arial" w:eastAsia="Arial" w:hAnsi="Arial"/>
                  <w:sz w:val="12"/>
                  <w:szCs w:val="12"/>
                  <w:color w:val="0000EE"/>
                  <w:w w:val="88"/>
                </w:rPr>
                <w:t>Security Ownership of Certain Beneficial Owners and Management and Related Stockholder Matters</w:t>
              </w:r>
            </w:hyperlink>
          </w:p>
        </w:tc>
        <w:tc>
          <w:tcPr>
            <w:tcW w:w="4780" w:type="dxa"/>
            <w:vAlign w:val="bottom"/>
            <w:gridSpan w:val="2"/>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74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13.</w:t>
            </w:r>
          </w:p>
        </w:tc>
        <w:tc>
          <w:tcPr>
            <w:tcW w:w="9520" w:type="dxa"/>
            <w:vAlign w:val="bottom"/>
            <w:gridSpan w:val="19"/>
          </w:tcPr>
          <w:p>
            <w:pPr>
              <w:spacing w:after="0" w:line="124" w:lineRule="exact"/>
              <w:rPr>
                <w:rFonts w:ascii="Arial" w:cs="Arial" w:eastAsia="Arial" w:hAnsi="Arial"/>
                <w:sz w:val="12"/>
                <w:szCs w:val="12"/>
                <w:color w:val="0000EE"/>
              </w:rPr>
            </w:pPr>
            <w:hyperlink w:anchor="page74">
              <w:r>
                <w:rPr>
                  <w:rFonts w:ascii="Arial" w:cs="Arial" w:eastAsia="Arial" w:hAnsi="Arial"/>
                  <w:sz w:val="12"/>
                  <w:szCs w:val="12"/>
                  <w:color w:val="0000EE"/>
                </w:rPr>
                <w:t>Certain Relationships and Related Transactions, and Director Independence</w:t>
              </w:r>
            </w:hyperlink>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74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14.</w:t>
            </w:r>
          </w:p>
        </w:tc>
        <w:tc>
          <w:tcPr>
            <w:tcW w:w="3540" w:type="dxa"/>
            <w:vAlign w:val="bottom"/>
            <w:tcBorders>
              <w:top w:val="single" w:sz="8" w:color="0000EE"/>
            </w:tcBorders>
            <w:gridSpan w:val="15"/>
          </w:tcPr>
          <w:p>
            <w:pPr>
              <w:spacing w:after="0" w:line="124" w:lineRule="exact"/>
              <w:rPr>
                <w:rFonts w:ascii="Arial" w:cs="Arial" w:eastAsia="Arial" w:hAnsi="Arial"/>
                <w:sz w:val="12"/>
                <w:szCs w:val="12"/>
                <w:color w:val="0000EE"/>
              </w:rPr>
            </w:pPr>
            <w:hyperlink w:anchor="page74">
              <w:r>
                <w:rPr>
                  <w:rFonts w:ascii="Arial" w:cs="Arial" w:eastAsia="Arial" w:hAnsi="Arial"/>
                  <w:sz w:val="12"/>
                  <w:szCs w:val="12"/>
                  <w:color w:val="0000EE"/>
                </w:rPr>
                <w:t>Principal Accounting Fees and Services</w:t>
              </w:r>
            </w:hyperlink>
          </w:p>
        </w:tc>
        <w:tc>
          <w:tcPr>
            <w:tcW w:w="5980" w:type="dxa"/>
            <w:vAlign w:val="bottom"/>
            <w:gridSpan w:val="4"/>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74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460" w:type="dxa"/>
            <w:vAlign w:val="bottom"/>
            <w:tcBorders>
              <w:bottom w:val="single" w:sz="8" w:color="0000EE"/>
            </w:tcBorders>
            <w:gridSpan w:val="3"/>
          </w:tcPr>
          <w:p>
            <w:pPr>
              <w:spacing w:after="0"/>
              <w:rPr>
                <w:rFonts w:ascii="Arial" w:cs="Arial" w:eastAsia="Arial" w:hAnsi="Arial"/>
                <w:sz w:val="12"/>
                <w:szCs w:val="12"/>
                <w:b w:val="1"/>
                <w:bCs w:val="1"/>
                <w:color w:val="0000EE"/>
                <w:w w:val="92"/>
              </w:rPr>
            </w:pPr>
            <w:hyperlink w:anchor="page74">
              <w:r>
                <w:rPr>
                  <w:rFonts w:ascii="Arial" w:cs="Arial" w:eastAsia="Arial" w:hAnsi="Arial"/>
                  <w:sz w:val="12"/>
                  <w:szCs w:val="12"/>
                  <w:b w:val="1"/>
                  <w:bCs w:val="1"/>
                  <w:color w:val="0000EE"/>
                  <w:w w:val="92"/>
                </w:rPr>
                <w:t>PART IV</w:t>
              </w:r>
            </w:hyperlink>
          </w:p>
        </w:tc>
        <w:tc>
          <w:tcPr>
            <w:tcW w:w="1240" w:type="dxa"/>
            <w:vAlign w:val="bottom"/>
            <w:gridSpan w:val="2"/>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1700" w:type="dxa"/>
            <w:vAlign w:val="bottom"/>
            <w:gridSpan w:val="5"/>
          </w:tcPr>
          <w:p>
            <w:pPr>
              <w:spacing w:after="0" w:line="124" w:lineRule="exact"/>
              <w:rPr>
                <w:sz w:val="20"/>
                <w:szCs w:val="20"/>
                <w:color w:val="auto"/>
              </w:rPr>
            </w:pPr>
            <w:r>
              <w:rPr>
                <w:rFonts w:ascii="Arial" w:cs="Arial" w:eastAsia="Arial" w:hAnsi="Arial"/>
                <w:sz w:val="12"/>
                <w:szCs w:val="12"/>
                <w:color w:val="auto"/>
              </w:rPr>
              <w:t>Item 15.</w:t>
            </w:r>
          </w:p>
        </w:tc>
        <w:tc>
          <w:tcPr>
            <w:tcW w:w="9520" w:type="dxa"/>
            <w:vAlign w:val="bottom"/>
            <w:gridSpan w:val="19"/>
          </w:tcPr>
          <w:p>
            <w:pPr>
              <w:spacing w:after="0" w:line="124" w:lineRule="exact"/>
              <w:rPr>
                <w:rFonts w:ascii="Arial" w:cs="Arial" w:eastAsia="Arial" w:hAnsi="Arial"/>
                <w:sz w:val="12"/>
                <w:szCs w:val="12"/>
                <w:color w:val="0000EE"/>
              </w:rPr>
            </w:pPr>
            <w:hyperlink w:anchor="page74">
              <w:r>
                <w:rPr>
                  <w:rFonts w:ascii="Arial" w:cs="Arial" w:eastAsia="Arial" w:hAnsi="Arial"/>
                  <w:sz w:val="12"/>
                  <w:szCs w:val="12"/>
                  <w:color w:val="0000EE"/>
                </w:rPr>
                <w:t>Exhibits and Financial Statement Schedules</w:t>
              </w:r>
            </w:hyperlink>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74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40" w:type="dxa"/>
            <w:vAlign w:val="bottom"/>
            <w:tcBorders>
              <w:top w:val="single" w:sz="8" w:color="0000EE"/>
            </w:tcBorders>
            <w:gridSpan w:val="11"/>
          </w:tcPr>
          <w:p>
            <w:pPr>
              <w:spacing w:after="0" w:line="124" w:lineRule="exact"/>
              <w:rPr>
                <w:rFonts w:ascii="Arial" w:cs="Arial" w:eastAsia="Arial" w:hAnsi="Arial"/>
                <w:sz w:val="12"/>
                <w:szCs w:val="12"/>
                <w:color w:val="0000EE"/>
              </w:rPr>
            </w:pPr>
            <w:hyperlink w:anchor="page76">
              <w:r>
                <w:rPr>
                  <w:rFonts w:ascii="Arial" w:cs="Arial" w:eastAsia="Arial" w:hAnsi="Arial"/>
                  <w:sz w:val="12"/>
                  <w:szCs w:val="12"/>
                  <w:color w:val="0000EE"/>
                </w:rPr>
                <w:t>Signatures</w:t>
              </w:r>
            </w:hyperlink>
          </w:p>
        </w:tc>
        <w:tc>
          <w:tcPr>
            <w:tcW w:w="7480" w:type="dxa"/>
            <w:vAlign w:val="bottom"/>
            <w:gridSpan w:val="8"/>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Arial" w:cs="Arial" w:eastAsia="Arial" w:hAnsi="Arial"/>
                <w:sz w:val="12"/>
                <w:szCs w:val="12"/>
                <w:color w:val="auto"/>
              </w:rPr>
              <w:t>76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9040" w:type="dxa"/>
            <w:vAlign w:val="bottom"/>
            <w:gridSpan w:val="1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520" w:type="dxa"/>
            <w:vAlign w:val="bottom"/>
            <w:gridSpan w:val="19"/>
          </w:tcPr>
          <w:p>
            <w:pPr>
              <w:spacing w:after="0"/>
              <w:rPr>
                <w:sz w:val="20"/>
                <w:szCs w:val="20"/>
                <w:color w:val="auto"/>
              </w:rPr>
            </w:pPr>
            <w:r>
              <w:rPr>
                <w:rFonts w:ascii="Arial" w:cs="Arial" w:eastAsia="Arial" w:hAnsi="Arial"/>
                <w:sz w:val="12"/>
                <w:szCs w:val="12"/>
                <w:color w:val="auto"/>
              </w:rPr>
              <w:t>Certifications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0" w:type="dxa"/>
            <w:vAlign w:val="bottom"/>
            <w:gridSpan w:val="16"/>
          </w:tcPr>
          <w:p>
            <w:pPr>
              <w:jc w:val="center"/>
              <w:ind w:left="3822"/>
              <w:spacing w:after="0"/>
              <w:rPr>
                <w:sz w:val="20"/>
                <w:szCs w:val="20"/>
                <w:color w:val="auto"/>
              </w:rPr>
            </w:pPr>
            <w:r>
              <w:rPr>
                <w:rFonts w:ascii="Arial" w:cs="Arial" w:eastAsia="Arial" w:hAnsi="Arial"/>
                <w:sz w:val="9"/>
                <w:szCs w:val="9"/>
                <w:color w:val="auto"/>
                <w:w w:val="78"/>
              </w:rPr>
              <w:t>2</w:t>
            </w: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PART I</w:t>
      </w:r>
    </w:p>
    <w:p>
      <w:pPr>
        <w:spacing w:after="0" w:line="139"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1.</w:t>
      </w:r>
      <w:r>
        <w:rPr>
          <w:sz w:val="20"/>
          <w:szCs w:val="20"/>
          <w:color w:val="auto"/>
        </w:rPr>
        <w:tab/>
      </w:r>
      <w:r>
        <w:rPr>
          <w:rFonts w:ascii="Arial" w:cs="Arial" w:eastAsia="Arial" w:hAnsi="Arial"/>
          <w:sz w:val="9"/>
          <w:szCs w:val="9"/>
          <w:b w:val="1"/>
          <w:bCs w:val="1"/>
          <w:u w:val="single" w:color="auto"/>
          <w:color w:val="auto"/>
        </w:rPr>
        <w:t>Business.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All references in this report to “Registrant,” “Company,” “Schlumberger,” “we” or “our” are to Schlumberger Limited (Schlumberger N.V., incorporated in Curaçao) and its consolidated subsidiaries.</w:t>
      </w:r>
    </w:p>
    <w:p>
      <w:pPr>
        <w:spacing w:after="0" w:line="10" w:lineRule="exact"/>
        <w:rPr>
          <w:sz w:val="20"/>
          <w:szCs w:val="20"/>
          <w:color w:val="auto"/>
        </w:rPr>
      </w:pPr>
    </w:p>
    <w:p>
      <w:pPr>
        <w:ind w:firstLine="230"/>
        <w:spacing w:after="0" w:line="252" w:lineRule="auto"/>
        <w:rPr>
          <w:sz w:val="20"/>
          <w:szCs w:val="20"/>
          <w:color w:val="auto"/>
        </w:rPr>
      </w:pPr>
      <w:r>
        <w:rPr>
          <w:rFonts w:ascii="Arial" w:cs="Arial" w:eastAsia="Arial" w:hAnsi="Arial"/>
          <w:sz w:val="12"/>
          <w:szCs w:val="12"/>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 As of December 31, 2011, the Company employed approximately 113,000 people of over 140 nationalities operating in approximately 85 countries. Schlumberger has principal executive offices in Paris, Houston and The Hague. As a result of its acquisitions of Smith International, Inc. (“Smith”) and Geoservices in 2010, the range of Schlumberger’s activities comprising exploration and production services became so broad that Schlumberger changed the primary way in which it allocates resources and assesses performance. Consequently, effective with the first quarter of 2011, Schlumberger changed its primary reporting to the product group segments (the “Groups”) comprising Schlumberger Oilfield Services. Additionally, Schlumberger also reports the Distribution business, acquired in the Smith transaction, as a separate segment.</w:t>
      </w:r>
    </w:p>
    <w:p>
      <w:pPr>
        <w:spacing w:after="0" w:line="43" w:lineRule="exact"/>
        <w:rPr>
          <w:sz w:val="20"/>
          <w:szCs w:val="20"/>
          <w:color w:val="auto"/>
        </w:rPr>
      </w:pPr>
    </w:p>
    <w:p>
      <w:pPr>
        <w:ind w:right="120"/>
        <w:spacing w:after="0" w:line="277" w:lineRule="auto"/>
        <w:rPr>
          <w:sz w:val="20"/>
          <w:szCs w:val="20"/>
          <w:color w:val="auto"/>
        </w:rPr>
      </w:pPr>
      <w:r>
        <w:rPr>
          <w:rFonts w:ascii="Arial" w:cs="Arial" w:eastAsia="Arial" w:hAnsi="Arial"/>
          <w:sz w:val="11"/>
          <w:szCs w:val="11"/>
          <w:b w:val="1"/>
          <w:bCs w:val="1"/>
          <w:color w:val="auto"/>
        </w:rPr>
        <w:t xml:space="preserve">Schlumberger Oilfield Services </w:t>
      </w:r>
      <w:r>
        <w:rPr>
          <w:rFonts w:ascii="Arial" w:cs="Arial" w:eastAsia="Arial" w:hAnsi="Arial"/>
          <w:sz w:val="11"/>
          <w:szCs w:val="11"/>
          <w:color w:val="auto"/>
        </w:rPr>
        <w:t>operates in each of the major oilfield service markets, managing its business through three Groups: Reservoir Characterization, Drilling and Reservoir Production. Each Group consists of a number of</w:t>
      </w:r>
      <w:r>
        <w:rPr>
          <w:rFonts w:ascii="Arial" w:cs="Arial" w:eastAsia="Arial" w:hAnsi="Arial"/>
          <w:sz w:val="11"/>
          <w:szCs w:val="11"/>
          <w:b w:val="1"/>
          <w:bCs w:val="1"/>
          <w:color w:val="auto"/>
        </w:rPr>
        <w:t xml:space="preserve"> </w:t>
      </w:r>
      <w:r>
        <w:rPr>
          <w:rFonts w:ascii="Arial" w:cs="Arial" w:eastAsia="Arial" w:hAnsi="Arial"/>
          <w:sz w:val="11"/>
          <w:szCs w:val="11"/>
          <w:color w:val="auto"/>
        </w:rPr>
        <w:t>technology-based service and product lines, or Technologies. These Technologies cover the entire life cycle of the reservoir and correspond to a number of markets in which Schlumberger holds leading positions. The business is also managed through four geographic Areas: North America, Latin America, Europe/CIS/Africa and Middle East &amp; Asia. Within these Areas, a network of GeoMarket* regions provides logistical, technical and commercial coordination.</w:t>
      </w:r>
    </w:p>
    <w:p>
      <w:pPr>
        <w:spacing w:after="0" w:line="1" w:lineRule="exact"/>
        <w:rPr>
          <w:sz w:val="20"/>
          <w:szCs w:val="20"/>
          <w:color w:val="auto"/>
        </w:rPr>
      </w:pPr>
    </w:p>
    <w:p>
      <w:pPr>
        <w:ind w:right="60" w:firstLine="230"/>
        <w:spacing w:after="0" w:line="254" w:lineRule="auto"/>
        <w:rPr>
          <w:sz w:val="20"/>
          <w:szCs w:val="20"/>
          <w:color w:val="auto"/>
        </w:rPr>
      </w:pPr>
      <w:r>
        <w:rPr>
          <w:rFonts w:ascii="Arial" w:cs="Arial" w:eastAsia="Arial" w:hAnsi="Arial"/>
          <w:sz w:val="12"/>
          <w:szCs w:val="12"/>
          <w:color w:val="auto"/>
        </w:rPr>
        <w:t>The role of the Groups and Technologies is to ensure that Schlumberger provides the best possible service delivery to customers and that it remains at the forefront of technology development. The Groups and Technologies are collectively responsible for driving excellence in execution throughout their businesses, overseeing operational processes, resource allocation, personnel and delivering superior financial results. The GeoMarket structure offers customers a single point of contact at the local level for field operations and brings together geographically focused teams to meet local needs and deliver customized solutions. The Areas and GeoMarkets are responsible for providing the most efficient and cost effective support possible to the operations.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The Groups are as follows:</w:t>
      </w:r>
    </w:p>
    <w:p>
      <w:pPr>
        <w:spacing w:after="0" w:line="60" w:lineRule="exact"/>
        <w:rPr>
          <w:sz w:val="20"/>
          <w:szCs w:val="20"/>
          <w:color w:val="auto"/>
        </w:rPr>
      </w:pPr>
    </w:p>
    <w:p>
      <w:pPr>
        <w:ind w:right="300"/>
        <w:spacing w:after="0" w:line="268" w:lineRule="auto"/>
        <w:rPr>
          <w:sz w:val="20"/>
          <w:szCs w:val="20"/>
          <w:color w:val="auto"/>
        </w:rPr>
      </w:pPr>
      <w:r>
        <w:rPr>
          <w:rFonts w:ascii="Arial" w:cs="Arial" w:eastAsia="Arial" w:hAnsi="Arial"/>
          <w:sz w:val="12"/>
          <w:szCs w:val="12"/>
          <w:b w:val="1"/>
          <w:bCs w:val="1"/>
          <w:i w:val="1"/>
          <w:iCs w:val="1"/>
          <w:color w:val="auto"/>
        </w:rPr>
        <w:t xml:space="preserve">Reservoir Characterization Group </w:t>
      </w:r>
      <w:r>
        <w:rPr>
          <w:rFonts w:ascii="Arial" w:cs="Arial" w:eastAsia="Arial" w:hAnsi="Arial"/>
          <w:sz w:val="12"/>
          <w:szCs w:val="12"/>
          <w:color w:val="auto"/>
        </w:rPr>
        <w:t>– Consists of the principal Technologies involved in finding and defining hydrocarbon deposits. These include WesternGeco, Wireline, Testing Services, Schlumberger Information Solutions and Data &amp;</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Consulting Services.</w:t>
      </w:r>
    </w:p>
    <w:p>
      <w:pPr>
        <w:spacing w:after="0" w:line="34" w:lineRule="exact"/>
        <w:rPr>
          <w:sz w:val="20"/>
          <w:szCs w:val="20"/>
          <w:color w:val="auto"/>
        </w:rPr>
      </w:pPr>
    </w:p>
    <w:p>
      <w:pPr>
        <w:ind w:left="780" w:right="180" w:hanging="33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 xml:space="preserve">WesternGeco </w:t>
      </w:r>
      <w:r>
        <w:rPr>
          <w:rFonts w:ascii="Arial" w:cs="Arial" w:eastAsia="Arial" w:hAnsi="Arial"/>
          <w:sz w:val="12"/>
          <w:szCs w:val="12"/>
          <w:color w:val="auto"/>
        </w:rPr>
        <w:t>is the world’s leading geophysical services company, providing comprehensive worldwide reservoir imaging, monitoring and development services. WesternGeco offers the industry’s most extensive multiclient</w:t>
      </w:r>
      <w:r>
        <w:rPr>
          <w:rFonts w:ascii="Arial" w:cs="Arial" w:eastAsia="Arial" w:hAnsi="Arial"/>
          <w:sz w:val="12"/>
          <w:szCs w:val="12"/>
          <w:i w:val="1"/>
          <w:iCs w:val="1"/>
          <w:color w:val="auto"/>
        </w:rPr>
        <w:t xml:space="preserve"> </w:t>
      </w:r>
      <w:r>
        <w:rPr>
          <w:rFonts w:ascii="Arial" w:cs="Arial" w:eastAsia="Arial" w:hAnsi="Arial"/>
          <w:sz w:val="12"/>
          <w:szCs w:val="12"/>
          <w:color w:val="auto"/>
        </w:rPr>
        <w:t>data library.</w:t>
      </w:r>
    </w:p>
    <w:p>
      <w:pPr>
        <w:spacing w:after="0" w:line="34" w:lineRule="exact"/>
        <w:rPr>
          <w:sz w:val="20"/>
          <w:szCs w:val="20"/>
          <w:color w:val="auto"/>
        </w:rPr>
      </w:pPr>
    </w:p>
    <w:p>
      <w:pPr>
        <w:ind w:left="780" w:right="120" w:hanging="33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 xml:space="preserve">Wireline </w:t>
      </w:r>
      <w:r>
        <w:rPr>
          <w:rFonts w:ascii="Arial" w:cs="Arial" w:eastAsia="Arial" w:hAnsi="Arial"/>
          <w:sz w:val="12"/>
          <w:szCs w:val="12"/>
          <w:color w:val="auto"/>
        </w:rPr>
        <w:t>provides the information necessary to evaluate subsurface formation rocks and fluids to plan and monitor well construction, and to monitor and evaluate well production. Wireline offers both open hole and cased hole</w:t>
      </w:r>
      <w:r>
        <w:rPr>
          <w:rFonts w:ascii="Arial" w:cs="Arial" w:eastAsia="Arial" w:hAnsi="Arial"/>
          <w:sz w:val="12"/>
          <w:szCs w:val="12"/>
          <w:i w:val="1"/>
          <w:iCs w:val="1"/>
          <w:color w:val="auto"/>
        </w:rPr>
        <w:t xml:space="preserve"> </w:t>
      </w:r>
      <w:r>
        <w:rPr>
          <w:rFonts w:ascii="Arial" w:cs="Arial" w:eastAsia="Arial" w:hAnsi="Arial"/>
          <w:sz w:val="12"/>
          <w:szCs w:val="12"/>
          <w:color w:val="auto"/>
        </w:rPr>
        <w:t>services including wireline perforating.</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i w:val="1"/>
          <w:iCs w:val="1"/>
          <w:color w:val="auto"/>
        </w:rPr>
        <w:t xml:space="preserve">Testing </w:t>
      </w:r>
      <w:r>
        <w:rPr>
          <w:rFonts w:ascii="Arial" w:cs="Arial" w:eastAsia="Arial" w:hAnsi="Arial"/>
          <w:sz w:val="9"/>
          <w:szCs w:val="9"/>
          <w:color w:val="auto"/>
        </w:rPr>
        <w:t>Services provides exploration and production pressure and flow-rate measurement services both at the surface and downhole. The Technology also provides tubing-conveyed perforating services.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i w:val="1"/>
          <w:iCs w:val="1"/>
          <w:color w:val="auto"/>
        </w:rPr>
        <w:t xml:space="preserve">Schlumberger Information Solutions </w:t>
      </w:r>
      <w:r>
        <w:rPr>
          <w:rFonts w:ascii="Arial" w:cs="Arial" w:eastAsia="Arial" w:hAnsi="Arial"/>
          <w:sz w:val="9"/>
          <w:szCs w:val="9"/>
          <w:color w:val="auto"/>
        </w:rPr>
        <w:t>provides software, consulting, information management and IT infrastructure services that support core oil and gas industry operational processes.</w:t>
      </w:r>
    </w:p>
    <w:p>
      <w:pPr>
        <w:spacing w:after="0" w:line="60" w:lineRule="exact"/>
        <w:rPr>
          <w:sz w:val="20"/>
          <w:szCs w:val="20"/>
          <w:color w:val="auto"/>
        </w:rPr>
      </w:pPr>
    </w:p>
    <w:p>
      <w:pPr>
        <w:ind w:left="780" w:right="200" w:hanging="33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 xml:space="preserve">Data &amp; Consulting Services </w:t>
      </w:r>
      <w:r>
        <w:rPr>
          <w:rFonts w:ascii="Arial" w:cs="Arial" w:eastAsia="Arial" w:hAnsi="Arial"/>
          <w:sz w:val="12"/>
          <w:szCs w:val="12"/>
          <w:color w:val="auto"/>
        </w:rPr>
        <w:t>supplies interpretation and integration of all exploration and production data types, as well as expert consulting services for reservoir characterization, production enhancement, field development</w:t>
      </w:r>
      <w:r>
        <w:rPr>
          <w:rFonts w:ascii="Arial" w:cs="Arial" w:eastAsia="Arial" w:hAnsi="Arial"/>
          <w:sz w:val="12"/>
          <w:szCs w:val="12"/>
          <w:i w:val="1"/>
          <w:iCs w:val="1"/>
          <w:color w:val="auto"/>
        </w:rPr>
        <w:t xml:space="preserve"> </w:t>
      </w:r>
      <w:r>
        <w:rPr>
          <w:rFonts w:ascii="Arial" w:cs="Arial" w:eastAsia="Arial" w:hAnsi="Arial"/>
          <w:sz w:val="12"/>
          <w:szCs w:val="12"/>
          <w:color w:val="auto"/>
        </w:rPr>
        <w:t>planning and multi-disciplinary reservoir and production solutions. Data and Consulting Services also provides industry petrotechnical training solutions.</w:t>
      </w:r>
    </w:p>
    <w:p>
      <w:pPr>
        <w:spacing w:after="0" w:line="34" w:lineRule="exact"/>
        <w:rPr>
          <w:sz w:val="20"/>
          <w:szCs w:val="20"/>
          <w:color w:val="auto"/>
        </w:rPr>
      </w:pPr>
    </w:p>
    <w:p>
      <w:pPr>
        <w:jc w:val="center"/>
        <w:ind w:right="240"/>
        <w:spacing w:after="0"/>
        <w:rPr>
          <w:sz w:val="20"/>
          <w:szCs w:val="20"/>
          <w:color w:val="auto"/>
        </w:rPr>
      </w:pPr>
      <w:r>
        <w:rPr>
          <w:rFonts w:ascii="Arial" w:cs="Arial" w:eastAsia="Arial" w:hAnsi="Arial"/>
          <w:sz w:val="9"/>
          <w:szCs w:val="9"/>
          <w:b w:val="1"/>
          <w:bCs w:val="1"/>
          <w:i w:val="1"/>
          <w:iCs w:val="1"/>
          <w:color w:val="auto"/>
        </w:rPr>
        <w:t xml:space="preserve">Drilling Group </w:t>
      </w:r>
      <w:r>
        <w:rPr>
          <w:rFonts w:ascii="Arial" w:cs="Arial" w:eastAsia="Arial" w:hAnsi="Arial"/>
          <w:sz w:val="9"/>
          <w:szCs w:val="9"/>
          <w:color w:val="auto"/>
        </w:rPr>
        <w:t>– Consists of the principal Technologies involved in the drilling and positioning of oil and gas wells and comprises Bits &amp; Advanced Technologies, M-I SWACO, Geoservices, Drilling &amp; Measurements, PathFinder, Drilling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3</w:t>
      </w:r>
    </w:p>
    <w:p>
      <w:pPr>
        <w:sectPr>
          <w:pgSz w:w="11900" w:h="16838" w:orient="portrait"/>
          <w:cols w:equalWidth="0" w:num="1">
            <w:col w:w="11440"/>
          </w:cols>
          <w:pgMar w:left="220" w:top="354" w:right="239" w:bottom="1440" w:gutter="0" w:footer="0" w:header="0"/>
        </w:sectPr>
      </w:pPr>
    </w:p>
    <w:bookmarkStart w:id="3" w:name="page4"/>
    <w:bookmarkEnd w:id="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Tools &amp; Remedial, Dynamic Pressure Management and Integrated Project Management well construction projects.</w:t>
      </w:r>
    </w:p>
    <w:p>
      <w:pPr>
        <w:spacing w:after="0" w:line="60" w:lineRule="exact"/>
        <w:rPr>
          <w:sz w:val="20"/>
          <w:szCs w:val="20"/>
          <w:color w:val="auto"/>
        </w:rPr>
      </w:pPr>
    </w:p>
    <w:p>
      <w:pPr>
        <w:ind w:left="780" w:right="140" w:hanging="333"/>
        <w:spacing w:after="0" w:line="396" w:lineRule="auto"/>
        <w:rPr>
          <w:sz w:val="20"/>
          <w:szCs w:val="20"/>
          <w:color w:val="auto"/>
        </w:rPr>
      </w:pPr>
      <w:r>
        <w:rPr>
          <w:rFonts w:ascii="Arial" w:cs="Arial" w:eastAsia="Arial" w:hAnsi="Arial"/>
          <w:sz w:val="12"/>
          <w:szCs w:val="12"/>
          <w:color w:val="auto"/>
        </w:rPr>
        <w:t>—</w:t>
      </w:r>
      <w:r>
        <w:rPr>
          <w:rFonts w:ascii="Arial" w:cs="Arial" w:eastAsia="Arial" w:hAnsi="Arial"/>
          <w:sz w:val="9"/>
          <w:szCs w:val="9"/>
          <w:i w:val="1"/>
          <w:iCs w:val="1"/>
          <w:color w:val="auto"/>
        </w:rPr>
        <w:t xml:space="preserve">Bits &amp; Advanced Technologies designs, </w:t>
      </w:r>
      <w:r>
        <w:rPr>
          <w:rFonts w:ascii="Arial" w:cs="Arial" w:eastAsia="Arial" w:hAnsi="Arial"/>
          <w:sz w:val="9"/>
          <w:szCs w:val="9"/>
          <w:color w:val="auto"/>
        </w:rPr>
        <w:t>manufactures and markets roller cone and fixed cutter drill bits for all environments. The drill bits include designs for premium market segments where faster penetration rates and</w:t>
      </w:r>
      <w:r>
        <w:rPr>
          <w:rFonts w:ascii="Arial" w:cs="Arial" w:eastAsia="Arial" w:hAnsi="Arial"/>
          <w:sz w:val="9"/>
          <w:szCs w:val="9"/>
          <w:i w:val="1"/>
          <w:iCs w:val="1"/>
          <w:color w:val="auto"/>
        </w:rPr>
        <w:t xml:space="preserve"> </w:t>
      </w:r>
      <w:r>
        <w:rPr>
          <w:rFonts w:ascii="Arial" w:cs="Arial" w:eastAsia="Arial" w:hAnsi="Arial"/>
          <w:sz w:val="9"/>
          <w:szCs w:val="9"/>
          <w:color w:val="auto"/>
        </w:rPr>
        <w:t>increased footage provide significant economic benefits in lowering overall well costs. The technologies leverage proprietary modeling and simulation software for the design of application-specific bits and cutting structures.</w:t>
      </w:r>
    </w:p>
    <w:p>
      <w:pPr>
        <w:ind w:left="780" w:right="40" w:hanging="333"/>
        <w:spacing w:after="0" w:line="396" w:lineRule="auto"/>
        <w:rPr>
          <w:sz w:val="20"/>
          <w:szCs w:val="20"/>
          <w:color w:val="auto"/>
        </w:rPr>
      </w:pPr>
      <w:r>
        <w:rPr>
          <w:rFonts w:ascii="Arial" w:cs="Arial" w:eastAsia="Arial" w:hAnsi="Arial"/>
          <w:sz w:val="12"/>
          <w:szCs w:val="12"/>
          <w:color w:val="auto"/>
        </w:rPr>
        <w:t>—</w:t>
      </w:r>
      <w:r>
        <w:rPr>
          <w:rFonts w:ascii="Arial" w:cs="Arial" w:eastAsia="Arial" w:hAnsi="Arial"/>
          <w:sz w:val="9"/>
          <w:szCs w:val="9"/>
          <w:i w:val="1"/>
          <w:iCs w:val="1"/>
          <w:color w:val="auto"/>
        </w:rPr>
        <w:t xml:space="preserve">M-I SWACO </w:t>
      </w:r>
      <w:r>
        <w:rPr>
          <w:rFonts w:ascii="Arial" w:cs="Arial" w:eastAsia="Arial" w:hAnsi="Arial"/>
          <w:sz w:val="9"/>
          <w:szCs w:val="9"/>
          <w:color w:val="auto"/>
        </w:rPr>
        <w:t>is the leading supplier of drilling fluid systems engineered to improve drilling performance by anticipating fluids-related problems, fluid systems and specialty equipment designed to optimize wellbore productivity</w:t>
      </w:r>
      <w:r>
        <w:rPr>
          <w:rFonts w:ascii="Arial" w:cs="Arial" w:eastAsia="Arial" w:hAnsi="Arial"/>
          <w:sz w:val="9"/>
          <w:szCs w:val="9"/>
          <w:i w:val="1"/>
          <w:iCs w:val="1"/>
          <w:color w:val="auto"/>
        </w:rPr>
        <w:t xml:space="preserve"> </w:t>
      </w:r>
      <w:r>
        <w:rPr>
          <w:rFonts w:ascii="Arial" w:cs="Arial" w:eastAsia="Arial" w:hAnsi="Arial"/>
          <w:sz w:val="9"/>
          <w:szCs w:val="9"/>
          <w:color w:val="auto"/>
        </w:rPr>
        <w:t>and production technology solutions formulated to maximize production rates. The Technology also includes environmental solutions that safely manage waste volumes generated in both drilling and production operations.</w:t>
      </w: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i w:val="1"/>
          <w:iCs w:val="1"/>
          <w:color w:val="auto"/>
        </w:rPr>
        <w:t xml:space="preserve">Geoservices </w:t>
      </w:r>
      <w:r>
        <w:rPr>
          <w:rFonts w:ascii="Arial" w:cs="Arial" w:eastAsia="Arial" w:hAnsi="Arial"/>
          <w:sz w:val="9"/>
          <w:szCs w:val="9"/>
          <w:color w:val="auto"/>
        </w:rPr>
        <w:t>supplies mud logging services for geological and drilling surveillance.</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i w:val="1"/>
          <w:iCs w:val="1"/>
          <w:color w:val="auto"/>
        </w:rPr>
        <w:t xml:space="preserve">Drilling &amp; Measurements </w:t>
      </w:r>
      <w:r>
        <w:rPr>
          <w:rFonts w:ascii="Arial" w:cs="Arial" w:eastAsia="Arial" w:hAnsi="Arial"/>
          <w:sz w:val="9"/>
          <w:szCs w:val="9"/>
          <w:color w:val="auto"/>
        </w:rPr>
        <w:t>and</w:t>
      </w:r>
      <w:r>
        <w:rPr>
          <w:rFonts w:ascii="Arial" w:cs="Arial" w:eastAsia="Arial" w:hAnsi="Arial"/>
          <w:sz w:val="9"/>
          <w:szCs w:val="9"/>
          <w:i w:val="1"/>
          <w:iCs w:val="1"/>
          <w:color w:val="auto"/>
        </w:rPr>
        <w:t xml:space="preserve"> PathFinder </w:t>
      </w:r>
      <w:r>
        <w:rPr>
          <w:rFonts w:ascii="Arial" w:cs="Arial" w:eastAsia="Arial" w:hAnsi="Arial"/>
          <w:sz w:val="9"/>
          <w:szCs w:val="9"/>
          <w:color w:val="auto"/>
        </w:rPr>
        <w:t>supply engineering support, directional-drilling, measurement-while-drilling and logging-while-drilling services for all well profiles.</w:t>
      </w:r>
    </w:p>
    <w:p>
      <w:pPr>
        <w:spacing w:after="0" w:line="60" w:lineRule="exact"/>
        <w:rPr>
          <w:sz w:val="20"/>
          <w:szCs w:val="20"/>
          <w:color w:val="auto"/>
        </w:rPr>
      </w:pPr>
    </w:p>
    <w:p>
      <w:pPr>
        <w:ind w:left="780" w:right="120" w:hanging="33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 xml:space="preserve">Drilling Tools &amp; Remedial </w:t>
      </w:r>
      <w:r>
        <w:rPr>
          <w:rFonts w:ascii="Arial" w:cs="Arial" w:eastAsia="Arial" w:hAnsi="Arial"/>
          <w:sz w:val="12"/>
          <w:szCs w:val="12"/>
          <w:color w:val="auto"/>
        </w:rPr>
        <w:t>provides a wide variety of bottom hole assembly drilling tools, borehole enlargement technologies and impact tools, as well as a comprehensive collection of tubulars and tubular services for oil and</w:t>
      </w:r>
      <w:r>
        <w:rPr>
          <w:rFonts w:ascii="Arial" w:cs="Arial" w:eastAsia="Arial" w:hAnsi="Arial"/>
          <w:sz w:val="12"/>
          <w:szCs w:val="12"/>
          <w:i w:val="1"/>
          <w:iCs w:val="1"/>
          <w:color w:val="auto"/>
        </w:rPr>
        <w:t xml:space="preserve"> </w:t>
      </w:r>
      <w:r>
        <w:rPr>
          <w:rFonts w:ascii="Arial" w:cs="Arial" w:eastAsia="Arial" w:hAnsi="Arial"/>
          <w:sz w:val="12"/>
          <w:szCs w:val="12"/>
          <w:color w:val="auto"/>
        </w:rPr>
        <w:t>gas drilling operations.</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i w:val="1"/>
          <w:iCs w:val="1"/>
          <w:color w:val="auto"/>
        </w:rPr>
        <w:t xml:space="preserve">Dynamic Pressure Management </w:t>
      </w:r>
      <w:r>
        <w:rPr>
          <w:rFonts w:ascii="Arial" w:cs="Arial" w:eastAsia="Arial" w:hAnsi="Arial"/>
          <w:sz w:val="9"/>
          <w:szCs w:val="9"/>
          <w:color w:val="auto"/>
        </w:rPr>
        <w:t>consolidates managed pressure drilling and underbalanced drilling into a single provider of engineered solutions for pressure drilling services.</w:t>
      </w:r>
    </w:p>
    <w:p>
      <w:pPr>
        <w:spacing w:after="0" w:line="60"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b w:val="1"/>
          <w:bCs w:val="1"/>
          <w:i w:val="1"/>
          <w:iCs w:val="1"/>
          <w:color w:val="auto"/>
        </w:rPr>
        <w:t xml:space="preserve">Reservoir Production Group </w:t>
      </w:r>
      <w:r>
        <w:rPr>
          <w:rFonts w:ascii="Arial" w:cs="Arial" w:eastAsia="Arial" w:hAnsi="Arial"/>
          <w:sz w:val="12"/>
          <w:szCs w:val="12"/>
          <w:color w:val="auto"/>
        </w:rPr>
        <w:t>– Consists of the principal Technologies involved in the lifetime production of oil and gas reservoirs and includes Well Services, Completions, Artificial Lift and Well Intervention, Subsea, Water Services, Carbon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Services and Schlumberger Production Management field production projects.</w:t>
      </w:r>
    </w:p>
    <w:p>
      <w:pPr>
        <w:spacing w:after="0" w:line="34" w:lineRule="exact"/>
        <w:rPr>
          <w:sz w:val="20"/>
          <w:szCs w:val="20"/>
          <w:color w:val="auto"/>
        </w:rPr>
      </w:pPr>
    </w:p>
    <w:p>
      <w:pPr>
        <w:ind w:left="780" w:right="20" w:hanging="33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 xml:space="preserve">Well Services </w:t>
      </w:r>
      <w:r>
        <w:rPr>
          <w:rFonts w:ascii="Arial" w:cs="Arial" w:eastAsia="Arial" w:hAnsi="Arial"/>
          <w:sz w:val="12"/>
          <w:szCs w:val="12"/>
          <w:color w:val="auto"/>
        </w:rPr>
        <w:t>provides services used during oil and gas well drilling and completion as well as those used to maintain optimal production throughout the life of a well. The services include pressure pumping, well cementing and</w:t>
      </w:r>
      <w:r>
        <w:rPr>
          <w:rFonts w:ascii="Arial" w:cs="Arial" w:eastAsia="Arial" w:hAnsi="Arial"/>
          <w:sz w:val="12"/>
          <w:szCs w:val="12"/>
          <w:i w:val="1"/>
          <w:iCs w:val="1"/>
          <w:color w:val="auto"/>
        </w:rPr>
        <w:t xml:space="preserve"> </w:t>
      </w:r>
      <w:r>
        <w:rPr>
          <w:rFonts w:ascii="Arial" w:cs="Arial" w:eastAsia="Arial" w:hAnsi="Arial"/>
          <w:sz w:val="12"/>
          <w:szCs w:val="12"/>
          <w:color w:val="auto"/>
        </w:rPr>
        <w:t>stimulation operations as well as intervention activities.</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i w:val="1"/>
          <w:iCs w:val="1"/>
          <w:color w:val="auto"/>
        </w:rPr>
        <w:t xml:space="preserve">Completions </w:t>
      </w:r>
      <w:r>
        <w:rPr>
          <w:rFonts w:ascii="Arial" w:cs="Arial" w:eastAsia="Arial" w:hAnsi="Arial"/>
          <w:sz w:val="9"/>
          <w:szCs w:val="9"/>
          <w:color w:val="auto"/>
        </w:rPr>
        <w:t>supplies well completion services and equipment that include packers, safety valves, sand control technology as well as a range of intelligent well completions technology and equipment.</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i w:val="1"/>
          <w:iCs w:val="1"/>
          <w:color w:val="auto"/>
        </w:rPr>
        <w:t xml:space="preserve">Artificial Lift </w:t>
      </w:r>
      <w:r>
        <w:rPr>
          <w:rFonts w:ascii="Arial" w:cs="Arial" w:eastAsia="Arial" w:hAnsi="Arial"/>
          <w:sz w:val="9"/>
          <w:szCs w:val="9"/>
          <w:color w:val="auto"/>
        </w:rPr>
        <w:t>provides production equipment and optimization services using electrical submersible pumps and gas lift equipment, as well as surface horizontal pumping systems.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i w:val="1"/>
          <w:iCs w:val="1"/>
          <w:color w:val="auto"/>
        </w:rPr>
        <w:t xml:space="preserve">Well Intervention </w:t>
      </w:r>
      <w:r>
        <w:rPr>
          <w:rFonts w:ascii="Arial" w:cs="Arial" w:eastAsia="Arial" w:hAnsi="Arial"/>
          <w:sz w:val="9"/>
          <w:szCs w:val="9"/>
          <w:color w:val="auto"/>
        </w:rPr>
        <w:t>develops coiled tubing equipment and services and provides slickline services for downhole mechanical well intervention, reservoir monitoring and downhole data acquisition.</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i w:val="1"/>
          <w:iCs w:val="1"/>
          <w:color w:val="auto"/>
        </w:rPr>
        <w:t xml:space="preserve">Subsea </w:t>
      </w:r>
      <w:r>
        <w:rPr>
          <w:rFonts w:ascii="Arial" w:cs="Arial" w:eastAsia="Arial" w:hAnsi="Arial"/>
          <w:sz w:val="9"/>
          <w:szCs w:val="9"/>
          <w:color w:val="auto"/>
        </w:rPr>
        <w:t>offers solutions that are designed to improve reservoir recovery, optimize production and maximize production uptime of subsea assets.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i w:val="1"/>
          <w:iCs w:val="1"/>
          <w:color w:val="auto"/>
        </w:rPr>
        <w:t xml:space="preserve">Water Services </w:t>
      </w:r>
      <w:r>
        <w:rPr>
          <w:rFonts w:ascii="Arial" w:cs="Arial" w:eastAsia="Arial" w:hAnsi="Arial"/>
          <w:sz w:val="9"/>
          <w:szCs w:val="9"/>
          <w:color w:val="auto"/>
        </w:rPr>
        <w:t>specializes in the development, management and environmental protection of water resources.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i w:val="1"/>
          <w:iCs w:val="1"/>
          <w:color w:val="auto"/>
        </w:rPr>
        <w:t xml:space="preserve">Carbon Services </w:t>
      </w:r>
      <w:r>
        <w:rPr>
          <w:rFonts w:ascii="Arial" w:cs="Arial" w:eastAsia="Arial" w:hAnsi="Arial"/>
          <w:sz w:val="9"/>
          <w:szCs w:val="9"/>
          <w:color w:val="auto"/>
        </w:rPr>
        <w:t>provides comprehensive geological storage solutions including storage site characterization for carbon dioxide.</w:t>
      </w:r>
    </w:p>
    <w:p>
      <w:pPr>
        <w:spacing w:after="0" w:line="60"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1"/>
          <w:szCs w:val="11"/>
          <w:color w:val="auto"/>
        </w:rPr>
        <w:t>Schlumberger Oilfield Services also offers customers its services through business models known as Integrated Project Management (for well construction projects) and Schlumberger Production Management (for field production projects). These models combine the required services and products of the Technologies with both drilling rig management expertise and project management skills to provide a complete solution to well construction and production improvement. Projects are typically of multi-year duration and include start-up costs and significant third-party components which cover services that Schlumberger does not provide directly. Projects may be fixed price in nature, contain penalties for non-performance and may also offer opportunities for bonus payments where performance exceeds agreed targets. Integrated Project Management and Schlumberger Production Management also</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9"/>
          <w:szCs w:val="9"/>
          <w:color w:val="auto"/>
        </w:rPr>
        <w:t>4</w:t>
      </w:r>
    </w:p>
    <w:p>
      <w:pPr>
        <w:sectPr>
          <w:pgSz w:w="11900" w:h="16838" w:orient="portrait"/>
          <w:cols w:equalWidth="0" w:num="1">
            <w:col w:w="11440"/>
          </w:cols>
          <w:pgMar w:left="220" w:top="354" w:right="239" w:bottom="1440" w:gutter="0" w:footer="0" w:header="0"/>
        </w:sectPr>
      </w:pPr>
    </w:p>
    <w:bookmarkStart w:id="4" w:name="page5"/>
    <w:bookmarkEnd w:id="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00"/>
        <w:spacing w:after="0" w:line="254" w:lineRule="auto"/>
        <w:rPr>
          <w:sz w:val="20"/>
          <w:szCs w:val="20"/>
          <w:color w:val="auto"/>
        </w:rPr>
      </w:pPr>
      <w:r>
        <w:rPr>
          <w:rFonts w:ascii="Arial" w:cs="Arial" w:eastAsia="Arial" w:hAnsi="Arial"/>
          <w:sz w:val="12"/>
          <w:szCs w:val="12"/>
          <w:color w:val="auto"/>
        </w:rPr>
        <w:t>provide specialized engineering and project management expertise when Schlumberger is requested to include these capabilities with services and products across the Technologies in a single contract. In no circumstances does Schlumberger take any stake in the ownership of oil or gas reserves.</w:t>
      </w:r>
    </w:p>
    <w:p>
      <w:pPr>
        <w:ind w:firstLine="230"/>
        <w:spacing w:after="0" w:line="250" w:lineRule="auto"/>
        <w:rPr>
          <w:sz w:val="20"/>
          <w:szCs w:val="20"/>
          <w:color w:val="auto"/>
        </w:rPr>
      </w:pPr>
      <w:r>
        <w:rPr>
          <w:rFonts w:ascii="Arial" w:cs="Arial" w:eastAsia="Arial" w:hAnsi="Arial"/>
          <w:sz w:val="12"/>
          <w:szCs w:val="12"/>
          <w:color w:val="auto"/>
        </w:rPr>
        <w:t>Also included in Schlumberger Oilfield Services is Schlumberger Business Consulting, which helps oil and gas companies achieve fast and sustainable performance improvements. Schlumberger Business Consulting includes IndigoPool, an independent business that provides divestiture advisory and marketing services to the international oil and gas community.</w:t>
      </w:r>
    </w:p>
    <w:p>
      <w:pPr>
        <w:spacing w:after="0" w:line="1" w:lineRule="exact"/>
        <w:rPr>
          <w:sz w:val="20"/>
          <w:szCs w:val="20"/>
          <w:color w:val="auto"/>
        </w:rPr>
      </w:pPr>
    </w:p>
    <w:p>
      <w:pPr>
        <w:ind w:right="180" w:firstLine="230"/>
        <w:spacing w:after="0" w:line="250" w:lineRule="auto"/>
        <w:rPr>
          <w:sz w:val="20"/>
          <w:szCs w:val="20"/>
          <w:color w:val="auto"/>
        </w:rPr>
      </w:pPr>
      <w:r>
        <w:rPr>
          <w:rFonts w:ascii="Arial" w:cs="Arial" w:eastAsia="Arial" w:hAnsi="Arial"/>
          <w:sz w:val="12"/>
          <w:szCs w:val="12"/>
          <w:color w:val="auto"/>
        </w:rPr>
        <w:t>Supporting the Technologies is a global network of research and engineering centers. Through this organization, Schlumberger is committed to advanced technology programs that enhance oilfield efficiency, lower finding and producing costs, improve productivity, maximize reserve recovery and increase asset value while accomplishing these goals in a safe and environmentally sound manner.</w:t>
      </w:r>
    </w:p>
    <w:p>
      <w:pPr>
        <w:spacing w:after="0" w:line="1" w:lineRule="exact"/>
        <w:rPr>
          <w:sz w:val="20"/>
          <w:szCs w:val="20"/>
          <w:color w:val="auto"/>
        </w:rPr>
      </w:pPr>
    </w:p>
    <w:p>
      <w:pPr>
        <w:ind w:firstLine="230"/>
        <w:spacing w:after="0" w:line="253" w:lineRule="auto"/>
        <w:rPr>
          <w:sz w:val="20"/>
          <w:szCs w:val="20"/>
          <w:color w:val="auto"/>
        </w:rPr>
      </w:pPr>
      <w:r>
        <w:rPr>
          <w:rFonts w:ascii="Arial" w:cs="Arial" w:eastAsia="Arial" w:hAnsi="Arial"/>
          <w:sz w:val="12"/>
          <w:szCs w:val="12"/>
          <w:color w:val="auto"/>
        </w:rPr>
        <w:t>Schlumberger Oilfield Services primarily uses its own personnel to market its offerings. The customer base, business risks and opportunities for growth are essentially uniform across all services. There is a sharing of manufacturing and engineering facilities as well as research centers, and the labor force is interchangeable. Technological innovation, quality of service and price differentiation are the principal methods of competition, which varies geographically with respect to the different services offered. While there are numerous competitors, both large and small, Schlumberger believes that it is an industry leader in providing wireline logging, well testing, drilling and completion fluids, coiled tubing, measurement-while-drilling, logging-while-drilling and directional-drilling services, mud logging, as well as fully computerized logging and geoscience software and computing services. A large proportion of Schlumberger offerings is non-rig related; consequently, revenue does not necessarily correlate to rig count fluctuations.</w:t>
      </w:r>
    </w:p>
    <w:p>
      <w:pPr>
        <w:spacing w:after="0" w:line="41"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b w:val="1"/>
          <w:bCs w:val="1"/>
          <w:color w:val="auto"/>
        </w:rPr>
        <w:t xml:space="preserve">Distribution </w:t>
      </w:r>
      <w:r>
        <w:rPr>
          <w:rFonts w:ascii="Arial" w:cs="Arial" w:eastAsia="Arial" w:hAnsi="Arial"/>
          <w:sz w:val="12"/>
          <w:szCs w:val="12"/>
          <w:color w:val="auto"/>
        </w:rPr>
        <w:t>is an industry leading provider of pipes, valves and valve automation, fittings, mill and tool supplies, safety products and artificial lift systems to the energy and industrial markets. Additionally, Distribution provides warehouse</w:t>
      </w:r>
      <w:r>
        <w:rPr>
          <w:rFonts w:ascii="Arial" w:cs="Arial" w:eastAsia="Arial" w:hAnsi="Arial"/>
          <w:sz w:val="12"/>
          <w:szCs w:val="12"/>
          <w:b w:val="1"/>
          <w:bCs w:val="1"/>
          <w:color w:val="auto"/>
        </w:rPr>
        <w:t xml:space="preserve"> </w:t>
      </w:r>
      <w:r>
        <w:rPr>
          <w:rFonts w:ascii="Arial" w:cs="Arial" w:eastAsia="Arial" w:hAnsi="Arial"/>
          <w:sz w:val="12"/>
          <w:szCs w:val="12"/>
          <w:color w:val="auto"/>
        </w:rPr>
        <w:t>management, vendor integration and various inventory management services. The segment comprises the operations of Wilson International, Inc., a wholly-owned subsidiary, and a majority owned interest in C.E. Franklin Ltd., a publicly traded Canadian distribution company.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xml:space="preserve">Information about acquisitions made by Schlumberger appears in Note 4 of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Patents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While Schlumberger seeks and holds numerous patents covering various products and processes, no particular patent or group of patents is considered material to Schlumberger’s business.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Seasonality</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1"/>
          <w:szCs w:val="11"/>
          <w:color w:val="auto"/>
        </w:rPr>
        <w:t>Although weather and natural phenomena can temporarily affect delivery of oilfield services, the widespread geographic location of such services precludes the overall business from being characterized as seasonal.</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Customers and Backlog of Orders</w:t>
      </w:r>
    </w:p>
    <w:p>
      <w:pPr>
        <w:spacing w:after="0" w:line="60" w:lineRule="exact"/>
        <w:rPr>
          <w:sz w:val="20"/>
          <w:szCs w:val="20"/>
          <w:color w:val="auto"/>
        </w:rPr>
      </w:pPr>
    </w:p>
    <w:p>
      <w:pPr>
        <w:ind w:right="60" w:firstLine="230"/>
        <w:spacing w:after="0" w:line="268" w:lineRule="auto"/>
        <w:rPr>
          <w:sz w:val="20"/>
          <w:szCs w:val="20"/>
          <w:color w:val="auto"/>
        </w:rPr>
      </w:pPr>
      <w:r>
        <w:rPr>
          <w:rFonts w:ascii="Arial" w:cs="Arial" w:eastAsia="Arial" w:hAnsi="Arial"/>
          <w:sz w:val="12"/>
          <w:szCs w:val="12"/>
          <w:color w:val="auto"/>
        </w:rPr>
        <w:t>For the year ended December 31, 2011, no single customer exceeded 10% of consolidated revenue. Other than WesternGeco, we have no significant backlog due to the nature of our businesses. The WesternGeco backlog, which is based on signed contracts with customers, was $1.0 billion at December 31, 2011 ($0.9 billion at December 31, 2010).</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Employees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December 31, 2011, Schlumberger had approximately 113,000 employees.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Information</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xml:space="preserve">Financial information by business segment for the years ended December 31, 2011, 2010 and 2009 is provided in Note 17 of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9"/>
          <w:szCs w:val="9"/>
          <w:color w:val="auto"/>
        </w:rPr>
        <w:t>5</w:t>
      </w:r>
    </w:p>
    <w:p>
      <w:pPr>
        <w:sectPr>
          <w:pgSz w:w="11900" w:h="16838" w:orient="portrait"/>
          <w:cols w:equalWidth="0" w:num="1">
            <w:col w:w="11460"/>
          </w:cols>
          <w:pgMar w:left="220" w:top="354" w:right="219"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Executive Officers of Schlumberger</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as of January 31, 2012, the names and ages of the executive officers of Schlumberger, including all offices and positions held by each for at least the past five years.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1980" w:type="dxa"/>
            <w:vAlign w:val="bottom"/>
          </w:tcPr>
          <w:p>
            <w:pPr>
              <w:spacing w:after="0"/>
              <w:rPr>
                <w:sz w:val="20"/>
                <w:szCs w:val="20"/>
                <w:color w:val="auto"/>
              </w:rPr>
            </w:pPr>
            <w:r>
              <w:rPr>
                <w:rFonts w:ascii="Arial" w:cs="Arial" w:eastAsia="Arial" w:hAnsi="Arial"/>
                <w:sz w:val="9"/>
                <w:szCs w:val="9"/>
                <w:b w:val="1"/>
                <w:bCs w:val="1"/>
                <w:color w:val="auto"/>
              </w:rPr>
              <w:t>Name</w:t>
            </w:r>
          </w:p>
        </w:tc>
        <w:tc>
          <w:tcPr>
            <w:tcW w:w="1260" w:type="dxa"/>
            <w:vAlign w:val="bottom"/>
          </w:tcPr>
          <w:p>
            <w:pPr>
              <w:jc w:val="right"/>
              <w:ind w:right="142"/>
              <w:spacing w:after="0"/>
              <w:rPr>
                <w:sz w:val="20"/>
                <w:szCs w:val="20"/>
                <w:color w:val="auto"/>
              </w:rPr>
            </w:pPr>
            <w:r>
              <w:rPr>
                <w:rFonts w:ascii="Arial" w:cs="Arial" w:eastAsia="Arial" w:hAnsi="Arial"/>
                <w:sz w:val="9"/>
                <w:szCs w:val="9"/>
                <w:b w:val="1"/>
                <w:bCs w:val="1"/>
                <w:color w:val="auto"/>
              </w:rPr>
              <w:t>Age</w:t>
            </w:r>
          </w:p>
        </w:tc>
        <w:tc>
          <w:tcPr>
            <w:tcW w:w="8240" w:type="dxa"/>
            <w:vAlign w:val="bottom"/>
          </w:tcPr>
          <w:p>
            <w:pPr>
              <w:ind w:left="220"/>
              <w:spacing w:after="0"/>
              <w:rPr>
                <w:sz w:val="20"/>
                <w:szCs w:val="20"/>
                <w:color w:val="auto"/>
              </w:rPr>
            </w:pPr>
            <w:r>
              <w:rPr>
                <w:rFonts w:ascii="Arial" w:cs="Arial" w:eastAsia="Arial" w:hAnsi="Arial"/>
                <w:sz w:val="9"/>
                <w:szCs w:val="9"/>
                <w:b w:val="1"/>
                <w:bCs w:val="1"/>
                <w:color w:val="auto"/>
              </w:rPr>
              <w:t>Current Position and Five-Year Business Experience</w:t>
            </w:r>
          </w:p>
        </w:tc>
      </w:tr>
      <w:tr>
        <w:trPr>
          <w:trHeight w:val="100"/>
        </w:trPr>
        <w:tc>
          <w:tcPr>
            <w:tcW w:w="19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8240" w:type="dxa"/>
            <w:vAlign w:val="bottom"/>
            <w:tcBorders>
              <w:bottom w:val="single" w:sz="8" w:color="auto"/>
            </w:tcBorders>
          </w:tcPr>
          <w:p>
            <w:pPr>
              <w:spacing w:after="0"/>
              <w:rPr>
                <w:sz w:val="8"/>
                <w:szCs w:val="8"/>
                <w:color w:val="auto"/>
              </w:rPr>
            </w:pPr>
          </w:p>
        </w:tc>
      </w:tr>
      <w:tr>
        <w:trPr>
          <w:trHeight w:val="194"/>
        </w:trPr>
        <w:tc>
          <w:tcPr>
            <w:tcW w:w="1980" w:type="dxa"/>
            <w:vAlign w:val="bottom"/>
          </w:tcPr>
          <w:p>
            <w:pPr>
              <w:spacing w:after="0"/>
              <w:rPr>
                <w:sz w:val="20"/>
                <w:szCs w:val="20"/>
                <w:color w:val="auto"/>
              </w:rPr>
            </w:pPr>
            <w:r>
              <w:rPr>
                <w:rFonts w:ascii="Arial" w:cs="Arial" w:eastAsia="Arial" w:hAnsi="Arial"/>
                <w:sz w:val="12"/>
                <w:szCs w:val="12"/>
                <w:color w:val="auto"/>
              </w:rPr>
              <w:t>Andrew Gould</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65</w:t>
            </w:r>
          </w:p>
        </w:tc>
        <w:tc>
          <w:tcPr>
            <w:tcW w:w="8240" w:type="dxa"/>
            <w:vAlign w:val="bottom"/>
          </w:tcPr>
          <w:p>
            <w:pPr>
              <w:ind w:left="220"/>
              <w:spacing w:after="0"/>
              <w:rPr>
                <w:sz w:val="20"/>
                <w:szCs w:val="20"/>
                <w:color w:val="auto"/>
              </w:rPr>
            </w:pPr>
            <w:r>
              <w:rPr>
                <w:rFonts w:ascii="Arial" w:cs="Arial" w:eastAsia="Arial" w:hAnsi="Arial"/>
                <w:sz w:val="12"/>
                <w:szCs w:val="12"/>
                <w:color w:val="auto"/>
              </w:rPr>
              <w:t>Chairman since February 2003; Executive Officer since August 2011; and Chief Executive Officer, February 2003 to July 2011.</w:t>
            </w:r>
          </w:p>
        </w:tc>
      </w:tr>
      <w:tr>
        <w:trPr>
          <w:trHeight w:val="212"/>
        </w:trPr>
        <w:tc>
          <w:tcPr>
            <w:tcW w:w="1980" w:type="dxa"/>
            <w:vAlign w:val="bottom"/>
          </w:tcPr>
          <w:p>
            <w:pPr>
              <w:spacing w:after="0"/>
              <w:rPr>
                <w:sz w:val="20"/>
                <w:szCs w:val="20"/>
                <w:color w:val="auto"/>
              </w:rPr>
            </w:pPr>
            <w:r>
              <w:rPr>
                <w:rFonts w:ascii="Arial" w:cs="Arial" w:eastAsia="Arial" w:hAnsi="Arial"/>
                <w:sz w:val="12"/>
                <w:szCs w:val="12"/>
                <w:color w:val="auto"/>
              </w:rPr>
              <w:t>Paal Kibsgaard</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44</w:t>
            </w:r>
          </w:p>
        </w:tc>
        <w:tc>
          <w:tcPr>
            <w:tcW w:w="8240" w:type="dxa"/>
            <w:vAlign w:val="bottom"/>
          </w:tcPr>
          <w:p>
            <w:pPr>
              <w:ind w:left="220"/>
              <w:spacing w:after="0"/>
              <w:rPr>
                <w:sz w:val="20"/>
                <w:szCs w:val="20"/>
                <w:color w:val="auto"/>
              </w:rPr>
            </w:pPr>
            <w:r>
              <w:rPr>
                <w:rFonts w:ascii="Arial" w:cs="Arial" w:eastAsia="Arial" w:hAnsi="Arial"/>
                <w:sz w:val="12"/>
                <w:szCs w:val="12"/>
                <w:color w:val="auto"/>
                <w:w w:val="89"/>
              </w:rPr>
              <w:t>Chief Executive Officer, since August 2011; Director since April 2011; Chief Operating Officer, February 2010 to July 2011; President Reservoir Characterization Group,</w:t>
            </w:r>
          </w:p>
        </w:tc>
      </w:tr>
      <w:tr>
        <w:trPr>
          <w:trHeight w:val="144"/>
        </w:trPr>
        <w:tc>
          <w:tcPr>
            <w:tcW w:w="1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40" w:type="dxa"/>
            <w:vAlign w:val="bottom"/>
          </w:tcPr>
          <w:p>
            <w:pPr>
              <w:ind w:left="220"/>
              <w:spacing w:after="0"/>
              <w:rPr>
                <w:sz w:val="20"/>
                <w:szCs w:val="20"/>
                <w:color w:val="auto"/>
              </w:rPr>
            </w:pPr>
            <w:r>
              <w:rPr>
                <w:rFonts w:ascii="Arial" w:cs="Arial" w:eastAsia="Arial" w:hAnsi="Arial"/>
                <w:sz w:val="12"/>
                <w:szCs w:val="12"/>
                <w:color w:val="auto"/>
                <w:w w:val="88"/>
              </w:rPr>
              <w:t>May 2009 to February 2010; Vice President Engineering, Manufacturing and Sustaining, November 2007 to May 2009; Vice President Personnel, April 2006 to November</w:t>
            </w:r>
          </w:p>
        </w:tc>
      </w:tr>
      <w:tr>
        <w:trPr>
          <w:trHeight w:val="148"/>
        </w:trPr>
        <w:tc>
          <w:tcPr>
            <w:tcW w:w="1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40" w:type="dxa"/>
            <w:vAlign w:val="bottom"/>
          </w:tcPr>
          <w:p>
            <w:pPr>
              <w:ind w:left="220"/>
              <w:spacing w:after="0"/>
              <w:rPr>
                <w:sz w:val="20"/>
                <w:szCs w:val="20"/>
                <w:color w:val="auto"/>
              </w:rPr>
            </w:pPr>
            <w:r>
              <w:rPr>
                <w:rFonts w:ascii="Arial" w:cs="Arial" w:eastAsia="Arial" w:hAnsi="Arial"/>
                <w:sz w:val="12"/>
                <w:szCs w:val="12"/>
                <w:color w:val="auto"/>
              </w:rPr>
              <w:t>2007; and President, Drilling and Measurements, January 2003 to April 2006.</w:t>
            </w:r>
          </w:p>
        </w:tc>
      </w:tr>
      <w:tr>
        <w:trPr>
          <w:trHeight w:val="212"/>
        </w:trPr>
        <w:tc>
          <w:tcPr>
            <w:tcW w:w="1980" w:type="dxa"/>
            <w:vAlign w:val="bottom"/>
          </w:tcPr>
          <w:p>
            <w:pPr>
              <w:spacing w:after="0"/>
              <w:rPr>
                <w:sz w:val="20"/>
                <w:szCs w:val="20"/>
                <w:color w:val="auto"/>
              </w:rPr>
            </w:pPr>
            <w:r>
              <w:rPr>
                <w:rFonts w:ascii="Arial" w:cs="Arial" w:eastAsia="Arial" w:hAnsi="Arial"/>
                <w:sz w:val="12"/>
                <w:szCs w:val="12"/>
                <w:color w:val="auto"/>
              </w:rPr>
              <w:t>Simon Ayat</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57</w:t>
            </w:r>
          </w:p>
        </w:tc>
        <w:tc>
          <w:tcPr>
            <w:tcW w:w="8240" w:type="dxa"/>
            <w:vAlign w:val="bottom"/>
          </w:tcPr>
          <w:p>
            <w:pPr>
              <w:ind w:left="220"/>
              <w:spacing w:after="0"/>
              <w:rPr>
                <w:sz w:val="20"/>
                <w:szCs w:val="20"/>
                <w:color w:val="auto"/>
              </w:rPr>
            </w:pPr>
            <w:r>
              <w:rPr>
                <w:rFonts w:ascii="Arial" w:cs="Arial" w:eastAsia="Arial" w:hAnsi="Arial"/>
                <w:sz w:val="12"/>
                <w:szCs w:val="12"/>
                <w:color w:val="auto"/>
                <w:w w:val="91"/>
              </w:rPr>
              <w:t>Executive Vice President and Chief Financial Officer, since March 2007; Vice President Treasurer, February 2005 to March 2007; and Vice President, Controller and</w:t>
            </w:r>
          </w:p>
        </w:tc>
      </w:tr>
      <w:tr>
        <w:trPr>
          <w:trHeight w:val="148"/>
        </w:trPr>
        <w:tc>
          <w:tcPr>
            <w:tcW w:w="1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40" w:type="dxa"/>
            <w:vAlign w:val="bottom"/>
          </w:tcPr>
          <w:p>
            <w:pPr>
              <w:ind w:left="220"/>
              <w:spacing w:after="0"/>
              <w:rPr>
                <w:sz w:val="20"/>
                <w:szCs w:val="20"/>
                <w:color w:val="auto"/>
              </w:rPr>
            </w:pPr>
            <w:r>
              <w:rPr>
                <w:rFonts w:ascii="Arial" w:cs="Arial" w:eastAsia="Arial" w:hAnsi="Arial"/>
                <w:sz w:val="12"/>
                <w:szCs w:val="12"/>
                <w:color w:val="auto"/>
              </w:rPr>
              <w:t>Business Processes, December 2002 to February 2005.</w:t>
            </w:r>
          </w:p>
        </w:tc>
      </w:tr>
      <w:tr>
        <w:trPr>
          <w:trHeight w:val="216"/>
        </w:trPr>
        <w:tc>
          <w:tcPr>
            <w:tcW w:w="1980" w:type="dxa"/>
            <w:vAlign w:val="bottom"/>
          </w:tcPr>
          <w:p>
            <w:pPr>
              <w:spacing w:after="0"/>
              <w:rPr>
                <w:sz w:val="20"/>
                <w:szCs w:val="20"/>
                <w:color w:val="auto"/>
              </w:rPr>
            </w:pPr>
            <w:r>
              <w:rPr>
                <w:rFonts w:ascii="Arial" w:cs="Arial" w:eastAsia="Arial" w:hAnsi="Arial"/>
                <w:sz w:val="12"/>
                <w:szCs w:val="12"/>
                <w:color w:val="auto"/>
              </w:rPr>
              <w:t>Alexander Juden</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51</w:t>
            </w:r>
          </w:p>
        </w:tc>
        <w:tc>
          <w:tcPr>
            <w:tcW w:w="8240" w:type="dxa"/>
            <w:vAlign w:val="bottom"/>
          </w:tcPr>
          <w:p>
            <w:pPr>
              <w:ind w:left="220"/>
              <w:spacing w:after="0"/>
              <w:rPr>
                <w:sz w:val="20"/>
                <w:szCs w:val="20"/>
                <w:color w:val="auto"/>
              </w:rPr>
            </w:pPr>
            <w:r>
              <w:rPr>
                <w:rFonts w:ascii="Arial" w:cs="Arial" w:eastAsia="Arial" w:hAnsi="Arial"/>
                <w:sz w:val="12"/>
                <w:szCs w:val="12"/>
                <w:color w:val="auto"/>
              </w:rPr>
              <w:t>Secretary and General Counsel, since April 2009; and Director of Compliance, February 2005 to April 2009.</w:t>
            </w:r>
          </w:p>
        </w:tc>
      </w:tr>
      <w:tr>
        <w:trPr>
          <w:trHeight w:val="212"/>
        </w:trPr>
        <w:tc>
          <w:tcPr>
            <w:tcW w:w="1980" w:type="dxa"/>
            <w:vAlign w:val="bottom"/>
          </w:tcPr>
          <w:p>
            <w:pPr>
              <w:spacing w:after="0"/>
              <w:rPr>
                <w:sz w:val="20"/>
                <w:szCs w:val="20"/>
                <w:color w:val="auto"/>
              </w:rPr>
            </w:pPr>
            <w:r>
              <w:rPr>
                <w:rFonts w:ascii="Arial" w:cs="Arial" w:eastAsia="Arial" w:hAnsi="Arial"/>
                <w:sz w:val="12"/>
                <w:szCs w:val="12"/>
                <w:color w:val="auto"/>
              </w:rPr>
              <w:t>Satish Pai</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50</w:t>
            </w:r>
          </w:p>
        </w:tc>
        <w:tc>
          <w:tcPr>
            <w:tcW w:w="8240" w:type="dxa"/>
            <w:vAlign w:val="bottom"/>
          </w:tcPr>
          <w:p>
            <w:pPr>
              <w:ind w:left="220"/>
              <w:spacing w:after="0"/>
              <w:rPr>
                <w:sz w:val="20"/>
                <w:szCs w:val="20"/>
                <w:color w:val="auto"/>
              </w:rPr>
            </w:pPr>
            <w:r>
              <w:rPr>
                <w:rFonts w:ascii="Arial" w:cs="Arial" w:eastAsia="Arial" w:hAnsi="Arial"/>
                <w:sz w:val="12"/>
                <w:szCs w:val="12"/>
                <w:color w:val="auto"/>
                <w:w w:val="91"/>
              </w:rPr>
              <w:t>Executive Vice President Operations, since May 2008; President Europe Africa &amp; Caspian, March 2006 to May 2008; and Vice President Oilfield Technologies, March</w:t>
            </w:r>
          </w:p>
        </w:tc>
      </w:tr>
      <w:tr>
        <w:trPr>
          <w:trHeight w:val="148"/>
        </w:trPr>
        <w:tc>
          <w:tcPr>
            <w:tcW w:w="1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40" w:type="dxa"/>
            <w:vAlign w:val="bottom"/>
          </w:tcPr>
          <w:p>
            <w:pPr>
              <w:ind w:left="220"/>
              <w:spacing w:after="0"/>
              <w:rPr>
                <w:sz w:val="20"/>
                <w:szCs w:val="20"/>
                <w:color w:val="auto"/>
              </w:rPr>
            </w:pPr>
            <w:r>
              <w:rPr>
                <w:rFonts w:ascii="Arial" w:cs="Arial" w:eastAsia="Arial" w:hAnsi="Arial"/>
                <w:sz w:val="12"/>
                <w:szCs w:val="12"/>
                <w:color w:val="auto"/>
              </w:rPr>
              <w:t>2002 to March 2006.</w:t>
            </w:r>
          </w:p>
        </w:tc>
      </w:tr>
      <w:tr>
        <w:trPr>
          <w:trHeight w:val="212"/>
        </w:trPr>
        <w:tc>
          <w:tcPr>
            <w:tcW w:w="1980" w:type="dxa"/>
            <w:vAlign w:val="bottom"/>
          </w:tcPr>
          <w:p>
            <w:pPr>
              <w:spacing w:after="0"/>
              <w:rPr>
                <w:sz w:val="20"/>
                <w:szCs w:val="20"/>
                <w:color w:val="auto"/>
              </w:rPr>
            </w:pPr>
            <w:r>
              <w:rPr>
                <w:rFonts w:ascii="Arial" w:cs="Arial" w:eastAsia="Arial" w:hAnsi="Arial"/>
                <w:sz w:val="12"/>
                <w:szCs w:val="12"/>
                <w:color w:val="auto"/>
              </w:rPr>
              <w:t>Kjell-Erik Oestdahl</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47</w:t>
            </w:r>
          </w:p>
        </w:tc>
        <w:tc>
          <w:tcPr>
            <w:tcW w:w="8240" w:type="dxa"/>
            <w:vAlign w:val="bottom"/>
          </w:tcPr>
          <w:p>
            <w:pPr>
              <w:ind w:left="220"/>
              <w:spacing w:after="0"/>
              <w:rPr>
                <w:sz w:val="20"/>
                <w:szCs w:val="20"/>
                <w:color w:val="auto"/>
              </w:rPr>
            </w:pPr>
            <w:r>
              <w:rPr>
                <w:rFonts w:ascii="Arial" w:cs="Arial" w:eastAsia="Arial" w:hAnsi="Arial"/>
                <w:sz w:val="12"/>
                <w:szCs w:val="12"/>
                <w:color w:val="auto"/>
                <w:w w:val="90"/>
              </w:rPr>
              <w:t>Executive Vice President Operations, since January 2011; Vice President Supply Chain Services, May 2009 to January 2011; Vice President Operations WesternGeco,</w:t>
            </w:r>
          </w:p>
        </w:tc>
      </w:tr>
      <w:tr>
        <w:trPr>
          <w:trHeight w:val="144"/>
        </w:trPr>
        <w:tc>
          <w:tcPr>
            <w:tcW w:w="1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40" w:type="dxa"/>
            <w:vAlign w:val="bottom"/>
          </w:tcPr>
          <w:p>
            <w:pPr>
              <w:ind w:left="220"/>
              <w:spacing w:after="0"/>
              <w:rPr>
                <w:sz w:val="20"/>
                <w:szCs w:val="20"/>
                <w:color w:val="auto"/>
              </w:rPr>
            </w:pPr>
            <w:r>
              <w:rPr>
                <w:rFonts w:ascii="Arial" w:cs="Arial" w:eastAsia="Arial" w:hAnsi="Arial"/>
                <w:sz w:val="12"/>
                <w:szCs w:val="12"/>
                <w:color w:val="auto"/>
                <w:w w:val="92"/>
              </w:rPr>
              <w:t>January 2008 to April 2009; Chief Procurement Officer at StatoilHydro ASA, March 2006 to November 2007; and North Sea GeoMarket Manager, January 2005 to</w:t>
            </w:r>
          </w:p>
        </w:tc>
      </w:tr>
      <w:tr>
        <w:trPr>
          <w:trHeight w:val="148"/>
        </w:trPr>
        <w:tc>
          <w:tcPr>
            <w:tcW w:w="1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40" w:type="dxa"/>
            <w:vAlign w:val="bottom"/>
          </w:tcPr>
          <w:p>
            <w:pPr>
              <w:ind w:left="220"/>
              <w:spacing w:after="0"/>
              <w:rPr>
                <w:sz w:val="20"/>
                <w:szCs w:val="20"/>
                <w:color w:val="auto"/>
              </w:rPr>
            </w:pPr>
            <w:r>
              <w:rPr>
                <w:rFonts w:ascii="Arial" w:cs="Arial" w:eastAsia="Arial" w:hAnsi="Arial"/>
                <w:sz w:val="12"/>
                <w:szCs w:val="12"/>
                <w:color w:val="auto"/>
              </w:rPr>
              <w:t>February 2006.</w:t>
            </w:r>
          </w:p>
        </w:tc>
      </w:tr>
      <w:tr>
        <w:trPr>
          <w:trHeight w:val="212"/>
        </w:trPr>
        <w:tc>
          <w:tcPr>
            <w:tcW w:w="1980" w:type="dxa"/>
            <w:vAlign w:val="bottom"/>
          </w:tcPr>
          <w:p>
            <w:pPr>
              <w:spacing w:after="0"/>
              <w:rPr>
                <w:sz w:val="20"/>
                <w:szCs w:val="20"/>
                <w:color w:val="auto"/>
              </w:rPr>
            </w:pPr>
            <w:r>
              <w:rPr>
                <w:rFonts w:ascii="Arial" w:cs="Arial" w:eastAsia="Arial" w:hAnsi="Arial"/>
                <w:sz w:val="12"/>
                <w:szCs w:val="12"/>
                <w:color w:val="auto"/>
              </w:rPr>
              <w:t>Ashok Belani</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53</w:t>
            </w:r>
          </w:p>
        </w:tc>
        <w:tc>
          <w:tcPr>
            <w:tcW w:w="8240" w:type="dxa"/>
            <w:vAlign w:val="bottom"/>
          </w:tcPr>
          <w:p>
            <w:pPr>
              <w:ind w:left="220"/>
              <w:spacing w:after="0"/>
              <w:rPr>
                <w:sz w:val="20"/>
                <w:szCs w:val="20"/>
                <w:color w:val="auto"/>
              </w:rPr>
            </w:pPr>
            <w:r>
              <w:rPr>
                <w:rFonts w:ascii="Arial" w:cs="Arial" w:eastAsia="Arial" w:hAnsi="Arial"/>
                <w:sz w:val="12"/>
                <w:szCs w:val="12"/>
                <w:color w:val="auto"/>
                <w:w w:val="93"/>
              </w:rPr>
              <w:t>Executive Vice President Technology, since January 2011; President, Reservoir Characterization Group, February 2010 to August 2011; Vice President and Chief</w:t>
            </w:r>
          </w:p>
        </w:tc>
      </w:tr>
      <w:tr>
        <w:trPr>
          <w:trHeight w:val="148"/>
        </w:trPr>
        <w:tc>
          <w:tcPr>
            <w:tcW w:w="1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40" w:type="dxa"/>
            <w:vAlign w:val="bottom"/>
          </w:tcPr>
          <w:p>
            <w:pPr>
              <w:ind w:left="220"/>
              <w:spacing w:after="0"/>
              <w:rPr>
                <w:sz w:val="20"/>
                <w:szCs w:val="20"/>
                <w:color w:val="auto"/>
              </w:rPr>
            </w:pPr>
            <w:r>
              <w:rPr>
                <w:rFonts w:ascii="Arial" w:cs="Arial" w:eastAsia="Arial" w:hAnsi="Arial"/>
                <w:sz w:val="12"/>
                <w:szCs w:val="12"/>
                <w:color w:val="auto"/>
              </w:rPr>
              <w:t>Technology Officer, April 2006 to February 2010; and Senior Advisor, Technology, January 2006 to April 2006.</w:t>
            </w:r>
          </w:p>
        </w:tc>
      </w:tr>
      <w:tr>
        <w:trPr>
          <w:trHeight w:val="216"/>
        </w:trPr>
        <w:tc>
          <w:tcPr>
            <w:tcW w:w="1980" w:type="dxa"/>
            <w:vAlign w:val="bottom"/>
          </w:tcPr>
          <w:p>
            <w:pPr>
              <w:spacing w:after="0"/>
              <w:rPr>
                <w:sz w:val="20"/>
                <w:szCs w:val="20"/>
                <w:color w:val="auto"/>
              </w:rPr>
            </w:pPr>
            <w:r>
              <w:rPr>
                <w:rFonts w:ascii="Arial" w:cs="Arial" w:eastAsia="Arial" w:hAnsi="Arial"/>
                <w:sz w:val="12"/>
                <w:szCs w:val="12"/>
                <w:color w:val="auto"/>
              </w:rPr>
              <w:t>Douglas Pferdehirt</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47</w:t>
            </w:r>
          </w:p>
        </w:tc>
        <w:tc>
          <w:tcPr>
            <w:tcW w:w="8240" w:type="dxa"/>
            <w:vAlign w:val="bottom"/>
          </w:tcPr>
          <w:p>
            <w:pPr>
              <w:ind w:left="220"/>
              <w:spacing w:after="0"/>
              <w:rPr>
                <w:sz w:val="20"/>
                <w:szCs w:val="20"/>
                <w:color w:val="auto"/>
              </w:rPr>
            </w:pPr>
            <w:r>
              <w:rPr>
                <w:rFonts w:ascii="Arial" w:cs="Arial" w:eastAsia="Arial" w:hAnsi="Arial"/>
                <w:sz w:val="12"/>
                <w:szCs w:val="12"/>
                <w:color w:val="auto"/>
                <w:w w:val="91"/>
              </w:rPr>
              <w:t>Executive Vice President Corporate Development and Communication, since January 2011; and President Reservoir Production Group, April 2006 to January 2011.</w:t>
            </w:r>
          </w:p>
        </w:tc>
      </w:tr>
      <w:tr>
        <w:trPr>
          <w:trHeight w:val="212"/>
        </w:trPr>
        <w:tc>
          <w:tcPr>
            <w:tcW w:w="1980" w:type="dxa"/>
            <w:vAlign w:val="bottom"/>
          </w:tcPr>
          <w:p>
            <w:pPr>
              <w:spacing w:after="0"/>
              <w:rPr>
                <w:sz w:val="20"/>
                <w:szCs w:val="20"/>
                <w:color w:val="auto"/>
              </w:rPr>
            </w:pPr>
            <w:r>
              <w:rPr>
                <w:rFonts w:ascii="Arial" w:cs="Arial" w:eastAsia="Arial" w:hAnsi="Arial"/>
                <w:sz w:val="12"/>
                <w:szCs w:val="12"/>
                <w:color w:val="auto"/>
              </w:rPr>
              <w:t>Stephanie Cox</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43</w:t>
            </w:r>
          </w:p>
        </w:tc>
        <w:tc>
          <w:tcPr>
            <w:tcW w:w="8240" w:type="dxa"/>
            <w:vAlign w:val="bottom"/>
          </w:tcPr>
          <w:p>
            <w:pPr>
              <w:ind w:left="220"/>
              <w:spacing w:after="0"/>
              <w:rPr>
                <w:sz w:val="20"/>
                <w:szCs w:val="20"/>
                <w:color w:val="auto"/>
              </w:rPr>
            </w:pPr>
            <w:r>
              <w:rPr>
                <w:rFonts w:ascii="Arial" w:cs="Arial" w:eastAsia="Arial" w:hAnsi="Arial"/>
                <w:sz w:val="12"/>
                <w:szCs w:val="12"/>
                <w:color w:val="auto"/>
                <w:w w:val="90"/>
              </w:rPr>
              <w:t>Vice President Personnel, since May 2009; North Gulf Coast GeoMarket Manager, April 2006 to May 2009; and North &amp; South America Personnel Manager, May 2004</w:t>
            </w:r>
          </w:p>
        </w:tc>
      </w:tr>
      <w:tr>
        <w:trPr>
          <w:trHeight w:val="148"/>
        </w:trPr>
        <w:tc>
          <w:tcPr>
            <w:tcW w:w="1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40" w:type="dxa"/>
            <w:vAlign w:val="bottom"/>
          </w:tcPr>
          <w:p>
            <w:pPr>
              <w:ind w:left="220"/>
              <w:spacing w:after="0"/>
              <w:rPr>
                <w:sz w:val="20"/>
                <w:szCs w:val="20"/>
                <w:color w:val="auto"/>
              </w:rPr>
            </w:pPr>
            <w:r>
              <w:rPr>
                <w:rFonts w:ascii="Arial" w:cs="Arial" w:eastAsia="Arial" w:hAnsi="Arial"/>
                <w:sz w:val="12"/>
                <w:szCs w:val="12"/>
                <w:color w:val="auto"/>
              </w:rPr>
              <w:t>to April 2006.</w:t>
            </w:r>
          </w:p>
        </w:tc>
      </w:tr>
      <w:tr>
        <w:trPr>
          <w:trHeight w:val="216"/>
        </w:trPr>
        <w:tc>
          <w:tcPr>
            <w:tcW w:w="1980" w:type="dxa"/>
            <w:vAlign w:val="bottom"/>
          </w:tcPr>
          <w:p>
            <w:pPr>
              <w:spacing w:after="0"/>
              <w:rPr>
                <w:sz w:val="20"/>
                <w:szCs w:val="20"/>
                <w:color w:val="auto"/>
              </w:rPr>
            </w:pPr>
            <w:r>
              <w:rPr>
                <w:rFonts w:ascii="Arial" w:cs="Arial" w:eastAsia="Arial" w:hAnsi="Arial"/>
                <w:sz w:val="12"/>
                <w:szCs w:val="12"/>
                <w:color w:val="auto"/>
              </w:rPr>
              <w:t>Mark Danton</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55</w:t>
            </w:r>
          </w:p>
        </w:tc>
        <w:tc>
          <w:tcPr>
            <w:tcW w:w="8240" w:type="dxa"/>
            <w:vAlign w:val="bottom"/>
          </w:tcPr>
          <w:p>
            <w:pPr>
              <w:ind w:left="220"/>
              <w:spacing w:after="0"/>
              <w:rPr>
                <w:sz w:val="20"/>
                <w:szCs w:val="20"/>
                <w:color w:val="auto"/>
              </w:rPr>
            </w:pPr>
            <w:r>
              <w:rPr>
                <w:rFonts w:ascii="Arial" w:cs="Arial" w:eastAsia="Arial" w:hAnsi="Arial"/>
                <w:sz w:val="12"/>
                <w:szCs w:val="12"/>
                <w:color w:val="auto"/>
              </w:rPr>
              <w:t>Vice President - Director of Taxes, since January 1999.</w:t>
            </w:r>
          </w:p>
        </w:tc>
      </w:tr>
      <w:tr>
        <w:trPr>
          <w:trHeight w:val="212"/>
        </w:trPr>
        <w:tc>
          <w:tcPr>
            <w:tcW w:w="1980" w:type="dxa"/>
            <w:vAlign w:val="bottom"/>
          </w:tcPr>
          <w:p>
            <w:pPr>
              <w:spacing w:after="0"/>
              <w:rPr>
                <w:sz w:val="20"/>
                <w:szCs w:val="20"/>
                <w:color w:val="auto"/>
              </w:rPr>
            </w:pPr>
            <w:r>
              <w:rPr>
                <w:rFonts w:ascii="Arial" w:cs="Arial" w:eastAsia="Arial" w:hAnsi="Arial"/>
                <w:sz w:val="12"/>
                <w:szCs w:val="12"/>
                <w:color w:val="auto"/>
              </w:rPr>
              <w:t>Aaron Gatt Floridia</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43</w:t>
            </w:r>
          </w:p>
        </w:tc>
        <w:tc>
          <w:tcPr>
            <w:tcW w:w="8240" w:type="dxa"/>
            <w:vAlign w:val="bottom"/>
          </w:tcPr>
          <w:p>
            <w:pPr>
              <w:ind w:left="220"/>
              <w:spacing w:after="0"/>
              <w:rPr>
                <w:sz w:val="20"/>
                <w:szCs w:val="20"/>
                <w:color w:val="auto"/>
              </w:rPr>
            </w:pPr>
            <w:r>
              <w:rPr>
                <w:rFonts w:ascii="Arial" w:cs="Arial" w:eastAsia="Arial" w:hAnsi="Arial"/>
                <w:sz w:val="12"/>
                <w:szCs w:val="12"/>
                <w:color w:val="auto"/>
                <w:w w:val="91"/>
              </w:rPr>
              <w:t>President Reservoir Characterization Group, since August 2011; President Middle East, May 2009 to July 2011; and General Manager – AGO, January 2007 to April</w:t>
            </w:r>
          </w:p>
        </w:tc>
      </w:tr>
      <w:tr>
        <w:trPr>
          <w:trHeight w:val="148"/>
        </w:trPr>
        <w:tc>
          <w:tcPr>
            <w:tcW w:w="1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40" w:type="dxa"/>
            <w:vAlign w:val="bottom"/>
          </w:tcPr>
          <w:p>
            <w:pPr>
              <w:ind w:left="220"/>
              <w:spacing w:after="0"/>
              <w:rPr>
                <w:sz w:val="20"/>
                <w:szCs w:val="20"/>
                <w:color w:val="auto"/>
              </w:rPr>
            </w:pPr>
            <w:r>
              <w:rPr>
                <w:rFonts w:ascii="Arial" w:cs="Arial" w:eastAsia="Arial" w:hAnsi="Arial"/>
                <w:sz w:val="12"/>
                <w:szCs w:val="12"/>
                <w:color w:val="auto"/>
              </w:rPr>
              <w:t>2009.</w:t>
            </w:r>
          </w:p>
        </w:tc>
      </w:tr>
      <w:tr>
        <w:trPr>
          <w:trHeight w:val="216"/>
        </w:trPr>
        <w:tc>
          <w:tcPr>
            <w:tcW w:w="1980" w:type="dxa"/>
            <w:vAlign w:val="bottom"/>
          </w:tcPr>
          <w:p>
            <w:pPr>
              <w:spacing w:after="0"/>
              <w:rPr>
                <w:sz w:val="20"/>
                <w:szCs w:val="20"/>
                <w:color w:val="auto"/>
              </w:rPr>
            </w:pPr>
            <w:r>
              <w:rPr>
                <w:rFonts w:ascii="Arial" w:cs="Arial" w:eastAsia="Arial" w:hAnsi="Arial"/>
                <w:sz w:val="12"/>
                <w:szCs w:val="12"/>
                <w:color w:val="auto"/>
              </w:rPr>
              <w:t>Howard Guild</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40</w:t>
            </w:r>
          </w:p>
        </w:tc>
        <w:tc>
          <w:tcPr>
            <w:tcW w:w="8240" w:type="dxa"/>
            <w:vAlign w:val="bottom"/>
          </w:tcPr>
          <w:p>
            <w:pPr>
              <w:ind w:left="220"/>
              <w:spacing w:after="0"/>
              <w:rPr>
                <w:sz w:val="20"/>
                <w:szCs w:val="20"/>
                <w:color w:val="auto"/>
              </w:rPr>
            </w:pPr>
            <w:r>
              <w:rPr>
                <w:rFonts w:ascii="Arial" w:cs="Arial" w:eastAsia="Arial" w:hAnsi="Arial"/>
                <w:sz w:val="12"/>
                <w:szCs w:val="12"/>
                <w:color w:val="auto"/>
              </w:rPr>
              <w:t>Chief Accounting Officer, since July 2005.</w:t>
            </w:r>
          </w:p>
        </w:tc>
      </w:tr>
      <w:tr>
        <w:trPr>
          <w:trHeight w:val="212"/>
        </w:trPr>
        <w:tc>
          <w:tcPr>
            <w:tcW w:w="1980" w:type="dxa"/>
            <w:vAlign w:val="bottom"/>
          </w:tcPr>
          <w:p>
            <w:pPr>
              <w:spacing w:after="0"/>
              <w:rPr>
                <w:sz w:val="20"/>
                <w:szCs w:val="20"/>
                <w:color w:val="auto"/>
              </w:rPr>
            </w:pPr>
            <w:r>
              <w:rPr>
                <w:rFonts w:ascii="Arial" w:cs="Arial" w:eastAsia="Arial" w:hAnsi="Arial"/>
                <w:sz w:val="12"/>
                <w:szCs w:val="12"/>
                <w:color w:val="auto"/>
              </w:rPr>
              <w:t>Rodney Nelson</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53</w:t>
            </w:r>
          </w:p>
        </w:tc>
        <w:tc>
          <w:tcPr>
            <w:tcW w:w="8240" w:type="dxa"/>
            <w:vAlign w:val="bottom"/>
          </w:tcPr>
          <w:p>
            <w:pPr>
              <w:ind w:left="220"/>
              <w:spacing w:after="0"/>
              <w:rPr>
                <w:sz w:val="20"/>
                <w:szCs w:val="20"/>
                <w:color w:val="auto"/>
              </w:rPr>
            </w:pPr>
            <w:r>
              <w:rPr>
                <w:rFonts w:ascii="Arial" w:cs="Arial" w:eastAsia="Arial" w:hAnsi="Arial"/>
                <w:sz w:val="12"/>
                <w:szCs w:val="12"/>
                <w:color w:val="auto"/>
                <w:w w:val="89"/>
              </w:rPr>
              <w:t>Vice President Government &amp; Community Relations, since August 2011; Vice President Communications, Innovation and Collaboration, October 2007 to July 2011; Vice</w:t>
            </w:r>
          </w:p>
        </w:tc>
      </w:tr>
      <w:tr>
        <w:trPr>
          <w:trHeight w:val="148"/>
        </w:trPr>
        <w:tc>
          <w:tcPr>
            <w:tcW w:w="1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40" w:type="dxa"/>
            <w:vAlign w:val="bottom"/>
          </w:tcPr>
          <w:p>
            <w:pPr>
              <w:ind w:left="220"/>
              <w:spacing w:after="0"/>
              <w:rPr>
                <w:sz w:val="20"/>
                <w:szCs w:val="20"/>
                <w:color w:val="auto"/>
              </w:rPr>
            </w:pPr>
            <w:r>
              <w:rPr>
                <w:rFonts w:ascii="Arial" w:cs="Arial" w:eastAsia="Arial" w:hAnsi="Arial"/>
                <w:sz w:val="12"/>
                <w:szCs w:val="12"/>
                <w:color w:val="auto"/>
              </w:rPr>
              <w:t>President Innovation and Collaboration, July 2006 to October 2007; and Vice President Strategic Marketing, July 2004 to July 2006.</w:t>
            </w:r>
          </w:p>
        </w:tc>
      </w:tr>
      <w:tr>
        <w:trPr>
          <w:trHeight w:val="212"/>
        </w:trPr>
        <w:tc>
          <w:tcPr>
            <w:tcW w:w="1980" w:type="dxa"/>
            <w:vAlign w:val="bottom"/>
          </w:tcPr>
          <w:p>
            <w:pPr>
              <w:spacing w:after="0"/>
              <w:rPr>
                <w:sz w:val="20"/>
                <w:szCs w:val="20"/>
                <w:color w:val="auto"/>
              </w:rPr>
            </w:pPr>
            <w:r>
              <w:rPr>
                <w:rFonts w:ascii="Arial" w:cs="Arial" w:eastAsia="Arial" w:hAnsi="Arial"/>
                <w:sz w:val="12"/>
                <w:szCs w:val="12"/>
                <w:color w:val="auto"/>
              </w:rPr>
              <w:t>Jean-Francois Poupeau</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50</w:t>
            </w:r>
          </w:p>
        </w:tc>
        <w:tc>
          <w:tcPr>
            <w:tcW w:w="8240" w:type="dxa"/>
            <w:vAlign w:val="bottom"/>
          </w:tcPr>
          <w:p>
            <w:pPr>
              <w:ind w:left="220"/>
              <w:spacing w:after="0"/>
              <w:rPr>
                <w:sz w:val="20"/>
                <w:szCs w:val="20"/>
                <w:color w:val="auto"/>
              </w:rPr>
            </w:pPr>
            <w:r>
              <w:rPr>
                <w:rFonts w:ascii="Arial" w:cs="Arial" w:eastAsia="Arial" w:hAnsi="Arial"/>
                <w:sz w:val="12"/>
                <w:szCs w:val="12"/>
                <w:color w:val="auto"/>
                <w:w w:val="92"/>
              </w:rPr>
              <w:t>President Drilling Group, since May 2010; President Drilling &amp; Measurements, July 2007 to April 2010; and Vice President Communications and Investor Relations,</w:t>
            </w:r>
          </w:p>
        </w:tc>
      </w:tr>
      <w:tr>
        <w:trPr>
          <w:trHeight w:val="148"/>
        </w:trPr>
        <w:tc>
          <w:tcPr>
            <w:tcW w:w="1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40" w:type="dxa"/>
            <w:vAlign w:val="bottom"/>
          </w:tcPr>
          <w:p>
            <w:pPr>
              <w:ind w:left="220"/>
              <w:spacing w:after="0"/>
              <w:rPr>
                <w:sz w:val="20"/>
                <w:szCs w:val="20"/>
                <w:color w:val="auto"/>
              </w:rPr>
            </w:pPr>
            <w:r>
              <w:rPr>
                <w:rFonts w:ascii="Arial" w:cs="Arial" w:eastAsia="Arial" w:hAnsi="Arial"/>
                <w:sz w:val="12"/>
                <w:szCs w:val="12"/>
                <w:color w:val="auto"/>
              </w:rPr>
              <w:t>April 2006 to June 2007.</w:t>
            </w:r>
          </w:p>
        </w:tc>
      </w:tr>
      <w:tr>
        <w:trPr>
          <w:trHeight w:val="216"/>
        </w:trPr>
        <w:tc>
          <w:tcPr>
            <w:tcW w:w="1980" w:type="dxa"/>
            <w:vAlign w:val="bottom"/>
          </w:tcPr>
          <w:p>
            <w:pPr>
              <w:spacing w:after="0"/>
              <w:rPr>
                <w:sz w:val="20"/>
                <w:szCs w:val="20"/>
                <w:color w:val="auto"/>
              </w:rPr>
            </w:pPr>
            <w:r>
              <w:rPr>
                <w:rFonts w:ascii="Arial" w:cs="Arial" w:eastAsia="Arial" w:hAnsi="Arial"/>
                <w:sz w:val="12"/>
                <w:szCs w:val="12"/>
                <w:color w:val="auto"/>
              </w:rPr>
              <w:t>Patrick Schorn</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43</w:t>
            </w:r>
          </w:p>
        </w:tc>
        <w:tc>
          <w:tcPr>
            <w:tcW w:w="8240" w:type="dxa"/>
            <w:vAlign w:val="bottom"/>
          </w:tcPr>
          <w:p>
            <w:pPr>
              <w:ind w:left="220"/>
              <w:spacing w:after="0"/>
              <w:rPr>
                <w:sz w:val="20"/>
                <w:szCs w:val="20"/>
                <w:color w:val="auto"/>
              </w:rPr>
            </w:pPr>
            <w:r>
              <w:rPr>
                <w:rFonts w:ascii="Arial" w:cs="Arial" w:eastAsia="Arial" w:hAnsi="Arial"/>
                <w:sz w:val="12"/>
                <w:szCs w:val="12"/>
                <w:color w:val="auto"/>
                <w:w w:val="90"/>
              </w:rPr>
              <w:t>President Reservoir Production Group, since January 2011; President Well Services, May 2008 to January 2011; and President Completions, April 2006 to April 2008.</w:t>
            </w:r>
          </w:p>
        </w:tc>
      </w:tr>
      <w:tr>
        <w:trPr>
          <w:trHeight w:val="212"/>
        </w:trPr>
        <w:tc>
          <w:tcPr>
            <w:tcW w:w="1980" w:type="dxa"/>
            <w:vAlign w:val="bottom"/>
          </w:tcPr>
          <w:p>
            <w:pPr>
              <w:spacing w:after="0"/>
              <w:rPr>
                <w:sz w:val="20"/>
                <w:szCs w:val="20"/>
                <w:color w:val="auto"/>
              </w:rPr>
            </w:pPr>
            <w:r>
              <w:rPr>
                <w:rFonts w:ascii="Arial" w:cs="Arial" w:eastAsia="Arial" w:hAnsi="Arial"/>
                <w:sz w:val="12"/>
                <w:szCs w:val="12"/>
                <w:color w:val="auto"/>
              </w:rPr>
              <w:t>Krishna Shivram</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49</w:t>
            </w:r>
          </w:p>
        </w:tc>
        <w:tc>
          <w:tcPr>
            <w:tcW w:w="8240" w:type="dxa"/>
            <w:vAlign w:val="bottom"/>
          </w:tcPr>
          <w:p>
            <w:pPr>
              <w:ind w:left="220"/>
              <w:spacing w:after="0"/>
              <w:rPr>
                <w:sz w:val="20"/>
                <w:szCs w:val="20"/>
                <w:color w:val="auto"/>
              </w:rPr>
            </w:pPr>
            <w:r>
              <w:rPr>
                <w:rFonts w:ascii="Arial" w:cs="Arial" w:eastAsia="Arial" w:hAnsi="Arial"/>
                <w:sz w:val="12"/>
                <w:szCs w:val="12"/>
                <w:color w:val="auto"/>
                <w:w w:val="95"/>
              </w:rPr>
              <w:t>Vice President Treasurer, since January 2011; Controller Drilling Group, May 2010 to January 2011; Manager Mergers &amp; Acquisitions, May 2009 to April 2010;</w:t>
            </w:r>
          </w:p>
        </w:tc>
      </w:tr>
      <w:tr>
        <w:trPr>
          <w:trHeight w:val="148"/>
        </w:trPr>
        <w:tc>
          <w:tcPr>
            <w:tcW w:w="1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40" w:type="dxa"/>
            <w:vAlign w:val="bottom"/>
          </w:tcPr>
          <w:p>
            <w:pPr>
              <w:ind w:left="220"/>
              <w:spacing w:after="0"/>
              <w:rPr>
                <w:sz w:val="20"/>
                <w:szCs w:val="20"/>
                <w:color w:val="auto"/>
              </w:rPr>
            </w:pPr>
            <w:r>
              <w:rPr>
                <w:rFonts w:ascii="Arial" w:cs="Arial" w:eastAsia="Arial" w:hAnsi="Arial"/>
                <w:sz w:val="12"/>
                <w:szCs w:val="12"/>
                <w:color w:val="auto"/>
              </w:rPr>
              <w:t>Controller Oilfield Services, August 2006 to April 2009; and Vice President Finance WesternGeco, March 2004 to July 2006.</w:t>
            </w:r>
          </w:p>
        </w:tc>
      </w:tr>
      <w:tr>
        <w:trPr>
          <w:trHeight w:val="216"/>
        </w:trPr>
        <w:tc>
          <w:tcPr>
            <w:tcW w:w="1980" w:type="dxa"/>
            <w:vAlign w:val="bottom"/>
          </w:tcPr>
          <w:p>
            <w:pPr>
              <w:spacing w:after="0"/>
              <w:rPr>
                <w:sz w:val="20"/>
                <w:szCs w:val="20"/>
                <w:color w:val="auto"/>
              </w:rPr>
            </w:pPr>
            <w:r>
              <w:rPr>
                <w:rFonts w:ascii="Arial" w:cs="Arial" w:eastAsia="Arial" w:hAnsi="Arial"/>
                <w:sz w:val="12"/>
                <w:szCs w:val="12"/>
                <w:color w:val="auto"/>
              </w:rPr>
              <w:t>Malcolm Theobald</w:t>
            </w: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50</w:t>
            </w:r>
          </w:p>
        </w:tc>
        <w:tc>
          <w:tcPr>
            <w:tcW w:w="8240" w:type="dxa"/>
            <w:vAlign w:val="bottom"/>
          </w:tcPr>
          <w:p>
            <w:pPr>
              <w:ind w:left="220"/>
              <w:spacing w:after="0"/>
              <w:rPr>
                <w:sz w:val="20"/>
                <w:szCs w:val="20"/>
                <w:color w:val="auto"/>
              </w:rPr>
            </w:pPr>
            <w:r>
              <w:rPr>
                <w:rFonts w:ascii="Arial" w:cs="Arial" w:eastAsia="Arial" w:hAnsi="Arial"/>
                <w:sz w:val="12"/>
                <w:szCs w:val="12"/>
                <w:color w:val="auto"/>
              </w:rPr>
              <w:t>Vice President Investor Relations, since June 2007; and Global Account Director, September 2001 to June 2007.</w:t>
            </w:r>
          </w:p>
        </w:tc>
      </w:tr>
      <w:tr>
        <w:trPr>
          <w:trHeight w:val="208"/>
        </w:trPr>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40" w:type="dxa"/>
            <w:vAlign w:val="bottom"/>
          </w:tcPr>
          <w:p>
            <w:pPr>
              <w:ind w:left="2480"/>
              <w:spacing w:after="0"/>
              <w:rPr>
                <w:sz w:val="20"/>
                <w:szCs w:val="20"/>
                <w:color w:val="auto"/>
              </w:rPr>
            </w:pPr>
            <w:r>
              <w:rPr>
                <w:rFonts w:ascii="Arial" w:cs="Arial" w:eastAsia="Arial" w:hAnsi="Arial"/>
                <w:sz w:val="9"/>
                <w:szCs w:val="9"/>
                <w:color w:val="auto"/>
              </w:rPr>
              <w:t>6</w:t>
            </w:r>
          </w:p>
        </w:tc>
      </w:tr>
    </w:tbl>
    <w:p>
      <w:pPr>
        <w:sectPr>
          <w:pgSz w:w="11900" w:h="16838" w:orient="portrait"/>
          <w:cols w:equalWidth="0" w:num="1">
            <w:col w:w="11480"/>
          </w:cols>
          <w:pgMar w:left="220" w:top="354" w:right="199" w:bottom="1440" w:gutter="0" w:footer="0" w:header="0"/>
        </w:sectPr>
      </w:pPr>
    </w:p>
    <w:bookmarkStart w:id="6" w:name="page7"/>
    <w:bookmarkEnd w:id="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Available Information</w:t>
      </w:r>
    </w:p>
    <w:p>
      <w:pPr>
        <w:spacing w:after="0" w:line="60" w:lineRule="exact"/>
        <w:rPr>
          <w:sz w:val="20"/>
          <w:szCs w:val="20"/>
          <w:color w:val="auto"/>
        </w:rPr>
      </w:pPr>
    </w:p>
    <w:p>
      <w:pPr>
        <w:ind w:right="40" w:firstLine="230"/>
        <w:spacing w:after="0" w:line="252" w:lineRule="auto"/>
        <w:rPr>
          <w:sz w:val="20"/>
          <w:szCs w:val="20"/>
          <w:color w:val="auto"/>
        </w:rPr>
      </w:pPr>
      <w:r>
        <w:rPr>
          <w:rFonts w:ascii="Arial" w:cs="Arial" w:eastAsia="Arial" w:hAnsi="Arial"/>
          <w:sz w:val="12"/>
          <w:szCs w:val="12"/>
          <w:color w:val="auto"/>
        </w:rPr>
        <w:t xml:space="preserve">The Schlumberger Internet website is </w:t>
      </w:r>
      <w:r>
        <w:rPr>
          <w:rFonts w:ascii="Arial" w:cs="Arial" w:eastAsia="Arial" w:hAnsi="Arial"/>
          <w:sz w:val="12"/>
          <w:szCs w:val="12"/>
          <w:u w:val="single" w:color="auto"/>
          <w:color w:val="auto"/>
        </w:rPr>
        <w:t>www.slb.com</w:t>
      </w:r>
      <w:r>
        <w:rPr>
          <w:rFonts w:ascii="Arial" w:cs="Arial" w:eastAsia="Arial" w:hAnsi="Arial"/>
          <w:sz w:val="12"/>
          <w:szCs w:val="12"/>
          <w:color w:val="auto"/>
        </w:rPr>
        <w:t xml:space="preserve">. Schlumberger uses its Investor Relations website, </w:t>
      </w:r>
      <w:r>
        <w:rPr>
          <w:rFonts w:ascii="Arial" w:cs="Arial" w:eastAsia="Arial" w:hAnsi="Arial"/>
          <w:sz w:val="12"/>
          <w:szCs w:val="12"/>
          <w:u w:val="single" w:color="auto"/>
          <w:color w:val="auto"/>
        </w:rPr>
        <w:t>www.slb.com/ir</w:t>
      </w:r>
      <w:r>
        <w:rPr>
          <w:rFonts w:ascii="Arial" w:cs="Arial" w:eastAsia="Arial" w:hAnsi="Arial"/>
          <w:sz w:val="12"/>
          <w:szCs w:val="12"/>
          <w:color w:val="auto"/>
        </w:rPr>
        <w:t xml:space="preserve">, as a channel for routine distribution of important information, including news releases, analyst presentations, and financial information. Schlumberger makes available free of charge on or through its Investor Relations website at </w:t>
      </w:r>
      <w:r>
        <w:rPr>
          <w:rFonts w:ascii="Arial" w:cs="Arial" w:eastAsia="Arial" w:hAnsi="Arial"/>
          <w:sz w:val="12"/>
          <w:szCs w:val="12"/>
          <w:u w:val="single" w:color="auto"/>
          <w:color w:val="auto"/>
        </w:rPr>
        <w:t>www.slb.com/ir</w:t>
      </w:r>
      <w:r>
        <w:rPr>
          <w:rFonts w:ascii="Arial" w:cs="Arial" w:eastAsia="Arial" w:hAnsi="Arial"/>
          <w:sz w:val="12"/>
          <w:szCs w:val="12"/>
          <w:color w:val="auto"/>
        </w:rPr>
        <w:t xml:space="preserve"> access to its Annual Reports on Form 10-K, Quarterly Reports on Form 10-Q, Current Reports on Form 8-K, its proxy statements and Forms 3, 4 and 5 filed on behalf of directors and executive officers, and amendments to each of those reports, as soon as reasonably practicable after such material is filed with or furnished to the Securities and Exchange Commission (“SEC”). Alternatively, you may access these reports at the SEC’s Internet website at </w:t>
      </w:r>
      <w:r>
        <w:rPr>
          <w:rFonts w:ascii="Arial" w:cs="Arial" w:eastAsia="Arial" w:hAnsi="Arial"/>
          <w:sz w:val="12"/>
          <w:szCs w:val="12"/>
          <w:u w:val="single" w:color="auto"/>
          <w:color w:val="auto"/>
        </w:rPr>
        <w:t>www.sec.gov</w:t>
      </w:r>
      <w:r>
        <w:rPr>
          <w:rFonts w:ascii="Arial" w:cs="Arial" w:eastAsia="Arial" w:hAnsi="Arial"/>
          <w:sz w:val="12"/>
          <w:szCs w:val="12"/>
          <w:color w:val="auto"/>
        </w:rPr>
        <w:t>.</w:t>
      </w:r>
    </w:p>
    <w:p>
      <w:pPr>
        <w:spacing w:after="0" w:line="1" w:lineRule="exact"/>
        <w:rPr>
          <w:sz w:val="20"/>
          <w:szCs w:val="20"/>
          <w:color w:val="auto"/>
        </w:rPr>
      </w:pPr>
    </w:p>
    <w:p>
      <w:pPr>
        <w:ind w:right="40" w:firstLine="230"/>
        <w:spacing w:after="0" w:line="250" w:lineRule="auto"/>
        <w:rPr>
          <w:sz w:val="20"/>
          <w:szCs w:val="20"/>
          <w:color w:val="auto"/>
        </w:rPr>
      </w:pPr>
      <w:r>
        <w:rPr>
          <w:rFonts w:ascii="Arial" w:cs="Arial" w:eastAsia="Arial" w:hAnsi="Arial"/>
          <w:sz w:val="12"/>
          <w:szCs w:val="12"/>
          <w:color w:val="auto"/>
        </w:rPr>
        <w:t xml:space="preserve">Schlumberger’s corporate governance materials, including Board Committee Charters, Corporate Governance Guidelines and Code of Ethics, may also be found at </w:t>
      </w:r>
      <w:r>
        <w:rPr>
          <w:rFonts w:ascii="Arial" w:cs="Arial" w:eastAsia="Arial" w:hAnsi="Arial"/>
          <w:sz w:val="12"/>
          <w:szCs w:val="12"/>
          <w:u w:val="single" w:color="auto"/>
          <w:color w:val="auto"/>
        </w:rPr>
        <w:t>www.slb.com/ir</w:t>
      </w:r>
      <w:r>
        <w:rPr>
          <w:rFonts w:ascii="Arial" w:cs="Arial" w:eastAsia="Arial" w:hAnsi="Arial"/>
          <w:sz w:val="12"/>
          <w:szCs w:val="12"/>
          <w:color w:val="auto"/>
        </w:rPr>
        <w:t>. From time to time, corporate governance materials on our website may be updated to comply with rules issued by the SEC and the New York Stock Exchange (“NYSE”) or as desirable to promote the effective governance of Schlumberger.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Any stockholder wishing to receive, without charge, a copy of any of Schlumberger’s SEC filings should write to the Secretary, Schlumberger Limited, 5599 San Felipe, 17</w:t>
      </w:r>
      <w:r>
        <w:rPr>
          <w:rFonts w:ascii="Arial" w:cs="Arial" w:eastAsia="Arial" w:hAnsi="Arial"/>
          <w:sz w:val="7"/>
          <w:szCs w:val="7"/>
          <w:color w:val="auto"/>
        </w:rPr>
        <w:t>th</w:t>
      </w:r>
      <w:r>
        <w:rPr>
          <w:rFonts w:ascii="Arial" w:cs="Arial" w:eastAsia="Arial" w:hAnsi="Arial"/>
          <w:sz w:val="12"/>
          <w:szCs w:val="12"/>
          <w:color w:val="auto"/>
        </w:rPr>
        <w:t xml:space="preserve"> Floor, Houston, Texas 77056, USA.</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Schlumberger has filed the required certifications under Section 302 of the Sarbanes-Oxley Act of 2002 as Exhibits 31.1 and 31.2 to this Form 10-K.</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information on our website or any other website is not incorporated by reference in this Report and should not be considered part of this Report or any other filing Schlumberger makes with the SEC.</w:t>
      </w:r>
    </w:p>
    <w:p>
      <w:pPr>
        <w:spacing w:after="0" w:line="135"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1A.</w:t>
      </w:r>
      <w:r>
        <w:rPr>
          <w:sz w:val="20"/>
          <w:szCs w:val="20"/>
          <w:color w:val="auto"/>
        </w:rPr>
        <w:tab/>
      </w:r>
      <w:r>
        <w:rPr>
          <w:rFonts w:ascii="Arial" w:cs="Arial" w:eastAsia="Arial" w:hAnsi="Arial"/>
          <w:sz w:val="9"/>
          <w:szCs w:val="9"/>
          <w:b w:val="1"/>
          <w:bCs w:val="1"/>
          <w:u w:val="single" w:color="auto"/>
          <w:color w:val="auto"/>
        </w:rPr>
        <w:t>Risk Factors.</w:t>
      </w:r>
    </w:p>
    <w:p>
      <w:pPr>
        <w:spacing w:after="0" w:line="62" w:lineRule="exact"/>
        <w:rPr>
          <w:sz w:val="20"/>
          <w:szCs w:val="20"/>
          <w:color w:val="auto"/>
        </w:rPr>
      </w:pPr>
    </w:p>
    <w:p>
      <w:pPr>
        <w:ind w:right="140" w:firstLine="230"/>
        <w:spacing w:after="0" w:line="314" w:lineRule="auto"/>
        <w:rPr>
          <w:sz w:val="20"/>
          <w:szCs w:val="20"/>
          <w:color w:val="auto"/>
        </w:rPr>
      </w:pPr>
      <w:r>
        <w:rPr>
          <w:rFonts w:ascii="Arial" w:cs="Arial" w:eastAsia="Arial" w:hAnsi="Arial"/>
          <w:sz w:val="11"/>
          <w:szCs w:val="11"/>
          <w:color w:val="auto"/>
        </w:rPr>
        <w:t>The following discussion of risk factors may be important information in understanding our “forward-looking statements,” which are discussed immediately following Item 7A. of this Form 10-K and elsewhere. These risk factors should also be read in conjunction with Item 7. Management’s Discussion and Analysis of Financial Condition and Results of Operations, and the consolidated financial statements and related notes included in this Form 10-K.</w:t>
      </w:r>
    </w:p>
    <w:p>
      <w:pPr>
        <w:spacing w:after="0" w:line="65" w:lineRule="exact"/>
        <w:rPr>
          <w:sz w:val="20"/>
          <w:szCs w:val="20"/>
          <w:color w:val="auto"/>
        </w:rPr>
      </w:pPr>
    </w:p>
    <w:p>
      <w:pPr>
        <w:ind w:firstLine="230"/>
        <w:spacing w:after="0" w:line="256" w:lineRule="auto"/>
        <w:rPr>
          <w:sz w:val="20"/>
          <w:szCs w:val="20"/>
          <w:color w:val="auto"/>
        </w:rPr>
      </w:pPr>
      <w:r>
        <w:rPr>
          <w:rFonts w:ascii="Arial" w:cs="Arial" w:eastAsia="Arial" w:hAnsi="Arial"/>
          <w:sz w:val="12"/>
          <w:szCs w:val="12"/>
          <w:i w:val="1"/>
          <w:iCs w:val="1"/>
          <w:color w:val="auto"/>
        </w:rPr>
        <w:t>We urge you to consider carefully the risks described below, as well as in other reports and materials that we file with the SEC and the other information included or incorporated by reference in this Form 10-K. If any of the risks described below or elsewhere in this 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40" w:lineRule="exact"/>
        <w:rPr>
          <w:sz w:val="20"/>
          <w:szCs w:val="20"/>
          <w:color w:val="auto"/>
        </w:rPr>
      </w:pPr>
    </w:p>
    <w:p>
      <w:pPr>
        <w:ind w:right="20"/>
        <w:spacing w:after="0" w:line="272" w:lineRule="auto"/>
        <w:rPr>
          <w:sz w:val="20"/>
          <w:szCs w:val="20"/>
          <w:color w:val="auto"/>
        </w:rPr>
      </w:pPr>
      <w:r>
        <w:rPr>
          <w:rFonts w:ascii="Arial" w:cs="Arial" w:eastAsia="Arial" w:hAnsi="Arial"/>
          <w:sz w:val="12"/>
          <w:szCs w:val="12"/>
          <w:b w:val="1"/>
          <w:bCs w:val="1"/>
          <w:color w:val="auto"/>
        </w:rPr>
        <w:t>Demand for the majority of our services is substantially dependent on the levels of expenditures by the oil and gas industry. A substantial or an extended decline in oil and gas prices could result in lower expenditures by the oil and gas industry, which could have a material adverse effect on our financial condition, results of operations and cash flows.</w:t>
      </w:r>
    </w:p>
    <w:p>
      <w:pPr>
        <w:spacing w:after="0" w:line="31" w:lineRule="exact"/>
        <w:rPr>
          <w:sz w:val="20"/>
          <w:szCs w:val="20"/>
          <w:color w:val="auto"/>
        </w:rPr>
      </w:pPr>
    </w:p>
    <w:p>
      <w:pPr>
        <w:ind w:right="140" w:firstLine="230"/>
        <w:spacing w:after="0" w:line="252" w:lineRule="auto"/>
        <w:rPr>
          <w:sz w:val="20"/>
          <w:szCs w:val="20"/>
          <w:color w:val="auto"/>
        </w:rPr>
      </w:pPr>
      <w:r>
        <w:rPr>
          <w:rFonts w:ascii="Arial" w:cs="Arial" w:eastAsia="Arial" w:hAnsi="Arial"/>
          <w:sz w:val="12"/>
          <w:szCs w:val="12"/>
          <w:color w:val="auto"/>
        </w:rPr>
        <w:t>Demand for the majority of our services depends substantially on the level of expenditures by the oil and gas industry for the exploration, development and production of oil and natural gas reserves. These expenditures are generally dependent on the industry’s view of future oil and natural gas prices and are sensitive to the industry’s view of future economic growth and the resulting impact on demand for oil and natural gas. Declines, as well as anticipated declines, in oil and gas prices could also result in project modifications, delays or cancellations, general business disruptions, and delays in, or nonpayment of, amounts that are owed to us. These effects could have a material adverse effect on our financial condition, results of operations and cash flows.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prices for oil and natural gas have historically been volatile and can be affected by a variety of factors, including:</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9"/>
          <w:szCs w:val="9"/>
          <w:color w:val="auto"/>
        </w:rPr>
        <w:t>7</w:t>
      </w:r>
    </w:p>
    <w:p>
      <w:pPr>
        <w:sectPr>
          <w:pgSz w:w="11900" w:h="16838" w:orient="portrait"/>
          <w:cols w:equalWidth="0" w:num="1">
            <w:col w:w="11440"/>
          </w:cols>
          <w:pgMar w:left="220" w:top="354" w:right="239"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demand for hydrocarbons, which is affected by general economic and business conditions;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the ability of the Organization of Petroleum Exporting Countries (“OPEC”) to set and maintain production levels for oil;</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oil and gas production levels by non-OPEC countries;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the level of excess production capacity;</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political and economic uncertainty and sociopolitical unrest;</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the level of worldwide oil and gas exploration and production activity;</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access to potential resources;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governmental policies and subsidies;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the costs of exploring for, producing and delivering oil and gas;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technological advances affecting energy consumption; and</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weather conditions.</w:t>
      </w:r>
    </w:p>
    <w:p>
      <w:pPr>
        <w:spacing w:after="0" w:line="114" w:lineRule="exact"/>
        <w:rPr>
          <w:sz w:val="20"/>
          <w:szCs w:val="20"/>
          <w:color w:val="auto"/>
        </w:rPr>
      </w:pPr>
    </w:p>
    <w:p>
      <w:pPr>
        <w:ind w:firstLine="230"/>
        <w:spacing w:after="0" w:line="268" w:lineRule="auto"/>
        <w:rPr>
          <w:sz w:val="20"/>
          <w:szCs w:val="20"/>
          <w:color w:val="auto"/>
        </w:rPr>
      </w:pPr>
      <w:r>
        <w:rPr>
          <w:rFonts w:ascii="Arial" w:cs="Arial" w:eastAsia="Arial" w:hAnsi="Arial"/>
          <w:sz w:val="12"/>
          <w:szCs w:val="12"/>
          <w:color w:val="auto"/>
        </w:rPr>
        <w:t>The oil and gas industry has historically experienced periodic downturns, which have been characterized by diminished demand for oilfield services and downward pressure on the prices we charge. A significant downturn in the oil and gas industry could result in a reduction in demand for oilfield services and could adversely affect our financial condition, results of operations and cash flows.</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 significant portion of our revenue is derived from our non-United States operations, which exposes us to risks inherent in doing business in each of the approximately 85 countries in which we operate.</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Our non-United States operations accounted for approximately 68% of our consolidated revenue in 2011, 76% in 2010 and 84% in 2009. Operations in countries other than the United States are subject to various risks, including:</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political and economic conditions in certain areas;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exposure to possible expropriation of our assets or other governmental actions;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social unrest, acts of terrorism, war or other armed conflict;</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confiscatory taxation or other adverse tax policies;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deprivation of contract rights;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trade restrictions or embargoes imposed by the United States or other countries;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restrictions under the United States Foreign Corrupt Practices Act or similar legislation in other countries;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restrictions on the repatriation of income or capital;</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currency exchange controls;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1"/>
          <w:szCs w:val="11"/>
          <w:color w:val="auto"/>
        </w:rPr>
        <w:t>inflation; and</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currency exchange rate fluctuations and devaluations.</w:t>
      </w:r>
    </w:p>
    <w:p>
      <w:pPr>
        <w:spacing w:after="0" w:line="114" w:lineRule="exact"/>
        <w:rPr>
          <w:sz w:val="20"/>
          <w:szCs w:val="20"/>
          <w:color w:val="auto"/>
        </w:rPr>
      </w:pPr>
    </w:p>
    <w:p>
      <w:pPr>
        <w:ind w:right="20" w:firstLine="230"/>
        <w:spacing w:after="0" w:line="275" w:lineRule="auto"/>
        <w:rPr>
          <w:sz w:val="20"/>
          <w:szCs w:val="20"/>
          <w:color w:val="auto"/>
        </w:rPr>
      </w:pPr>
      <w:r>
        <w:rPr>
          <w:rFonts w:ascii="Arial" w:cs="Arial" w:eastAsia="Arial" w:hAnsi="Arial"/>
          <w:sz w:val="11"/>
          <w:szCs w:val="11"/>
          <w:color w:val="auto"/>
        </w:rPr>
        <w:t>In addition, we are subject to risks associated with our operations in countries, including Iran, Syria, Sudan and Cuba, that are subject to trade and economic sanctions or other restrictions imposed by the United States or other governments or organizations. United States law enforcement authorities are currently conducting a grand jury investigation and an associated regulatory inquiry related to our operations in certain of these countries. Additionally, in 2009 prior to being acquired by Schlumberger, Smith received an administrative subpoena with respect to its historical business practices in certain countries that are subject to United States trade and economic sanctions. If any of the risks described above materialize, or if any governmental investigation results in criminal or civil penalties or other remedial measures, it could reduce our earnings and our cash available for operations.</w:t>
      </w:r>
    </w:p>
    <w:p>
      <w:pPr>
        <w:spacing w:after="0" w:line="1" w:lineRule="exact"/>
        <w:rPr>
          <w:sz w:val="20"/>
          <w:szCs w:val="20"/>
          <w:color w:val="auto"/>
        </w:rPr>
      </w:pPr>
    </w:p>
    <w:p>
      <w:pPr>
        <w:ind w:right="120" w:firstLine="230"/>
        <w:spacing w:after="0" w:line="261" w:lineRule="auto"/>
        <w:rPr>
          <w:sz w:val="20"/>
          <w:szCs w:val="20"/>
          <w:color w:val="auto"/>
        </w:rPr>
      </w:pPr>
      <w:r>
        <w:rPr>
          <w:rFonts w:ascii="Arial" w:cs="Arial" w:eastAsia="Arial" w:hAnsi="Arial"/>
          <w:sz w:val="12"/>
          <w:szCs w:val="12"/>
          <w:color w:val="auto"/>
        </w:rPr>
        <w:t>We are also subject to risks related to investment in our common stock in connection with certain US state divestment or investment limitation legislation applicable to companies with operations in these countries, and similar actions by some private investors, which could adversely affect the market price of our common stock.</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9"/>
          <w:szCs w:val="9"/>
          <w:color w:val="auto"/>
        </w:rPr>
        <w:t>8</w:t>
      </w:r>
    </w:p>
    <w:p>
      <w:pPr>
        <w:sectPr>
          <w:pgSz w:w="11900" w:h="16838" w:orient="portrait"/>
          <w:cols w:equalWidth="0" w:num="1">
            <w:col w:w="11400"/>
          </w:cols>
          <w:pgMar w:left="220" w:top="354" w:right="279"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right="100"/>
        <w:spacing w:after="0" w:line="272" w:lineRule="auto"/>
        <w:rPr>
          <w:sz w:val="20"/>
          <w:szCs w:val="20"/>
          <w:color w:val="auto"/>
        </w:rPr>
      </w:pPr>
      <w:r>
        <w:rPr>
          <w:rFonts w:ascii="Arial" w:cs="Arial" w:eastAsia="Arial" w:hAnsi="Arial"/>
          <w:sz w:val="12"/>
          <w:szCs w:val="12"/>
          <w:b w:val="1"/>
          <w:bCs w:val="1"/>
          <w:color w:val="auto"/>
        </w:rPr>
        <w:t>Our offshore oil and gas operations could be adversely impacted by the Deepwater Horizon drilling rig accident as resulting changes in and compliance with restrictions or regulations on offshore drilling in the US Gulf of Mexico and in other areas around the world may adversely affect our business and operating results.</w:t>
      </w:r>
    </w:p>
    <w:p>
      <w:pPr>
        <w:spacing w:after="0" w:line="31" w:lineRule="exact"/>
        <w:rPr>
          <w:sz w:val="20"/>
          <w:szCs w:val="20"/>
          <w:color w:val="auto"/>
        </w:rPr>
      </w:pPr>
    </w:p>
    <w:p>
      <w:pPr>
        <w:ind w:right="100" w:firstLine="230"/>
        <w:spacing w:after="0" w:line="252" w:lineRule="auto"/>
        <w:rPr>
          <w:sz w:val="20"/>
          <w:szCs w:val="20"/>
          <w:color w:val="auto"/>
        </w:rPr>
      </w:pPr>
      <w:r>
        <w:rPr>
          <w:rFonts w:ascii="Arial" w:cs="Arial" w:eastAsia="Arial" w:hAnsi="Arial"/>
          <w:sz w:val="12"/>
          <w:szCs w:val="12"/>
          <w:color w:val="auto"/>
        </w:rPr>
        <w:t xml:space="preserve">On April 20, 2010, a fire and explosion occurred onboard the semisubmersible drilling rig </w:t>
      </w:r>
      <w:r>
        <w:rPr>
          <w:rFonts w:ascii="Arial" w:cs="Arial" w:eastAsia="Arial" w:hAnsi="Arial"/>
          <w:sz w:val="12"/>
          <w:szCs w:val="12"/>
          <w:i w:val="1"/>
          <w:iCs w:val="1"/>
          <w:color w:val="auto"/>
        </w:rPr>
        <w:t>Deepwater Horizon</w:t>
      </w:r>
      <w:r>
        <w:rPr>
          <w:rFonts w:ascii="Arial" w:cs="Arial" w:eastAsia="Arial" w:hAnsi="Arial"/>
          <w:sz w:val="12"/>
          <w:szCs w:val="12"/>
          <w:color w:val="auto"/>
        </w:rPr>
        <w:t>, owned by Transocean Ltd. and under contract to a subsidiary of BP plc. As a result of the incident and related oil spill, the Secretary of the US Department of the Interior directed the Bureau of Ocean Energy Management, Regulation and Enforcement (“BOEMRE”) to issue a suspension, of deepwater drilling activities, which was lifted on October 12, 2010. In October 2010, BOEMRE, now split into the Bureau of Ocean Energy Management and the Bureau of Safety and Environmental Enforcement, issued new guidelines and regulations regarding safety, environmental matters, drilling equipment and decommissioning applicable to drilling in the US Gulf of Mexico, and may take other additional steps that could result in permitting delays, increased costs of exploration and production and reduced areas of operations which could reduce the demand for our services.</w:t>
      </w:r>
    </w:p>
    <w:p>
      <w:pPr>
        <w:ind w:right="60" w:firstLine="230"/>
        <w:spacing w:after="0" w:line="428" w:lineRule="auto"/>
        <w:rPr>
          <w:sz w:val="20"/>
          <w:szCs w:val="20"/>
          <w:color w:val="auto"/>
        </w:rPr>
      </w:pPr>
      <w:r>
        <w:rPr>
          <w:rFonts w:ascii="Arial" w:cs="Arial" w:eastAsia="Arial" w:hAnsi="Arial"/>
          <w:sz w:val="9"/>
          <w:szCs w:val="9"/>
          <w:color w:val="auto"/>
        </w:rPr>
        <w:t xml:space="preserve">At this time, we cannot predict with any certainty what further impact, if any, the </w:t>
      </w:r>
      <w:r>
        <w:rPr>
          <w:rFonts w:ascii="Arial" w:cs="Arial" w:eastAsia="Arial" w:hAnsi="Arial"/>
          <w:sz w:val="9"/>
          <w:szCs w:val="9"/>
          <w:i w:val="1"/>
          <w:iCs w:val="1"/>
          <w:color w:val="auto"/>
        </w:rPr>
        <w:t>Deepwater Horizon</w:t>
      </w:r>
      <w:r>
        <w:rPr>
          <w:rFonts w:ascii="Arial" w:cs="Arial" w:eastAsia="Arial" w:hAnsi="Arial"/>
          <w:sz w:val="9"/>
          <w:szCs w:val="9"/>
          <w:color w:val="auto"/>
        </w:rPr>
        <w:t xml:space="preserve"> incident may have on the regulation of offshore oil and gas exploration and development activity, or on the cost or availability of insurance coverage to cover the risks of such operations. The enactment of new or stricter regulations in the United States and other countries where we operate could adversely affect our financial condition, results of operations and cash flows.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compliance costs and liabilities could reduce our earnings and cash available for operations.</w:t>
      </w:r>
    </w:p>
    <w:p>
      <w:pPr>
        <w:spacing w:after="0" w:line="62" w:lineRule="exact"/>
        <w:rPr>
          <w:sz w:val="20"/>
          <w:szCs w:val="20"/>
          <w:color w:val="auto"/>
        </w:rPr>
      </w:pPr>
    </w:p>
    <w:p>
      <w:pPr>
        <w:ind w:firstLine="230"/>
        <w:spacing w:after="0" w:line="275" w:lineRule="auto"/>
        <w:rPr>
          <w:sz w:val="20"/>
          <w:szCs w:val="20"/>
          <w:color w:val="auto"/>
        </w:rPr>
      </w:pPr>
      <w:r>
        <w:rPr>
          <w:rFonts w:ascii="Arial" w:cs="Arial" w:eastAsia="Arial" w:hAnsi="Arial"/>
          <w:sz w:val="11"/>
          <w:szCs w:val="11"/>
          <w:color w:val="auto"/>
        </w:rPr>
        <w:t>We are subject to increasingly stringent laws and regulations relating to importation and use of hazardous materials, radioactive materials and explosives and to environmental protection, including laws and regulations governing air emissions, water discharges and waste management. We incur, and expect to continue to incur, capital and operating costs to comply with environmental laws and regulations. The technical requirements of these laws and regulations are becoming increasingly complex, stringent and expensive to implement. These laws may provide for “strict liability” for remediation costs, damages to natural resources or threats to public health and safety. Strict liability can render a party liable for damages without regard to negligence or fault on the part of the party. Some environmental laws provide for joint and several strict liability for remediation of spills and releases of hazardous substances.</w:t>
      </w:r>
    </w:p>
    <w:p>
      <w:pPr>
        <w:spacing w:after="0" w:line="1" w:lineRule="exact"/>
        <w:rPr>
          <w:sz w:val="20"/>
          <w:szCs w:val="20"/>
          <w:color w:val="auto"/>
        </w:rPr>
      </w:pPr>
    </w:p>
    <w:p>
      <w:pPr>
        <w:ind w:right="140" w:firstLine="230"/>
        <w:spacing w:after="0" w:line="284" w:lineRule="auto"/>
        <w:rPr>
          <w:sz w:val="20"/>
          <w:szCs w:val="20"/>
          <w:color w:val="auto"/>
        </w:rPr>
      </w:pPr>
      <w:r>
        <w:rPr>
          <w:rFonts w:ascii="Arial" w:cs="Arial" w:eastAsia="Arial" w:hAnsi="Arial"/>
          <w:sz w:val="11"/>
          <w:szCs w:val="11"/>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 We believe we are currently in substantial compliance with environmental laws and regulations.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could be subject to substantial liability claims, which could adversely affect our financial condition, results of operations and cash flows.</w:t>
      </w:r>
    </w:p>
    <w:p>
      <w:pPr>
        <w:spacing w:after="0" w:line="62" w:lineRule="exact"/>
        <w:rPr>
          <w:sz w:val="20"/>
          <w:szCs w:val="20"/>
          <w:color w:val="auto"/>
        </w:rPr>
      </w:pPr>
    </w:p>
    <w:p>
      <w:pPr>
        <w:ind w:right="100" w:firstLine="230"/>
        <w:spacing w:after="0" w:line="283" w:lineRule="auto"/>
        <w:rPr>
          <w:sz w:val="20"/>
          <w:szCs w:val="20"/>
          <w:color w:val="auto"/>
        </w:rPr>
      </w:pPr>
      <w:r>
        <w:rPr>
          <w:rFonts w:ascii="Arial" w:cs="Arial" w:eastAsia="Arial" w:hAnsi="Arial"/>
          <w:sz w:val="11"/>
          <w:szCs w:val="11"/>
          <w:color w:val="auto"/>
        </w:rPr>
        <w:t>The technical complexities of our operations are such that we are exposed to a wide range of significant health, safety and environmental risks. Our offerings involve production-related activities, radioactive materials, explosives and other equipment and services that are deployed in challenging exploration, development and production environments. An accident involving these services or equipment, or a failure of a product, could cause personal injury, loss of life, damage to property, equipment or the environment, or suspension of operations. Our insurance may not protect us against liability for some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are subject to substantial deductibles, could adversely affect our financial condition, results of operations and cash flows.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9</w:t>
      </w:r>
    </w:p>
    <w:p>
      <w:pPr>
        <w:sectPr>
          <w:pgSz w:w="11900" w:h="16838" w:orient="portrait"/>
          <w:cols w:equalWidth="0" w:num="1">
            <w:col w:w="11460"/>
          </w:cols>
          <w:pgMar w:left="220" w:top="354" w:right="219"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Demand for our products and services could be reduced by changes in governmental regulations or in the law.</w:t>
      </w:r>
    </w:p>
    <w:p>
      <w:pPr>
        <w:spacing w:after="0" w:line="62" w:lineRule="exact"/>
        <w:rPr>
          <w:sz w:val="20"/>
          <w:szCs w:val="20"/>
          <w:color w:val="auto"/>
        </w:rPr>
      </w:pPr>
    </w:p>
    <w:p>
      <w:pPr>
        <w:ind w:right="360" w:firstLine="230"/>
        <w:spacing w:after="0" w:line="253" w:lineRule="auto"/>
        <w:rPr>
          <w:sz w:val="20"/>
          <w:szCs w:val="20"/>
          <w:color w:val="auto"/>
        </w:rPr>
      </w:pPr>
      <w:r>
        <w:rPr>
          <w:rFonts w:ascii="Arial" w:cs="Arial" w:eastAsia="Arial" w:hAnsi="Arial"/>
          <w:sz w:val="12"/>
          <w:szCs w:val="12"/>
          <w:color w:val="auto"/>
        </w:rPr>
        <w:t>International, national and state governments and agencies are currently evaluating and promulgating climate-related legislation and regulations that are focused on restricting greenhouse gas emissions. Such legislation, as well as government initiatives to conserve energy or to promote the use of alternative energy sources, may significantly curtail production and demand for fossil fuels such as oil and gas in areas of the world where our customers operate and thus adversely affect future demand for our services, which may in turn adversely affect our financial condition, results of operations and cash flows.</w:t>
      </w:r>
    </w:p>
    <w:p>
      <w:pPr>
        <w:ind w:right="120" w:firstLine="230"/>
        <w:spacing w:after="0" w:line="255" w:lineRule="auto"/>
        <w:rPr>
          <w:sz w:val="20"/>
          <w:szCs w:val="20"/>
          <w:color w:val="auto"/>
        </w:rPr>
      </w:pPr>
      <w:r>
        <w:rPr>
          <w:rFonts w:ascii="Arial" w:cs="Arial" w:eastAsia="Arial" w:hAnsi="Arial"/>
          <w:sz w:val="12"/>
          <w:szCs w:val="12"/>
          <w:color w:val="auto"/>
        </w:rPr>
        <w:t>International, national and state governments and agencies are also currently evaluating and promulgating legislation and regulations that are focused on the extraction of shale gas using hydraulic fracturing. Such legislation or regulations could lead to operational delays and increased costs and, therefore, reduce demand for our pressure pumping services. If additional international, national or state legislation or regulations are enacted, it could adversely affect our financial condition, results of operations and cash flows.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If we are unable to maintain technology leadership, this could adversely affect any competitive advantage we hold.</w:t>
      </w:r>
    </w:p>
    <w:p>
      <w:pPr>
        <w:spacing w:after="0" w:line="62" w:lineRule="exact"/>
        <w:rPr>
          <w:sz w:val="20"/>
          <w:szCs w:val="20"/>
          <w:color w:val="auto"/>
        </w:rPr>
      </w:pPr>
    </w:p>
    <w:p>
      <w:pPr>
        <w:ind w:firstLine="230"/>
        <w:spacing w:after="0" w:line="268" w:lineRule="auto"/>
        <w:rPr>
          <w:sz w:val="20"/>
          <w:szCs w:val="20"/>
          <w:color w:val="auto"/>
        </w:rPr>
      </w:pPr>
      <w:r>
        <w:rPr>
          <w:rFonts w:ascii="Arial" w:cs="Arial" w:eastAsia="Arial" w:hAnsi="Arial"/>
          <w:sz w:val="12"/>
          <w:szCs w:val="12"/>
          <w:color w:val="auto"/>
        </w:rPr>
        <w:t>If we are unable to develop and produce competitive technology or deliver it to our clients—in a timely and cost-competitive manner in the various markets we serve, it could adversely affect our financial condition, results of operations and cash flows.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on our ability to protect our intellectual property rights, including our trade secrets, could cause a loss in revenue and any competitive advantage we hold.</w:t>
      </w:r>
    </w:p>
    <w:p>
      <w:pPr>
        <w:spacing w:after="0" w:line="116" w:lineRule="exact"/>
        <w:rPr>
          <w:sz w:val="20"/>
          <w:szCs w:val="20"/>
          <w:color w:val="auto"/>
        </w:rPr>
      </w:pPr>
    </w:p>
    <w:p>
      <w:pPr>
        <w:ind w:right="180" w:firstLine="230"/>
        <w:spacing w:after="0" w:line="294" w:lineRule="auto"/>
        <w:rPr>
          <w:sz w:val="20"/>
          <w:szCs w:val="20"/>
          <w:color w:val="auto"/>
        </w:rPr>
      </w:pPr>
      <w:r>
        <w:rPr>
          <w:rFonts w:ascii="Arial" w:cs="Arial" w:eastAsia="Arial" w:hAnsi="Arial"/>
          <w:sz w:val="11"/>
          <w:szCs w:val="11"/>
          <w:color w:val="auto"/>
        </w:rPr>
        <w:t>Some of our products or services, and the processes we use to produce or provide them, have been granted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 which could adversely affect our financial condition, results of operations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be subject to litigation if another party claims that we have infringed upon its intellectual property rights.</w:t>
      </w:r>
    </w:p>
    <w:p>
      <w:pPr>
        <w:spacing w:after="0" w:line="62" w:lineRule="exact"/>
        <w:rPr>
          <w:sz w:val="20"/>
          <w:szCs w:val="20"/>
          <w:color w:val="auto"/>
        </w:rPr>
      </w:pPr>
    </w:p>
    <w:p>
      <w:pPr>
        <w:jc w:val="both"/>
        <w:ind w:right="140" w:firstLine="230"/>
        <w:spacing w:after="0" w:line="294" w:lineRule="auto"/>
        <w:rPr>
          <w:sz w:val="20"/>
          <w:szCs w:val="20"/>
          <w:color w:val="auto"/>
        </w:rPr>
      </w:pPr>
      <w:r>
        <w:rPr>
          <w:rFonts w:ascii="Arial" w:cs="Arial" w:eastAsia="Arial" w:hAnsi="Arial"/>
          <w:sz w:val="11"/>
          <w:szCs w:val="11"/>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service or product, which could adversely affect our financial condition, results of operations and cash flows. Additionally, developing non-infringing technologies would increase our costs.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Failure to obtain and retain skilled technical personnel could impede our operations.</w:t>
      </w:r>
    </w:p>
    <w:p>
      <w:pPr>
        <w:spacing w:after="0" w:line="62" w:lineRule="exact"/>
        <w:rPr>
          <w:sz w:val="20"/>
          <w:szCs w:val="20"/>
          <w:color w:val="auto"/>
        </w:rPr>
      </w:pPr>
    </w:p>
    <w:p>
      <w:pPr>
        <w:ind w:right="320" w:firstLine="230"/>
        <w:spacing w:after="0" w:line="268" w:lineRule="auto"/>
        <w:rPr>
          <w:sz w:val="20"/>
          <w:szCs w:val="20"/>
          <w:color w:val="auto"/>
        </w:rPr>
      </w:pPr>
      <w:r>
        <w:rPr>
          <w:rFonts w:ascii="Arial" w:cs="Arial" w:eastAsia="Arial" w:hAnsi="Arial"/>
          <w:sz w:val="12"/>
          <w:szCs w:val="12"/>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Severe weather conditions may affect our operations.</w:t>
      </w:r>
    </w:p>
    <w:p>
      <w:pPr>
        <w:spacing w:after="0" w:line="62" w:lineRule="exact"/>
        <w:rPr>
          <w:sz w:val="20"/>
          <w:szCs w:val="20"/>
          <w:color w:val="auto"/>
        </w:rPr>
      </w:pPr>
    </w:p>
    <w:p>
      <w:pPr>
        <w:ind w:right="500" w:firstLine="230"/>
        <w:spacing w:after="0" w:line="268" w:lineRule="auto"/>
        <w:rPr>
          <w:sz w:val="20"/>
          <w:szCs w:val="20"/>
          <w:color w:val="auto"/>
        </w:rPr>
      </w:pPr>
      <w:r>
        <w:rPr>
          <w:rFonts w:ascii="Arial" w:cs="Arial" w:eastAsia="Arial" w:hAnsi="Arial"/>
          <w:sz w:val="12"/>
          <w:szCs w:val="12"/>
          <w:color w:val="auto"/>
        </w:rPr>
        <w:t>Our business may be materially affected by severe weather conditions in areas where we operate. This may entail the evacuation of personnel and stoppage of services. In addition, if particularly severe weather affects platforms or structures, this may result in a suspension of activities. Any of these events could adversely affect our financial condition, results of operations and cash flows.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10</w:t>
      </w:r>
    </w:p>
    <w:p>
      <w:pPr>
        <w:sectPr>
          <w:pgSz w:w="11900" w:h="16838" w:orient="portrait"/>
          <w:cols w:equalWidth="0" w:num="1">
            <w:col w:w="11460"/>
          </w:cols>
          <w:pgMar w:left="220" w:top="354" w:right="219"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1B.</w:t>
      </w:r>
      <w:r>
        <w:rPr>
          <w:sz w:val="20"/>
          <w:szCs w:val="20"/>
          <w:color w:val="auto"/>
        </w:rPr>
        <w:tab/>
      </w:r>
      <w:r>
        <w:rPr>
          <w:rFonts w:ascii="Arial" w:cs="Arial" w:eastAsia="Arial" w:hAnsi="Arial"/>
          <w:sz w:val="9"/>
          <w:szCs w:val="9"/>
          <w:b w:val="1"/>
          <w:bCs w:val="1"/>
          <w:u w:val="single" w:color="auto"/>
          <w:color w:val="auto"/>
        </w:rPr>
        <w:t>Unresolved Staff Comments.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None.</w:t>
      </w:r>
    </w:p>
    <w:p>
      <w:pPr>
        <w:spacing w:after="0" w:line="58"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2.</w:t>
      </w:r>
      <w:r>
        <w:rPr>
          <w:sz w:val="20"/>
          <w:szCs w:val="20"/>
          <w:color w:val="auto"/>
        </w:rPr>
        <w:tab/>
      </w:r>
      <w:r>
        <w:rPr>
          <w:rFonts w:ascii="Arial" w:cs="Arial" w:eastAsia="Arial" w:hAnsi="Arial"/>
          <w:sz w:val="9"/>
          <w:szCs w:val="9"/>
          <w:b w:val="1"/>
          <w:bCs w:val="1"/>
          <w:u w:val="single" w:color="auto"/>
          <w:color w:val="auto"/>
        </w:rPr>
        <w:t>Properties.</w:t>
      </w:r>
    </w:p>
    <w:p>
      <w:pPr>
        <w:spacing w:after="0" w:line="62" w:lineRule="exact"/>
        <w:rPr>
          <w:sz w:val="20"/>
          <w:szCs w:val="20"/>
          <w:color w:val="auto"/>
        </w:rPr>
      </w:pPr>
    </w:p>
    <w:p>
      <w:pPr>
        <w:ind w:right="200" w:firstLine="230"/>
        <w:spacing w:after="0" w:line="277" w:lineRule="auto"/>
        <w:rPr>
          <w:sz w:val="20"/>
          <w:szCs w:val="20"/>
          <w:color w:val="auto"/>
        </w:rPr>
      </w:pPr>
      <w:r>
        <w:rPr>
          <w:rFonts w:ascii="Arial" w:cs="Arial" w:eastAsia="Arial" w:hAnsi="Arial"/>
          <w:sz w:val="11"/>
          <w:szCs w:val="11"/>
          <w:color w:val="auto"/>
        </w:rPr>
        <w:t>Schlumberger owns or leases numerous manufacturing facilities, administrative offices, service centers, research centers, data processing centers, mines, ore, drilling fluid and production chemical processing centers, sales offices and warehouses throughout the world. Schlumberger views its principal manufacturing, mining and processing facilities, research centers and data processing centers as its “principal owned or leased facilities.”</w:t>
      </w:r>
    </w:p>
    <w:p>
      <w:pPr>
        <w:ind w:left="220"/>
        <w:spacing w:after="0"/>
        <w:rPr>
          <w:sz w:val="20"/>
          <w:szCs w:val="20"/>
          <w:color w:val="auto"/>
        </w:rPr>
      </w:pPr>
      <w:r>
        <w:rPr>
          <w:rFonts w:ascii="Arial" w:cs="Arial" w:eastAsia="Arial" w:hAnsi="Arial"/>
          <w:sz w:val="12"/>
          <w:szCs w:val="12"/>
          <w:color w:val="auto"/>
        </w:rPr>
        <w:t>The following sets forth Schlumberger’s principal owned or leased facilities by business segment:</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9"/>
          <w:szCs w:val="9"/>
          <w:i w:val="1"/>
          <w:iCs w:val="1"/>
          <w:color w:val="auto"/>
        </w:rPr>
        <w:t>Oilfield Services</w:t>
      </w:r>
      <w:r>
        <w:rPr>
          <w:rFonts w:ascii="Arial" w:cs="Arial" w:eastAsia="Arial" w:hAnsi="Arial"/>
          <w:sz w:val="9"/>
          <w:szCs w:val="9"/>
          <w:color w:val="auto"/>
        </w:rPr>
        <w:t>: Beijing, China; Clamart and Abbeville, France; Mumbai, India; Fuchinobe, Japan; Oslo and Dusavik, Norway; Singapore; Abingdon, Cambridge, Gatwick and Stonehouse, United Kingdom; Moscow, Russia; and within</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the United States: Boston, Massachusetts; Houston, Rosharon and Sugar Land, Texas; Ponca City, Oklahoma; Lawrence, Kansas; Battle Mountain, Nevada; Greybull, Wyoming and Florence, Kentucky.</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Distribution</w:t>
      </w:r>
      <w:r>
        <w:rPr>
          <w:rFonts w:ascii="Arial" w:cs="Arial" w:eastAsia="Arial" w:hAnsi="Arial"/>
          <w:sz w:val="12"/>
          <w:szCs w:val="12"/>
          <w:color w:val="auto"/>
        </w:rPr>
        <w:t>: Edmonton, Canada; and within the United States: LaPorte, Texas; Long Beach, California; and South Plainfield, New Jersey.</w:t>
      </w:r>
    </w:p>
    <w:p>
      <w:pPr>
        <w:spacing w:after="0" w:line="135"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3.</w:t>
      </w:r>
      <w:r>
        <w:rPr>
          <w:sz w:val="20"/>
          <w:szCs w:val="20"/>
          <w:color w:val="auto"/>
        </w:rPr>
        <w:tab/>
      </w:r>
      <w:r>
        <w:rPr>
          <w:rFonts w:ascii="Arial" w:cs="Arial" w:eastAsia="Arial" w:hAnsi="Arial"/>
          <w:sz w:val="9"/>
          <w:szCs w:val="9"/>
          <w:b w:val="1"/>
          <w:bCs w:val="1"/>
          <w:u w:val="single" w:color="auto"/>
          <w:color w:val="auto"/>
        </w:rPr>
        <w:t>Legal Proceedings.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xml:space="preserve">The information with respect to Item 3. Legal Proceedings is set forth in Note 16 of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139"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4.</w:t>
      </w:r>
      <w:r>
        <w:rPr>
          <w:sz w:val="20"/>
          <w:szCs w:val="20"/>
          <w:color w:val="auto"/>
        </w:rPr>
        <w:tab/>
      </w:r>
      <w:r>
        <w:rPr>
          <w:rFonts w:ascii="Arial" w:cs="Arial" w:eastAsia="Arial" w:hAnsi="Arial"/>
          <w:sz w:val="9"/>
          <w:szCs w:val="9"/>
          <w:b w:val="1"/>
          <w:bCs w:val="1"/>
          <w:u w:val="single" w:color="auto"/>
          <w:color w:val="auto"/>
        </w:rPr>
        <w:t>Mine Safety Disclosures.</w:t>
      </w:r>
    </w:p>
    <w:p>
      <w:pPr>
        <w:spacing w:after="0" w:line="62" w:lineRule="exact"/>
        <w:rPr>
          <w:sz w:val="20"/>
          <w:szCs w:val="20"/>
          <w:color w:val="auto"/>
        </w:rPr>
      </w:pPr>
    </w:p>
    <w:p>
      <w:pPr>
        <w:ind w:right="100" w:firstLine="230"/>
        <w:spacing w:after="0" w:line="259" w:lineRule="auto"/>
        <w:rPr>
          <w:sz w:val="20"/>
          <w:szCs w:val="20"/>
          <w:color w:val="auto"/>
        </w:rPr>
      </w:pPr>
      <w:r>
        <w:rPr>
          <w:rFonts w:ascii="Arial" w:cs="Arial" w:eastAsia="Arial" w:hAnsi="Arial"/>
          <w:sz w:val="12"/>
          <w:szCs w:val="12"/>
          <w:color w:val="auto"/>
        </w:rPr>
        <w:t>The barite and bentonite mining operations of M-I LLC, which, following our acquisition of Smith, became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9"/>
          <w:szCs w:val="9"/>
          <w:color w:val="auto"/>
        </w:rPr>
        <w:t>11</w:t>
      </w:r>
    </w:p>
    <w:p>
      <w:pPr>
        <w:sectPr>
          <w:pgSz w:w="11900" w:h="16838" w:orient="portrait"/>
          <w:cols w:equalWidth="0" w:num="1">
            <w:col w:w="11320"/>
          </w:cols>
          <w:pgMar w:left="220" w:top="354" w:right="359"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PART II</w:t>
      </w:r>
    </w:p>
    <w:p>
      <w:pPr>
        <w:spacing w:after="0" w:line="58"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5.</w:t>
      </w:r>
      <w:r>
        <w:rPr>
          <w:sz w:val="20"/>
          <w:szCs w:val="20"/>
          <w:color w:val="auto"/>
        </w:rPr>
        <w:tab/>
      </w:r>
      <w:r>
        <w:rPr>
          <w:rFonts w:ascii="Arial" w:cs="Arial" w:eastAsia="Arial" w:hAnsi="Arial"/>
          <w:sz w:val="9"/>
          <w:szCs w:val="9"/>
          <w:b w:val="1"/>
          <w:bCs w:val="1"/>
          <w:u w:val="single" w:color="auto"/>
          <w:color w:val="auto"/>
        </w:rPr>
        <w:t>Market for Schlumberger’s Common Stock, Related Stockholder Matters and Issuer Purchases of Equity Securities.</w:t>
      </w:r>
    </w:p>
    <w:p>
      <w:pPr>
        <w:spacing w:after="0" w:line="62" w:lineRule="exact"/>
        <w:rPr>
          <w:sz w:val="20"/>
          <w:szCs w:val="20"/>
          <w:color w:val="auto"/>
        </w:rPr>
      </w:pPr>
    </w:p>
    <w:p>
      <w:pPr>
        <w:ind w:right="220" w:firstLine="230"/>
        <w:spacing w:after="0" w:line="268" w:lineRule="auto"/>
        <w:rPr>
          <w:sz w:val="20"/>
          <w:szCs w:val="20"/>
          <w:color w:val="auto"/>
        </w:rPr>
      </w:pPr>
      <w:r>
        <w:rPr>
          <w:rFonts w:ascii="Arial" w:cs="Arial" w:eastAsia="Arial" w:hAnsi="Arial"/>
          <w:sz w:val="12"/>
          <w:szCs w:val="12"/>
          <w:color w:val="auto"/>
        </w:rPr>
        <w:t>As of December 31, 2011, there were approximately 23,719 stockholders of record. The principal United States market for Schlumberger’s common stock is the NYSE, where it is traded under the symbol “SLB,” although it is traded on other exchanges in and outside the United States, including the Euronext Paris, the London Stock Exchange and the SIX Swiss Exchange.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Common Stock, Market Prices and Dividends Declared per Share</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Quarterly high and low prices for Schlumberger’s common stock as reported by the NYSE (composite transactions), together with dividends declared per share in each quarter of 2011 and 2010, were: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960" w:type="dxa"/>
            <w:vAlign w:val="bottom"/>
          </w:tcPr>
          <w:p>
            <w:pPr>
              <w:spacing w:after="0"/>
              <w:rPr>
                <w:sz w:val="9"/>
                <w:szCs w:val="9"/>
                <w:color w:val="auto"/>
              </w:rPr>
            </w:pPr>
          </w:p>
        </w:tc>
        <w:tc>
          <w:tcPr>
            <w:tcW w:w="4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Price Range</w:t>
            </w:r>
          </w:p>
        </w:tc>
        <w:tc>
          <w:tcPr>
            <w:tcW w:w="480" w:type="dxa"/>
            <w:vAlign w:val="bottom"/>
            <w:gridSpan w:val="3"/>
          </w:tcPr>
          <w:p>
            <w:pPr>
              <w:jc w:val="right"/>
              <w:ind w:right="80"/>
              <w:spacing w:after="0"/>
              <w:rPr>
                <w:sz w:val="20"/>
                <w:szCs w:val="20"/>
                <w:color w:val="auto"/>
              </w:rPr>
            </w:pPr>
            <w:r>
              <w:rPr>
                <w:rFonts w:ascii="Arial" w:cs="Arial" w:eastAsia="Arial" w:hAnsi="Arial"/>
                <w:sz w:val="9"/>
                <w:szCs w:val="9"/>
                <w:b w:val="1"/>
                <w:bCs w:val="1"/>
                <w:color w:val="auto"/>
                <w:w w:val="88"/>
              </w:rPr>
              <w:t>Dividends</w:t>
            </w:r>
          </w:p>
        </w:tc>
      </w:tr>
      <w:tr>
        <w:trPr>
          <w:trHeight w:val="88"/>
        </w:trPr>
        <w:tc>
          <w:tcPr>
            <w:tcW w:w="4960" w:type="dxa"/>
            <w:vAlign w:val="bottom"/>
          </w:tcPr>
          <w:p>
            <w:pPr>
              <w:spacing w:after="0"/>
              <w:rPr>
                <w:sz w:val="7"/>
                <w:szCs w:val="7"/>
                <w:color w:val="auto"/>
              </w:rPr>
            </w:pPr>
          </w:p>
        </w:tc>
        <w:tc>
          <w:tcPr>
            <w:tcW w:w="4320" w:type="dxa"/>
            <w:vAlign w:val="bottom"/>
          </w:tcPr>
          <w:p>
            <w:pPr>
              <w:spacing w:after="0"/>
              <w:rPr>
                <w:sz w:val="7"/>
                <w:szCs w:val="7"/>
                <w:color w:val="auto"/>
              </w:rPr>
            </w:pPr>
          </w:p>
        </w:tc>
        <w:tc>
          <w:tcPr>
            <w:tcW w:w="540" w:type="dxa"/>
            <w:vAlign w:val="bottom"/>
            <w:tcBorders>
              <w:top w:val="single" w:sz="8" w:color="auto"/>
            </w:tcBorders>
            <w:gridSpan w:val="2"/>
          </w:tcPr>
          <w:p>
            <w:pPr>
              <w:jc w:val="right"/>
              <w:ind w:right="200"/>
              <w:spacing w:after="0" w:line="88" w:lineRule="exact"/>
              <w:rPr>
                <w:sz w:val="20"/>
                <w:szCs w:val="20"/>
                <w:color w:val="auto"/>
              </w:rPr>
            </w:pPr>
            <w:r>
              <w:rPr>
                <w:rFonts w:ascii="Arial" w:cs="Arial" w:eastAsia="Arial" w:hAnsi="Arial"/>
                <w:sz w:val="9"/>
                <w:szCs w:val="9"/>
                <w:b w:val="1"/>
                <w:bCs w:val="1"/>
                <w:color w:val="auto"/>
              </w:rPr>
              <w:t>High</w:t>
            </w:r>
          </w:p>
        </w:tc>
        <w:tc>
          <w:tcPr>
            <w:tcW w:w="32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Low</w:t>
            </w:r>
          </w:p>
        </w:tc>
        <w:tc>
          <w:tcPr>
            <w:tcW w:w="520" w:type="dxa"/>
            <w:vAlign w:val="bottom"/>
          </w:tcPr>
          <w:p>
            <w:pPr>
              <w:spacing w:after="0"/>
              <w:rPr>
                <w:sz w:val="7"/>
                <w:szCs w:val="7"/>
                <w:color w:val="auto"/>
              </w:rPr>
            </w:pPr>
          </w:p>
        </w:tc>
        <w:tc>
          <w:tcPr>
            <w:tcW w:w="480" w:type="dxa"/>
            <w:vAlign w:val="bottom"/>
            <w:gridSpan w:val="3"/>
          </w:tcPr>
          <w:p>
            <w:pPr>
              <w:jc w:val="right"/>
              <w:ind w:right="80"/>
              <w:spacing w:after="0" w:line="88" w:lineRule="exact"/>
              <w:rPr>
                <w:sz w:val="20"/>
                <w:szCs w:val="20"/>
                <w:color w:val="auto"/>
              </w:rPr>
            </w:pPr>
            <w:r>
              <w:rPr>
                <w:rFonts w:ascii="Arial" w:cs="Arial" w:eastAsia="Arial" w:hAnsi="Arial"/>
                <w:sz w:val="9"/>
                <w:szCs w:val="9"/>
                <w:b w:val="1"/>
                <w:bCs w:val="1"/>
                <w:color w:val="auto"/>
                <w:w w:val="99"/>
              </w:rPr>
              <w:t>Declared</w:t>
            </w:r>
          </w:p>
        </w:tc>
      </w:tr>
      <w:tr>
        <w:trPr>
          <w:trHeight w:val="124"/>
        </w:trPr>
        <w:tc>
          <w:tcPr>
            <w:tcW w:w="496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2011</w:t>
            </w:r>
          </w:p>
        </w:tc>
        <w:tc>
          <w:tcPr>
            <w:tcW w:w="4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4960" w:type="dxa"/>
            <w:vAlign w:val="bottom"/>
          </w:tcPr>
          <w:p>
            <w:pPr>
              <w:spacing w:after="0"/>
              <w:rPr>
                <w:sz w:val="20"/>
                <w:szCs w:val="20"/>
                <w:color w:val="auto"/>
              </w:rPr>
            </w:pPr>
            <w:r>
              <w:rPr>
                <w:rFonts w:ascii="Arial" w:cs="Arial" w:eastAsia="Arial" w:hAnsi="Arial"/>
                <w:sz w:val="12"/>
                <w:szCs w:val="12"/>
                <w:color w:val="auto"/>
              </w:rPr>
              <w:t>QUARTERS</w:t>
            </w: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49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First</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$95.64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$ 79.74</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4"/>
              <w:spacing w:after="0"/>
              <w:rPr>
                <w:sz w:val="20"/>
                <w:szCs w:val="20"/>
                <w:color w:val="auto"/>
              </w:rPr>
            </w:pPr>
            <w:r>
              <w:rPr>
                <w:rFonts w:ascii="Arial" w:cs="Arial" w:eastAsia="Arial" w:hAnsi="Arial"/>
                <w:sz w:val="9"/>
                <w:szCs w:val="9"/>
                <w:b w:val="1"/>
                <w:bCs w:val="1"/>
                <w:color w:val="auto"/>
                <w:w w:val="78"/>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0.25</w:t>
            </w:r>
          </w:p>
        </w:tc>
        <w:tc>
          <w:tcPr>
            <w:tcW w:w="80" w:type="dxa"/>
            <w:vAlign w:val="bottom"/>
            <w:shd w:val="clear" w:color="auto" w:fill="CCEEFF"/>
          </w:tcPr>
          <w:p>
            <w:pPr>
              <w:spacing w:after="0"/>
              <w:rPr>
                <w:sz w:val="12"/>
                <w:szCs w:val="12"/>
                <w:color w:val="auto"/>
              </w:rPr>
            </w:pPr>
          </w:p>
        </w:tc>
      </w:tr>
      <w:tr>
        <w:trPr>
          <w:trHeight w:val="144"/>
        </w:trPr>
        <w:tc>
          <w:tcPr>
            <w:tcW w:w="4960" w:type="dxa"/>
            <w:vAlign w:val="bottom"/>
          </w:tcPr>
          <w:p>
            <w:pPr>
              <w:ind w:left="280"/>
              <w:spacing w:after="0"/>
              <w:rPr>
                <w:sz w:val="20"/>
                <w:szCs w:val="20"/>
                <w:color w:val="auto"/>
              </w:rPr>
            </w:pPr>
            <w:r>
              <w:rPr>
                <w:rFonts w:ascii="Arial" w:cs="Arial" w:eastAsia="Arial" w:hAnsi="Arial"/>
                <w:sz w:val="12"/>
                <w:szCs w:val="12"/>
                <w:color w:val="auto"/>
              </w:rPr>
              <w:t>Second</w:t>
            </w:r>
          </w:p>
        </w:tc>
        <w:tc>
          <w:tcPr>
            <w:tcW w:w="48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95.00</w:t>
            </w: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79.55</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0.25</w:t>
            </w:r>
          </w:p>
        </w:tc>
        <w:tc>
          <w:tcPr>
            <w:tcW w:w="80" w:type="dxa"/>
            <w:vAlign w:val="bottom"/>
          </w:tcPr>
          <w:p>
            <w:pPr>
              <w:spacing w:after="0"/>
              <w:rPr>
                <w:sz w:val="12"/>
                <w:szCs w:val="12"/>
                <w:color w:val="auto"/>
              </w:rPr>
            </w:pPr>
          </w:p>
        </w:tc>
      </w:tr>
      <w:tr>
        <w:trPr>
          <w:trHeight w:val="144"/>
        </w:trPr>
        <w:tc>
          <w:tcPr>
            <w:tcW w:w="49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Third</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95.53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58.77</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0.25</w:t>
            </w:r>
          </w:p>
        </w:tc>
        <w:tc>
          <w:tcPr>
            <w:tcW w:w="80" w:type="dxa"/>
            <w:vAlign w:val="bottom"/>
            <w:shd w:val="clear" w:color="auto" w:fill="CCEEFF"/>
          </w:tcPr>
          <w:p>
            <w:pPr>
              <w:spacing w:after="0"/>
              <w:rPr>
                <w:sz w:val="12"/>
                <w:szCs w:val="12"/>
                <w:color w:val="auto"/>
              </w:rPr>
            </w:pPr>
          </w:p>
        </w:tc>
      </w:tr>
      <w:tr>
        <w:trPr>
          <w:trHeight w:val="144"/>
        </w:trPr>
        <w:tc>
          <w:tcPr>
            <w:tcW w:w="4960" w:type="dxa"/>
            <w:vAlign w:val="bottom"/>
          </w:tcPr>
          <w:p>
            <w:pPr>
              <w:ind w:left="280"/>
              <w:spacing w:after="0"/>
              <w:rPr>
                <w:sz w:val="20"/>
                <w:szCs w:val="20"/>
                <w:color w:val="auto"/>
              </w:rPr>
            </w:pPr>
            <w:r>
              <w:rPr>
                <w:rFonts w:ascii="Arial" w:cs="Arial" w:eastAsia="Arial" w:hAnsi="Arial"/>
                <w:sz w:val="12"/>
                <w:szCs w:val="12"/>
                <w:color w:val="auto"/>
              </w:rPr>
              <w:t>Fourth</w:t>
            </w:r>
          </w:p>
        </w:tc>
        <w:tc>
          <w:tcPr>
            <w:tcW w:w="48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77.65</w:t>
            </w: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54.79</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0.25</w:t>
            </w:r>
          </w:p>
        </w:tc>
        <w:tc>
          <w:tcPr>
            <w:tcW w:w="80" w:type="dxa"/>
            <w:vAlign w:val="bottom"/>
          </w:tcPr>
          <w:p>
            <w:pPr>
              <w:spacing w:after="0"/>
              <w:rPr>
                <w:sz w:val="12"/>
                <w:szCs w:val="12"/>
                <w:color w:val="auto"/>
              </w:rPr>
            </w:pPr>
          </w:p>
        </w:tc>
      </w:tr>
      <w:tr>
        <w:trPr>
          <w:trHeight w:val="144"/>
        </w:trPr>
        <w:tc>
          <w:tcPr>
            <w:tcW w:w="4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2010</w:t>
            </w:r>
          </w:p>
        </w:tc>
        <w:tc>
          <w:tcPr>
            <w:tcW w:w="4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4960" w:type="dxa"/>
            <w:vAlign w:val="bottom"/>
          </w:tcPr>
          <w:p>
            <w:pPr>
              <w:spacing w:after="0"/>
              <w:rPr>
                <w:sz w:val="20"/>
                <w:szCs w:val="20"/>
                <w:color w:val="auto"/>
              </w:rPr>
            </w:pPr>
            <w:r>
              <w:rPr>
                <w:rFonts w:ascii="Arial" w:cs="Arial" w:eastAsia="Arial" w:hAnsi="Arial"/>
                <w:sz w:val="12"/>
                <w:szCs w:val="12"/>
                <w:color w:val="auto"/>
              </w:rPr>
              <w:t>QUARTERS</w:t>
            </w: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49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First</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$72.00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$ 59.42</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w w:val="78"/>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80" w:type="dxa"/>
            <w:vAlign w:val="bottom"/>
            <w:shd w:val="clear" w:color="auto" w:fill="CCEEFF"/>
          </w:tcPr>
          <w:p>
            <w:pPr>
              <w:spacing w:after="0"/>
              <w:rPr>
                <w:sz w:val="12"/>
                <w:szCs w:val="12"/>
                <w:color w:val="auto"/>
              </w:rPr>
            </w:pPr>
          </w:p>
        </w:tc>
      </w:tr>
      <w:tr>
        <w:trPr>
          <w:trHeight w:val="144"/>
        </w:trPr>
        <w:tc>
          <w:tcPr>
            <w:tcW w:w="4960" w:type="dxa"/>
            <w:vAlign w:val="bottom"/>
          </w:tcPr>
          <w:p>
            <w:pPr>
              <w:ind w:left="280"/>
              <w:spacing w:after="0"/>
              <w:rPr>
                <w:sz w:val="20"/>
                <w:szCs w:val="20"/>
                <w:color w:val="auto"/>
              </w:rPr>
            </w:pPr>
            <w:r>
              <w:rPr>
                <w:rFonts w:ascii="Arial" w:cs="Arial" w:eastAsia="Arial" w:hAnsi="Arial"/>
                <w:sz w:val="12"/>
                <w:szCs w:val="12"/>
                <w:color w:val="auto"/>
              </w:rPr>
              <w:t>Second</w:t>
            </w:r>
          </w:p>
        </w:tc>
        <w:tc>
          <w:tcPr>
            <w:tcW w:w="4860" w:type="dxa"/>
            <w:vAlign w:val="bottom"/>
            <w:gridSpan w:val="3"/>
          </w:tcPr>
          <w:p>
            <w:pPr>
              <w:jc w:val="right"/>
              <w:ind w:right="200"/>
              <w:spacing w:after="0"/>
              <w:rPr>
                <w:sz w:val="20"/>
                <w:szCs w:val="20"/>
                <w:color w:val="auto"/>
              </w:rPr>
            </w:pPr>
            <w:r>
              <w:rPr>
                <w:rFonts w:ascii="Arial" w:cs="Arial" w:eastAsia="Arial" w:hAnsi="Arial"/>
                <w:sz w:val="12"/>
                <w:szCs w:val="12"/>
                <w:color w:val="auto"/>
              </w:rPr>
              <w:t>73.99</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51.67</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0.21</w:t>
            </w:r>
          </w:p>
        </w:tc>
        <w:tc>
          <w:tcPr>
            <w:tcW w:w="80" w:type="dxa"/>
            <w:vAlign w:val="bottom"/>
          </w:tcPr>
          <w:p>
            <w:pPr>
              <w:spacing w:after="0"/>
              <w:rPr>
                <w:sz w:val="12"/>
                <w:szCs w:val="12"/>
                <w:color w:val="auto"/>
              </w:rPr>
            </w:pPr>
          </w:p>
        </w:tc>
      </w:tr>
      <w:tr>
        <w:trPr>
          <w:trHeight w:val="144"/>
        </w:trPr>
        <w:tc>
          <w:tcPr>
            <w:tcW w:w="49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Third</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63.72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52.91</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80" w:type="dxa"/>
            <w:vAlign w:val="bottom"/>
            <w:shd w:val="clear" w:color="auto" w:fill="CCEEFF"/>
          </w:tcPr>
          <w:p>
            <w:pPr>
              <w:spacing w:after="0"/>
              <w:rPr>
                <w:sz w:val="12"/>
                <w:szCs w:val="12"/>
                <w:color w:val="auto"/>
              </w:rPr>
            </w:pPr>
          </w:p>
        </w:tc>
      </w:tr>
      <w:tr>
        <w:trPr>
          <w:trHeight w:val="148"/>
        </w:trPr>
        <w:tc>
          <w:tcPr>
            <w:tcW w:w="4960" w:type="dxa"/>
            <w:vAlign w:val="bottom"/>
          </w:tcPr>
          <w:p>
            <w:pPr>
              <w:ind w:left="280"/>
              <w:spacing w:after="0"/>
              <w:rPr>
                <w:sz w:val="20"/>
                <w:szCs w:val="20"/>
                <w:color w:val="auto"/>
              </w:rPr>
            </w:pPr>
            <w:r>
              <w:rPr>
                <w:rFonts w:ascii="Arial" w:cs="Arial" w:eastAsia="Arial" w:hAnsi="Arial"/>
                <w:sz w:val="12"/>
                <w:szCs w:val="12"/>
                <w:color w:val="auto"/>
              </w:rPr>
              <w:t>Fourth</w:t>
            </w:r>
          </w:p>
        </w:tc>
        <w:tc>
          <w:tcPr>
            <w:tcW w:w="4860" w:type="dxa"/>
            <w:vAlign w:val="bottom"/>
            <w:gridSpan w:val="3"/>
          </w:tcPr>
          <w:p>
            <w:pPr>
              <w:jc w:val="right"/>
              <w:ind w:right="200"/>
              <w:spacing w:after="0"/>
              <w:rPr>
                <w:sz w:val="20"/>
                <w:szCs w:val="20"/>
                <w:color w:val="auto"/>
              </w:rPr>
            </w:pPr>
            <w:r>
              <w:rPr>
                <w:rFonts w:ascii="Arial" w:cs="Arial" w:eastAsia="Arial" w:hAnsi="Arial"/>
                <w:sz w:val="12"/>
                <w:szCs w:val="12"/>
                <w:color w:val="auto"/>
              </w:rPr>
              <w:t>84.11</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60.57</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0.21</w:t>
            </w:r>
          </w:p>
        </w:tc>
        <w:tc>
          <w:tcPr>
            <w:tcW w:w="80" w:type="dxa"/>
            <w:vAlign w:val="bottom"/>
          </w:tcPr>
          <w:p>
            <w:pPr>
              <w:spacing w:after="0"/>
              <w:rPr>
                <w:sz w:val="12"/>
                <w:szCs w:val="12"/>
                <w:color w:val="auto"/>
              </w:rPr>
            </w:pPr>
          </w:p>
        </w:tc>
      </w:tr>
    </w:tbl>
    <w:p>
      <w:pPr>
        <w:spacing w:after="0" w:line="4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On January 19, 2012, Schlumberger announced that its Board of Directors had approved an increase in the quarterly dividend of 10%, to $0.275.</w:t>
      </w:r>
    </w:p>
    <w:p>
      <w:pPr>
        <w:spacing w:after="0" w:line="10" w:lineRule="exact"/>
        <w:rPr>
          <w:sz w:val="20"/>
          <w:szCs w:val="20"/>
          <w:color w:val="auto"/>
        </w:rPr>
      </w:pPr>
    </w:p>
    <w:p>
      <w:pPr>
        <w:ind w:right="400" w:firstLine="230"/>
        <w:spacing w:after="0" w:line="250" w:lineRule="auto"/>
        <w:rPr>
          <w:sz w:val="20"/>
          <w:szCs w:val="20"/>
          <w:color w:val="auto"/>
        </w:rPr>
      </w:pPr>
      <w:r>
        <w:rPr>
          <w:rFonts w:ascii="Arial" w:cs="Arial" w:eastAsia="Arial" w:hAnsi="Arial"/>
          <w:sz w:val="12"/>
          <w:szCs w:val="12"/>
          <w:color w:val="auto"/>
        </w:rPr>
        <w:t>There are no legal restrictions on the payment of dividends or ownership or voting of such shares, except as to shares held as treasury stock. Under current legislation, stockholders are not subject to any Curaçao withholding or other Curaçao taxes attributable to the ownership of such shares.</w:t>
      </w:r>
    </w:p>
    <w:p>
      <w:pPr>
        <w:spacing w:after="0" w:line="1" w:lineRule="exact"/>
        <w:rPr>
          <w:sz w:val="20"/>
          <w:szCs w:val="20"/>
          <w:color w:val="auto"/>
        </w:rPr>
      </w:pPr>
    </w:p>
    <w:p>
      <w:pPr>
        <w:ind w:right="60" w:firstLine="230"/>
        <w:spacing w:after="0" w:line="284" w:lineRule="auto"/>
        <w:rPr>
          <w:sz w:val="20"/>
          <w:szCs w:val="20"/>
          <w:color w:val="auto"/>
        </w:rPr>
      </w:pPr>
      <w:r>
        <w:rPr>
          <w:rFonts w:ascii="Arial" w:cs="Arial" w:eastAsia="Arial" w:hAnsi="Arial"/>
          <w:sz w:val="11"/>
          <w:szCs w:val="11"/>
          <w:color w:val="auto"/>
        </w:rPr>
        <w:t>The following graph compares the cumulative total stockholder return on Schlumberger common stock, assuming reinvestment of dividends on the last day of the month of payment into common stock of Schlumberger, with the cumulative total return on the Standard &amp; Poor’s 500 Index (S&amp;P 500 Index) and the cumulative total return on the Philadelphia Oil Service Index (OSX) over the five-year period ended December 31, 2011.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9"/>
          <w:szCs w:val="9"/>
          <w:color w:val="auto"/>
        </w:rPr>
        <w:t>12</w:t>
      </w:r>
    </w:p>
    <w:p>
      <w:pPr>
        <w:sectPr>
          <w:pgSz w:w="11900" w:h="16838" w:orient="portrait"/>
          <w:cols w:equalWidth="0" w:num="1">
            <w:col w:w="11480"/>
          </w:cols>
          <w:pgMar w:left="220" w:top="354" w:right="199"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Comparison of five-year cumulative total return among</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Schlumberger common stock, the S&amp;P 500 Index and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Philadelphia Oil Service Index (OSX)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159385</wp:posOffset>
            </wp:positionV>
            <wp:extent cx="3014345" cy="1790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14345" cy="179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Assumes $100 invested on December 31, 2006 in Schlumberger common stock, in the S&amp;P 500 Index and in the Philadelphia Oil Service Index (OSX) and reinvestment of dividends on the last day of the month of payment.</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Share Repurchases</w:t>
      </w:r>
    </w:p>
    <w:p>
      <w:pPr>
        <w:spacing w:after="0" w:line="116" w:lineRule="exact"/>
        <w:rPr>
          <w:sz w:val="20"/>
          <w:szCs w:val="20"/>
          <w:color w:val="auto"/>
        </w:rPr>
      </w:pPr>
    </w:p>
    <w:p>
      <w:pPr>
        <w:ind w:right="440" w:firstLine="230"/>
        <w:spacing w:after="0" w:line="254" w:lineRule="auto"/>
        <w:rPr>
          <w:sz w:val="20"/>
          <w:szCs w:val="20"/>
          <w:color w:val="auto"/>
        </w:rPr>
      </w:pPr>
      <w:r>
        <w:rPr>
          <w:rFonts w:ascii="Arial" w:cs="Arial" w:eastAsia="Arial" w:hAnsi="Arial"/>
          <w:sz w:val="12"/>
          <w:szCs w:val="12"/>
          <w:color w:val="auto"/>
        </w:rPr>
        <w:t>On April 17, 2008, the Schlumberger Board of Directors approved an $8 billion share repurchase program for Schlumberger common stock, to be acquired in the open market before December 31, 2011. On July 21, 2011, the Board approved an extension of this repurchase program to December 31, 2013.</w:t>
      </w:r>
    </w:p>
    <w:p>
      <w:pPr>
        <w:ind w:left="220"/>
        <w:spacing w:after="0"/>
        <w:rPr>
          <w:sz w:val="20"/>
          <w:szCs w:val="20"/>
          <w:color w:val="auto"/>
        </w:rPr>
      </w:pPr>
      <w:r>
        <w:rPr>
          <w:rFonts w:ascii="Arial" w:cs="Arial" w:eastAsia="Arial" w:hAnsi="Arial"/>
          <w:sz w:val="12"/>
          <w:szCs w:val="12"/>
          <w:color w:val="auto"/>
        </w:rPr>
        <w:t>Schlumberger’s common stock repurchase program activity for the three months ended December 31, 2011 was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7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6"/>
          </w:tcPr>
          <w:p>
            <w:pPr>
              <w:jc w:val="right"/>
              <w:ind w:right="60"/>
              <w:spacing w:after="0"/>
              <w:rPr>
                <w:sz w:val="20"/>
                <w:szCs w:val="20"/>
                <w:color w:val="auto"/>
              </w:rPr>
            </w:pPr>
            <w:r>
              <w:rPr>
                <w:rFonts w:ascii="Arial" w:cs="Arial" w:eastAsia="Arial" w:hAnsi="Arial"/>
                <w:sz w:val="9"/>
                <w:szCs w:val="9"/>
                <w:b w:val="1"/>
                <w:bCs w:val="1"/>
                <w:color w:val="auto"/>
                <w:w w:val="92"/>
              </w:rPr>
              <w:t>(Stated in thousands, except per share amounts)</w:t>
            </w:r>
          </w:p>
        </w:tc>
      </w:tr>
      <w:tr>
        <w:trPr>
          <w:trHeight w:val="190"/>
        </w:trPr>
        <w:tc>
          <w:tcPr>
            <w:tcW w:w="7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9"/>
                <w:szCs w:val="9"/>
                <w:b w:val="1"/>
                <w:bCs w:val="1"/>
                <w:color w:val="auto"/>
              </w:rPr>
              <w:t>Total</w:t>
            </w:r>
          </w:p>
        </w:tc>
        <w:tc>
          <w:tcPr>
            <w:tcW w:w="6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Maximum</w:t>
            </w:r>
          </w:p>
        </w:tc>
      </w:tr>
      <w:tr>
        <w:trPr>
          <w:trHeight w:val="99"/>
        </w:trPr>
        <w:tc>
          <w:tcPr>
            <w:tcW w:w="7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gridSpan w:val="2"/>
          </w:tcPr>
          <w:p>
            <w:pPr>
              <w:jc w:val="right"/>
              <w:ind w:right="520"/>
              <w:spacing w:after="0" w:line="99" w:lineRule="exact"/>
              <w:rPr>
                <w:sz w:val="20"/>
                <w:szCs w:val="20"/>
                <w:color w:val="auto"/>
              </w:rPr>
            </w:pPr>
            <w:r>
              <w:rPr>
                <w:rFonts w:ascii="Arial" w:cs="Arial" w:eastAsia="Arial" w:hAnsi="Arial"/>
                <w:sz w:val="9"/>
                <w:szCs w:val="9"/>
                <w:b w:val="1"/>
                <w:bCs w:val="1"/>
                <w:color w:val="auto"/>
              </w:rPr>
              <w:t>number of</w:t>
            </w:r>
          </w:p>
        </w:tc>
        <w:tc>
          <w:tcPr>
            <w:tcW w:w="60" w:type="dxa"/>
            <w:vAlign w:val="bottom"/>
          </w:tcPr>
          <w:p>
            <w:pPr>
              <w:spacing w:after="0"/>
              <w:rPr>
                <w:sz w:val="8"/>
                <w:szCs w:val="8"/>
                <w:color w:val="auto"/>
              </w:rPr>
            </w:pPr>
          </w:p>
        </w:tc>
        <w:tc>
          <w:tcPr>
            <w:tcW w:w="50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rPr>
              <w:t>value</w:t>
            </w:r>
          </w:p>
        </w:tc>
      </w:tr>
      <w:tr>
        <w:trPr>
          <w:trHeight w:val="99"/>
        </w:trPr>
        <w:tc>
          <w:tcPr>
            <w:tcW w:w="7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gridSpan w:val="2"/>
          </w:tcPr>
          <w:p>
            <w:pPr>
              <w:jc w:val="right"/>
              <w:ind w:right="520"/>
              <w:spacing w:after="0" w:line="99" w:lineRule="exact"/>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8"/>
                <w:szCs w:val="8"/>
                <w:color w:val="auto"/>
              </w:rPr>
            </w:pPr>
          </w:p>
        </w:tc>
        <w:tc>
          <w:tcPr>
            <w:tcW w:w="50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rPr>
              <w:t>of shares</w:t>
            </w:r>
          </w:p>
        </w:tc>
      </w:tr>
      <w:tr>
        <w:trPr>
          <w:trHeight w:val="99"/>
        </w:trPr>
        <w:tc>
          <w:tcPr>
            <w:tcW w:w="7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gridSpan w:val="2"/>
          </w:tcPr>
          <w:p>
            <w:pPr>
              <w:jc w:val="right"/>
              <w:ind w:right="520"/>
              <w:spacing w:after="0" w:line="99" w:lineRule="exact"/>
              <w:rPr>
                <w:sz w:val="20"/>
                <w:szCs w:val="20"/>
                <w:color w:val="auto"/>
              </w:rPr>
            </w:pPr>
            <w:r>
              <w:rPr>
                <w:rFonts w:ascii="Arial" w:cs="Arial" w:eastAsia="Arial" w:hAnsi="Arial"/>
                <w:sz w:val="9"/>
                <w:szCs w:val="9"/>
                <w:b w:val="1"/>
                <w:bCs w:val="1"/>
                <w:color w:val="auto"/>
              </w:rPr>
              <w:t>purchased</w:t>
            </w:r>
          </w:p>
        </w:tc>
        <w:tc>
          <w:tcPr>
            <w:tcW w:w="60" w:type="dxa"/>
            <w:vAlign w:val="bottom"/>
          </w:tcPr>
          <w:p>
            <w:pPr>
              <w:spacing w:after="0"/>
              <w:rPr>
                <w:sz w:val="8"/>
                <w:szCs w:val="8"/>
                <w:color w:val="auto"/>
              </w:rPr>
            </w:pPr>
          </w:p>
        </w:tc>
        <w:tc>
          <w:tcPr>
            <w:tcW w:w="50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rPr>
              <w:t>that may</w:t>
            </w:r>
          </w:p>
        </w:tc>
      </w:tr>
      <w:tr>
        <w:trPr>
          <w:trHeight w:val="99"/>
        </w:trPr>
        <w:tc>
          <w:tcPr>
            <w:tcW w:w="7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gridSpan w:val="2"/>
          </w:tcPr>
          <w:p>
            <w:pPr>
              <w:jc w:val="right"/>
              <w:ind w:right="520"/>
              <w:spacing w:after="0" w:line="99" w:lineRule="exact"/>
              <w:rPr>
                <w:sz w:val="20"/>
                <w:szCs w:val="20"/>
                <w:color w:val="auto"/>
              </w:rPr>
            </w:pPr>
            <w:r>
              <w:rPr>
                <w:rFonts w:ascii="Arial" w:cs="Arial" w:eastAsia="Arial" w:hAnsi="Arial"/>
                <w:sz w:val="9"/>
                <w:szCs w:val="9"/>
                <w:b w:val="1"/>
                <w:bCs w:val="1"/>
                <w:color w:val="auto"/>
              </w:rPr>
              <w:t>as part of</w:t>
            </w:r>
          </w:p>
        </w:tc>
        <w:tc>
          <w:tcPr>
            <w:tcW w:w="60" w:type="dxa"/>
            <w:vAlign w:val="bottom"/>
          </w:tcPr>
          <w:p>
            <w:pPr>
              <w:spacing w:after="0"/>
              <w:rPr>
                <w:sz w:val="8"/>
                <w:szCs w:val="8"/>
                <w:color w:val="auto"/>
              </w:rPr>
            </w:pPr>
          </w:p>
        </w:tc>
        <w:tc>
          <w:tcPr>
            <w:tcW w:w="50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rPr>
              <w:t>yet be</w:t>
            </w:r>
          </w:p>
        </w:tc>
      </w:tr>
      <w:tr>
        <w:trPr>
          <w:trHeight w:val="99"/>
        </w:trPr>
        <w:tc>
          <w:tcPr>
            <w:tcW w:w="7560" w:type="dxa"/>
            <w:vAlign w:val="bottom"/>
          </w:tcPr>
          <w:p>
            <w:pPr>
              <w:spacing w:after="0"/>
              <w:rPr>
                <w:sz w:val="8"/>
                <w:szCs w:val="8"/>
                <w:color w:val="auto"/>
              </w:rPr>
            </w:pPr>
          </w:p>
        </w:tc>
        <w:tc>
          <w:tcPr>
            <w:tcW w:w="920" w:type="dxa"/>
            <w:vAlign w:val="bottom"/>
            <w:gridSpan w:val="2"/>
          </w:tcPr>
          <w:p>
            <w:pPr>
              <w:jc w:val="right"/>
              <w:ind w:right="260"/>
              <w:spacing w:after="0" w:line="99" w:lineRule="exact"/>
              <w:rPr>
                <w:sz w:val="20"/>
                <w:szCs w:val="20"/>
                <w:color w:val="auto"/>
              </w:rPr>
            </w:pPr>
            <w:r>
              <w:rPr>
                <w:rFonts w:ascii="Arial" w:cs="Arial" w:eastAsia="Arial" w:hAnsi="Arial"/>
                <w:sz w:val="9"/>
                <w:szCs w:val="9"/>
                <w:b w:val="1"/>
                <w:bCs w:val="1"/>
                <w:color w:val="auto"/>
              </w:rPr>
              <w:t>Total number</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100"/>
              <w:spacing w:after="0" w:line="99" w:lineRule="exact"/>
              <w:rPr>
                <w:sz w:val="20"/>
                <w:szCs w:val="20"/>
                <w:color w:val="auto"/>
              </w:rPr>
            </w:pPr>
            <w:r>
              <w:rPr>
                <w:rFonts w:ascii="Arial" w:cs="Arial" w:eastAsia="Arial" w:hAnsi="Arial"/>
                <w:sz w:val="9"/>
                <w:szCs w:val="9"/>
                <w:b w:val="1"/>
                <w:bCs w:val="1"/>
                <w:color w:val="auto"/>
                <w:w w:val="90"/>
              </w:rPr>
              <w:t>Average price</w:t>
            </w:r>
          </w:p>
        </w:tc>
        <w:tc>
          <w:tcPr>
            <w:tcW w:w="420" w:type="dxa"/>
            <w:vAlign w:val="bottom"/>
          </w:tcPr>
          <w:p>
            <w:pPr>
              <w:spacing w:after="0"/>
              <w:rPr>
                <w:sz w:val="8"/>
                <w:szCs w:val="8"/>
                <w:color w:val="auto"/>
              </w:rPr>
            </w:pPr>
          </w:p>
        </w:tc>
        <w:tc>
          <w:tcPr>
            <w:tcW w:w="1020" w:type="dxa"/>
            <w:vAlign w:val="bottom"/>
            <w:gridSpan w:val="2"/>
          </w:tcPr>
          <w:p>
            <w:pPr>
              <w:jc w:val="right"/>
              <w:ind w:right="520"/>
              <w:spacing w:after="0" w:line="99" w:lineRule="exact"/>
              <w:rPr>
                <w:sz w:val="20"/>
                <w:szCs w:val="20"/>
                <w:color w:val="auto"/>
              </w:rPr>
            </w:pPr>
            <w:r>
              <w:rPr>
                <w:rFonts w:ascii="Arial" w:cs="Arial" w:eastAsia="Arial" w:hAnsi="Arial"/>
                <w:sz w:val="9"/>
                <w:szCs w:val="9"/>
                <w:b w:val="1"/>
                <w:bCs w:val="1"/>
                <w:color w:val="auto"/>
              </w:rPr>
              <w:t>publicly</w:t>
            </w:r>
          </w:p>
        </w:tc>
        <w:tc>
          <w:tcPr>
            <w:tcW w:w="60" w:type="dxa"/>
            <w:vAlign w:val="bottom"/>
          </w:tcPr>
          <w:p>
            <w:pPr>
              <w:spacing w:after="0"/>
              <w:rPr>
                <w:sz w:val="8"/>
                <w:szCs w:val="8"/>
                <w:color w:val="auto"/>
              </w:rPr>
            </w:pPr>
          </w:p>
        </w:tc>
        <w:tc>
          <w:tcPr>
            <w:tcW w:w="50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w w:val="92"/>
              </w:rPr>
              <w:t>purchased</w:t>
            </w:r>
          </w:p>
        </w:tc>
      </w:tr>
      <w:tr>
        <w:trPr>
          <w:trHeight w:val="99"/>
        </w:trPr>
        <w:tc>
          <w:tcPr>
            <w:tcW w:w="7560" w:type="dxa"/>
            <w:vAlign w:val="bottom"/>
          </w:tcPr>
          <w:p>
            <w:pPr>
              <w:spacing w:after="0"/>
              <w:rPr>
                <w:sz w:val="8"/>
                <w:szCs w:val="8"/>
                <w:color w:val="auto"/>
              </w:rPr>
            </w:pPr>
          </w:p>
        </w:tc>
        <w:tc>
          <w:tcPr>
            <w:tcW w:w="920" w:type="dxa"/>
            <w:vAlign w:val="bottom"/>
            <w:gridSpan w:val="2"/>
          </w:tcPr>
          <w:p>
            <w:pPr>
              <w:jc w:val="right"/>
              <w:ind w:right="260"/>
              <w:spacing w:after="0" w:line="99" w:lineRule="exact"/>
              <w:rPr>
                <w:sz w:val="20"/>
                <w:szCs w:val="20"/>
                <w:color w:val="auto"/>
              </w:rPr>
            </w:pPr>
            <w:r>
              <w:rPr>
                <w:rFonts w:ascii="Arial" w:cs="Arial" w:eastAsia="Arial" w:hAnsi="Arial"/>
                <w:sz w:val="9"/>
                <w:szCs w:val="9"/>
                <w:b w:val="1"/>
                <w:bCs w:val="1"/>
                <w:color w:val="auto"/>
              </w:rPr>
              <w:t>of shares</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100"/>
              <w:spacing w:after="0" w:line="99" w:lineRule="exact"/>
              <w:rPr>
                <w:sz w:val="20"/>
                <w:szCs w:val="20"/>
                <w:color w:val="auto"/>
              </w:rPr>
            </w:pPr>
            <w:r>
              <w:rPr>
                <w:rFonts w:ascii="Arial" w:cs="Arial" w:eastAsia="Arial" w:hAnsi="Arial"/>
                <w:sz w:val="9"/>
                <w:szCs w:val="9"/>
                <w:b w:val="1"/>
                <w:bCs w:val="1"/>
                <w:color w:val="auto"/>
              </w:rPr>
              <w:t>paid per</w:t>
            </w:r>
          </w:p>
        </w:tc>
        <w:tc>
          <w:tcPr>
            <w:tcW w:w="420" w:type="dxa"/>
            <w:vAlign w:val="bottom"/>
          </w:tcPr>
          <w:p>
            <w:pPr>
              <w:spacing w:after="0"/>
              <w:rPr>
                <w:sz w:val="8"/>
                <w:szCs w:val="8"/>
                <w:color w:val="auto"/>
              </w:rPr>
            </w:pPr>
          </w:p>
        </w:tc>
        <w:tc>
          <w:tcPr>
            <w:tcW w:w="1020" w:type="dxa"/>
            <w:vAlign w:val="bottom"/>
            <w:gridSpan w:val="2"/>
          </w:tcPr>
          <w:p>
            <w:pPr>
              <w:jc w:val="right"/>
              <w:ind w:right="520"/>
              <w:spacing w:after="0" w:line="99" w:lineRule="exact"/>
              <w:rPr>
                <w:sz w:val="20"/>
                <w:szCs w:val="20"/>
                <w:color w:val="auto"/>
              </w:rPr>
            </w:pPr>
            <w:r>
              <w:rPr>
                <w:rFonts w:ascii="Arial" w:cs="Arial" w:eastAsia="Arial" w:hAnsi="Arial"/>
                <w:sz w:val="9"/>
                <w:szCs w:val="9"/>
                <w:b w:val="1"/>
                <w:bCs w:val="1"/>
                <w:color w:val="auto"/>
                <w:w w:val="99"/>
              </w:rPr>
              <w:t>announced</w:t>
            </w:r>
          </w:p>
        </w:tc>
        <w:tc>
          <w:tcPr>
            <w:tcW w:w="60" w:type="dxa"/>
            <w:vAlign w:val="bottom"/>
          </w:tcPr>
          <w:p>
            <w:pPr>
              <w:spacing w:after="0"/>
              <w:rPr>
                <w:sz w:val="8"/>
                <w:szCs w:val="8"/>
                <w:color w:val="auto"/>
              </w:rPr>
            </w:pPr>
          </w:p>
        </w:tc>
        <w:tc>
          <w:tcPr>
            <w:tcW w:w="50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rPr>
              <w:t>under the</w:t>
            </w:r>
          </w:p>
        </w:tc>
      </w:tr>
      <w:tr>
        <w:trPr>
          <w:trHeight w:val="108"/>
        </w:trPr>
        <w:tc>
          <w:tcPr>
            <w:tcW w:w="7560" w:type="dxa"/>
            <w:vAlign w:val="bottom"/>
          </w:tcPr>
          <w:p>
            <w:pPr>
              <w:spacing w:after="0"/>
              <w:rPr>
                <w:sz w:val="9"/>
                <w:szCs w:val="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purchased</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share</w:t>
            </w:r>
          </w:p>
        </w:tc>
        <w:tc>
          <w:tcPr>
            <w:tcW w:w="420" w:type="dxa"/>
            <w:vAlign w:val="bottom"/>
          </w:tcPr>
          <w:p>
            <w:pPr>
              <w:spacing w:after="0"/>
              <w:rPr>
                <w:sz w:val="9"/>
                <w:szCs w:val="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9"/>
                <w:szCs w:val="9"/>
                <w:b w:val="1"/>
                <w:bCs w:val="1"/>
                <w:color w:val="auto"/>
              </w:rPr>
              <w:t>program</w:t>
            </w:r>
          </w:p>
        </w:tc>
        <w:tc>
          <w:tcPr>
            <w:tcW w:w="60" w:type="dxa"/>
            <w:vAlign w:val="bottom"/>
          </w:tcPr>
          <w:p>
            <w:pPr>
              <w:spacing w:after="0"/>
              <w:rPr>
                <w:sz w:val="9"/>
                <w:szCs w:val="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program</w:t>
            </w:r>
          </w:p>
        </w:tc>
      </w:tr>
      <w:tr>
        <w:trPr>
          <w:trHeight w:val="88"/>
        </w:trPr>
        <w:tc>
          <w:tcPr>
            <w:tcW w:w="756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October 1 through October 31, 2011</w:t>
            </w:r>
          </w:p>
        </w:tc>
        <w:tc>
          <w:tcPr>
            <w:tcW w:w="6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3,286.0</w:t>
            </w:r>
          </w:p>
        </w:tc>
        <w:tc>
          <w:tcPr>
            <w:tcW w:w="2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64.91</w:t>
            </w:r>
          </w:p>
        </w:tc>
        <w:tc>
          <w:tcPr>
            <w:tcW w:w="10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3,286.0</w:t>
            </w:r>
          </w:p>
        </w:tc>
        <w:tc>
          <w:tcPr>
            <w:tcW w:w="5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2,273,344</w:t>
            </w:r>
          </w:p>
        </w:tc>
        <w:tc>
          <w:tcPr>
            <w:tcW w:w="60" w:type="dxa"/>
            <w:vAlign w:val="bottom"/>
            <w:tcBorders>
              <w:top w:val="single" w:sz="8" w:color="CCEEFF"/>
            </w:tcBorders>
            <w:shd w:val="clear" w:color="auto" w:fill="CCEEFF"/>
          </w:tcPr>
          <w:p>
            <w:pPr>
              <w:spacing w:after="0"/>
              <w:rPr>
                <w:sz w:val="7"/>
                <w:szCs w:val="7"/>
                <w:color w:val="auto"/>
              </w:rPr>
            </w:pPr>
          </w:p>
        </w:tc>
      </w:tr>
      <w:tr>
        <w:trPr>
          <w:trHeight w:val="99"/>
        </w:trPr>
        <w:tc>
          <w:tcPr>
            <w:tcW w:w="7560" w:type="dxa"/>
            <w:vAlign w:val="bottom"/>
          </w:tcPr>
          <w:p>
            <w:pPr>
              <w:spacing w:after="0" w:line="99" w:lineRule="exact"/>
              <w:rPr>
                <w:sz w:val="20"/>
                <w:szCs w:val="20"/>
                <w:color w:val="auto"/>
              </w:rPr>
            </w:pPr>
            <w:r>
              <w:rPr>
                <w:rFonts w:ascii="Arial" w:cs="Arial" w:eastAsia="Arial" w:hAnsi="Arial"/>
                <w:sz w:val="9"/>
                <w:szCs w:val="9"/>
                <w:color w:val="auto"/>
              </w:rPr>
              <w:t>November 1 through November 30, 2011</w:t>
            </w: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2,852.3</w:t>
            </w:r>
          </w:p>
        </w:tc>
        <w:tc>
          <w:tcPr>
            <w:tcW w:w="260" w:type="dxa"/>
            <w:vAlign w:val="bottom"/>
          </w:tcPr>
          <w:p>
            <w:pPr>
              <w:spacing w:after="0"/>
              <w:rPr>
                <w:sz w:val="8"/>
                <w:szCs w:val="8"/>
                <w:color w:val="auto"/>
              </w:rPr>
            </w:pPr>
          </w:p>
        </w:tc>
        <w:tc>
          <w:tcPr>
            <w:tcW w:w="34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73.04</w:t>
            </w:r>
          </w:p>
        </w:tc>
        <w:tc>
          <w:tcPr>
            <w:tcW w:w="1440" w:type="dxa"/>
            <w:vAlign w:val="bottom"/>
            <w:gridSpan w:val="3"/>
          </w:tcPr>
          <w:p>
            <w:pPr>
              <w:jc w:val="right"/>
              <w:ind w:right="520"/>
              <w:spacing w:after="0" w:line="99" w:lineRule="exact"/>
              <w:rPr>
                <w:sz w:val="20"/>
                <w:szCs w:val="20"/>
                <w:color w:val="auto"/>
              </w:rPr>
            </w:pPr>
            <w:r>
              <w:rPr>
                <w:rFonts w:ascii="Arial" w:cs="Arial" w:eastAsia="Arial" w:hAnsi="Arial"/>
                <w:sz w:val="9"/>
                <w:szCs w:val="9"/>
                <w:color w:val="auto"/>
              </w:rPr>
              <w:t>2,852.3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99" w:lineRule="exact"/>
              <w:rPr>
                <w:sz w:val="20"/>
                <w:szCs w:val="20"/>
                <w:color w:val="auto"/>
              </w:rPr>
            </w:pPr>
            <w:r>
              <w:rPr>
                <w:rFonts w:ascii="Arial" w:cs="Arial" w:eastAsia="Arial" w:hAnsi="Arial"/>
                <w:sz w:val="9"/>
                <w:szCs w:val="9"/>
                <w:color w:val="auto"/>
              </w:rPr>
              <w:t>2,065,022</w:t>
            </w:r>
          </w:p>
        </w:tc>
        <w:tc>
          <w:tcPr>
            <w:tcW w:w="60" w:type="dxa"/>
            <w:vAlign w:val="bottom"/>
          </w:tcPr>
          <w:p>
            <w:pPr>
              <w:spacing w:after="0"/>
              <w:rPr>
                <w:sz w:val="8"/>
                <w:szCs w:val="8"/>
                <w:color w:val="auto"/>
              </w:rPr>
            </w:pPr>
          </w:p>
        </w:tc>
      </w:tr>
      <w:tr>
        <w:trPr>
          <w:trHeight w:val="99"/>
        </w:trPr>
        <w:tc>
          <w:tcPr>
            <w:tcW w:w="75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December 1 through December 31, 2011</w:t>
            </w: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3,015.0</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70.90</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520"/>
              <w:spacing w:after="0" w:line="99" w:lineRule="exact"/>
              <w:rPr>
                <w:sz w:val="20"/>
                <w:szCs w:val="20"/>
                <w:color w:val="auto"/>
              </w:rPr>
            </w:pPr>
            <w:r>
              <w:rPr>
                <w:rFonts w:ascii="Arial" w:cs="Arial" w:eastAsia="Arial" w:hAnsi="Arial"/>
                <w:sz w:val="9"/>
                <w:szCs w:val="9"/>
                <w:color w:val="auto"/>
              </w:rPr>
              <w:t>3,015.0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1,851,255</w:t>
            </w:r>
          </w:p>
        </w:tc>
        <w:tc>
          <w:tcPr>
            <w:tcW w:w="60" w:type="dxa"/>
            <w:vAlign w:val="bottom"/>
            <w:shd w:val="clear" w:color="auto" w:fill="CCEEFF"/>
          </w:tcPr>
          <w:p>
            <w:pPr>
              <w:spacing w:after="0"/>
              <w:rPr>
                <w:sz w:val="8"/>
                <w:szCs w:val="8"/>
                <w:color w:val="auto"/>
              </w:rPr>
            </w:pPr>
          </w:p>
        </w:tc>
      </w:tr>
      <w:tr>
        <w:trPr>
          <w:trHeight w:val="20"/>
        </w:trPr>
        <w:tc>
          <w:tcPr>
            <w:tcW w:w="75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7"/>
        </w:trPr>
        <w:tc>
          <w:tcPr>
            <w:tcW w:w="7560" w:type="dxa"/>
            <w:vAlign w:val="bottom"/>
          </w:tcPr>
          <w:p>
            <w:pPr>
              <w:spacing w:after="0"/>
              <w:rPr>
                <w:sz w:val="8"/>
                <w:szCs w:val="8"/>
                <w:color w:val="auto"/>
              </w:rPr>
            </w:pPr>
          </w:p>
        </w:tc>
        <w:tc>
          <w:tcPr>
            <w:tcW w:w="660" w:type="dxa"/>
            <w:vAlign w:val="bottom"/>
          </w:tcPr>
          <w:p>
            <w:pPr>
              <w:jc w:val="right"/>
              <w:spacing w:after="0" w:line="98" w:lineRule="exact"/>
              <w:rPr>
                <w:sz w:val="20"/>
                <w:szCs w:val="20"/>
                <w:color w:val="auto"/>
              </w:rPr>
            </w:pPr>
            <w:r>
              <w:rPr>
                <w:rFonts w:ascii="Arial" w:cs="Arial" w:eastAsia="Arial" w:hAnsi="Arial"/>
                <w:sz w:val="9"/>
                <w:szCs w:val="9"/>
                <w:color w:val="auto"/>
              </w:rPr>
              <w:t>9,153.3</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69.42</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gridSpan w:val="2"/>
          </w:tcPr>
          <w:p>
            <w:pPr>
              <w:jc w:val="right"/>
              <w:ind w:right="520"/>
              <w:spacing w:after="0" w:line="98" w:lineRule="exact"/>
              <w:rPr>
                <w:sz w:val="20"/>
                <w:szCs w:val="20"/>
                <w:color w:val="auto"/>
              </w:rPr>
            </w:pPr>
            <w:r>
              <w:rPr>
                <w:rFonts w:ascii="Arial" w:cs="Arial" w:eastAsia="Arial" w:hAnsi="Arial"/>
                <w:sz w:val="9"/>
                <w:szCs w:val="9"/>
                <w:color w:val="auto"/>
              </w:rPr>
              <w:t>9,153.3</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
        </w:trPr>
        <w:tc>
          <w:tcPr>
            <w:tcW w:w="7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right="400" w:firstLine="230"/>
        <w:spacing w:after="0" w:line="314" w:lineRule="auto"/>
        <w:rPr>
          <w:sz w:val="20"/>
          <w:szCs w:val="20"/>
          <w:color w:val="auto"/>
        </w:rPr>
      </w:pPr>
      <w:r>
        <w:rPr>
          <w:rFonts w:ascii="Arial" w:cs="Arial" w:eastAsia="Arial" w:hAnsi="Arial"/>
          <w:sz w:val="11"/>
          <w:szCs w:val="11"/>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5. as the number of shares of Schlumberger common stock received from optionholders is not material.</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Unregistered Sales of Equity Securities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9"/>
          <w:szCs w:val="9"/>
          <w:color w:val="auto"/>
        </w:rPr>
        <w:t>13</w:t>
      </w:r>
    </w:p>
    <w:p>
      <w:pPr>
        <w:sectPr>
          <w:pgSz w:w="11900" w:h="16838" w:orient="portrait"/>
          <w:cols w:equalWidth="0" w:num="1">
            <w:col w:w="11480"/>
          </w:cols>
          <w:pgMar w:left="220" w:top="354" w:right="199" w:bottom="1440" w:gutter="0" w:footer="0" w:header="0"/>
        </w:sectPr>
      </w:pPr>
    </w:p>
    <w:bookmarkStart w:id="13" w:name="page14"/>
    <w:bookmarkEnd w:id="13"/>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2"/>
          <w:szCs w:val="12"/>
          <w:b w:val="1"/>
          <w:bCs w:val="1"/>
          <w:u w:val="single" w:color="auto"/>
          <w:color w:val="auto"/>
        </w:rPr>
        <w:t>Item 6.</w:t>
      </w:r>
      <w:r>
        <w:rPr>
          <w:sz w:val="20"/>
          <w:szCs w:val="20"/>
          <w:color w:val="auto"/>
        </w:rPr>
        <w:tab/>
      </w:r>
      <w:r>
        <w:rPr>
          <w:rFonts w:ascii="Arial" w:cs="Arial" w:eastAsia="Arial" w:hAnsi="Arial"/>
          <w:sz w:val="9"/>
          <w:szCs w:val="9"/>
          <w:b w:val="1"/>
          <w:bCs w:val="1"/>
          <w:u w:val="single" w:color="auto"/>
          <w:color w:val="auto"/>
        </w:rPr>
        <w:t>Selected Financial Data.</w:t>
      </w:r>
    </w:p>
    <w:p>
      <w:pPr>
        <w:spacing w:after="0" w:line="62" w:lineRule="exact"/>
        <w:rPr>
          <w:sz w:val="20"/>
          <w:szCs w:val="20"/>
          <w:color w:val="auto"/>
        </w:rPr>
      </w:pPr>
    </w:p>
    <w:p>
      <w:pPr>
        <w:ind w:left="228"/>
        <w:spacing w:after="0"/>
        <w:rPr>
          <w:sz w:val="20"/>
          <w:szCs w:val="20"/>
          <w:color w:val="auto"/>
        </w:rPr>
      </w:pPr>
      <w:r>
        <w:rPr>
          <w:rFonts w:ascii="Arial" w:cs="Arial" w:eastAsia="Arial" w:hAnsi="Arial"/>
          <w:sz w:val="11"/>
          <w:szCs w:val="11"/>
          <w:color w:val="auto"/>
        </w:rPr>
        <w:t>The following selected consolidated financial data should be read in conjunction with both “Item 7. Management’s Discussion and Analysis of Financial Condition and Results of Operations” and “Item 8. Financial Statements and</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2"/>
          <w:szCs w:val="12"/>
          <w:color w:val="auto"/>
        </w:rPr>
        <w:t>Supplementary Data” of this Form 10-K in order to understand factors, such as business combinations and charges and credits, which may affect the comparability of the Selected Financial Data:</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51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gridSpan w:val="8"/>
          </w:tcPr>
          <w:p>
            <w:pPr>
              <w:spacing w:after="0"/>
              <w:rPr>
                <w:sz w:val="20"/>
                <w:szCs w:val="20"/>
                <w:color w:val="auto"/>
              </w:rPr>
            </w:pPr>
            <w:r>
              <w:rPr>
                <w:rFonts w:ascii="Arial" w:cs="Arial" w:eastAsia="Arial" w:hAnsi="Arial"/>
                <w:sz w:val="9"/>
                <w:szCs w:val="9"/>
                <w:b w:val="1"/>
                <w:bCs w:val="1"/>
                <w:color w:val="auto"/>
                <w:w w:val="92"/>
              </w:rPr>
              <w:t>(Stated in millions, except per share amounts)</w:t>
            </w:r>
          </w:p>
        </w:tc>
      </w:tr>
      <w:tr>
        <w:trPr>
          <w:trHeight w:val="199"/>
        </w:trPr>
        <w:tc>
          <w:tcPr>
            <w:tcW w:w="5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5"/>
          </w:tcPr>
          <w:p>
            <w:pPr>
              <w:jc w:val="right"/>
              <w:ind w:right="35"/>
              <w:spacing w:after="0"/>
              <w:rPr>
                <w:sz w:val="20"/>
                <w:szCs w:val="20"/>
                <w:color w:val="auto"/>
              </w:rPr>
            </w:pPr>
            <w:r>
              <w:rPr>
                <w:rFonts w:ascii="Arial" w:cs="Arial" w:eastAsia="Arial" w:hAnsi="Arial"/>
                <w:sz w:val="9"/>
                <w:szCs w:val="9"/>
                <w:b w:val="1"/>
                <w:bCs w:val="1"/>
                <w:color w:val="auto"/>
                <w:w w:val="88"/>
              </w:rPr>
              <w:t>Year Ended December 31,</w:t>
            </w: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88"/>
        </w:trPr>
        <w:tc>
          <w:tcPr>
            <w:tcW w:w="51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2011</w:t>
            </w:r>
          </w:p>
        </w:tc>
        <w:tc>
          <w:tcPr>
            <w:tcW w:w="100" w:type="dxa"/>
            <w:vAlign w:val="bottom"/>
          </w:tcPr>
          <w:p>
            <w:pPr>
              <w:spacing w:after="0"/>
              <w:rPr>
                <w:sz w:val="7"/>
                <w:szCs w:val="7"/>
                <w:color w:val="auto"/>
              </w:rPr>
            </w:pPr>
          </w:p>
        </w:tc>
        <w:tc>
          <w:tcPr>
            <w:tcW w:w="300" w:type="dxa"/>
            <w:vAlign w:val="bottom"/>
          </w:tcPr>
          <w:p>
            <w:pPr>
              <w:jc w:val="right"/>
              <w:spacing w:after="0" w:line="88" w:lineRule="exact"/>
              <w:rPr>
                <w:sz w:val="20"/>
                <w:szCs w:val="20"/>
                <w:color w:val="auto"/>
              </w:rPr>
            </w:pPr>
            <w:r>
              <w:rPr>
                <w:rFonts w:ascii="Arial" w:cs="Arial" w:eastAsia="Arial" w:hAnsi="Arial"/>
                <w:sz w:val="9"/>
                <w:szCs w:val="9"/>
                <w:b w:val="1"/>
                <w:bCs w:val="1"/>
                <w:color w:val="auto"/>
              </w:rPr>
              <w:t>2010</w:t>
            </w: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9"/>
                <w:szCs w:val="9"/>
                <w:b w:val="1"/>
                <w:bCs w:val="1"/>
                <w:color w:val="auto"/>
              </w:rPr>
              <w:t>2009</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2008</w:t>
            </w:r>
          </w:p>
        </w:tc>
        <w:tc>
          <w:tcPr>
            <w:tcW w:w="120" w:type="dxa"/>
            <w:vAlign w:val="bottom"/>
          </w:tcPr>
          <w:p>
            <w:pPr>
              <w:spacing w:after="0"/>
              <w:rPr>
                <w:sz w:val="7"/>
                <w:szCs w:val="7"/>
                <w:color w:val="auto"/>
              </w:rPr>
            </w:pPr>
          </w:p>
        </w:tc>
        <w:tc>
          <w:tcPr>
            <w:tcW w:w="300" w:type="dxa"/>
            <w:vAlign w:val="bottom"/>
          </w:tcPr>
          <w:p>
            <w:pPr>
              <w:jc w:val="right"/>
              <w:spacing w:after="0" w:line="88" w:lineRule="exact"/>
              <w:rPr>
                <w:sz w:val="20"/>
                <w:szCs w:val="20"/>
                <w:color w:val="auto"/>
              </w:rPr>
            </w:pPr>
            <w:r>
              <w:rPr>
                <w:rFonts w:ascii="Arial" w:cs="Arial" w:eastAsia="Arial" w:hAnsi="Arial"/>
                <w:sz w:val="9"/>
                <w:szCs w:val="9"/>
                <w:b w:val="1"/>
                <w:bCs w:val="1"/>
                <w:color w:val="auto"/>
              </w:rPr>
              <w:t>2007</w:t>
            </w:r>
          </w:p>
        </w:tc>
        <w:tc>
          <w:tcPr>
            <w:tcW w:w="80" w:type="dxa"/>
            <w:vAlign w:val="bottom"/>
          </w:tcPr>
          <w:p>
            <w:pPr>
              <w:spacing w:after="0"/>
              <w:rPr>
                <w:sz w:val="7"/>
                <w:szCs w:val="7"/>
                <w:color w:val="auto"/>
              </w:rPr>
            </w:pPr>
          </w:p>
        </w:tc>
      </w:tr>
      <w:tr>
        <w:trPr>
          <w:trHeight w:val="88"/>
        </w:trPr>
        <w:tc>
          <w:tcPr>
            <w:tcW w:w="510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Revenue</w:t>
            </w:r>
          </w:p>
        </w:tc>
        <w:tc>
          <w:tcPr>
            <w:tcW w:w="31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39,540</w:t>
            </w:r>
          </w:p>
        </w:tc>
        <w:tc>
          <w:tcPr>
            <w:tcW w:w="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27,447</w:t>
            </w: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22,702</w:t>
            </w:r>
          </w:p>
        </w:tc>
        <w:tc>
          <w:tcPr>
            <w:tcW w:w="2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15"/>
              <w:spacing w:after="0" w:line="88" w:lineRule="exact"/>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27,163</w:t>
            </w:r>
          </w:p>
        </w:tc>
        <w:tc>
          <w:tcPr>
            <w:tcW w:w="2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15"/>
              <w:spacing w:after="0" w:line="88" w:lineRule="exact"/>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23,277</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5100" w:type="dxa"/>
            <w:vAlign w:val="bottom"/>
          </w:tcPr>
          <w:p>
            <w:pPr>
              <w:spacing w:after="0" w:line="99" w:lineRule="exact"/>
              <w:rPr>
                <w:sz w:val="20"/>
                <w:szCs w:val="20"/>
                <w:color w:val="auto"/>
              </w:rPr>
            </w:pPr>
            <w:r>
              <w:rPr>
                <w:rFonts w:ascii="Arial" w:cs="Arial" w:eastAsia="Arial" w:hAnsi="Arial"/>
                <w:sz w:val="9"/>
                <w:szCs w:val="9"/>
                <w:color w:val="auto"/>
              </w:rPr>
              <w:t>Income from continuing operations</w:t>
            </w:r>
          </w:p>
        </w:tc>
        <w:tc>
          <w:tcPr>
            <w:tcW w:w="3240" w:type="dxa"/>
            <w:vAlign w:val="bottom"/>
            <w:gridSpan w:val="2"/>
          </w:tcPr>
          <w:p>
            <w:pPr>
              <w:jc w:val="right"/>
              <w:ind w:right="17"/>
              <w:spacing w:after="0" w:line="99" w:lineRule="exact"/>
              <w:rPr>
                <w:sz w:val="20"/>
                <w:szCs w:val="20"/>
                <w:color w:val="auto"/>
              </w:rPr>
            </w:pPr>
            <w:r>
              <w:rPr>
                <w:rFonts w:ascii="Arial" w:cs="Arial" w:eastAsia="Arial" w:hAnsi="Arial"/>
                <w:sz w:val="9"/>
                <w:szCs w:val="9"/>
                <w:b w:val="1"/>
                <w:bCs w:val="1"/>
                <w:color w:val="auto"/>
              </w:rPr>
              <w:t>$</w:t>
            </w: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4,793</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4,266</w:t>
            </w:r>
          </w:p>
        </w:tc>
        <w:tc>
          <w:tcPr>
            <w:tcW w:w="32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3,164</w:t>
            </w:r>
          </w:p>
        </w:tc>
        <w:tc>
          <w:tcPr>
            <w:tcW w:w="400" w:type="dxa"/>
            <w:vAlign w:val="bottom"/>
            <w:gridSpan w:val="2"/>
          </w:tcPr>
          <w:p>
            <w:pPr>
              <w:jc w:val="right"/>
              <w:ind w:right="15"/>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5,422</w:t>
            </w:r>
          </w:p>
        </w:tc>
        <w:tc>
          <w:tcPr>
            <w:tcW w:w="120" w:type="dxa"/>
            <w:vAlign w:val="bottom"/>
          </w:tcPr>
          <w:p>
            <w:pPr>
              <w:jc w:val="right"/>
              <w:ind w:right="15"/>
              <w:spacing w:after="0" w:line="99"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5,177</w:t>
            </w:r>
          </w:p>
        </w:tc>
        <w:tc>
          <w:tcPr>
            <w:tcW w:w="80" w:type="dxa"/>
            <w:vAlign w:val="bottom"/>
          </w:tcPr>
          <w:p>
            <w:pPr>
              <w:spacing w:after="0"/>
              <w:rPr>
                <w:sz w:val="8"/>
                <w:szCs w:val="8"/>
                <w:color w:val="auto"/>
              </w:rPr>
            </w:pPr>
          </w:p>
        </w:tc>
      </w:tr>
      <w:tr>
        <w:trPr>
          <w:trHeight w:val="99"/>
        </w:trPr>
        <w:tc>
          <w:tcPr>
            <w:tcW w:w="51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Diluted earnings per share from continuing operations</w:t>
            </w:r>
          </w:p>
        </w:tc>
        <w:tc>
          <w:tcPr>
            <w:tcW w:w="3240" w:type="dxa"/>
            <w:vAlign w:val="bottom"/>
            <w:gridSpan w:val="2"/>
            <w:shd w:val="clear" w:color="auto" w:fill="CCEEFF"/>
          </w:tcPr>
          <w:p>
            <w:pPr>
              <w:jc w:val="right"/>
              <w:ind w:right="17"/>
              <w:spacing w:after="0" w:line="99" w:lineRule="exact"/>
              <w:rPr>
                <w:sz w:val="20"/>
                <w:szCs w:val="20"/>
                <w:color w:val="auto"/>
              </w:rPr>
            </w:pPr>
            <w:r>
              <w:rPr>
                <w:rFonts w:ascii="Arial" w:cs="Arial" w:eastAsia="Arial" w:hAnsi="Arial"/>
                <w:sz w:val="9"/>
                <w:szCs w:val="9"/>
                <w:b w:val="1"/>
                <w:bCs w:val="1"/>
                <w:color w:val="auto"/>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3.51</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3.38</w:t>
            </w:r>
          </w:p>
        </w:tc>
        <w:tc>
          <w:tcPr>
            <w:tcW w:w="3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2.61</w:t>
            </w:r>
          </w:p>
        </w:tc>
        <w:tc>
          <w:tcPr>
            <w:tcW w:w="400" w:type="dxa"/>
            <w:vAlign w:val="bottom"/>
            <w:gridSpan w:val="2"/>
            <w:shd w:val="clear" w:color="auto" w:fill="CCEEFF"/>
          </w:tcPr>
          <w:p>
            <w:pPr>
              <w:jc w:val="right"/>
              <w:ind w:right="15"/>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4.42</w:t>
            </w:r>
          </w:p>
        </w:tc>
        <w:tc>
          <w:tcPr>
            <w:tcW w:w="120" w:type="dxa"/>
            <w:vAlign w:val="bottom"/>
            <w:shd w:val="clear" w:color="auto" w:fill="CCEEFF"/>
          </w:tcPr>
          <w:p>
            <w:pPr>
              <w:jc w:val="right"/>
              <w:ind w:right="15"/>
              <w:spacing w:after="0" w:line="99" w:lineRule="exact"/>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4.20</w:t>
            </w:r>
          </w:p>
        </w:tc>
        <w:tc>
          <w:tcPr>
            <w:tcW w:w="80" w:type="dxa"/>
            <w:vAlign w:val="bottom"/>
            <w:shd w:val="clear" w:color="auto" w:fill="CCEEFF"/>
          </w:tcPr>
          <w:p>
            <w:pPr>
              <w:spacing w:after="0"/>
              <w:rPr>
                <w:sz w:val="8"/>
                <w:szCs w:val="8"/>
                <w:color w:val="auto"/>
              </w:rPr>
            </w:pPr>
          </w:p>
        </w:tc>
      </w:tr>
      <w:tr>
        <w:trPr>
          <w:trHeight w:val="99"/>
        </w:trPr>
        <w:tc>
          <w:tcPr>
            <w:tcW w:w="5100" w:type="dxa"/>
            <w:vAlign w:val="bottom"/>
          </w:tcPr>
          <w:p>
            <w:pPr>
              <w:spacing w:after="0" w:line="99" w:lineRule="exact"/>
              <w:rPr>
                <w:sz w:val="20"/>
                <w:szCs w:val="20"/>
                <w:color w:val="auto"/>
              </w:rPr>
            </w:pPr>
            <w:r>
              <w:rPr>
                <w:rFonts w:ascii="Arial" w:cs="Arial" w:eastAsia="Arial" w:hAnsi="Arial"/>
                <w:sz w:val="9"/>
                <w:szCs w:val="9"/>
                <w:color w:val="auto"/>
              </w:rPr>
              <w:t>Working capital</w:t>
            </w:r>
          </w:p>
        </w:tc>
        <w:tc>
          <w:tcPr>
            <w:tcW w:w="3240" w:type="dxa"/>
            <w:vAlign w:val="bottom"/>
            <w:gridSpan w:val="2"/>
          </w:tcPr>
          <w:p>
            <w:pPr>
              <w:jc w:val="right"/>
              <w:ind w:right="17"/>
              <w:spacing w:after="0" w:line="99" w:lineRule="exact"/>
              <w:rPr>
                <w:sz w:val="20"/>
                <w:szCs w:val="20"/>
                <w:color w:val="auto"/>
              </w:rPr>
            </w:pPr>
            <w:r>
              <w:rPr>
                <w:rFonts w:ascii="Arial" w:cs="Arial" w:eastAsia="Arial" w:hAnsi="Arial"/>
                <w:sz w:val="9"/>
                <w:szCs w:val="9"/>
                <w:b w:val="1"/>
                <w:bCs w:val="1"/>
                <w:color w:val="auto"/>
              </w:rPr>
              <w:t>$</w:t>
            </w: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10,001</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7,233</w:t>
            </w:r>
          </w:p>
        </w:tc>
        <w:tc>
          <w:tcPr>
            <w:tcW w:w="32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6,391</w:t>
            </w:r>
          </w:p>
        </w:tc>
        <w:tc>
          <w:tcPr>
            <w:tcW w:w="400" w:type="dxa"/>
            <w:vAlign w:val="bottom"/>
            <w:gridSpan w:val="2"/>
          </w:tcPr>
          <w:p>
            <w:pPr>
              <w:jc w:val="right"/>
              <w:ind w:right="15"/>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4,811</w:t>
            </w:r>
          </w:p>
        </w:tc>
        <w:tc>
          <w:tcPr>
            <w:tcW w:w="120" w:type="dxa"/>
            <w:vAlign w:val="bottom"/>
          </w:tcPr>
          <w:p>
            <w:pPr>
              <w:jc w:val="right"/>
              <w:ind w:right="15"/>
              <w:spacing w:after="0" w:line="99"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3,551</w:t>
            </w:r>
          </w:p>
        </w:tc>
        <w:tc>
          <w:tcPr>
            <w:tcW w:w="80" w:type="dxa"/>
            <w:vAlign w:val="bottom"/>
          </w:tcPr>
          <w:p>
            <w:pPr>
              <w:spacing w:after="0"/>
              <w:rPr>
                <w:sz w:val="8"/>
                <w:szCs w:val="8"/>
                <w:color w:val="auto"/>
              </w:rPr>
            </w:pPr>
          </w:p>
        </w:tc>
      </w:tr>
      <w:tr>
        <w:trPr>
          <w:trHeight w:val="99"/>
        </w:trPr>
        <w:tc>
          <w:tcPr>
            <w:tcW w:w="51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Total assets</w:t>
            </w:r>
          </w:p>
        </w:tc>
        <w:tc>
          <w:tcPr>
            <w:tcW w:w="3240" w:type="dxa"/>
            <w:vAlign w:val="bottom"/>
            <w:gridSpan w:val="2"/>
            <w:shd w:val="clear" w:color="auto" w:fill="CCEEFF"/>
          </w:tcPr>
          <w:p>
            <w:pPr>
              <w:jc w:val="right"/>
              <w:ind w:right="17"/>
              <w:spacing w:after="0" w:line="99" w:lineRule="exact"/>
              <w:rPr>
                <w:sz w:val="20"/>
                <w:szCs w:val="20"/>
                <w:color w:val="auto"/>
              </w:rPr>
            </w:pPr>
            <w:r>
              <w:rPr>
                <w:rFonts w:ascii="Arial" w:cs="Arial" w:eastAsia="Arial" w:hAnsi="Arial"/>
                <w:sz w:val="9"/>
                <w:szCs w:val="9"/>
                <w:b w:val="1"/>
                <w:bCs w:val="1"/>
                <w:color w:val="auto"/>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55,201</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51,767</w:t>
            </w:r>
          </w:p>
        </w:tc>
        <w:tc>
          <w:tcPr>
            <w:tcW w:w="3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33,465</w:t>
            </w:r>
          </w:p>
        </w:tc>
        <w:tc>
          <w:tcPr>
            <w:tcW w:w="400" w:type="dxa"/>
            <w:vAlign w:val="bottom"/>
            <w:gridSpan w:val="2"/>
            <w:shd w:val="clear" w:color="auto" w:fill="CCEEFF"/>
          </w:tcPr>
          <w:p>
            <w:pPr>
              <w:jc w:val="right"/>
              <w:ind w:right="15"/>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32,094</w:t>
            </w:r>
          </w:p>
        </w:tc>
        <w:tc>
          <w:tcPr>
            <w:tcW w:w="120" w:type="dxa"/>
            <w:vAlign w:val="bottom"/>
            <w:shd w:val="clear" w:color="auto" w:fill="CCEEFF"/>
          </w:tcPr>
          <w:p>
            <w:pPr>
              <w:jc w:val="right"/>
              <w:ind w:right="15"/>
              <w:spacing w:after="0" w:line="99" w:lineRule="exact"/>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27,853</w:t>
            </w:r>
          </w:p>
        </w:tc>
        <w:tc>
          <w:tcPr>
            <w:tcW w:w="80" w:type="dxa"/>
            <w:vAlign w:val="bottom"/>
            <w:shd w:val="clear" w:color="auto" w:fill="CCEEFF"/>
          </w:tcPr>
          <w:p>
            <w:pPr>
              <w:spacing w:after="0"/>
              <w:rPr>
                <w:sz w:val="8"/>
                <w:szCs w:val="8"/>
                <w:color w:val="auto"/>
              </w:rPr>
            </w:pPr>
          </w:p>
        </w:tc>
      </w:tr>
      <w:tr>
        <w:trPr>
          <w:trHeight w:val="99"/>
        </w:trPr>
        <w:tc>
          <w:tcPr>
            <w:tcW w:w="5100" w:type="dxa"/>
            <w:vAlign w:val="bottom"/>
          </w:tcPr>
          <w:p>
            <w:pPr>
              <w:spacing w:after="0" w:line="99" w:lineRule="exact"/>
              <w:rPr>
                <w:sz w:val="20"/>
                <w:szCs w:val="20"/>
                <w:color w:val="auto"/>
              </w:rPr>
            </w:pPr>
            <w:r>
              <w:rPr>
                <w:rFonts w:ascii="Arial" w:cs="Arial" w:eastAsia="Arial" w:hAnsi="Arial"/>
                <w:sz w:val="7"/>
                <w:szCs w:val="7"/>
                <w:color w:val="auto"/>
              </w:rPr>
              <w:t xml:space="preserve">Net debt </w:t>
            </w:r>
            <w:r>
              <w:rPr>
                <w:rFonts w:ascii="Arial" w:cs="Arial" w:eastAsia="Arial" w:hAnsi="Arial"/>
                <w:sz w:val="11"/>
                <w:szCs w:val="11"/>
                <w:color w:val="auto"/>
                <w:vertAlign w:val="superscript"/>
              </w:rPr>
              <w:t>(1)</w:t>
            </w:r>
          </w:p>
        </w:tc>
        <w:tc>
          <w:tcPr>
            <w:tcW w:w="3240" w:type="dxa"/>
            <w:vAlign w:val="bottom"/>
            <w:gridSpan w:val="2"/>
          </w:tcPr>
          <w:p>
            <w:pPr>
              <w:jc w:val="right"/>
              <w:ind w:right="17"/>
              <w:spacing w:after="0" w:line="99" w:lineRule="exact"/>
              <w:rPr>
                <w:sz w:val="20"/>
                <w:szCs w:val="20"/>
                <w:color w:val="auto"/>
              </w:rPr>
            </w:pPr>
            <w:r>
              <w:rPr>
                <w:rFonts w:ascii="Arial" w:cs="Arial" w:eastAsia="Arial" w:hAnsi="Arial"/>
                <w:sz w:val="9"/>
                <w:szCs w:val="9"/>
                <w:b w:val="1"/>
                <w:bCs w:val="1"/>
                <w:color w:val="auto"/>
              </w:rPr>
              <w:t>$</w:t>
            </w: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4,850</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2,638</w:t>
            </w:r>
          </w:p>
        </w:tc>
        <w:tc>
          <w:tcPr>
            <w:tcW w:w="32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126</w:t>
            </w:r>
          </w:p>
        </w:tc>
        <w:tc>
          <w:tcPr>
            <w:tcW w:w="400" w:type="dxa"/>
            <w:vAlign w:val="bottom"/>
            <w:gridSpan w:val="2"/>
          </w:tcPr>
          <w:p>
            <w:pPr>
              <w:jc w:val="right"/>
              <w:ind w:right="15"/>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1,129</w:t>
            </w:r>
          </w:p>
        </w:tc>
        <w:tc>
          <w:tcPr>
            <w:tcW w:w="120" w:type="dxa"/>
            <w:vAlign w:val="bottom"/>
          </w:tcPr>
          <w:p>
            <w:pPr>
              <w:jc w:val="right"/>
              <w:ind w:right="15"/>
              <w:spacing w:after="0" w:line="99"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1,857</w:t>
            </w:r>
          </w:p>
        </w:tc>
        <w:tc>
          <w:tcPr>
            <w:tcW w:w="80" w:type="dxa"/>
            <w:vAlign w:val="bottom"/>
          </w:tcPr>
          <w:p>
            <w:pPr>
              <w:spacing w:after="0"/>
              <w:rPr>
                <w:sz w:val="8"/>
                <w:szCs w:val="8"/>
                <w:color w:val="auto"/>
              </w:rPr>
            </w:pPr>
          </w:p>
        </w:tc>
      </w:tr>
      <w:tr>
        <w:trPr>
          <w:trHeight w:val="99"/>
        </w:trPr>
        <w:tc>
          <w:tcPr>
            <w:tcW w:w="51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Long-term debt</w:t>
            </w:r>
          </w:p>
        </w:tc>
        <w:tc>
          <w:tcPr>
            <w:tcW w:w="3240" w:type="dxa"/>
            <w:vAlign w:val="bottom"/>
            <w:gridSpan w:val="2"/>
            <w:shd w:val="clear" w:color="auto" w:fill="CCEEFF"/>
          </w:tcPr>
          <w:p>
            <w:pPr>
              <w:jc w:val="right"/>
              <w:ind w:right="17"/>
              <w:spacing w:after="0" w:line="99" w:lineRule="exact"/>
              <w:rPr>
                <w:sz w:val="20"/>
                <w:szCs w:val="20"/>
                <w:color w:val="auto"/>
              </w:rPr>
            </w:pPr>
            <w:r>
              <w:rPr>
                <w:rFonts w:ascii="Arial" w:cs="Arial" w:eastAsia="Arial" w:hAnsi="Arial"/>
                <w:sz w:val="9"/>
                <w:szCs w:val="9"/>
                <w:b w:val="1"/>
                <w:bCs w:val="1"/>
                <w:color w:val="auto"/>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8,556</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5,517</w:t>
            </w:r>
          </w:p>
        </w:tc>
        <w:tc>
          <w:tcPr>
            <w:tcW w:w="3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4,355</w:t>
            </w:r>
          </w:p>
        </w:tc>
        <w:tc>
          <w:tcPr>
            <w:tcW w:w="400" w:type="dxa"/>
            <w:vAlign w:val="bottom"/>
            <w:gridSpan w:val="2"/>
            <w:shd w:val="clear" w:color="auto" w:fill="CCEEFF"/>
          </w:tcPr>
          <w:p>
            <w:pPr>
              <w:jc w:val="right"/>
              <w:ind w:right="15"/>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3,694</w:t>
            </w:r>
          </w:p>
        </w:tc>
        <w:tc>
          <w:tcPr>
            <w:tcW w:w="120" w:type="dxa"/>
            <w:vAlign w:val="bottom"/>
            <w:shd w:val="clear" w:color="auto" w:fill="CCEEFF"/>
          </w:tcPr>
          <w:p>
            <w:pPr>
              <w:jc w:val="right"/>
              <w:ind w:right="15"/>
              <w:spacing w:after="0" w:line="99" w:lineRule="exact"/>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3,794</w:t>
            </w:r>
          </w:p>
        </w:tc>
        <w:tc>
          <w:tcPr>
            <w:tcW w:w="80" w:type="dxa"/>
            <w:vAlign w:val="bottom"/>
            <w:shd w:val="clear" w:color="auto" w:fill="CCEEFF"/>
          </w:tcPr>
          <w:p>
            <w:pPr>
              <w:spacing w:after="0"/>
              <w:rPr>
                <w:sz w:val="8"/>
                <w:szCs w:val="8"/>
                <w:color w:val="auto"/>
              </w:rPr>
            </w:pPr>
          </w:p>
        </w:tc>
      </w:tr>
      <w:tr>
        <w:trPr>
          <w:trHeight w:val="99"/>
        </w:trPr>
        <w:tc>
          <w:tcPr>
            <w:tcW w:w="5100" w:type="dxa"/>
            <w:vAlign w:val="bottom"/>
          </w:tcPr>
          <w:p>
            <w:pPr>
              <w:spacing w:after="0" w:line="99" w:lineRule="exact"/>
              <w:rPr>
                <w:sz w:val="20"/>
                <w:szCs w:val="20"/>
                <w:color w:val="auto"/>
              </w:rPr>
            </w:pPr>
            <w:r>
              <w:rPr>
                <w:rFonts w:ascii="Arial" w:cs="Arial" w:eastAsia="Arial" w:hAnsi="Arial"/>
                <w:sz w:val="9"/>
                <w:szCs w:val="9"/>
                <w:color w:val="auto"/>
              </w:rPr>
              <w:t>Schlumberger stockholders’ equity</w:t>
            </w:r>
          </w:p>
        </w:tc>
        <w:tc>
          <w:tcPr>
            <w:tcW w:w="3240" w:type="dxa"/>
            <w:vAlign w:val="bottom"/>
            <w:gridSpan w:val="2"/>
          </w:tcPr>
          <w:p>
            <w:pPr>
              <w:jc w:val="right"/>
              <w:ind w:right="17"/>
              <w:spacing w:after="0" w:line="99" w:lineRule="exact"/>
              <w:rPr>
                <w:sz w:val="20"/>
                <w:szCs w:val="20"/>
                <w:color w:val="auto"/>
              </w:rPr>
            </w:pPr>
            <w:r>
              <w:rPr>
                <w:rFonts w:ascii="Arial" w:cs="Arial" w:eastAsia="Arial" w:hAnsi="Arial"/>
                <w:sz w:val="9"/>
                <w:szCs w:val="9"/>
                <w:b w:val="1"/>
                <w:bCs w:val="1"/>
                <w:color w:val="auto"/>
              </w:rPr>
              <w:t>$</w:t>
            </w: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31,263</w:t>
            </w: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31,226</w:t>
            </w:r>
          </w:p>
        </w:tc>
        <w:tc>
          <w:tcPr>
            <w:tcW w:w="32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19,120</w:t>
            </w:r>
          </w:p>
        </w:tc>
        <w:tc>
          <w:tcPr>
            <w:tcW w:w="400" w:type="dxa"/>
            <w:vAlign w:val="bottom"/>
            <w:gridSpan w:val="2"/>
          </w:tcPr>
          <w:p>
            <w:pPr>
              <w:jc w:val="right"/>
              <w:ind w:right="15"/>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16,862</w:t>
            </w:r>
          </w:p>
        </w:tc>
        <w:tc>
          <w:tcPr>
            <w:tcW w:w="120" w:type="dxa"/>
            <w:vAlign w:val="bottom"/>
          </w:tcPr>
          <w:p>
            <w:pPr>
              <w:jc w:val="right"/>
              <w:ind w:right="15"/>
              <w:spacing w:after="0" w:line="99"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14,876</w:t>
            </w:r>
          </w:p>
        </w:tc>
        <w:tc>
          <w:tcPr>
            <w:tcW w:w="80" w:type="dxa"/>
            <w:vAlign w:val="bottom"/>
          </w:tcPr>
          <w:p>
            <w:pPr>
              <w:spacing w:after="0"/>
              <w:rPr>
                <w:sz w:val="8"/>
                <w:szCs w:val="8"/>
                <w:color w:val="auto"/>
              </w:rPr>
            </w:pPr>
          </w:p>
        </w:tc>
      </w:tr>
      <w:tr>
        <w:trPr>
          <w:trHeight w:val="99"/>
        </w:trPr>
        <w:tc>
          <w:tcPr>
            <w:tcW w:w="51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Cash dividends declared per share</w:t>
            </w:r>
          </w:p>
        </w:tc>
        <w:tc>
          <w:tcPr>
            <w:tcW w:w="3240" w:type="dxa"/>
            <w:vAlign w:val="bottom"/>
            <w:gridSpan w:val="2"/>
            <w:shd w:val="clear" w:color="auto" w:fill="CCEEFF"/>
          </w:tcPr>
          <w:p>
            <w:pPr>
              <w:jc w:val="right"/>
              <w:ind w:right="17"/>
              <w:spacing w:after="0" w:line="99" w:lineRule="exact"/>
              <w:rPr>
                <w:sz w:val="20"/>
                <w:szCs w:val="20"/>
                <w:color w:val="auto"/>
              </w:rPr>
            </w:pPr>
            <w:r>
              <w:rPr>
                <w:rFonts w:ascii="Arial" w:cs="Arial" w:eastAsia="Arial" w:hAnsi="Arial"/>
                <w:sz w:val="9"/>
                <w:szCs w:val="9"/>
                <w:b w:val="1"/>
                <w:bCs w:val="1"/>
                <w:color w:val="auto"/>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1.00</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0.84</w:t>
            </w:r>
          </w:p>
        </w:tc>
        <w:tc>
          <w:tcPr>
            <w:tcW w:w="3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0.84</w:t>
            </w:r>
          </w:p>
        </w:tc>
        <w:tc>
          <w:tcPr>
            <w:tcW w:w="400" w:type="dxa"/>
            <w:vAlign w:val="bottom"/>
            <w:gridSpan w:val="2"/>
            <w:shd w:val="clear" w:color="auto" w:fill="CCEEFF"/>
          </w:tcPr>
          <w:p>
            <w:pPr>
              <w:jc w:val="right"/>
              <w:ind w:right="15"/>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0.84</w:t>
            </w:r>
          </w:p>
        </w:tc>
        <w:tc>
          <w:tcPr>
            <w:tcW w:w="120" w:type="dxa"/>
            <w:vAlign w:val="bottom"/>
            <w:shd w:val="clear" w:color="auto" w:fill="CCEEFF"/>
          </w:tcPr>
          <w:p>
            <w:pPr>
              <w:jc w:val="right"/>
              <w:ind w:right="15"/>
              <w:spacing w:after="0" w:line="99" w:lineRule="exact"/>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0.70</w:t>
            </w:r>
          </w:p>
        </w:tc>
        <w:tc>
          <w:tcPr>
            <w:tcW w:w="80" w:type="dxa"/>
            <w:vAlign w:val="bottom"/>
            <w:shd w:val="clear" w:color="auto" w:fill="CCEEFF"/>
          </w:tcPr>
          <w:p>
            <w:pPr>
              <w:spacing w:after="0"/>
              <w:rPr>
                <w:sz w:val="8"/>
                <w:szCs w:val="8"/>
                <w:color w:val="auto"/>
              </w:rPr>
            </w:pPr>
          </w:p>
        </w:tc>
      </w:tr>
    </w:tbl>
    <w:p>
      <w:pPr>
        <w:spacing w:after="0" w:line="47" w:lineRule="exact"/>
        <w:rPr>
          <w:sz w:val="20"/>
          <w:szCs w:val="20"/>
          <w:color w:val="auto"/>
        </w:rPr>
      </w:pPr>
    </w:p>
    <w:p>
      <w:pPr>
        <w:jc w:val="center"/>
        <w:ind w:left="5688" w:right="520" w:hanging="5688"/>
        <w:spacing w:after="0" w:line="324" w:lineRule="auto"/>
        <w:tabs>
          <w:tab w:leader="none" w:pos="216" w:val="left"/>
        </w:tabs>
        <w:numPr>
          <w:ilvl w:val="0"/>
          <w:numId w:val="8"/>
        </w:numPr>
        <w:rPr>
          <w:rFonts w:ascii="Arial" w:cs="Arial" w:eastAsia="Arial" w:hAnsi="Arial"/>
          <w:sz w:val="15"/>
          <w:szCs w:val="15"/>
          <w:color w:val="auto"/>
          <w:vertAlign w:val="superscript"/>
        </w:rPr>
      </w:pPr>
      <w:r>
        <w:rPr>
          <w:rFonts w:ascii="Arial" w:cs="Arial" w:eastAsia="Arial" w:hAnsi="Arial"/>
          <w:sz w:val="9"/>
          <w:szCs w:val="9"/>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14</w:t>
      </w:r>
    </w:p>
    <w:p>
      <w:pPr>
        <w:sectPr>
          <w:pgSz w:w="11900" w:h="16838" w:orient="portrait"/>
          <w:cols w:equalWidth="0" w:num="1">
            <w:col w:w="11488"/>
          </w:cols>
          <w:pgMar w:left="212" w:top="354" w:right="199"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7.</w:t>
      </w:r>
      <w:r>
        <w:rPr>
          <w:sz w:val="20"/>
          <w:szCs w:val="20"/>
          <w:color w:val="auto"/>
        </w:rPr>
        <w:tab/>
      </w:r>
      <w:r>
        <w:rPr>
          <w:rFonts w:ascii="Arial" w:cs="Arial" w:eastAsia="Arial" w:hAnsi="Arial"/>
          <w:sz w:val="9"/>
          <w:szCs w:val="9"/>
          <w:b w:val="1"/>
          <w:bCs w:val="1"/>
          <w:u w:val="single" w:color="auto"/>
          <w:color w:val="auto"/>
        </w:rPr>
        <w:t>Management’s Discussion and Analysis of Financial Condition and Results of Operations.</w:t>
      </w:r>
    </w:p>
    <w:p>
      <w:pPr>
        <w:spacing w:after="0" w:line="62" w:lineRule="exact"/>
        <w:rPr>
          <w:sz w:val="20"/>
          <w:szCs w:val="20"/>
          <w:color w:val="auto"/>
        </w:rPr>
      </w:pPr>
    </w:p>
    <w:p>
      <w:pPr>
        <w:ind w:right="300" w:firstLine="230"/>
        <w:spacing w:after="0" w:line="268" w:lineRule="auto"/>
        <w:rPr>
          <w:sz w:val="20"/>
          <w:szCs w:val="20"/>
          <w:color w:val="auto"/>
        </w:rPr>
      </w:pPr>
      <w:r>
        <w:rPr>
          <w:rFonts w:ascii="Arial" w:cs="Arial" w:eastAsia="Arial" w:hAnsi="Arial"/>
          <w:sz w:val="12"/>
          <w:szCs w:val="12"/>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Report.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Executive Overview</w:t>
      </w:r>
    </w:p>
    <w:p>
      <w:pPr>
        <w:spacing w:after="0" w:line="62" w:lineRule="exact"/>
        <w:rPr>
          <w:sz w:val="20"/>
          <w:szCs w:val="20"/>
          <w:color w:val="auto"/>
        </w:rPr>
      </w:pPr>
    </w:p>
    <w:p>
      <w:pPr>
        <w:ind w:right="140" w:firstLine="230"/>
        <w:spacing w:after="0" w:line="252" w:lineRule="auto"/>
        <w:rPr>
          <w:sz w:val="20"/>
          <w:szCs w:val="20"/>
          <w:color w:val="auto"/>
        </w:rPr>
      </w:pPr>
      <w:r>
        <w:rPr>
          <w:rFonts w:ascii="Arial" w:cs="Arial" w:eastAsia="Arial" w:hAnsi="Arial"/>
          <w:sz w:val="12"/>
          <w:szCs w:val="12"/>
          <w:color w:val="auto"/>
        </w:rPr>
        <w:t>After the strong recovery of 2010, when worldwide oil demand grew 2.7 million barrels per day to 88.3 million barrels per day corresponding to the largest year-on-year increase in 30 years, oil demand grew only by a modest 0.7 million barrels per day in 2011. This resulted from the combination of economic concerns in the OECD countries and lower growth in the emerging economies. On the supply side, the unrest in North Africa and the Middle East, and more specifically the shutdown of Libyan production from early in the first quarter through the end of the third quarter, significantly tightened worldwide production capacity thereby limiting OPEC spare capacity to its lowest level since 2008. Non-OPEC production remained essentially flat year-on-year, as the steady increase in North American liquids production was offset by the declining output of mature basins. Tight supply maintained sufficient pressure on oil prices to offset sluggish demand growth, and yearly average prices set new records.</w:t>
      </w:r>
    </w:p>
    <w:p>
      <w:pPr>
        <w:ind w:right="80" w:firstLine="230"/>
        <w:spacing w:after="0" w:line="250" w:lineRule="auto"/>
        <w:rPr>
          <w:sz w:val="20"/>
          <w:szCs w:val="20"/>
          <w:color w:val="auto"/>
        </w:rPr>
      </w:pPr>
      <w:r>
        <w:rPr>
          <w:rFonts w:ascii="Arial" w:cs="Arial" w:eastAsia="Arial" w:hAnsi="Arial"/>
          <w:sz w:val="12"/>
          <w:szCs w:val="12"/>
          <w:color w:val="auto"/>
        </w:rPr>
        <w:t>Natural gas markets behaved differently between the three major geographic areas of consumption. In North America, a continuous increase in unconventional gas production, modest demand growth, and mild weather at the beginning of the winter season contributed to maintain storage at or above five-year highs and keep natural gas prices low. In Asia, the need for alternative energy sources following the Fukushima incident, along with the fast growing demand in non-OECD economies maintained gas prices high and led to a significant increase in the demand for liquified natural gas. In Europe, despite decreasing demand, prices continued to be supported by the influence of Asian demand on common suppliers’ prices and by declining production in the North Sea.</w:t>
      </w:r>
    </w:p>
    <w:p>
      <w:pPr>
        <w:spacing w:after="0" w:line="1" w:lineRule="exact"/>
        <w:rPr>
          <w:sz w:val="20"/>
          <w:szCs w:val="20"/>
          <w:color w:val="auto"/>
        </w:rPr>
      </w:pPr>
    </w:p>
    <w:p>
      <w:pPr>
        <w:ind w:firstLine="230"/>
        <w:spacing w:after="0" w:line="273" w:lineRule="auto"/>
        <w:rPr>
          <w:sz w:val="20"/>
          <w:szCs w:val="20"/>
          <w:color w:val="auto"/>
        </w:rPr>
      </w:pPr>
      <w:r>
        <w:rPr>
          <w:rFonts w:ascii="Arial" w:cs="Arial" w:eastAsia="Arial" w:hAnsi="Arial"/>
          <w:sz w:val="11"/>
          <w:szCs w:val="11"/>
          <w:color w:val="auto"/>
        </w:rPr>
        <w:t>In this environment, Schlumberger Oilfield Services revenue reached a historical high in 2011 of $37 billion—an increase of 39% over 2010. While this reflected a full year of revenue from the acquisitions of Smith International in August 2010 and Geoservices in April the same year, overall business conditions worldwide also improved during the year. In North America, which grew by 82% compared to 2010, this was seen through increased activity, stronger pricing and improved asset utilization as the market continued to shift to the liquids-rich plays that demanded higher service intensity in drilling and completing horizontal wells. A gradual return to activity in the deepwater US Gulf of Mexico, which accelerated as the year progressed also contributed to North American results. International growth of 24% was marked by strengthening activity in deepwater areas and active exploration basins as well as by signs of pricing traction for certain Technologies. In the Latin America Area, where revenue grew by 29%, drilling and production activity increased. Europe, CIS and Africa grew by 22% in revenue terms with strength in the North Sea and Russia but suffered the most in terms of the geopolitical unrest that affected North Africa and the Middle East with Libya shut down from late-February until operations recommenced in October. Revenue in the Middle East &amp; Asia Area increased by 21% driven by improving activity in Iraq and Saudi Arabia although these improvements were slowed by geopolitical unrest.</w:t>
      </w:r>
    </w:p>
    <w:p>
      <w:pPr>
        <w:spacing w:after="0" w:line="2" w:lineRule="exact"/>
        <w:rPr>
          <w:sz w:val="20"/>
          <w:szCs w:val="20"/>
          <w:color w:val="auto"/>
        </w:rPr>
      </w:pPr>
    </w:p>
    <w:p>
      <w:pPr>
        <w:ind w:right="140" w:firstLine="230"/>
        <w:spacing w:after="0" w:line="273" w:lineRule="auto"/>
        <w:rPr>
          <w:sz w:val="20"/>
          <w:szCs w:val="20"/>
          <w:color w:val="auto"/>
        </w:rPr>
      </w:pPr>
      <w:r>
        <w:rPr>
          <w:rFonts w:ascii="Arial" w:cs="Arial" w:eastAsia="Arial" w:hAnsi="Arial"/>
          <w:sz w:val="11"/>
          <w:szCs w:val="11"/>
          <w:color w:val="auto"/>
        </w:rPr>
        <w:t>All three Product Groups saw improved activity. The most substantial gain (73%) was recorded by the Drilling Group due largely to the full year’s revenue from the acquisitions of Smith International and Geoservices. However, this was underpinned by growth across almost all Drilling Group Technologies driven by overall activity and pricing gains during the year for Drilling &amp; Measurements services. The ramp-up in Integrated Project Management (IPM) well construction projects in Iraq also contributed to the growth. Reservoir Production services and products grew by 41% led by Well Services in North America through higher pricing, capacity additions and improved asset utilization and efficiency as the market transitioned to liquid-rich plays. Reservoir Characterization grew by 7%, led by Wireline on activity mix and WesternGeco on higher multiclient seismic sales.</w:t>
      </w:r>
    </w:p>
    <w:p>
      <w:pPr>
        <w:spacing w:after="0" w:line="1" w:lineRule="exact"/>
        <w:rPr>
          <w:sz w:val="20"/>
          <w:szCs w:val="20"/>
          <w:color w:val="auto"/>
        </w:rPr>
      </w:pPr>
    </w:p>
    <w:p>
      <w:pPr>
        <w:ind w:right="80" w:firstLine="230"/>
        <w:spacing w:after="0" w:line="254" w:lineRule="auto"/>
        <w:rPr>
          <w:sz w:val="20"/>
          <w:szCs w:val="20"/>
          <w:color w:val="auto"/>
        </w:rPr>
      </w:pPr>
      <w:r>
        <w:rPr>
          <w:rFonts w:ascii="Arial" w:cs="Arial" w:eastAsia="Arial" w:hAnsi="Arial"/>
          <w:sz w:val="12"/>
          <w:szCs w:val="12"/>
          <w:color w:val="auto"/>
        </w:rPr>
        <w:t>Market penetration of new technologies in a number of areas also contributed to the year’s performance. In Reservoir Characterization services, the growing wave of exploration projects increased demand for the Wireline Scanner Family* measurements that provide more complete understanding of difficult and complex formations. In many cases, complementary technologies deployed included InSitu Fluid Analyzer* and Quicksilver Probe* formation fluid testing and sampling services while other advanced Wireline technologies were used in the evaluation of unconventional reservoirs. WesternGeco benefited from this trend with new contracts for Coil Shooting* and Dual Coil Shooting* full-azimuth seismic acquisition surveys, a type of survey unique to Schlumberger.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15</w:t>
      </w:r>
    </w:p>
    <w:p>
      <w:pPr>
        <w:sectPr>
          <w:pgSz w:w="11900" w:h="16838" w:orient="portrait"/>
          <w:cols w:equalWidth="0" w:num="1">
            <w:col w:w="11460"/>
          </w:cols>
          <w:pgMar w:left="220" w:top="354" w:right="219"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20" w:firstLine="230"/>
        <w:spacing w:after="0" w:line="337" w:lineRule="auto"/>
        <w:rPr>
          <w:sz w:val="20"/>
          <w:szCs w:val="20"/>
          <w:color w:val="auto"/>
        </w:rPr>
      </w:pPr>
      <w:r>
        <w:rPr>
          <w:rFonts w:ascii="Arial" w:cs="Arial" w:eastAsia="Arial" w:hAnsi="Arial"/>
          <w:sz w:val="9"/>
          <w:szCs w:val="9"/>
          <w:color w:val="auto"/>
        </w:rPr>
        <w:t>Further integration of Schlumberger and Smith drilling-focused technologies boosted Drilling Group results. In particular, the growing use of Smith IDEAS* modeling software enabled optimal selection of bottomhole assembly components, particularly in matching drillbits to rotary steerable systems. Among individual product lines, Smith drillbit technologies benefited from the larger Schlumberger geographical footprint, while Drilling &amp; Measurements Scope Family* logging-while-drilling services played significant roles in enhancing performance in a number of complex, high-profile wells. In particular, China and Russia saw increasing penetration of Schlumberger Drilling Group technologies.</w:t>
      </w:r>
    </w:p>
    <w:p>
      <w:pPr>
        <w:spacing w:after="0" w:line="1" w:lineRule="exact"/>
        <w:rPr>
          <w:sz w:val="20"/>
          <w:szCs w:val="20"/>
          <w:color w:val="auto"/>
        </w:rPr>
      </w:pPr>
    </w:p>
    <w:p>
      <w:pPr>
        <w:jc w:val="both"/>
        <w:ind w:right="100" w:firstLine="230"/>
        <w:spacing w:after="0" w:line="273" w:lineRule="auto"/>
        <w:rPr>
          <w:sz w:val="20"/>
          <w:szCs w:val="20"/>
          <w:color w:val="auto"/>
        </w:rPr>
      </w:pPr>
      <w:r>
        <w:rPr>
          <w:rFonts w:ascii="Arial" w:cs="Arial" w:eastAsia="Arial" w:hAnsi="Arial"/>
          <w:sz w:val="11"/>
          <w:szCs w:val="11"/>
          <w:color w:val="auto"/>
        </w:rPr>
        <w:t>Demand for reservoir production technologies was boosted by growing deployment of the HiWAY* channel fracturing service in unconventional and tight reservoir applications around the world. By midyear, HiWAY technology had been introduced across all four geographical Areas, with more than 1,200 stages pumped. The HiWAY service is part of the Schlumberger approach that achieves more performance with less equipment and resources and this number of stages alone saved over 60,000 tons of proppant compared to conventional operations. In the fourth quarter, stages pumped grew by 50% sequentially and operations were conducted for 35 customers.</w:t>
      </w:r>
    </w:p>
    <w:p>
      <w:pPr>
        <w:spacing w:after="0" w:line="1" w:lineRule="exact"/>
        <w:rPr>
          <w:sz w:val="20"/>
          <w:szCs w:val="20"/>
          <w:color w:val="auto"/>
        </w:rPr>
      </w:pPr>
    </w:p>
    <w:p>
      <w:pPr>
        <w:ind w:firstLine="230"/>
        <w:spacing w:after="0" w:line="250" w:lineRule="auto"/>
        <w:rPr>
          <w:sz w:val="20"/>
          <w:szCs w:val="20"/>
          <w:color w:val="auto"/>
        </w:rPr>
      </w:pPr>
      <w:r>
        <w:rPr>
          <w:rFonts w:ascii="Arial" w:cs="Arial" w:eastAsia="Arial" w:hAnsi="Arial"/>
          <w:sz w:val="12"/>
          <w:szCs w:val="12"/>
          <w:color w:val="auto"/>
        </w:rPr>
        <w:t>A number of small technology-based acquisitions were completed during 2011 in addition to completion of the Eurasia Drilling Company Ltd asset swap and strategic alliance announced in 2010. These included the purchase of the remaining equity interest in Framo Engineering AS, a privately owned Norwegian company specializing in the sales and manufacture of products and services related to multiphase pumps and subsea pump systems, multiphase metering systems and swivel and marine systems. Schlumberger also completed the purchase of ThruBit LLC, a company providing openhole logging services using a unique through-the-bit deployment technique that offers a novel way of obtaining wireline logs in horizontal wells in shale plays.</w:t>
      </w:r>
    </w:p>
    <w:p>
      <w:pPr>
        <w:spacing w:after="0" w:line="1" w:lineRule="exact"/>
        <w:rPr>
          <w:sz w:val="20"/>
          <w:szCs w:val="20"/>
          <w:color w:val="auto"/>
        </w:rPr>
      </w:pPr>
    </w:p>
    <w:p>
      <w:pPr>
        <w:ind w:firstLine="230"/>
        <w:spacing w:after="0" w:line="250" w:lineRule="auto"/>
        <w:rPr>
          <w:sz w:val="20"/>
          <w:szCs w:val="20"/>
          <w:color w:val="auto"/>
        </w:rPr>
      </w:pPr>
      <w:r>
        <w:rPr>
          <w:rFonts w:ascii="Arial" w:cs="Arial" w:eastAsia="Arial" w:hAnsi="Arial"/>
          <w:sz w:val="12"/>
          <w:szCs w:val="12"/>
          <w:color w:val="auto"/>
        </w:rPr>
        <w:t>In IPM, Schlumberger and Saxon Energy Services merged their respective land-based rig fleets resulting in Schlumberger rigs and crews operating in Oman, Pakistan and Venezuela becoming part of Saxon’s operations. Under the terms of the agreement, Saxon will also provide technical drilling contracting support to existing Schlumberger joint ventures in Saudi Arabia, Algeria, Iraq and Venezuela, ensuring availability and support to Schlumberger well construction activities. As part of a stronger focus on the growing production services enhancement market, Schlumberger Production Management was formed during the year to increase market participation and became responsible for the Casabe and Bokor projects that were previously managed by IPM.</w:t>
      </w:r>
    </w:p>
    <w:p>
      <w:pPr>
        <w:spacing w:after="0" w:line="1" w:lineRule="exact"/>
        <w:rPr>
          <w:sz w:val="20"/>
          <w:szCs w:val="20"/>
          <w:color w:val="auto"/>
        </w:rPr>
      </w:pPr>
    </w:p>
    <w:p>
      <w:pPr>
        <w:ind w:right="160" w:firstLine="230"/>
        <w:spacing w:after="0" w:line="250" w:lineRule="auto"/>
        <w:rPr>
          <w:sz w:val="20"/>
          <w:szCs w:val="20"/>
          <w:color w:val="auto"/>
        </w:rPr>
      </w:pPr>
      <w:r>
        <w:rPr>
          <w:rFonts w:ascii="Arial" w:cs="Arial" w:eastAsia="Arial" w:hAnsi="Arial"/>
          <w:sz w:val="12"/>
          <w:szCs w:val="12"/>
          <w:color w:val="auto"/>
        </w:rPr>
        <w:t>For 2012, projected Gross Domestic Product (GDP) growth continued to be revised downwards during the fourth quarter, and positive signs from the US and Japan are offset by continued concerns over the Eurozone and the potential slowing of growth in China. In spite of the political efforts to resolve the issues, the uncertainty surrounding the global financial markets is expected to continue in the coming quarters, and although the chance of a global double-dip recession remains a possibility, this is not expected to be the most likely scenario.</w:t>
      </w:r>
    </w:p>
    <w:p>
      <w:pPr>
        <w:spacing w:after="0" w:line="1" w:lineRule="exact"/>
        <w:rPr>
          <w:sz w:val="20"/>
          <w:szCs w:val="20"/>
          <w:color w:val="auto"/>
        </w:rPr>
      </w:pPr>
    </w:p>
    <w:p>
      <w:pPr>
        <w:ind w:right="180" w:firstLine="230"/>
        <w:spacing w:after="0" w:line="334" w:lineRule="auto"/>
        <w:rPr>
          <w:sz w:val="20"/>
          <w:szCs w:val="20"/>
          <w:color w:val="auto"/>
        </w:rPr>
      </w:pPr>
      <w:r>
        <w:rPr>
          <w:rFonts w:ascii="Arial" w:cs="Arial" w:eastAsia="Arial" w:hAnsi="Arial"/>
          <w:sz w:val="9"/>
          <w:szCs w:val="9"/>
          <w:color w:val="auto"/>
        </w:rPr>
        <w:t>In line with lower GDP growth, oil demand outlook has also been revised downwards during the fourth quarter although the increasing weight of the emerging economies, the weakness of non-OPEC supply, and a number of geopolitical concerns have supported oil prices. Absent a global recession, these are not expected to weaken significantly. For natural gas worldwide, little change is expected in the behavior of the main geographical markets in 2012 compared to 2011.</w:t>
      </w:r>
    </w:p>
    <w:p>
      <w:pPr>
        <w:ind w:right="120" w:firstLine="230"/>
        <w:spacing w:after="0" w:line="250" w:lineRule="auto"/>
        <w:rPr>
          <w:sz w:val="20"/>
          <w:szCs w:val="20"/>
          <w:color w:val="auto"/>
        </w:rPr>
      </w:pPr>
      <w:r>
        <w:rPr>
          <w:rFonts w:ascii="Arial" w:cs="Arial" w:eastAsia="Arial" w:hAnsi="Arial"/>
          <w:sz w:val="12"/>
          <w:szCs w:val="12"/>
          <w:color w:val="auto"/>
        </w:rPr>
        <w:t>Feedback from Schlumberger customers and the findings from recently published spending surveys suggest that exploration and production investment in 2012 will be higher than that of 2011, although the predicted levels vary. The same surveys suggest that exploration spending will continue to increase.</w:t>
      </w:r>
    </w:p>
    <w:p>
      <w:pPr>
        <w:spacing w:after="0" w:line="1" w:lineRule="exact"/>
        <w:rPr>
          <w:sz w:val="20"/>
          <w:szCs w:val="20"/>
          <w:color w:val="auto"/>
        </w:rPr>
      </w:pPr>
    </w:p>
    <w:p>
      <w:pPr>
        <w:ind w:right="200" w:firstLine="230"/>
        <w:spacing w:after="0" w:line="273" w:lineRule="auto"/>
        <w:rPr>
          <w:sz w:val="20"/>
          <w:szCs w:val="20"/>
          <w:color w:val="auto"/>
        </w:rPr>
      </w:pPr>
      <w:r>
        <w:rPr>
          <w:rFonts w:ascii="Arial" w:cs="Arial" w:eastAsia="Arial" w:hAnsi="Arial"/>
          <w:sz w:val="11"/>
          <w:szCs w:val="11"/>
          <w:color w:val="auto"/>
        </w:rPr>
        <w:t>Against this backdrop Schlumberger is planning for growth in 2012, although with significant flexibility. In North America, land rig count is expected to remain flat with 2011 fourth-quarter levels, provided the ongoing drop in gas rig activity will be countered by increasing activity in liquids and liquids-rich basins. A continued recovery in the deepwater Gulf of Mexico is also expected, with strong demand for high-value technologies. In international markets, rig count in 2012 is expected to increase by around 10% versus 2011, driven by strong offshore activity in West Africa, North Sea and Brazil, and by land activity in the Middle East, North Africa and Western Siberia.</w:t>
      </w:r>
    </w:p>
    <w:p>
      <w:pPr>
        <w:spacing w:after="0" w:line="1" w:lineRule="exact"/>
        <w:rPr>
          <w:sz w:val="20"/>
          <w:szCs w:val="20"/>
          <w:color w:val="auto"/>
        </w:rPr>
      </w:pPr>
    </w:p>
    <w:p>
      <w:pPr>
        <w:jc w:val="both"/>
        <w:ind w:firstLine="230"/>
        <w:spacing w:after="0" w:line="334" w:lineRule="auto"/>
        <w:rPr>
          <w:sz w:val="20"/>
          <w:szCs w:val="20"/>
          <w:color w:val="auto"/>
        </w:rPr>
      </w:pPr>
      <w:r>
        <w:rPr>
          <w:rFonts w:ascii="Arial" w:cs="Arial" w:eastAsia="Arial" w:hAnsi="Arial"/>
          <w:sz w:val="9"/>
          <w:szCs w:val="9"/>
          <w:color w:val="auto"/>
        </w:rPr>
        <w:t>Overall Schlumberger remains confident that any potential reductions in activity will be short-lived due to limited spare oil capacity and to growing international demand for natural gas. Further, the company believes its competitive position remains strong given its strength in the international market in terms of global footprint and contract portfolio, and given the balance that has been established between reservoir characterization, drilling and production services in North America.</w:t>
      </w:r>
    </w:p>
    <w:p>
      <w:pPr>
        <w:ind w:left="220"/>
        <w:spacing w:after="0"/>
        <w:rPr>
          <w:sz w:val="20"/>
          <w:szCs w:val="20"/>
          <w:color w:val="auto"/>
        </w:rPr>
      </w:pPr>
      <w:r>
        <w:rPr>
          <w:rFonts w:ascii="Arial" w:cs="Arial" w:eastAsia="Arial" w:hAnsi="Arial"/>
          <w:sz w:val="12"/>
          <w:szCs w:val="12"/>
          <w:color w:val="auto"/>
        </w:rPr>
        <w:t xml:space="preserve">The following discussion and analysis of results of operations should be read in conjunction with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9"/>
          <w:szCs w:val="9"/>
          <w:color w:val="auto"/>
        </w:rPr>
        <w:t>16</w:t>
      </w:r>
    </w:p>
    <w:p>
      <w:pPr>
        <w:sectPr>
          <w:pgSz w:w="11900" w:h="16838" w:orient="portrait"/>
          <w:cols w:equalWidth="0" w:num="1">
            <w:col w:w="11460"/>
          </w:cols>
          <w:pgMar w:left="220" w:top="354" w:right="219" w:bottom="1440" w:gutter="0" w:footer="0" w:header="0"/>
        </w:sectPr>
      </w:pPr>
    </w:p>
    <w:bookmarkStart w:id="16" w:name="page17"/>
    <w:bookmarkEnd w:id="16"/>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Fourth Quarter 2011 Results</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Products Groups</w:t>
      </w:r>
    </w:p>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5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9"/>
                <w:szCs w:val="9"/>
                <w:b w:val="1"/>
                <w:bCs w:val="1"/>
                <w:color w:val="auto"/>
              </w:rPr>
              <w:t>(Stated in millions)</w:t>
            </w: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5"/>
          </w:tcPr>
          <w:p>
            <w:pPr>
              <w:jc w:val="right"/>
              <w:ind w:right="200"/>
              <w:spacing w:after="0"/>
              <w:rPr>
                <w:sz w:val="20"/>
                <w:szCs w:val="20"/>
                <w:color w:val="auto"/>
              </w:rPr>
            </w:pPr>
            <w:r>
              <w:rPr>
                <w:rFonts w:ascii="Arial" w:cs="Arial" w:eastAsia="Arial" w:hAnsi="Arial"/>
                <w:sz w:val="9"/>
                <w:szCs w:val="9"/>
                <w:b w:val="1"/>
                <w:bCs w:val="1"/>
                <w:color w:val="auto"/>
              </w:rPr>
              <w:t>Fourth Quarter 2011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9"/>
                <w:szCs w:val="9"/>
                <w:color w:val="auto"/>
                <w:w w:val="92"/>
              </w:rPr>
              <w:t>Third Quarter 2011</w:t>
            </w:r>
          </w:p>
        </w:tc>
        <w:tc>
          <w:tcPr>
            <w:tcW w:w="0" w:type="dxa"/>
            <w:vAlign w:val="bottom"/>
          </w:tcPr>
          <w:p>
            <w:pPr>
              <w:spacing w:after="0"/>
              <w:rPr>
                <w:sz w:val="1"/>
                <w:szCs w:val="1"/>
                <w:color w:val="auto"/>
              </w:rPr>
            </w:pPr>
          </w:p>
        </w:tc>
      </w:tr>
      <w:tr>
        <w:trPr>
          <w:trHeight w:val="79"/>
        </w:trPr>
        <w:tc>
          <w:tcPr>
            <w:tcW w:w="5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b w:val="1"/>
                <w:bCs w:val="1"/>
                <w:color w:val="auto"/>
                <w:w w:val="88"/>
              </w:rPr>
              <w:t>Income</w:t>
            </w: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color w:val="auto"/>
                <w:w w:val="87"/>
              </w:rPr>
              <w:t>Income</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before</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before</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w w:val="85"/>
              </w:rPr>
              <w:t>Revenue</w:t>
            </w:r>
          </w:p>
        </w:tc>
        <w:tc>
          <w:tcPr>
            <w:tcW w:w="60" w:type="dxa"/>
            <w:vAlign w:val="bottom"/>
          </w:tcPr>
          <w:p>
            <w:pPr>
              <w:spacing w:after="0"/>
              <w:rPr>
                <w:sz w:val="9"/>
                <w:szCs w:val="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rPr>
              <w:t>taxes</w:t>
            </w:r>
          </w:p>
        </w:tc>
        <w:tc>
          <w:tcPr>
            <w:tcW w:w="180" w:type="dxa"/>
            <w:vAlign w:val="bottom"/>
          </w:tcPr>
          <w:p>
            <w:pPr>
              <w:spacing w:after="0"/>
              <w:rPr>
                <w:sz w:val="9"/>
                <w:szCs w:val="9"/>
                <w:color w:val="auto"/>
              </w:rPr>
            </w:pPr>
          </w:p>
        </w:tc>
        <w:tc>
          <w:tcPr>
            <w:tcW w:w="560" w:type="dxa"/>
            <w:vAlign w:val="bottom"/>
            <w:gridSpan w:val="3"/>
          </w:tcPr>
          <w:p>
            <w:pPr>
              <w:jc w:val="right"/>
              <w:ind w:right="175"/>
              <w:spacing w:after="0"/>
              <w:rPr>
                <w:sz w:val="20"/>
                <w:szCs w:val="20"/>
                <w:color w:val="auto"/>
              </w:rPr>
            </w:pPr>
            <w:r>
              <w:rPr>
                <w:rFonts w:ascii="Arial" w:cs="Arial" w:eastAsia="Arial" w:hAnsi="Arial"/>
                <w:sz w:val="9"/>
                <w:szCs w:val="9"/>
                <w:color w:val="auto"/>
                <w:w w:val="88"/>
              </w:rPr>
              <w:t>Revenue</w:t>
            </w:r>
          </w:p>
        </w:tc>
        <w:tc>
          <w:tcPr>
            <w:tcW w:w="220" w:type="dxa"/>
            <w:vAlign w:val="bottom"/>
          </w:tcPr>
          <w:p>
            <w:pPr>
              <w:spacing w:after="0"/>
              <w:rPr>
                <w:sz w:val="9"/>
                <w:szCs w:val="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9"/>
                <w:szCs w:val="9"/>
                <w:color w:val="auto"/>
              </w:rPr>
              <w:t>taxes</w:t>
            </w:r>
          </w:p>
        </w:tc>
        <w:tc>
          <w:tcPr>
            <w:tcW w:w="0" w:type="dxa"/>
            <w:vAlign w:val="bottom"/>
          </w:tcPr>
          <w:p>
            <w:pPr>
              <w:spacing w:after="0"/>
              <w:rPr>
                <w:sz w:val="1"/>
                <w:szCs w:val="1"/>
                <w:color w:val="auto"/>
              </w:rPr>
            </w:pPr>
          </w:p>
        </w:tc>
      </w:tr>
      <w:tr>
        <w:trPr>
          <w:trHeight w:val="79"/>
        </w:trPr>
        <w:tc>
          <w:tcPr>
            <w:tcW w:w="528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i w:val="1"/>
                <w:iCs w:val="1"/>
                <w:color w:val="auto"/>
              </w:rPr>
              <w:t>Oilfield Services</w:t>
            </w:r>
          </w:p>
        </w:tc>
        <w:tc>
          <w:tcPr>
            <w:tcW w:w="900" w:type="dxa"/>
            <w:vAlign w:val="bottom"/>
            <w:tcBorders>
              <w:top w:val="single" w:sz="8" w:color="CCEEFF"/>
            </w:tcBorders>
            <w:shd w:val="clear" w:color="auto" w:fill="CCEEFF"/>
          </w:tcPr>
          <w:p>
            <w:pPr>
              <w:spacing w:after="0"/>
              <w:rPr>
                <w:sz w:val="6"/>
                <w:szCs w:val="6"/>
                <w:color w:val="auto"/>
              </w:rPr>
            </w:pPr>
          </w:p>
        </w:tc>
        <w:tc>
          <w:tcPr>
            <w:tcW w:w="26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right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280" w:type="dxa"/>
            <w:vAlign w:val="bottom"/>
          </w:tcPr>
          <w:p>
            <w:pPr>
              <w:spacing w:after="0" w:line="99" w:lineRule="exact"/>
              <w:rPr>
                <w:sz w:val="20"/>
                <w:szCs w:val="20"/>
                <w:color w:val="auto"/>
              </w:rPr>
            </w:pPr>
            <w:r>
              <w:rPr>
                <w:rFonts w:ascii="Arial" w:cs="Arial" w:eastAsia="Arial" w:hAnsi="Arial"/>
                <w:sz w:val="9"/>
                <w:szCs w:val="9"/>
                <w:color w:val="auto"/>
              </w:rPr>
              <w:t>Reservoir Characterization</w:t>
            </w:r>
          </w:p>
        </w:tc>
        <w:tc>
          <w:tcPr>
            <w:tcW w:w="3600" w:type="dxa"/>
            <w:vAlign w:val="bottom"/>
            <w:gridSpan w:val="3"/>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740" w:type="dxa"/>
            <w:vAlign w:val="bottom"/>
            <w:gridSpan w:val="2"/>
          </w:tcPr>
          <w:p>
            <w:pPr>
              <w:jc w:val="right"/>
              <w:ind w:right="400"/>
              <w:spacing w:after="0" w:line="99" w:lineRule="exact"/>
              <w:rPr>
                <w:sz w:val="20"/>
                <w:szCs w:val="20"/>
                <w:color w:val="auto"/>
              </w:rPr>
            </w:pPr>
            <w:r>
              <w:rPr>
                <w:rFonts w:ascii="Arial" w:cs="Arial" w:eastAsia="Arial" w:hAnsi="Arial"/>
                <w:sz w:val="9"/>
                <w:szCs w:val="9"/>
                <w:b w:val="1"/>
                <w:bCs w:val="1"/>
                <w:color w:val="auto"/>
              </w:rPr>
              <w:t>2,787</w:t>
            </w: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777</w:t>
            </w:r>
          </w:p>
        </w:tc>
        <w:tc>
          <w:tcPr>
            <w:tcW w:w="28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75"/>
              <w:spacing w:after="0" w:line="99" w:lineRule="exact"/>
              <w:rPr>
                <w:sz w:val="20"/>
                <w:szCs w:val="20"/>
                <w:color w:val="auto"/>
              </w:rPr>
            </w:pPr>
            <w:r>
              <w:rPr>
                <w:rFonts w:ascii="Arial" w:cs="Arial" w:eastAsia="Arial" w:hAnsi="Arial"/>
                <w:sz w:val="9"/>
                <w:szCs w:val="9"/>
                <w:color w:val="auto"/>
                <w:w w:val="97"/>
              </w:rPr>
              <w:t>2,488</w:t>
            </w: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610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Drilling</w:t>
            </w:r>
          </w:p>
        </w:tc>
        <w:tc>
          <w:tcPr>
            <w:tcW w:w="9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400"/>
              <w:spacing w:after="0" w:line="99" w:lineRule="exact"/>
              <w:rPr>
                <w:sz w:val="20"/>
                <w:szCs w:val="20"/>
                <w:color w:val="auto"/>
              </w:rPr>
            </w:pPr>
            <w:r>
              <w:rPr>
                <w:rFonts w:ascii="Arial" w:cs="Arial" w:eastAsia="Arial" w:hAnsi="Arial"/>
                <w:sz w:val="9"/>
                <w:szCs w:val="9"/>
                <w:b w:val="1"/>
                <w:bCs w:val="1"/>
                <w:color w:val="auto"/>
              </w:rPr>
              <w:t>3,909</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b w:val="1"/>
                <w:bCs w:val="1"/>
                <w:color w:val="auto"/>
              </w:rPr>
              <w:t>658</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75"/>
              <w:spacing w:after="0" w:line="99" w:lineRule="exact"/>
              <w:rPr>
                <w:sz w:val="20"/>
                <w:szCs w:val="20"/>
                <w:color w:val="auto"/>
              </w:rPr>
            </w:pPr>
            <w:r>
              <w:rPr>
                <w:rFonts w:ascii="Arial" w:cs="Arial" w:eastAsia="Arial" w:hAnsi="Arial"/>
                <w:sz w:val="9"/>
                <w:szCs w:val="9"/>
                <w:color w:val="auto"/>
                <w:w w:val="97"/>
              </w:rPr>
              <w:t>3,676</w:t>
            </w:r>
          </w:p>
        </w:tc>
        <w:tc>
          <w:tcPr>
            <w:tcW w:w="22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613</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spacing w:after="0" w:line="99" w:lineRule="exact"/>
              <w:rPr>
                <w:sz w:val="20"/>
                <w:szCs w:val="20"/>
                <w:color w:val="auto"/>
              </w:rPr>
            </w:pPr>
            <w:r>
              <w:rPr>
                <w:rFonts w:ascii="Arial" w:cs="Arial" w:eastAsia="Arial" w:hAnsi="Arial"/>
                <w:sz w:val="9"/>
                <w:szCs w:val="9"/>
                <w:color w:val="auto"/>
              </w:rPr>
              <w:t>Reservoir Production</w:t>
            </w:r>
          </w:p>
        </w:tc>
        <w:tc>
          <w:tcPr>
            <w:tcW w:w="9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400"/>
              <w:spacing w:after="0" w:line="99" w:lineRule="exact"/>
              <w:rPr>
                <w:sz w:val="20"/>
                <w:szCs w:val="20"/>
                <w:color w:val="auto"/>
              </w:rPr>
            </w:pPr>
            <w:r>
              <w:rPr>
                <w:rFonts w:ascii="Arial" w:cs="Arial" w:eastAsia="Arial" w:hAnsi="Arial"/>
                <w:sz w:val="9"/>
                <w:szCs w:val="9"/>
                <w:b w:val="1"/>
                <w:bCs w:val="1"/>
                <w:color w:val="auto"/>
              </w:rPr>
              <w:t>3,598</w:t>
            </w:r>
          </w:p>
        </w:tc>
        <w:tc>
          <w:tcPr>
            <w:tcW w:w="6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768</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75"/>
              <w:spacing w:after="0" w:line="99" w:lineRule="exact"/>
              <w:rPr>
                <w:sz w:val="20"/>
                <w:szCs w:val="20"/>
                <w:color w:val="auto"/>
              </w:rPr>
            </w:pPr>
            <w:r>
              <w:rPr>
                <w:rFonts w:ascii="Arial" w:cs="Arial" w:eastAsia="Arial" w:hAnsi="Arial"/>
                <w:sz w:val="9"/>
                <w:szCs w:val="9"/>
                <w:color w:val="auto"/>
                <w:w w:val="97"/>
              </w:rPr>
              <w:t>3,373</w:t>
            </w:r>
          </w:p>
        </w:tc>
        <w:tc>
          <w:tcPr>
            <w:tcW w:w="22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707</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Eliminations &amp; other</w:t>
            </w:r>
          </w:p>
        </w:tc>
        <w:tc>
          <w:tcPr>
            <w:tcW w:w="9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8</w:t>
            </w: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b w:val="1"/>
                <w:bCs w:val="1"/>
                <w:color w:val="auto"/>
              </w:rPr>
              <w:t>(34)</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75"/>
              <w:spacing w:after="0" w:line="99" w:lineRule="exact"/>
              <w:rPr>
                <w:sz w:val="20"/>
                <w:szCs w:val="20"/>
                <w:color w:val="auto"/>
              </w:rPr>
            </w:pPr>
            <w:r>
              <w:rPr>
                <w:rFonts w:ascii="Arial" w:cs="Arial" w:eastAsia="Arial" w:hAnsi="Arial"/>
                <w:sz w:val="9"/>
                <w:szCs w:val="9"/>
                <w:color w:val="auto"/>
              </w:rPr>
              <w:t>9</w:t>
            </w:r>
          </w:p>
        </w:tc>
        <w:tc>
          <w:tcPr>
            <w:tcW w:w="22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10,302</w:t>
            </w:r>
          </w:p>
        </w:tc>
        <w:tc>
          <w:tcPr>
            <w:tcW w:w="4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2,169</w:t>
            </w:r>
          </w:p>
        </w:tc>
        <w:tc>
          <w:tcPr>
            <w:tcW w:w="2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75"/>
              <w:spacing w:after="0" w:line="98" w:lineRule="exact"/>
              <w:rPr>
                <w:sz w:val="20"/>
                <w:szCs w:val="20"/>
                <w:color w:val="auto"/>
              </w:rPr>
            </w:pPr>
            <w:r>
              <w:rPr>
                <w:rFonts w:ascii="Arial" w:cs="Arial" w:eastAsia="Arial" w:hAnsi="Arial"/>
                <w:sz w:val="9"/>
                <w:szCs w:val="9"/>
                <w:color w:val="auto"/>
                <w:w w:val="97"/>
              </w:rPr>
              <w:t>9,546</w:t>
            </w:r>
          </w:p>
        </w:tc>
        <w:tc>
          <w:tcPr>
            <w:tcW w:w="22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rPr>
              <w:t>1,931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i w:val="1"/>
                <w:iCs w:val="1"/>
                <w:color w:val="auto"/>
              </w:rPr>
              <w:t>Distribution</w:t>
            </w:r>
          </w:p>
        </w:tc>
        <w:tc>
          <w:tcPr>
            <w:tcW w:w="9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685</w:t>
            </w: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26</w:t>
            </w: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75"/>
              <w:spacing w:after="0" w:line="98" w:lineRule="exact"/>
              <w:rPr>
                <w:sz w:val="20"/>
                <w:szCs w:val="20"/>
                <w:color w:val="auto"/>
              </w:rPr>
            </w:pPr>
            <w:r>
              <w:rPr>
                <w:rFonts w:ascii="Arial" w:cs="Arial" w:eastAsia="Arial" w:hAnsi="Arial"/>
                <w:sz w:val="9"/>
                <w:szCs w:val="9"/>
                <w:color w:val="auto"/>
              </w:rPr>
              <w:t>698</w:t>
            </w:r>
          </w:p>
        </w:tc>
        <w:tc>
          <w:tcPr>
            <w:tcW w:w="22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31</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spacing w:after="0" w:line="99" w:lineRule="exact"/>
              <w:rPr>
                <w:sz w:val="20"/>
                <w:szCs w:val="20"/>
                <w:color w:val="auto"/>
              </w:rPr>
            </w:pPr>
            <w:r>
              <w:rPr>
                <w:rFonts w:ascii="Arial" w:cs="Arial" w:eastAsia="Arial" w:hAnsi="Arial"/>
                <w:sz w:val="9"/>
                <w:szCs w:val="9"/>
                <w:color w:val="auto"/>
              </w:rPr>
              <w:t>Eliminations</w:t>
            </w:r>
          </w:p>
        </w:tc>
        <w:tc>
          <w:tcPr>
            <w:tcW w:w="9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380"/>
              <w:spacing w:after="0" w:line="99" w:lineRule="exact"/>
              <w:rPr>
                <w:sz w:val="20"/>
                <w:szCs w:val="20"/>
                <w:color w:val="auto"/>
              </w:rPr>
            </w:pPr>
            <w:r>
              <w:rPr>
                <w:rFonts w:ascii="Arial" w:cs="Arial" w:eastAsia="Arial" w:hAnsi="Arial"/>
                <w:sz w:val="9"/>
                <w:szCs w:val="9"/>
                <w:b w:val="1"/>
                <w:bCs w:val="1"/>
                <w:color w:val="auto"/>
              </w:rPr>
              <w:t>(13)</w:t>
            </w:r>
          </w:p>
        </w:tc>
        <w:tc>
          <w:tcPr>
            <w:tcW w:w="6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35"/>
              <w:spacing w:after="0" w:line="99" w:lineRule="exact"/>
              <w:rPr>
                <w:sz w:val="20"/>
                <w:szCs w:val="20"/>
                <w:color w:val="auto"/>
              </w:rPr>
            </w:pPr>
            <w:r>
              <w:rPr>
                <w:rFonts w:ascii="Arial" w:cs="Arial" w:eastAsia="Arial" w:hAnsi="Arial"/>
                <w:sz w:val="9"/>
                <w:szCs w:val="9"/>
                <w:color w:val="auto"/>
              </w:rPr>
              <w:t>(15)</w:t>
            </w:r>
          </w:p>
        </w:tc>
        <w:tc>
          <w:tcPr>
            <w:tcW w:w="220" w:type="dxa"/>
            <w:vAlign w:val="bottom"/>
          </w:tcPr>
          <w:p>
            <w:pPr>
              <w:spacing w:after="0"/>
              <w:rPr>
                <w:sz w:val="8"/>
                <w:szCs w:val="8"/>
                <w:color w:val="auto"/>
              </w:rPr>
            </w:pPr>
          </w:p>
        </w:tc>
        <w:tc>
          <w:tcPr>
            <w:tcW w:w="3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5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672</w:t>
            </w: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26</w:t>
            </w: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75"/>
              <w:spacing w:after="0" w:line="98" w:lineRule="exact"/>
              <w:rPr>
                <w:sz w:val="20"/>
                <w:szCs w:val="20"/>
                <w:color w:val="auto"/>
              </w:rPr>
            </w:pPr>
            <w:r>
              <w:rPr>
                <w:rFonts w:ascii="Arial" w:cs="Arial" w:eastAsia="Arial" w:hAnsi="Arial"/>
                <w:sz w:val="9"/>
                <w:szCs w:val="9"/>
                <w:color w:val="auto"/>
              </w:rPr>
              <w:t>683</w:t>
            </w:r>
          </w:p>
        </w:tc>
        <w:tc>
          <w:tcPr>
            <w:tcW w:w="22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31</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line="117" w:lineRule="exact"/>
              <w:rPr>
                <w:sz w:val="20"/>
                <w:szCs w:val="20"/>
                <w:color w:val="auto"/>
              </w:rPr>
            </w:pPr>
            <w:r>
              <w:rPr>
                <w:rFonts w:ascii="Arial" w:cs="Arial" w:eastAsia="Arial" w:hAnsi="Arial"/>
                <w:sz w:val="8"/>
                <w:szCs w:val="8"/>
                <w:color w:val="auto"/>
              </w:rPr>
              <w:t xml:space="preserve">Corporate &amp; other </w:t>
            </w:r>
            <w:r>
              <w:rPr>
                <w:rFonts w:ascii="Arial" w:cs="Arial" w:eastAsia="Arial" w:hAnsi="Arial"/>
                <w:sz w:val="13"/>
                <w:szCs w:val="13"/>
                <w:color w:val="auto"/>
                <w:vertAlign w:val="superscript"/>
              </w:rPr>
              <w:t>(1)</w:t>
            </w:r>
          </w:p>
        </w:tc>
        <w:tc>
          <w:tcPr>
            <w:tcW w:w="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(154)</w:t>
            </w:r>
          </w:p>
        </w:tc>
        <w:tc>
          <w:tcPr>
            <w:tcW w:w="2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75"/>
              <w:spacing w:after="0" w:line="98"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8"/>
                <w:szCs w:val="8"/>
                <w:color w:val="auto"/>
              </w:rPr>
            </w:pPr>
          </w:p>
        </w:tc>
        <w:tc>
          <w:tcPr>
            <w:tcW w:w="3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(158)</w:t>
            </w:r>
          </w:p>
        </w:tc>
        <w:tc>
          <w:tcPr>
            <w:tcW w:w="0" w:type="dxa"/>
            <w:vAlign w:val="bottom"/>
          </w:tcPr>
          <w:p>
            <w:pPr>
              <w:spacing w:after="0"/>
              <w:rPr>
                <w:sz w:val="1"/>
                <w:szCs w:val="1"/>
                <w:color w:val="auto"/>
              </w:rPr>
            </w:pPr>
          </w:p>
        </w:tc>
      </w:tr>
      <w:tr>
        <w:trPr>
          <w:trHeight w:val="99"/>
        </w:trPr>
        <w:tc>
          <w:tcPr>
            <w:tcW w:w="5280" w:type="dxa"/>
            <w:vAlign w:val="bottom"/>
            <w:shd w:val="clear" w:color="auto" w:fill="CCEEFF"/>
          </w:tcPr>
          <w:p>
            <w:pPr>
              <w:spacing w:after="0" w:line="99" w:lineRule="exact"/>
              <w:rPr>
                <w:sz w:val="20"/>
                <w:szCs w:val="20"/>
                <w:color w:val="auto"/>
              </w:rPr>
            </w:pPr>
            <w:r>
              <w:rPr>
                <w:rFonts w:ascii="Arial" w:cs="Arial" w:eastAsia="Arial" w:hAnsi="Arial"/>
                <w:sz w:val="7"/>
                <w:szCs w:val="7"/>
                <w:color w:val="auto"/>
              </w:rPr>
              <w:t xml:space="preserve">Interest income </w:t>
            </w:r>
            <w:r>
              <w:rPr>
                <w:rFonts w:ascii="Arial" w:cs="Arial" w:eastAsia="Arial" w:hAnsi="Arial"/>
                <w:sz w:val="11"/>
                <w:szCs w:val="11"/>
                <w:color w:val="auto"/>
                <w:vertAlign w:val="superscript"/>
              </w:rPr>
              <w:t>(2)</w:t>
            </w:r>
          </w:p>
        </w:tc>
        <w:tc>
          <w:tcPr>
            <w:tcW w:w="9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40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b w:val="1"/>
                <w:bCs w:val="1"/>
                <w:color w:val="auto"/>
              </w:rPr>
              <w:t>8</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75"/>
              <w:spacing w:after="0" w:line="99" w:lineRule="exact"/>
              <w:rPr>
                <w:sz w:val="20"/>
                <w:szCs w:val="20"/>
                <w:color w:val="auto"/>
              </w:rPr>
            </w:pPr>
            <w:r>
              <w:rPr>
                <w:rFonts w:ascii="Arial" w:cs="Arial" w:eastAsia="Arial" w:hAnsi="Arial"/>
                <w:sz w:val="9"/>
                <w:szCs w:val="9"/>
                <w:color w:val="auto"/>
              </w:rPr>
              <w:t>–</w:t>
            </w:r>
          </w:p>
        </w:tc>
        <w:tc>
          <w:tcPr>
            <w:tcW w:w="22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9</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spacing w:after="0" w:line="99" w:lineRule="exact"/>
              <w:rPr>
                <w:sz w:val="20"/>
                <w:szCs w:val="20"/>
                <w:color w:val="auto"/>
              </w:rPr>
            </w:pPr>
            <w:r>
              <w:rPr>
                <w:rFonts w:ascii="Arial" w:cs="Arial" w:eastAsia="Arial" w:hAnsi="Arial"/>
                <w:sz w:val="7"/>
                <w:szCs w:val="7"/>
                <w:color w:val="auto"/>
              </w:rPr>
              <w:t xml:space="preserve">Interest expense </w:t>
            </w:r>
            <w:r>
              <w:rPr>
                <w:rFonts w:ascii="Arial" w:cs="Arial" w:eastAsia="Arial" w:hAnsi="Arial"/>
                <w:sz w:val="11"/>
                <w:szCs w:val="11"/>
                <w:color w:val="auto"/>
                <w:vertAlign w:val="superscript"/>
              </w:rPr>
              <w:t>(3)</w:t>
            </w:r>
          </w:p>
        </w:tc>
        <w:tc>
          <w:tcPr>
            <w:tcW w:w="9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40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80"/>
              <w:spacing w:after="0" w:line="99" w:lineRule="exact"/>
              <w:rPr>
                <w:sz w:val="20"/>
                <w:szCs w:val="20"/>
                <w:color w:val="auto"/>
              </w:rPr>
            </w:pPr>
            <w:r>
              <w:rPr>
                <w:rFonts w:ascii="Arial" w:cs="Arial" w:eastAsia="Arial" w:hAnsi="Arial"/>
                <w:sz w:val="9"/>
                <w:szCs w:val="9"/>
                <w:b w:val="1"/>
                <w:bCs w:val="1"/>
                <w:color w:val="auto"/>
              </w:rPr>
              <w:t>(81)</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75"/>
              <w:spacing w:after="0" w:line="99"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(69)</w:t>
            </w:r>
          </w:p>
        </w:tc>
        <w:tc>
          <w:tcPr>
            <w:tcW w:w="0" w:type="dxa"/>
            <w:vAlign w:val="bottom"/>
          </w:tcPr>
          <w:p>
            <w:pPr>
              <w:spacing w:after="0"/>
              <w:rPr>
                <w:sz w:val="1"/>
                <w:szCs w:val="1"/>
                <w:color w:val="auto"/>
              </w:rPr>
            </w:pPr>
          </w:p>
        </w:tc>
      </w:tr>
      <w:tr>
        <w:trPr>
          <w:trHeight w:val="99"/>
        </w:trPr>
        <w:tc>
          <w:tcPr>
            <w:tcW w:w="5280" w:type="dxa"/>
            <w:vAlign w:val="bottom"/>
            <w:shd w:val="clear" w:color="auto" w:fill="CCEEFF"/>
          </w:tcPr>
          <w:p>
            <w:pPr>
              <w:spacing w:after="0" w:line="99" w:lineRule="exact"/>
              <w:rPr>
                <w:sz w:val="20"/>
                <w:szCs w:val="20"/>
                <w:color w:val="auto"/>
              </w:rPr>
            </w:pPr>
            <w:r>
              <w:rPr>
                <w:rFonts w:ascii="Arial" w:cs="Arial" w:eastAsia="Arial" w:hAnsi="Arial"/>
                <w:sz w:val="7"/>
                <w:szCs w:val="7"/>
                <w:color w:val="auto"/>
              </w:rPr>
              <w:t xml:space="preserve">Charges &amp; credits </w:t>
            </w:r>
            <w:r>
              <w:rPr>
                <w:rFonts w:ascii="Arial" w:cs="Arial" w:eastAsia="Arial" w:hAnsi="Arial"/>
                <w:sz w:val="11"/>
                <w:szCs w:val="11"/>
                <w:color w:val="auto"/>
                <w:vertAlign w:val="superscript"/>
              </w:rPr>
              <w:t>(4)</w:t>
            </w:r>
          </w:p>
        </w:tc>
        <w:tc>
          <w:tcPr>
            <w:tcW w:w="9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b w:val="1"/>
                <w:bCs w:val="1"/>
                <w:color w:val="auto"/>
              </w:rPr>
              <w:t>(82)</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75"/>
              <w:spacing w:after="0" w:line="99" w:lineRule="exact"/>
              <w:rPr>
                <w:sz w:val="20"/>
                <w:szCs w:val="20"/>
                <w:color w:val="auto"/>
              </w:rPr>
            </w:pPr>
            <w:r>
              <w:rPr>
                <w:rFonts w:ascii="Arial" w:cs="Arial" w:eastAsia="Arial" w:hAnsi="Arial"/>
                <w:sz w:val="9"/>
                <w:szCs w:val="9"/>
                <w:color w:val="auto"/>
              </w:rPr>
              <w:t>–</w:t>
            </w:r>
          </w:p>
        </w:tc>
        <w:tc>
          <w:tcPr>
            <w:tcW w:w="220" w:type="dxa"/>
            <w:vAlign w:val="bottom"/>
            <w:tcBorders>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0"/>
        </w:trPr>
        <w:tc>
          <w:tcPr>
            <w:tcW w:w="5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7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80" w:type="dxa"/>
            <w:vAlign w:val="bottom"/>
          </w:tcPr>
          <w:p>
            <w:pPr>
              <w:spacing w:after="0"/>
              <w:rPr>
                <w:sz w:val="8"/>
                <w:szCs w:val="8"/>
                <w:color w:val="auto"/>
              </w:rPr>
            </w:pPr>
          </w:p>
        </w:tc>
        <w:tc>
          <w:tcPr>
            <w:tcW w:w="3540" w:type="dxa"/>
            <w:vAlign w:val="bottom"/>
            <w:gridSpan w:val="2"/>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78"/>
              </w:rPr>
              <w:t>$</w:t>
            </w:r>
          </w:p>
        </w:tc>
        <w:tc>
          <w:tcPr>
            <w:tcW w:w="34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10,974</w:t>
            </w:r>
          </w:p>
        </w:tc>
        <w:tc>
          <w:tcPr>
            <w:tcW w:w="40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1,886</w:t>
            </w:r>
          </w:p>
        </w:tc>
        <w:tc>
          <w:tcPr>
            <w:tcW w:w="2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3"/>
          </w:tcPr>
          <w:p>
            <w:pPr>
              <w:jc w:val="right"/>
              <w:ind w:right="175"/>
              <w:spacing w:after="0" w:line="98" w:lineRule="exact"/>
              <w:rPr>
                <w:sz w:val="20"/>
                <w:szCs w:val="20"/>
                <w:color w:val="auto"/>
              </w:rPr>
            </w:pPr>
            <w:r>
              <w:rPr>
                <w:rFonts w:ascii="Arial" w:cs="Arial" w:eastAsia="Arial" w:hAnsi="Arial"/>
                <w:sz w:val="9"/>
                <w:szCs w:val="9"/>
                <w:color w:val="auto"/>
                <w:w w:val="91"/>
              </w:rPr>
              <w:t>$ 10,229</w:t>
            </w:r>
          </w:p>
        </w:tc>
        <w:tc>
          <w:tcPr>
            <w:tcW w:w="22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rPr>
              <w:t>1,717</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2"/>
                <w:szCs w:val="12"/>
                <w:b w:val="1"/>
                <w:bCs w:val="1"/>
                <w:color w:val="auto"/>
              </w:rPr>
              <w:t>Geographic Areas</w:t>
            </w: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2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9"/>
                <w:szCs w:val="9"/>
                <w:b w:val="1"/>
                <w:bCs w:val="1"/>
                <w:color w:val="auto"/>
              </w:rPr>
              <w:t>(Stated in millions)</w:t>
            </w: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5"/>
          </w:tcPr>
          <w:p>
            <w:pPr>
              <w:jc w:val="right"/>
              <w:ind w:right="200"/>
              <w:spacing w:after="0"/>
              <w:rPr>
                <w:sz w:val="20"/>
                <w:szCs w:val="20"/>
                <w:color w:val="auto"/>
              </w:rPr>
            </w:pPr>
            <w:r>
              <w:rPr>
                <w:rFonts w:ascii="Arial" w:cs="Arial" w:eastAsia="Arial" w:hAnsi="Arial"/>
                <w:sz w:val="9"/>
                <w:szCs w:val="9"/>
                <w:b w:val="1"/>
                <w:bCs w:val="1"/>
                <w:color w:val="auto"/>
              </w:rPr>
              <w:t>Fourth Quarter 2011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9"/>
                <w:szCs w:val="9"/>
                <w:color w:val="auto"/>
                <w:w w:val="92"/>
              </w:rPr>
              <w:t>Third Quarter 2011</w:t>
            </w:r>
          </w:p>
        </w:tc>
        <w:tc>
          <w:tcPr>
            <w:tcW w:w="0" w:type="dxa"/>
            <w:vAlign w:val="bottom"/>
          </w:tcPr>
          <w:p>
            <w:pPr>
              <w:spacing w:after="0"/>
              <w:rPr>
                <w:sz w:val="1"/>
                <w:szCs w:val="1"/>
                <w:color w:val="auto"/>
              </w:rPr>
            </w:pPr>
          </w:p>
        </w:tc>
      </w:tr>
      <w:tr>
        <w:trPr>
          <w:trHeight w:val="79"/>
        </w:trPr>
        <w:tc>
          <w:tcPr>
            <w:tcW w:w="5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b w:val="1"/>
                <w:bCs w:val="1"/>
                <w:color w:val="auto"/>
                <w:w w:val="88"/>
              </w:rPr>
              <w:t>Income</w:t>
            </w: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color w:val="auto"/>
                <w:w w:val="87"/>
              </w:rPr>
              <w:t>Income</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before</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before</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w w:val="85"/>
              </w:rPr>
              <w:t>Revenue</w:t>
            </w:r>
          </w:p>
        </w:tc>
        <w:tc>
          <w:tcPr>
            <w:tcW w:w="60" w:type="dxa"/>
            <w:vAlign w:val="bottom"/>
          </w:tcPr>
          <w:p>
            <w:pPr>
              <w:spacing w:after="0"/>
              <w:rPr>
                <w:sz w:val="9"/>
                <w:szCs w:val="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rPr>
              <w:t>taxes</w:t>
            </w:r>
          </w:p>
        </w:tc>
        <w:tc>
          <w:tcPr>
            <w:tcW w:w="180" w:type="dxa"/>
            <w:vAlign w:val="bottom"/>
          </w:tcPr>
          <w:p>
            <w:pPr>
              <w:spacing w:after="0"/>
              <w:rPr>
                <w:sz w:val="9"/>
                <w:szCs w:val="9"/>
                <w:color w:val="auto"/>
              </w:rPr>
            </w:pPr>
          </w:p>
        </w:tc>
        <w:tc>
          <w:tcPr>
            <w:tcW w:w="560" w:type="dxa"/>
            <w:vAlign w:val="bottom"/>
            <w:gridSpan w:val="3"/>
          </w:tcPr>
          <w:p>
            <w:pPr>
              <w:jc w:val="right"/>
              <w:ind w:right="175"/>
              <w:spacing w:after="0"/>
              <w:rPr>
                <w:sz w:val="20"/>
                <w:szCs w:val="20"/>
                <w:color w:val="auto"/>
              </w:rPr>
            </w:pPr>
            <w:r>
              <w:rPr>
                <w:rFonts w:ascii="Arial" w:cs="Arial" w:eastAsia="Arial" w:hAnsi="Arial"/>
                <w:sz w:val="9"/>
                <w:szCs w:val="9"/>
                <w:color w:val="auto"/>
                <w:w w:val="88"/>
              </w:rPr>
              <w:t>Revenue</w:t>
            </w:r>
          </w:p>
        </w:tc>
        <w:tc>
          <w:tcPr>
            <w:tcW w:w="220" w:type="dxa"/>
            <w:vAlign w:val="bottom"/>
          </w:tcPr>
          <w:p>
            <w:pPr>
              <w:spacing w:after="0"/>
              <w:rPr>
                <w:sz w:val="9"/>
                <w:szCs w:val="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9"/>
                <w:szCs w:val="9"/>
                <w:color w:val="auto"/>
              </w:rPr>
              <w:t>taxes</w:t>
            </w:r>
          </w:p>
        </w:tc>
        <w:tc>
          <w:tcPr>
            <w:tcW w:w="0" w:type="dxa"/>
            <w:vAlign w:val="bottom"/>
          </w:tcPr>
          <w:p>
            <w:pPr>
              <w:spacing w:after="0"/>
              <w:rPr>
                <w:sz w:val="1"/>
                <w:szCs w:val="1"/>
                <w:color w:val="auto"/>
              </w:rPr>
            </w:pPr>
          </w:p>
        </w:tc>
      </w:tr>
      <w:tr>
        <w:trPr>
          <w:trHeight w:val="79"/>
        </w:trPr>
        <w:tc>
          <w:tcPr>
            <w:tcW w:w="528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i w:val="1"/>
                <w:iCs w:val="1"/>
                <w:color w:val="auto"/>
              </w:rPr>
              <w:t>Oilfield Services</w:t>
            </w:r>
          </w:p>
        </w:tc>
        <w:tc>
          <w:tcPr>
            <w:tcW w:w="900" w:type="dxa"/>
            <w:vAlign w:val="bottom"/>
            <w:tcBorders>
              <w:top w:val="single" w:sz="8" w:color="CCEEFF"/>
            </w:tcBorders>
            <w:shd w:val="clear" w:color="auto" w:fill="CCEEFF"/>
          </w:tcPr>
          <w:p>
            <w:pPr>
              <w:spacing w:after="0"/>
              <w:rPr>
                <w:sz w:val="6"/>
                <w:szCs w:val="6"/>
                <w:color w:val="auto"/>
              </w:rPr>
            </w:pPr>
          </w:p>
        </w:tc>
        <w:tc>
          <w:tcPr>
            <w:tcW w:w="26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right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280" w:type="dxa"/>
            <w:vAlign w:val="bottom"/>
          </w:tcPr>
          <w:p>
            <w:pPr>
              <w:spacing w:after="0" w:line="99" w:lineRule="exact"/>
              <w:rPr>
                <w:sz w:val="20"/>
                <w:szCs w:val="20"/>
                <w:color w:val="auto"/>
              </w:rPr>
            </w:pPr>
            <w:r>
              <w:rPr>
                <w:rFonts w:ascii="Arial" w:cs="Arial" w:eastAsia="Arial" w:hAnsi="Arial"/>
                <w:sz w:val="9"/>
                <w:szCs w:val="9"/>
                <w:color w:val="auto"/>
              </w:rPr>
              <w:t>North America</w:t>
            </w:r>
          </w:p>
        </w:tc>
        <w:tc>
          <w:tcPr>
            <w:tcW w:w="3600" w:type="dxa"/>
            <w:vAlign w:val="bottom"/>
            <w:gridSpan w:val="3"/>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740" w:type="dxa"/>
            <w:vAlign w:val="bottom"/>
            <w:gridSpan w:val="2"/>
          </w:tcPr>
          <w:p>
            <w:pPr>
              <w:jc w:val="right"/>
              <w:ind w:right="400"/>
              <w:spacing w:after="0" w:line="99" w:lineRule="exact"/>
              <w:rPr>
                <w:sz w:val="20"/>
                <w:szCs w:val="20"/>
                <w:color w:val="auto"/>
              </w:rPr>
            </w:pPr>
            <w:r>
              <w:rPr>
                <w:rFonts w:ascii="Arial" w:cs="Arial" w:eastAsia="Arial" w:hAnsi="Arial"/>
                <w:sz w:val="9"/>
                <w:szCs w:val="9"/>
                <w:b w:val="1"/>
                <w:bCs w:val="1"/>
                <w:color w:val="auto"/>
              </w:rPr>
              <w:t>3,516</w:t>
            </w: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947</w:t>
            </w:r>
          </w:p>
        </w:tc>
        <w:tc>
          <w:tcPr>
            <w:tcW w:w="28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75"/>
              <w:spacing w:after="0" w:line="99" w:lineRule="exact"/>
              <w:rPr>
                <w:sz w:val="20"/>
                <w:szCs w:val="20"/>
                <w:color w:val="auto"/>
              </w:rPr>
            </w:pPr>
            <w:r>
              <w:rPr>
                <w:rFonts w:ascii="Arial" w:cs="Arial" w:eastAsia="Arial" w:hAnsi="Arial"/>
                <w:sz w:val="9"/>
                <w:szCs w:val="9"/>
                <w:color w:val="auto"/>
                <w:w w:val="97"/>
              </w:rPr>
              <w:t>3,304</w:t>
            </w: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836</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Latin America</w:t>
            </w:r>
          </w:p>
        </w:tc>
        <w:tc>
          <w:tcPr>
            <w:tcW w:w="9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400"/>
              <w:spacing w:after="0" w:line="99" w:lineRule="exact"/>
              <w:rPr>
                <w:sz w:val="20"/>
                <w:szCs w:val="20"/>
                <w:color w:val="auto"/>
              </w:rPr>
            </w:pPr>
            <w:r>
              <w:rPr>
                <w:rFonts w:ascii="Arial" w:cs="Arial" w:eastAsia="Arial" w:hAnsi="Arial"/>
                <w:sz w:val="9"/>
                <w:szCs w:val="9"/>
                <w:b w:val="1"/>
                <w:bCs w:val="1"/>
                <w:color w:val="auto"/>
              </w:rPr>
              <w:t>1,834</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b w:val="1"/>
                <w:bCs w:val="1"/>
                <w:color w:val="auto"/>
              </w:rPr>
              <w:t>302</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75"/>
              <w:spacing w:after="0" w:line="99" w:lineRule="exact"/>
              <w:rPr>
                <w:sz w:val="20"/>
                <w:szCs w:val="20"/>
                <w:color w:val="auto"/>
              </w:rPr>
            </w:pPr>
            <w:r>
              <w:rPr>
                <w:rFonts w:ascii="Arial" w:cs="Arial" w:eastAsia="Arial" w:hAnsi="Arial"/>
                <w:sz w:val="9"/>
                <w:szCs w:val="9"/>
                <w:color w:val="auto"/>
                <w:w w:val="97"/>
              </w:rPr>
              <w:t>1,655</w:t>
            </w:r>
          </w:p>
        </w:tc>
        <w:tc>
          <w:tcPr>
            <w:tcW w:w="22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270</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spacing w:after="0" w:line="99" w:lineRule="exact"/>
              <w:rPr>
                <w:sz w:val="20"/>
                <w:szCs w:val="20"/>
                <w:color w:val="auto"/>
              </w:rPr>
            </w:pPr>
            <w:r>
              <w:rPr>
                <w:rFonts w:ascii="Arial" w:cs="Arial" w:eastAsia="Arial" w:hAnsi="Arial"/>
                <w:sz w:val="9"/>
                <w:szCs w:val="9"/>
                <w:color w:val="auto"/>
              </w:rPr>
              <w:t>Europe/CIS/Africa</w:t>
            </w:r>
          </w:p>
        </w:tc>
        <w:tc>
          <w:tcPr>
            <w:tcW w:w="9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400"/>
              <w:spacing w:after="0" w:line="99" w:lineRule="exact"/>
              <w:rPr>
                <w:sz w:val="20"/>
                <w:szCs w:val="20"/>
                <w:color w:val="auto"/>
              </w:rPr>
            </w:pPr>
            <w:r>
              <w:rPr>
                <w:rFonts w:ascii="Arial" w:cs="Arial" w:eastAsia="Arial" w:hAnsi="Arial"/>
                <w:sz w:val="9"/>
                <w:szCs w:val="9"/>
                <w:b w:val="1"/>
                <w:bCs w:val="1"/>
                <w:color w:val="auto"/>
              </w:rPr>
              <w:t>2,704</w:t>
            </w:r>
          </w:p>
        </w:tc>
        <w:tc>
          <w:tcPr>
            <w:tcW w:w="6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476</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75"/>
              <w:spacing w:after="0" w:line="99" w:lineRule="exact"/>
              <w:rPr>
                <w:sz w:val="20"/>
                <w:szCs w:val="20"/>
                <w:color w:val="auto"/>
              </w:rPr>
            </w:pPr>
            <w:r>
              <w:rPr>
                <w:rFonts w:ascii="Arial" w:cs="Arial" w:eastAsia="Arial" w:hAnsi="Arial"/>
                <w:sz w:val="9"/>
                <w:szCs w:val="9"/>
                <w:color w:val="auto"/>
                <w:w w:val="97"/>
              </w:rPr>
              <w:t>2,494</w:t>
            </w:r>
          </w:p>
        </w:tc>
        <w:tc>
          <w:tcPr>
            <w:tcW w:w="22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408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Middle East &amp; Asia</w:t>
            </w:r>
          </w:p>
        </w:tc>
        <w:tc>
          <w:tcPr>
            <w:tcW w:w="9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400"/>
              <w:spacing w:after="0" w:line="99" w:lineRule="exact"/>
              <w:rPr>
                <w:sz w:val="20"/>
                <w:szCs w:val="20"/>
                <w:color w:val="auto"/>
              </w:rPr>
            </w:pPr>
            <w:r>
              <w:rPr>
                <w:rFonts w:ascii="Arial" w:cs="Arial" w:eastAsia="Arial" w:hAnsi="Arial"/>
                <w:sz w:val="9"/>
                <w:szCs w:val="9"/>
                <w:b w:val="1"/>
                <w:bCs w:val="1"/>
                <w:color w:val="auto"/>
              </w:rPr>
              <w:t>2,136</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b w:val="1"/>
                <w:bCs w:val="1"/>
                <w:color w:val="auto"/>
              </w:rPr>
              <w:t>500</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75"/>
              <w:spacing w:after="0" w:line="99" w:lineRule="exact"/>
              <w:rPr>
                <w:sz w:val="20"/>
                <w:szCs w:val="20"/>
                <w:color w:val="auto"/>
              </w:rPr>
            </w:pPr>
            <w:r>
              <w:rPr>
                <w:rFonts w:ascii="Arial" w:cs="Arial" w:eastAsia="Arial" w:hAnsi="Arial"/>
                <w:sz w:val="9"/>
                <w:szCs w:val="9"/>
                <w:color w:val="auto"/>
                <w:w w:val="97"/>
              </w:rPr>
              <w:t>2,003</w:t>
            </w:r>
          </w:p>
        </w:tc>
        <w:tc>
          <w:tcPr>
            <w:tcW w:w="22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444</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tcPr>
          <w:p>
            <w:pPr>
              <w:spacing w:after="0" w:line="99" w:lineRule="exact"/>
              <w:rPr>
                <w:sz w:val="20"/>
                <w:szCs w:val="20"/>
                <w:color w:val="auto"/>
              </w:rPr>
            </w:pPr>
            <w:r>
              <w:rPr>
                <w:rFonts w:ascii="Arial" w:cs="Arial" w:eastAsia="Arial" w:hAnsi="Arial"/>
                <w:sz w:val="9"/>
                <w:szCs w:val="9"/>
                <w:color w:val="auto"/>
              </w:rPr>
              <w:t>Eliminations &amp; other</w:t>
            </w:r>
          </w:p>
        </w:tc>
        <w:tc>
          <w:tcPr>
            <w:tcW w:w="9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112</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80"/>
              <w:spacing w:after="0" w:line="99" w:lineRule="exact"/>
              <w:rPr>
                <w:sz w:val="20"/>
                <w:szCs w:val="20"/>
                <w:color w:val="auto"/>
              </w:rPr>
            </w:pPr>
            <w:r>
              <w:rPr>
                <w:rFonts w:ascii="Arial" w:cs="Arial" w:eastAsia="Arial" w:hAnsi="Arial"/>
                <w:sz w:val="9"/>
                <w:szCs w:val="9"/>
                <w:b w:val="1"/>
                <w:bCs w:val="1"/>
                <w:color w:val="auto"/>
              </w:rPr>
              <w:t>(56)</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75"/>
              <w:spacing w:after="0" w:line="99" w:lineRule="exact"/>
              <w:rPr>
                <w:sz w:val="20"/>
                <w:szCs w:val="20"/>
                <w:color w:val="auto"/>
              </w:rPr>
            </w:pPr>
            <w:r>
              <w:rPr>
                <w:rFonts w:ascii="Arial" w:cs="Arial" w:eastAsia="Arial" w:hAnsi="Arial"/>
                <w:sz w:val="9"/>
                <w:szCs w:val="9"/>
                <w:color w:val="auto"/>
              </w:rPr>
              <w:t>90</w:t>
            </w:r>
          </w:p>
        </w:tc>
        <w:tc>
          <w:tcPr>
            <w:tcW w:w="22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0"/>
        </w:trPr>
        <w:tc>
          <w:tcPr>
            <w:tcW w:w="5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10,302</w:t>
            </w: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2,169</w:t>
            </w: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75"/>
              <w:spacing w:after="0" w:line="98" w:lineRule="exact"/>
              <w:rPr>
                <w:sz w:val="20"/>
                <w:szCs w:val="20"/>
                <w:color w:val="auto"/>
              </w:rPr>
            </w:pPr>
            <w:r>
              <w:rPr>
                <w:rFonts w:ascii="Arial" w:cs="Arial" w:eastAsia="Arial" w:hAnsi="Arial"/>
                <w:sz w:val="9"/>
                <w:szCs w:val="9"/>
                <w:color w:val="auto"/>
                <w:w w:val="97"/>
              </w:rPr>
              <w:t>9,546</w:t>
            </w:r>
          </w:p>
        </w:tc>
        <w:tc>
          <w:tcPr>
            <w:tcW w:w="22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1,931</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9"/>
                <w:szCs w:val="9"/>
                <w:b w:val="1"/>
                <w:bCs w:val="1"/>
                <w:i w:val="1"/>
                <w:iCs w:val="1"/>
                <w:color w:val="auto"/>
              </w:rPr>
              <w:t>Distribution</w:t>
            </w:r>
          </w:p>
        </w:tc>
        <w:tc>
          <w:tcPr>
            <w:tcW w:w="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685</w:t>
            </w:r>
          </w:p>
        </w:tc>
        <w:tc>
          <w:tcPr>
            <w:tcW w:w="4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26</w:t>
            </w:r>
          </w:p>
        </w:tc>
        <w:tc>
          <w:tcPr>
            <w:tcW w:w="2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75"/>
              <w:spacing w:after="0" w:line="98" w:lineRule="exact"/>
              <w:rPr>
                <w:sz w:val="20"/>
                <w:szCs w:val="20"/>
                <w:color w:val="auto"/>
              </w:rPr>
            </w:pPr>
            <w:r>
              <w:rPr>
                <w:rFonts w:ascii="Arial" w:cs="Arial" w:eastAsia="Arial" w:hAnsi="Arial"/>
                <w:sz w:val="9"/>
                <w:szCs w:val="9"/>
                <w:color w:val="auto"/>
              </w:rPr>
              <w:t>698</w:t>
            </w:r>
          </w:p>
        </w:tc>
        <w:tc>
          <w:tcPr>
            <w:tcW w:w="22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rPr>
              <w:t>31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Eliminations</w:t>
            </w:r>
          </w:p>
        </w:tc>
        <w:tc>
          <w:tcPr>
            <w:tcW w:w="9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(13)</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b w:val="1"/>
                <w:bCs w:val="1"/>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35"/>
              <w:spacing w:after="0" w:line="99" w:lineRule="exact"/>
              <w:rPr>
                <w:sz w:val="20"/>
                <w:szCs w:val="20"/>
                <w:color w:val="auto"/>
              </w:rPr>
            </w:pPr>
            <w:r>
              <w:rPr>
                <w:rFonts w:ascii="Arial" w:cs="Arial" w:eastAsia="Arial" w:hAnsi="Arial"/>
                <w:sz w:val="9"/>
                <w:szCs w:val="9"/>
                <w:color w:val="auto"/>
              </w:rPr>
              <w:t>(15)</w:t>
            </w:r>
          </w:p>
        </w:tc>
        <w:tc>
          <w:tcPr>
            <w:tcW w:w="220" w:type="dxa"/>
            <w:vAlign w:val="bottom"/>
            <w:tcBorders>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5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672</w:t>
            </w:r>
          </w:p>
        </w:tc>
        <w:tc>
          <w:tcPr>
            <w:tcW w:w="4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26</w:t>
            </w:r>
          </w:p>
        </w:tc>
        <w:tc>
          <w:tcPr>
            <w:tcW w:w="2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75"/>
              <w:spacing w:after="0" w:line="98" w:lineRule="exact"/>
              <w:rPr>
                <w:sz w:val="20"/>
                <w:szCs w:val="20"/>
                <w:color w:val="auto"/>
              </w:rPr>
            </w:pPr>
            <w:r>
              <w:rPr>
                <w:rFonts w:ascii="Arial" w:cs="Arial" w:eastAsia="Arial" w:hAnsi="Arial"/>
                <w:sz w:val="9"/>
                <w:szCs w:val="9"/>
                <w:color w:val="auto"/>
              </w:rPr>
              <w:t>683</w:t>
            </w:r>
          </w:p>
        </w:tc>
        <w:tc>
          <w:tcPr>
            <w:tcW w:w="22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rPr>
              <w:t>31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80" w:type="dxa"/>
            <w:vAlign w:val="bottom"/>
            <w:shd w:val="clear" w:color="auto" w:fill="CCEEFF"/>
          </w:tcPr>
          <w:p>
            <w:pPr>
              <w:spacing w:after="0" w:line="97" w:lineRule="exact"/>
              <w:rPr>
                <w:sz w:val="20"/>
                <w:szCs w:val="20"/>
                <w:color w:val="auto"/>
              </w:rPr>
            </w:pPr>
            <w:r>
              <w:rPr>
                <w:rFonts w:ascii="Arial" w:cs="Arial" w:eastAsia="Arial" w:hAnsi="Arial"/>
                <w:sz w:val="7"/>
                <w:szCs w:val="7"/>
                <w:color w:val="auto"/>
              </w:rPr>
              <w:t xml:space="preserve">Corporate &amp; other </w:t>
            </w:r>
            <w:r>
              <w:rPr>
                <w:rFonts w:ascii="Arial" w:cs="Arial" w:eastAsia="Arial" w:hAnsi="Arial"/>
                <w:sz w:val="11"/>
                <w:szCs w:val="11"/>
                <w:color w:val="auto"/>
                <w:vertAlign w:val="superscript"/>
              </w:rPr>
              <w:t>(1)</w:t>
            </w:r>
          </w:p>
        </w:tc>
        <w:tc>
          <w:tcPr>
            <w:tcW w:w="9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b w:val="1"/>
                <w:bCs w:val="1"/>
                <w:color w:val="auto"/>
              </w:rPr>
              <w:t>(154)</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75"/>
              <w:spacing w:after="0" w:line="98" w:lineRule="exact"/>
              <w:rPr>
                <w:sz w:val="20"/>
                <w:szCs w:val="20"/>
                <w:color w:val="auto"/>
              </w:rPr>
            </w:pPr>
            <w:r>
              <w:rPr>
                <w:rFonts w:ascii="Arial" w:cs="Arial" w:eastAsia="Arial" w:hAnsi="Arial"/>
                <w:sz w:val="9"/>
                <w:szCs w:val="9"/>
                <w:color w:val="auto"/>
              </w:rPr>
              <w:t>–</w:t>
            </w:r>
          </w:p>
        </w:tc>
        <w:tc>
          <w:tcPr>
            <w:tcW w:w="220" w:type="dxa"/>
            <w:vAlign w:val="bottom"/>
            <w:tcBorders>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(158)</w:t>
            </w:r>
          </w:p>
        </w:tc>
        <w:tc>
          <w:tcPr>
            <w:tcW w:w="0" w:type="dxa"/>
            <w:vAlign w:val="bottom"/>
          </w:tcPr>
          <w:p>
            <w:pPr>
              <w:spacing w:after="0"/>
              <w:rPr>
                <w:sz w:val="1"/>
                <w:szCs w:val="1"/>
                <w:color w:val="auto"/>
              </w:rPr>
            </w:pPr>
          </w:p>
        </w:tc>
      </w:tr>
      <w:tr>
        <w:trPr>
          <w:trHeight w:val="99"/>
        </w:trPr>
        <w:tc>
          <w:tcPr>
            <w:tcW w:w="5280" w:type="dxa"/>
            <w:vAlign w:val="bottom"/>
          </w:tcPr>
          <w:p>
            <w:pPr>
              <w:spacing w:after="0" w:line="99" w:lineRule="exact"/>
              <w:rPr>
                <w:sz w:val="20"/>
                <w:szCs w:val="20"/>
                <w:color w:val="auto"/>
              </w:rPr>
            </w:pPr>
            <w:r>
              <w:rPr>
                <w:rFonts w:ascii="Arial" w:cs="Arial" w:eastAsia="Arial" w:hAnsi="Arial"/>
                <w:sz w:val="7"/>
                <w:szCs w:val="7"/>
                <w:color w:val="auto"/>
              </w:rPr>
              <w:t xml:space="preserve">Interest income </w:t>
            </w:r>
            <w:r>
              <w:rPr>
                <w:rFonts w:ascii="Arial" w:cs="Arial" w:eastAsia="Arial" w:hAnsi="Arial"/>
                <w:sz w:val="11"/>
                <w:szCs w:val="11"/>
                <w:color w:val="auto"/>
                <w:vertAlign w:val="superscript"/>
              </w:rPr>
              <w:t>(2)</w:t>
            </w:r>
          </w:p>
        </w:tc>
        <w:tc>
          <w:tcPr>
            <w:tcW w:w="9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40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8</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75"/>
              <w:spacing w:after="0" w:line="99"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80" w:type="dxa"/>
            <w:vAlign w:val="bottom"/>
            <w:shd w:val="clear" w:color="auto" w:fill="CCEEFF"/>
          </w:tcPr>
          <w:p>
            <w:pPr>
              <w:spacing w:after="0" w:line="99" w:lineRule="exact"/>
              <w:rPr>
                <w:sz w:val="20"/>
                <w:szCs w:val="20"/>
                <w:color w:val="auto"/>
              </w:rPr>
            </w:pPr>
            <w:r>
              <w:rPr>
                <w:rFonts w:ascii="Arial" w:cs="Arial" w:eastAsia="Arial" w:hAnsi="Arial"/>
                <w:sz w:val="7"/>
                <w:szCs w:val="7"/>
                <w:color w:val="auto"/>
              </w:rPr>
              <w:t xml:space="preserve">Interest expense </w:t>
            </w:r>
            <w:r>
              <w:rPr>
                <w:rFonts w:ascii="Arial" w:cs="Arial" w:eastAsia="Arial" w:hAnsi="Arial"/>
                <w:sz w:val="11"/>
                <w:szCs w:val="11"/>
                <w:color w:val="auto"/>
                <w:vertAlign w:val="superscript"/>
              </w:rPr>
              <w:t>(3)</w:t>
            </w:r>
          </w:p>
        </w:tc>
        <w:tc>
          <w:tcPr>
            <w:tcW w:w="9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40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b w:val="1"/>
                <w:bCs w:val="1"/>
                <w:color w:val="auto"/>
              </w:rPr>
              <w:t>(81)</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75"/>
              <w:spacing w:after="0" w:line="99" w:lineRule="exact"/>
              <w:rPr>
                <w:sz w:val="20"/>
                <w:szCs w:val="20"/>
                <w:color w:val="auto"/>
              </w:rPr>
            </w:pPr>
            <w:r>
              <w:rPr>
                <w:rFonts w:ascii="Arial" w:cs="Arial" w:eastAsia="Arial" w:hAnsi="Arial"/>
                <w:sz w:val="9"/>
                <w:szCs w:val="9"/>
                <w:color w:val="auto"/>
              </w:rPr>
              <w:t>–</w:t>
            </w:r>
          </w:p>
        </w:tc>
        <w:tc>
          <w:tcPr>
            <w:tcW w:w="220" w:type="dxa"/>
            <w:vAlign w:val="bottom"/>
            <w:tcBorders>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(69)</w:t>
            </w:r>
          </w:p>
        </w:tc>
        <w:tc>
          <w:tcPr>
            <w:tcW w:w="0" w:type="dxa"/>
            <w:vAlign w:val="bottom"/>
          </w:tcPr>
          <w:p>
            <w:pPr>
              <w:spacing w:after="0"/>
              <w:rPr>
                <w:sz w:val="1"/>
                <w:szCs w:val="1"/>
                <w:color w:val="auto"/>
              </w:rPr>
            </w:pPr>
          </w:p>
        </w:tc>
      </w:tr>
      <w:tr>
        <w:trPr>
          <w:trHeight w:val="99"/>
        </w:trPr>
        <w:tc>
          <w:tcPr>
            <w:tcW w:w="5280" w:type="dxa"/>
            <w:vAlign w:val="bottom"/>
          </w:tcPr>
          <w:p>
            <w:pPr>
              <w:spacing w:after="0" w:line="99" w:lineRule="exact"/>
              <w:rPr>
                <w:sz w:val="20"/>
                <w:szCs w:val="20"/>
                <w:color w:val="auto"/>
              </w:rPr>
            </w:pPr>
            <w:r>
              <w:rPr>
                <w:rFonts w:ascii="Arial" w:cs="Arial" w:eastAsia="Arial" w:hAnsi="Arial"/>
                <w:sz w:val="7"/>
                <w:szCs w:val="7"/>
                <w:color w:val="auto"/>
              </w:rPr>
              <w:t xml:space="preserve">Charges &amp; credits </w:t>
            </w:r>
            <w:r>
              <w:rPr>
                <w:rFonts w:ascii="Arial" w:cs="Arial" w:eastAsia="Arial" w:hAnsi="Arial"/>
                <w:sz w:val="11"/>
                <w:szCs w:val="11"/>
                <w:color w:val="auto"/>
                <w:vertAlign w:val="superscript"/>
              </w:rPr>
              <w:t>(4)</w:t>
            </w:r>
          </w:p>
        </w:tc>
        <w:tc>
          <w:tcPr>
            <w:tcW w:w="9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80"/>
              <w:spacing w:after="0" w:line="99" w:lineRule="exact"/>
              <w:rPr>
                <w:sz w:val="20"/>
                <w:szCs w:val="20"/>
                <w:color w:val="auto"/>
              </w:rPr>
            </w:pPr>
            <w:r>
              <w:rPr>
                <w:rFonts w:ascii="Arial" w:cs="Arial" w:eastAsia="Arial" w:hAnsi="Arial"/>
                <w:sz w:val="9"/>
                <w:szCs w:val="9"/>
                <w:b w:val="1"/>
                <w:bCs w:val="1"/>
                <w:color w:val="auto"/>
              </w:rPr>
              <w:t>(82)</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75"/>
              <w:spacing w:after="0" w:line="99"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0"/>
        </w:trPr>
        <w:tc>
          <w:tcPr>
            <w:tcW w:w="5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80" w:type="dxa"/>
            <w:vAlign w:val="bottom"/>
            <w:shd w:val="clear" w:color="auto" w:fill="CCEEFF"/>
          </w:tcPr>
          <w:p>
            <w:pPr>
              <w:spacing w:after="0"/>
              <w:rPr>
                <w:sz w:val="8"/>
                <w:szCs w:val="8"/>
                <w:color w:val="auto"/>
              </w:rPr>
            </w:pPr>
          </w:p>
        </w:tc>
        <w:tc>
          <w:tcPr>
            <w:tcW w:w="3540" w:type="dxa"/>
            <w:vAlign w:val="bottom"/>
            <w:gridSpan w:val="2"/>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78"/>
              </w:rPr>
              <w:t>$</w:t>
            </w:r>
          </w:p>
        </w:tc>
        <w:tc>
          <w:tcPr>
            <w:tcW w:w="34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10,974</w:t>
            </w: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1,886</w:t>
            </w: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gridSpan w:val="3"/>
            <w:shd w:val="clear" w:color="auto" w:fill="CCEEFF"/>
          </w:tcPr>
          <w:p>
            <w:pPr>
              <w:jc w:val="right"/>
              <w:ind w:right="175"/>
              <w:spacing w:after="0" w:line="98" w:lineRule="exact"/>
              <w:rPr>
                <w:sz w:val="20"/>
                <w:szCs w:val="20"/>
                <w:color w:val="auto"/>
              </w:rPr>
            </w:pPr>
            <w:r>
              <w:rPr>
                <w:rFonts w:ascii="Arial" w:cs="Arial" w:eastAsia="Arial" w:hAnsi="Arial"/>
                <w:sz w:val="9"/>
                <w:szCs w:val="9"/>
                <w:color w:val="auto"/>
                <w:w w:val="91"/>
              </w:rPr>
              <w:t>$ 10,229</w:t>
            </w:r>
          </w:p>
        </w:tc>
        <w:tc>
          <w:tcPr>
            <w:tcW w:w="22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1,717</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ind w:left="228" w:hanging="228"/>
        <w:spacing w:after="0"/>
        <w:tabs>
          <w:tab w:leader="none" w:pos="228" w:val="left"/>
        </w:tabs>
        <w:numPr>
          <w:ilvl w:val="0"/>
          <w:numId w:val="9"/>
        </w:numPr>
        <w:rPr>
          <w:rFonts w:ascii="Arial" w:cs="Arial" w:eastAsia="Arial" w:hAnsi="Arial"/>
          <w:sz w:val="14"/>
          <w:szCs w:val="14"/>
          <w:color w:val="auto"/>
          <w:vertAlign w:val="superscript"/>
        </w:rPr>
      </w:pPr>
      <w:r>
        <w:rPr>
          <w:rFonts w:ascii="Arial" w:cs="Arial" w:eastAsia="Arial" w:hAnsi="Arial"/>
          <w:sz w:val="8"/>
          <w:szCs w:val="8"/>
          <w:color w:val="auto"/>
        </w:rPr>
        <w:t>Comprised principally of corporate expenses not allocated to the segments, interest on postretirement medical benefits, stock-based compensation costs, amortization expense associated with intangible assets recorded as a result of the acquisition of Smith and certain other nonoperating items.</w:t>
      </w:r>
    </w:p>
    <w:p>
      <w:pPr>
        <w:ind w:left="228" w:hanging="228"/>
        <w:spacing w:after="0" w:line="187" w:lineRule="auto"/>
        <w:tabs>
          <w:tab w:leader="none" w:pos="228" w:val="left"/>
        </w:tabs>
        <w:numPr>
          <w:ilvl w:val="0"/>
          <w:numId w:val="9"/>
        </w:numPr>
        <w:rPr>
          <w:rFonts w:ascii="Arial" w:cs="Arial" w:eastAsia="Arial" w:hAnsi="Arial"/>
          <w:sz w:val="11"/>
          <w:szCs w:val="11"/>
          <w:color w:val="auto"/>
          <w:vertAlign w:val="superscript"/>
        </w:rPr>
      </w:pPr>
      <w:r>
        <w:rPr>
          <w:rFonts w:ascii="Arial" w:cs="Arial" w:eastAsia="Arial" w:hAnsi="Arial"/>
          <w:sz w:val="7"/>
          <w:szCs w:val="7"/>
          <w:color w:val="auto"/>
        </w:rPr>
        <w:t>Excludes interest income included in the segments’ income (fourth quarter 2011 – $3 million; third quarter 2011 – $1 million).</w:t>
      </w:r>
    </w:p>
    <w:p>
      <w:pPr>
        <w:ind w:left="228" w:hanging="228"/>
        <w:spacing w:after="0" w:line="187" w:lineRule="auto"/>
        <w:tabs>
          <w:tab w:leader="none" w:pos="228" w:val="left"/>
        </w:tabs>
        <w:numPr>
          <w:ilvl w:val="0"/>
          <w:numId w:val="9"/>
        </w:numPr>
        <w:rPr>
          <w:rFonts w:ascii="Arial" w:cs="Arial" w:eastAsia="Arial" w:hAnsi="Arial"/>
          <w:sz w:val="11"/>
          <w:szCs w:val="11"/>
          <w:color w:val="auto"/>
          <w:vertAlign w:val="superscript"/>
        </w:rPr>
      </w:pPr>
      <w:r>
        <w:rPr>
          <w:rFonts w:ascii="Arial" w:cs="Arial" w:eastAsia="Arial" w:hAnsi="Arial"/>
          <w:sz w:val="7"/>
          <w:szCs w:val="7"/>
          <w:color w:val="auto"/>
        </w:rPr>
        <w:t>Excludes interest expense included in the segments’ income (fourth quarter 2011 – $5 million; third quarter 2011 – $1 million).</w:t>
      </w:r>
    </w:p>
    <w:p>
      <w:pPr>
        <w:ind w:left="228" w:hanging="228"/>
        <w:spacing w:after="0" w:line="184" w:lineRule="auto"/>
        <w:tabs>
          <w:tab w:leader="none" w:pos="228" w:val="left"/>
        </w:tabs>
        <w:numPr>
          <w:ilvl w:val="0"/>
          <w:numId w:val="9"/>
        </w:numPr>
        <w:rPr>
          <w:rFonts w:ascii="Arial" w:cs="Arial" w:eastAsia="Arial" w:hAnsi="Arial"/>
          <w:sz w:val="12"/>
          <w:szCs w:val="12"/>
          <w:color w:val="auto"/>
          <w:vertAlign w:val="superscript"/>
        </w:rPr>
      </w:pPr>
      <w:r>
        <w:rPr>
          <w:rFonts w:ascii="Arial" w:cs="Arial" w:eastAsia="Arial" w:hAnsi="Arial"/>
          <w:sz w:val="7"/>
          <w:szCs w:val="7"/>
          <w:color w:val="auto"/>
        </w:rPr>
        <w:t xml:space="preserve">Charges and credits are described in detail in Note 3 to the </w:t>
      </w:r>
      <w:r>
        <w:rPr>
          <w:rFonts w:ascii="Arial" w:cs="Arial" w:eastAsia="Arial" w:hAnsi="Arial"/>
          <w:sz w:val="7"/>
          <w:szCs w:val="7"/>
          <w:i w:val="1"/>
          <w:iCs w:val="1"/>
          <w:color w:val="auto"/>
        </w:rPr>
        <w:t>Consolidated Financial Statements</w:t>
      </w:r>
      <w:r>
        <w:rPr>
          <w:rFonts w:ascii="Arial" w:cs="Arial" w:eastAsia="Arial" w:hAnsi="Arial"/>
          <w:sz w:val="7"/>
          <w:szCs w:val="7"/>
          <w:color w:val="auto"/>
        </w:rPr>
        <w:t>.</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u w:val="single" w:color="auto"/>
          <w:color w:val="auto"/>
        </w:rPr>
        <w:t>Oilfield Services</w:t>
      </w:r>
    </w:p>
    <w:p>
      <w:pPr>
        <w:spacing w:after="0" w:line="60" w:lineRule="exact"/>
        <w:rPr>
          <w:sz w:val="20"/>
          <w:szCs w:val="20"/>
          <w:color w:val="auto"/>
        </w:rPr>
      </w:pPr>
    </w:p>
    <w:p>
      <w:pPr>
        <w:ind w:left="228"/>
        <w:spacing w:after="0"/>
        <w:rPr>
          <w:sz w:val="20"/>
          <w:szCs w:val="20"/>
          <w:color w:val="auto"/>
        </w:rPr>
      </w:pPr>
      <w:r>
        <w:rPr>
          <w:rFonts w:ascii="Arial" w:cs="Arial" w:eastAsia="Arial" w:hAnsi="Arial"/>
          <w:sz w:val="12"/>
          <w:szCs w:val="12"/>
          <w:color w:val="auto"/>
        </w:rPr>
        <w:t>Fourth-quarter revenue of $10.30 billion increased 8% sequentially with increases across all Groups and geographical Areas.</w:t>
      </w:r>
    </w:p>
    <w:p>
      <w:pPr>
        <w:spacing w:after="0" w:line="104"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17</w:t>
      </w:r>
    </w:p>
    <w:p>
      <w:pPr>
        <w:sectPr>
          <w:pgSz w:w="11900" w:h="16838" w:orient="portrait"/>
          <w:cols w:equalWidth="0" w:num="1">
            <w:col w:w="11488"/>
          </w:cols>
          <w:pgMar w:left="212" w:top="354" w:right="199"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firstLine="230"/>
        <w:spacing w:after="0" w:line="274" w:lineRule="auto"/>
        <w:rPr>
          <w:sz w:val="20"/>
          <w:szCs w:val="20"/>
          <w:color w:val="auto"/>
        </w:rPr>
      </w:pPr>
      <w:r>
        <w:rPr>
          <w:rFonts w:ascii="Arial" w:cs="Arial" w:eastAsia="Arial" w:hAnsi="Arial"/>
          <w:sz w:val="11"/>
          <w:szCs w:val="11"/>
          <w:color w:val="auto"/>
        </w:rPr>
        <w:t>Sequentially, Reservoir Characterization revenue increased on strong WesternGeco multiclient sales in the US Gulf of Mexico and the Angola GeoMarket, together with robust end-of-year Schlumberger Information Solutions (SIS) software sales across all Areas. WesternGeco also improved with the resumption of land seismic activity in the Middle East and new surveys in North Africa. Wireline reported considerable growth across all geographical Areas, and particularly on stronger offshore exploration activities in the Nigeria &amp; Gulf of Guinea, Southern &amp; Eastern Africa and Central &amp; West Africa GeoMarkets. Drilling revenue increased on higher M-I SWACO activity in North America Land, the US Gulf of Mexico and Latin America. IPM revenue increased significantly, mostly from projects in Mexico and Iraq, while Drilling &amp; Measurements revenue was higher on improved pricing and strong activity in the US Gulf of Mexico and the Nigeria &amp; Gulf of Guinea GeoMarket. Reservoir Production revenue increased, driven by stronger Completions and Artificial Lift product sales across all Areas. In North America Land, Well Services grew through capacity additions and continued improvements in asset utilization and crew efficiency. In addition, Framo and Schlumberger Production Management (SPM) posted strong sequential increases.</w:t>
      </w:r>
    </w:p>
    <w:p>
      <w:pPr>
        <w:spacing w:after="0" w:line="2" w:lineRule="exact"/>
        <w:rPr>
          <w:sz w:val="20"/>
          <w:szCs w:val="20"/>
          <w:color w:val="auto"/>
        </w:rPr>
      </w:pPr>
    </w:p>
    <w:p>
      <w:pPr>
        <w:ind w:right="80" w:firstLine="230"/>
        <w:spacing w:after="0" w:line="349" w:lineRule="auto"/>
        <w:rPr>
          <w:sz w:val="20"/>
          <w:szCs w:val="20"/>
          <w:color w:val="auto"/>
        </w:rPr>
      </w:pPr>
      <w:r>
        <w:rPr>
          <w:rFonts w:ascii="Arial" w:cs="Arial" w:eastAsia="Arial" w:hAnsi="Arial"/>
          <w:sz w:val="9"/>
          <w:szCs w:val="9"/>
          <w:color w:val="auto"/>
        </w:rPr>
        <w:t>On a geographical basis, North America Area revenue grew sequentially on increasing deepwater work in the US Gulf of Mexico, higher rig count and land activity in the US and Canada, and significant WesternGeco multiclient sales. In addition, Well Services reported considerable increases from additional fleet deployment and continued improvements in asset utilization and crew efficiency. In the Latin America Area, strong revenue was recorded in the Mexico &amp; Central America GeoMarket from higher IPM project activities and SIS software sales; in the Venezuela, Trinidad &amp; Tobago GeoMarket from WesternGeco marine seismic activities; and in the Peru, Colombia &amp; Ecuador GeoMarket from robust Artificial Lift product sales. In the Europe/CIS/Africa Area, strong results were led by the Angola GeoMarket, which saw vigorous WesternGeco multiclient sales in addition to expanded presalt offshore activity for Wireline, Testing Services &amp; Drilling &amp; Measurements; the Nigeria &amp; Gulf of Guinea GeoMarket, which recorded robust Completions product sales and higher Drilling &amp; Measurements and Wireline activity; and the North Africa GeoMarket that reported higher Wireline, Testing Services, Well Services and IPM project activity. These increases, however, were reduced by lower North Sea activity which was impacted by seasonal weather issues. In the Middle East &amp; Asia Area, strong Completions and Artificial Lift product sales and robust SIS software sales drove results—particularly in the India GeoMarket. These results were augmented by continued growth in the Saudi Arabia, Bahrain GeoMarket due to the rebound of land seismic acquisition, strong rigless activity and land rig additions. The Oman GeoMarket grew primarily on higher Wireline and Artificial Lift activities while the Iraq GeoMarket saw an increase in non-project services in addition to new IPM projects.</w:t>
      </w:r>
    </w:p>
    <w:p>
      <w:pPr>
        <w:spacing w:after="0" w:line="99" w:lineRule="exact"/>
        <w:rPr>
          <w:sz w:val="20"/>
          <w:szCs w:val="20"/>
          <w:color w:val="auto"/>
        </w:rPr>
      </w:pPr>
    </w:p>
    <w:p>
      <w:pPr>
        <w:ind w:right="20" w:firstLine="230"/>
        <w:spacing w:after="0" w:line="306" w:lineRule="auto"/>
        <w:rPr>
          <w:sz w:val="20"/>
          <w:szCs w:val="20"/>
          <w:color w:val="auto"/>
        </w:rPr>
      </w:pPr>
      <w:r>
        <w:rPr>
          <w:rFonts w:ascii="Arial" w:cs="Arial" w:eastAsia="Arial" w:hAnsi="Arial"/>
          <w:sz w:val="11"/>
          <w:szCs w:val="11"/>
          <w:color w:val="auto"/>
        </w:rPr>
        <w:t>Pretax operating income of $2.17 billion increased 12% sequentially over prior quarter. Pretax operating margin increased 82 basis points (bps) sequentially to 21.1% primarily due to the strong sales of WesternGeco multiclient licenses, SIS software and Completions products. Drilling &amp; Measurements and Wireline also contributed to this sequential improvement through increasing higher-margin exploration activities.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Reservoir Characterization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Fourth-quarter revenue of $2.79 billion was 12% higher sequentially. Pretax operating income of $777 million was 28% higher compared to the third quarter of 2011.</w:t>
      </w:r>
    </w:p>
    <w:p>
      <w:pPr>
        <w:spacing w:after="0" w:line="10" w:lineRule="exact"/>
        <w:rPr>
          <w:sz w:val="20"/>
          <w:szCs w:val="20"/>
          <w:color w:val="auto"/>
        </w:rPr>
      </w:pPr>
    </w:p>
    <w:p>
      <w:pPr>
        <w:ind w:right="220" w:firstLine="230"/>
        <w:spacing w:after="0" w:line="250" w:lineRule="auto"/>
        <w:rPr>
          <w:sz w:val="20"/>
          <w:szCs w:val="20"/>
          <w:color w:val="auto"/>
        </w:rPr>
      </w:pPr>
      <w:r>
        <w:rPr>
          <w:rFonts w:ascii="Arial" w:cs="Arial" w:eastAsia="Arial" w:hAnsi="Arial"/>
          <w:sz w:val="12"/>
          <w:szCs w:val="12"/>
          <w:color w:val="auto"/>
        </w:rPr>
        <w:t>WesternGeco and SIS posted significant sequential revenue growth on strong multiclient sales in the US Gulf of Mexico and the Angola GeoMarket, and on robust software sales across all geographical Areas, respectively. WesternGeco also improved on the resumption of land seismic activity in the Middle East and new surveys in North Africa. Wireline recorded increases across all Areas led by stronger offshore exploration activities in the Nigeria &amp; Gulf of Guinea, Southern &amp; Eastern Africa and Central &amp; West Africa GeoMarkets. Data &amp; Consulting Services and Testing Services also posted gains.</w:t>
      </w:r>
    </w:p>
    <w:p>
      <w:pPr>
        <w:spacing w:after="0" w:line="1" w:lineRule="exact"/>
        <w:rPr>
          <w:sz w:val="20"/>
          <w:szCs w:val="20"/>
          <w:color w:val="auto"/>
        </w:rPr>
      </w:pPr>
    </w:p>
    <w:p>
      <w:pPr>
        <w:ind w:right="400" w:firstLine="230"/>
        <w:spacing w:after="0" w:line="261" w:lineRule="auto"/>
        <w:rPr>
          <w:sz w:val="20"/>
          <w:szCs w:val="20"/>
          <w:color w:val="auto"/>
        </w:rPr>
      </w:pPr>
      <w:r>
        <w:rPr>
          <w:rFonts w:ascii="Arial" w:cs="Arial" w:eastAsia="Arial" w:hAnsi="Arial"/>
          <w:sz w:val="12"/>
          <w:szCs w:val="12"/>
          <w:color w:val="auto"/>
        </w:rPr>
        <w:t>Sequentially, pretax operating margins increased markedly by 340 bps to 27.9% through the seasonally strong sales of WesternGeco multiclient licenses and SIS software. Increasing higher-margin Wireline exploration activities also contributed to the growth.</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9"/>
          <w:szCs w:val="9"/>
          <w:color w:val="auto"/>
        </w:rPr>
        <w:t>18</w:t>
      </w:r>
    </w:p>
    <w:p>
      <w:pPr>
        <w:sectPr>
          <w:pgSz w:w="11900" w:h="16838" w:orient="portrait"/>
          <w:cols w:equalWidth="0" w:num="1">
            <w:col w:w="11480"/>
          </w:cols>
          <w:pgMar w:left="220" w:top="354" w:right="199"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Drilling</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Fourth-quarter revenue of $3.91 billion was 6% higher sequentially. Pretax operating income of $658 million improved 7% sequentially.</w:t>
      </w:r>
    </w:p>
    <w:p>
      <w:pPr>
        <w:spacing w:after="0" w:line="10" w:lineRule="exact"/>
        <w:rPr>
          <w:sz w:val="20"/>
          <w:szCs w:val="20"/>
          <w:color w:val="auto"/>
        </w:rPr>
      </w:pPr>
    </w:p>
    <w:p>
      <w:pPr>
        <w:ind w:right="80" w:firstLine="230"/>
        <w:spacing w:after="0" w:line="273" w:lineRule="auto"/>
        <w:rPr>
          <w:sz w:val="20"/>
          <w:szCs w:val="20"/>
          <w:color w:val="auto"/>
        </w:rPr>
      </w:pPr>
      <w:r>
        <w:rPr>
          <w:rFonts w:ascii="Arial" w:cs="Arial" w:eastAsia="Arial" w:hAnsi="Arial"/>
          <w:sz w:val="11"/>
          <w:szCs w:val="11"/>
          <w:color w:val="auto"/>
        </w:rPr>
        <w:t>Significant sequential revenue growth was recorded by M-I SWACO from higher rig count on land in the US &amp; Canada; sustained growth in deepwater activity in the US Gulf of Mexico; and strong contributions in Latin America. IPM activity increased significantly, mainly from projects in Mexico and in Iraq. Drilling &amp; Measurements revenue increased on improved pricing and strong activity in the US Gulf of Mexico and the Nigeria &amp; Gulf of Guinea GeoMarket, although this was partially offset by weather-related activity reductions in the North Sea and East Asia GeoMarkets. In addition, Geoservices and Bits &amp; Advanced Technologies registered robust sequential increases.</w:t>
      </w:r>
    </w:p>
    <w:p>
      <w:pPr>
        <w:spacing w:after="0" w:line="1" w:lineRule="exact"/>
        <w:rPr>
          <w:sz w:val="20"/>
          <w:szCs w:val="20"/>
          <w:color w:val="auto"/>
        </w:rPr>
      </w:pPr>
    </w:p>
    <w:p>
      <w:pPr>
        <w:jc w:val="both"/>
        <w:ind w:right="120" w:firstLine="230"/>
        <w:spacing w:after="0" w:line="306" w:lineRule="auto"/>
        <w:rPr>
          <w:sz w:val="20"/>
          <w:szCs w:val="20"/>
          <w:color w:val="auto"/>
        </w:rPr>
      </w:pPr>
      <w:r>
        <w:rPr>
          <w:rFonts w:ascii="Arial" w:cs="Arial" w:eastAsia="Arial" w:hAnsi="Arial"/>
          <w:sz w:val="11"/>
          <w:szCs w:val="11"/>
          <w:color w:val="auto"/>
        </w:rPr>
        <w:t>Sequentially, pretax operating margins were up slightly to 16.8%. Drilling &amp; Measurements obtained increased margins from improved technology mix and service pricing but this was partly offset by the effects of weather-related activity delays and reductions. Most of the other Technologies exacted margin expansion following the continued successful integration and expansion of Smith, Geoservices and Schlumberger drilling technologies.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Reservoir Production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Fourth-quarter revenue of $3.60 billion increased 7% over the prior quarter. Pretax operating income of $768 million was 9% higher sequentially.</w:t>
      </w:r>
    </w:p>
    <w:p>
      <w:pPr>
        <w:spacing w:after="0" w:line="10" w:lineRule="exact"/>
        <w:rPr>
          <w:sz w:val="20"/>
          <w:szCs w:val="20"/>
          <w:color w:val="auto"/>
        </w:rPr>
      </w:pPr>
    </w:p>
    <w:p>
      <w:pPr>
        <w:jc w:val="both"/>
        <w:ind w:right="120" w:firstLine="230"/>
        <w:spacing w:after="0" w:line="250" w:lineRule="auto"/>
        <w:rPr>
          <w:sz w:val="20"/>
          <w:szCs w:val="20"/>
          <w:color w:val="auto"/>
        </w:rPr>
      </w:pPr>
      <w:r>
        <w:rPr>
          <w:rFonts w:ascii="Arial" w:cs="Arial" w:eastAsia="Arial" w:hAnsi="Arial"/>
          <w:sz w:val="12"/>
          <w:szCs w:val="12"/>
          <w:color w:val="auto"/>
        </w:rPr>
        <w:t>Among Reservoir Production Group Technologies, Completions and Artificial Lift posted the strongest sequential growth driven by robust product sales across all Areas. Well Services sequential growth was seen mainly in North America Land as additional fleets deployed and continued improvements in asset utilization and crew efficiency were achieved although these positive factors were partially muted by the impact of year-end seasonal effects. Framo and SPM also posted strong sequential increases.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Sequentially, fourth-quarter pretax operating margins were slightly up at 21.3%. Completions, Artificial Lift and Well Services reported improvements from strong sales.</w:t>
      </w:r>
    </w:p>
    <w:p>
      <w:pPr>
        <w:spacing w:after="0" w:line="108" w:lineRule="exact"/>
        <w:rPr>
          <w:sz w:val="20"/>
          <w:szCs w:val="20"/>
          <w:color w:val="auto"/>
        </w:rPr>
      </w:pPr>
    </w:p>
    <w:p>
      <w:pPr>
        <w:ind w:left="5180"/>
        <w:spacing w:after="0"/>
        <w:rPr>
          <w:sz w:val="20"/>
          <w:szCs w:val="20"/>
          <w:color w:val="auto"/>
        </w:rPr>
      </w:pPr>
      <w:r>
        <w:rPr>
          <w:rFonts w:ascii="Arial" w:cs="Arial" w:eastAsia="Arial" w:hAnsi="Arial"/>
          <w:sz w:val="12"/>
          <w:szCs w:val="12"/>
          <w:b w:val="1"/>
          <w:bCs w:val="1"/>
          <w:u w:val="single" w:color="auto"/>
          <w:color w:val="auto"/>
        </w:rPr>
        <w:t>Full-Year 2011 Results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3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w w:val="91"/>
              </w:rPr>
              <w:t>(Stated in millions)</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75"/>
              <w:spacing w:after="0"/>
              <w:rPr>
                <w:sz w:val="20"/>
                <w:szCs w:val="20"/>
                <w:color w:val="auto"/>
              </w:rPr>
            </w:pPr>
            <w:r>
              <w:rPr>
                <w:rFonts w:ascii="Arial" w:cs="Arial" w:eastAsia="Arial" w:hAnsi="Arial"/>
                <w:sz w:val="9"/>
                <w:szCs w:val="9"/>
                <w:b w:val="1"/>
                <w:bCs w:val="1"/>
                <w:color w:val="auto"/>
              </w:rPr>
              <w:t>2011</w:t>
            </w:r>
          </w:p>
        </w:tc>
        <w:tc>
          <w:tcPr>
            <w:tcW w:w="2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55"/>
              <w:spacing w:after="0"/>
              <w:rPr>
                <w:sz w:val="20"/>
                <w:szCs w:val="20"/>
                <w:color w:val="auto"/>
              </w:rPr>
            </w:pPr>
            <w:r>
              <w:rPr>
                <w:rFonts w:ascii="Arial" w:cs="Arial" w:eastAsia="Arial" w:hAnsi="Arial"/>
                <w:sz w:val="9"/>
                <w:szCs w:val="9"/>
                <w:color w:val="auto"/>
              </w:rPr>
              <w:t>2010</w:t>
            </w:r>
          </w:p>
        </w:tc>
        <w:tc>
          <w:tcPr>
            <w:tcW w:w="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332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jc w:val="center"/>
              <w:spacing w:after="0" w:line="79" w:lineRule="exact"/>
              <w:rPr>
                <w:sz w:val="20"/>
                <w:szCs w:val="20"/>
                <w:color w:val="auto"/>
              </w:rPr>
            </w:pPr>
            <w:r>
              <w:rPr>
                <w:rFonts w:ascii="Arial" w:cs="Arial" w:eastAsia="Arial" w:hAnsi="Arial"/>
                <w:sz w:val="9"/>
                <w:szCs w:val="9"/>
                <w:b w:val="1"/>
                <w:bCs w:val="1"/>
                <w:color w:val="auto"/>
                <w:w w:val="88"/>
              </w:rPr>
              <w:t>Income</w:t>
            </w: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gridSpan w:val="2"/>
          </w:tcPr>
          <w:p>
            <w:pPr>
              <w:jc w:val="center"/>
              <w:ind w:left="455"/>
              <w:spacing w:after="0" w:line="79" w:lineRule="exact"/>
              <w:rPr>
                <w:sz w:val="20"/>
                <w:szCs w:val="20"/>
                <w:color w:val="auto"/>
              </w:rPr>
            </w:pPr>
            <w:r>
              <w:rPr>
                <w:rFonts w:ascii="Arial" w:cs="Arial" w:eastAsia="Arial" w:hAnsi="Arial"/>
                <w:sz w:val="9"/>
                <w:szCs w:val="9"/>
                <w:color w:val="auto"/>
                <w:w w:val="87"/>
              </w:rPr>
              <w:t>Income</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3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gridSpan w:val="2"/>
          </w:tcPr>
          <w:p>
            <w:pPr>
              <w:jc w:val="center"/>
              <w:ind w:right="280"/>
              <w:spacing w:after="0" w:line="99" w:lineRule="exact"/>
              <w:rPr>
                <w:sz w:val="20"/>
                <w:szCs w:val="20"/>
                <w:color w:val="auto"/>
              </w:rPr>
            </w:pPr>
            <w:r>
              <w:rPr>
                <w:rFonts w:ascii="Arial" w:cs="Arial" w:eastAsia="Arial" w:hAnsi="Arial"/>
                <w:sz w:val="9"/>
                <w:szCs w:val="9"/>
                <w:b w:val="1"/>
                <w:bCs w:val="1"/>
                <w:color w:val="auto"/>
                <w:w w:val="87"/>
              </w:rPr>
              <w:t>before</w:t>
            </w: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gridSpan w:val="2"/>
          </w:tcPr>
          <w:p>
            <w:pPr>
              <w:jc w:val="center"/>
              <w:ind w:right="60"/>
              <w:spacing w:after="0" w:line="99" w:lineRule="exact"/>
              <w:rPr>
                <w:sz w:val="20"/>
                <w:szCs w:val="20"/>
                <w:color w:val="auto"/>
              </w:rPr>
            </w:pPr>
            <w:r>
              <w:rPr>
                <w:rFonts w:ascii="Arial" w:cs="Arial" w:eastAsia="Arial" w:hAnsi="Arial"/>
                <w:sz w:val="9"/>
                <w:szCs w:val="9"/>
                <w:color w:val="auto"/>
                <w:w w:val="86"/>
              </w:rPr>
              <w:t>before</w:t>
            </w: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9"/>
                <w:szCs w:val="9"/>
                <w:b w:val="1"/>
                <w:bCs w:val="1"/>
                <w:color w:val="auto"/>
                <w:w w:val="90"/>
              </w:rPr>
              <w:t>Revenue</w:t>
            </w:r>
          </w:p>
        </w:tc>
        <w:tc>
          <w:tcPr>
            <w:tcW w:w="460" w:type="dxa"/>
            <w:vAlign w:val="bottom"/>
          </w:tcPr>
          <w:p>
            <w:pPr>
              <w:spacing w:after="0"/>
              <w:rPr>
                <w:sz w:val="9"/>
                <w:szCs w:val="9"/>
                <w:color w:val="auto"/>
              </w:rPr>
            </w:pPr>
          </w:p>
        </w:tc>
        <w:tc>
          <w:tcPr>
            <w:tcW w:w="5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6"/>
              </w:rPr>
              <w:t>taxes</w:t>
            </w:r>
          </w:p>
        </w:tc>
        <w:tc>
          <w:tcPr>
            <w:tcW w:w="560" w:type="dxa"/>
            <w:vAlign w:val="bottom"/>
            <w:gridSpan w:val="3"/>
          </w:tcPr>
          <w:p>
            <w:pPr>
              <w:ind w:left="240"/>
              <w:spacing w:after="0"/>
              <w:rPr>
                <w:sz w:val="20"/>
                <w:szCs w:val="20"/>
                <w:color w:val="auto"/>
              </w:rPr>
            </w:pPr>
            <w:r>
              <w:rPr>
                <w:rFonts w:ascii="Arial" w:cs="Arial" w:eastAsia="Arial" w:hAnsi="Arial"/>
                <w:sz w:val="9"/>
                <w:szCs w:val="9"/>
                <w:color w:val="auto"/>
                <w:w w:val="83"/>
              </w:rPr>
              <w:t>Revenue</w:t>
            </w:r>
          </w:p>
        </w:tc>
        <w:tc>
          <w:tcPr>
            <w:tcW w:w="500" w:type="dxa"/>
            <w:vAlign w:val="bottom"/>
          </w:tcPr>
          <w:p>
            <w:pPr>
              <w:spacing w:after="0"/>
              <w:rPr>
                <w:sz w:val="9"/>
                <w:szCs w:val="9"/>
                <w:color w:val="auto"/>
              </w:rPr>
            </w:pPr>
          </w:p>
        </w:tc>
        <w:tc>
          <w:tcPr>
            <w:tcW w:w="320" w:type="dxa"/>
            <w:vAlign w:val="bottom"/>
            <w:gridSpan w:val="2"/>
          </w:tcPr>
          <w:p>
            <w:pPr>
              <w:jc w:val="center"/>
              <w:ind w:right="60"/>
              <w:spacing w:after="0"/>
              <w:rPr>
                <w:sz w:val="20"/>
                <w:szCs w:val="20"/>
                <w:color w:val="auto"/>
              </w:rPr>
            </w:pPr>
            <w:r>
              <w:rPr>
                <w:rFonts w:ascii="Arial" w:cs="Arial" w:eastAsia="Arial" w:hAnsi="Arial"/>
                <w:sz w:val="9"/>
                <w:szCs w:val="9"/>
                <w:color w:val="auto"/>
                <w:w w:val="83"/>
              </w:rPr>
              <w:t>taxes</w:t>
            </w:r>
          </w:p>
        </w:tc>
        <w:tc>
          <w:tcPr>
            <w:tcW w:w="0" w:type="dxa"/>
            <w:vAlign w:val="bottom"/>
          </w:tcPr>
          <w:p>
            <w:pPr>
              <w:spacing w:after="0"/>
              <w:rPr>
                <w:sz w:val="1"/>
                <w:szCs w:val="1"/>
                <w:color w:val="auto"/>
              </w:rPr>
            </w:pPr>
          </w:p>
        </w:tc>
      </w:tr>
      <w:tr>
        <w:trPr>
          <w:trHeight w:val="79"/>
        </w:trPr>
        <w:tc>
          <w:tcPr>
            <w:tcW w:w="332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i w:val="1"/>
                <w:iCs w:val="1"/>
                <w:color w:val="auto"/>
              </w:rPr>
              <w:t>Oilfield Services</w:t>
            </w:r>
          </w:p>
        </w:tc>
        <w:tc>
          <w:tcPr>
            <w:tcW w:w="5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right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320" w:type="dxa"/>
            <w:vAlign w:val="bottom"/>
          </w:tcPr>
          <w:p>
            <w:pPr>
              <w:spacing w:after="0" w:line="99" w:lineRule="exact"/>
              <w:rPr>
                <w:sz w:val="20"/>
                <w:szCs w:val="20"/>
                <w:color w:val="auto"/>
              </w:rPr>
            </w:pPr>
            <w:r>
              <w:rPr>
                <w:rFonts w:ascii="Arial" w:cs="Arial" w:eastAsia="Arial" w:hAnsi="Arial"/>
                <w:sz w:val="9"/>
                <w:szCs w:val="9"/>
                <w:color w:val="auto"/>
              </w:rPr>
              <w:t>Reservoir Characterization</w:t>
            </w:r>
          </w:p>
        </w:tc>
        <w:tc>
          <w:tcPr>
            <w:tcW w:w="5440" w:type="dxa"/>
            <w:vAlign w:val="bottom"/>
            <w:gridSpan w:val="2"/>
          </w:tcPr>
          <w:p>
            <w:pPr>
              <w:jc w:val="right"/>
              <w:ind w:right="35"/>
              <w:spacing w:after="0" w:line="99" w:lineRule="exact"/>
              <w:rPr>
                <w:sz w:val="20"/>
                <w:szCs w:val="20"/>
                <w:color w:val="auto"/>
              </w:rPr>
            </w:pPr>
            <w:r>
              <w:rPr>
                <w:rFonts w:ascii="Arial" w:cs="Arial" w:eastAsia="Arial" w:hAnsi="Arial"/>
                <w:sz w:val="9"/>
                <w:szCs w:val="9"/>
                <w:b w:val="1"/>
                <w:bCs w:val="1"/>
                <w:color w:val="auto"/>
              </w:rPr>
              <w:t>$</w:t>
            </w:r>
          </w:p>
        </w:tc>
        <w:tc>
          <w:tcPr>
            <w:tcW w:w="2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9,929</w:t>
            </w:r>
          </w:p>
        </w:tc>
        <w:tc>
          <w:tcPr>
            <w:tcW w:w="60" w:type="dxa"/>
            <w:vAlign w:val="bottom"/>
          </w:tcPr>
          <w:p>
            <w:pPr>
              <w:spacing w:after="0"/>
              <w:rPr>
                <w:sz w:val="8"/>
                <w:szCs w:val="8"/>
                <w:color w:val="auto"/>
              </w:rPr>
            </w:pPr>
          </w:p>
        </w:tc>
        <w:tc>
          <w:tcPr>
            <w:tcW w:w="74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$ 2,449</w:t>
            </w:r>
          </w:p>
        </w:tc>
        <w:tc>
          <w:tcPr>
            <w:tcW w:w="280" w:type="dxa"/>
            <w:vAlign w:val="bottom"/>
          </w:tcPr>
          <w:p>
            <w:pPr>
              <w:spacing w:after="0"/>
              <w:rPr>
                <w:sz w:val="8"/>
                <w:szCs w:val="8"/>
                <w:color w:val="auto"/>
              </w:rPr>
            </w:pPr>
          </w:p>
        </w:tc>
        <w:tc>
          <w:tcPr>
            <w:tcW w:w="280" w:type="dxa"/>
            <w:vAlign w:val="bottom"/>
          </w:tcPr>
          <w:p>
            <w:pPr>
              <w:ind w:left="240"/>
              <w:spacing w:after="0"/>
              <w:rPr>
                <w:sz w:val="20"/>
                <w:szCs w:val="20"/>
                <w:color w:val="auto"/>
              </w:rPr>
            </w:pPr>
            <w:r>
              <w:rPr>
                <w:rFonts w:ascii="Arial" w:cs="Arial" w:eastAsia="Arial" w:hAnsi="Arial"/>
                <w:sz w:val="1"/>
                <w:szCs w:val="1"/>
                <w:color w:val="auto"/>
                <w:w w:val="4294967288"/>
              </w:rPr>
              <w:t>$</w:t>
            </w:r>
          </w:p>
        </w:tc>
        <w:tc>
          <w:tcPr>
            <w:tcW w:w="28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9,321</w:t>
            </w:r>
          </w:p>
        </w:tc>
        <w:tc>
          <w:tcPr>
            <w:tcW w:w="820" w:type="dxa"/>
            <w:vAlign w:val="bottom"/>
            <w:gridSpan w:val="3"/>
          </w:tcPr>
          <w:p>
            <w:pPr>
              <w:jc w:val="right"/>
              <w:ind w:right="60"/>
              <w:spacing w:after="0" w:line="99" w:lineRule="exact"/>
              <w:rPr>
                <w:sz w:val="20"/>
                <w:szCs w:val="20"/>
                <w:color w:val="auto"/>
              </w:rPr>
            </w:pPr>
            <w:r>
              <w:rPr>
                <w:rFonts w:ascii="Arial" w:cs="Arial" w:eastAsia="Arial" w:hAnsi="Arial"/>
                <w:sz w:val="9"/>
                <w:szCs w:val="9"/>
                <w:color w:val="auto"/>
              </w:rPr>
              <w:t>$ 2,321</w:t>
            </w:r>
          </w:p>
        </w:tc>
        <w:tc>
          <w:tcPr>
            <w:tcW w:w="0" w:type="dxa"/>
            <w:vAlign w:val="bottom"/>
          </w:tcPr>
          <w:p>
            <w:pPr>
              <w:spacing w:after="0"/>
              <w:rPr>
                <w:sz w:val="1"/>
                <w:szCs w:val="1"/>
                <w:color w:val="auto"/>
              </w:rPr>
            </w:pPr>
          </w:p>
        </w:tc>
      </w:tr>
      <w:tr>
        <w:trPr>
          <w:trHeight w:val="99"/>
        </w:trPr>
        <w:tc>
          <w:tcPr>
            <w:tcW w:w="33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Drilling</w:t>
            </w:r>
          </w:p>
        </w:tc>
        <w:tc>
          <w:tcPr>
            <w:tcW w:w="5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87"/>
              </w:rPr>
              <w:t>14,248</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2,275</w:t>
            </w:r>
          </w:p>
        </w:tc>
        <w:tc>
          <w:tcPr>
            <w:tcW w:w="28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8,230</w:t>
            </w:r>
          </w:p>
        </w:tc>
        <w:tc>
          <w:tcPr>
            <w:tcW w:w="820" w:type="dxa"/>
            <w:vAlign w:val="bottom"/>
            <w:gridSpan w:val="3"/>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1,334</w:t>
            </w:r>
          </w:p>
        </w:tc>
        <w:tc>
          <w:tcPr>
            <w:tcW w:w="0" w:type="dxa"/>
            <w:vAlign w:val="bottom"/>
          </w:tcPr>
          <w:p>
            <w:pPr>
              <w:spacing w:after="0"/>
              <w:rPr>
                <w:sz w:val="1"/>
                <w:szCs w:val="1"/>
                <w:color w:val="auto"/>
              </w:rPr>
            </w:pPr>
          </w:p>
        </w:tc>
      </w:tr>
      <w:tr>
        <w:trPr>
          <w:trHeight w:val="99"/>
        </w:trPr>
        <w:tc>
          <w:tcPr>
            <w:tcW w:w="3320" w:type="dxa"/>
            <w:vAlign w:val="bottom"/>
          </w:tcPr>
          <w:p>
            <w:pPr>
              <w:spacing w:after="0" w:line="99" w:lineRule="exact"/>
              <w:rPr>
                <w:sz w:val="20"/>
                <w:szCs w:val="20"/>
                <w:color w:val="auto"/>
              </w:rPr>
            </w:pPr>
            <w:r>
              <w:rPr>
                <w:rFonts w:ascii="Arial" w:cs="Arial" w:eastAsia="Arial" w:hAnsi="Arial"/>
                <w:sz w:val="9"/>
                <w:szCs w:val="9"/>
                <w:color w:val="auto"/>
              </w:rPr>
              <w:t>Reservoir Production</w:t>
            </w:r>
          </w:p>
        </w:tc>
        <w:tc>
          <w:tcPr>
            <w:tcW w:w="5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87"/>
              </w:rPr>
              <w:t>12,748</w:t>
            </w:r>
          </w:p>
        </w:tc>
        <w:tc>
          <w:tcPr>
            <w:tcW w:w="60" w:type="dxa"/>
            <w:vAlign w:val="bottom"/>
          </w:tcPr>
          <w:p>
            <w:pPr>
              <w:spacing w:after="0"/>
              <w:rPr>
                <w:sz w:val="8"/>
                <w:szCs w:val="8"/>
                <w:color w:val="auto"/>
              </w:rPr>
            </w:pPr>
          </w:p>
        </w:tc>
        <w:tc>
          <w:tcPr>
            <w:tcW w:w="74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2,616</w:t>
            </w: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9,053</w:t>
            </w:r>
          </w:p>
        </w:tc>
        <w:tc>
          <w:tcPr>
            <w:tcW w:w="820" w:type="dxa"/>
            <w:vAlign w:val="bottom"/>
            <w:gridSpan w:val="3"/>
          </w:tcPr>
          <w:p>
            <w:pPr>
              <w:jc w:val="right"/>
              <w:ind w:right="60"/>
              <w:spacing w:after="0" w:line="99" w:lineRule="exact"/>
              <w:rPr>
                <w:sz w:val="20"/>
                <w:szCs w:val="20"/>
                <w:color w:val="auto"/>
              </w:rPr>
            </w:pPr>
            <w:r>
              <w:rPr>
                <w:rFonts w:ascii="Arial" w:cs="Arial" w:eastAsia="Arial" w:hAnsi="Arial"/>
                <w:sz w:val="9"/>
                <w:szCs w:val="9"/>
                <w:color w:val="auto"/>
              </w:rPr>
              <w:t>1,368</w:t>
            </w:r>
          </w:p>
        </w:tc>
        <w:tc>
          <w:tcPr>
            <w:tcW w:w="0" w:type="dxa"/>
            <w:vAlign w:val="bottom"/>
          </w:tcPr>
          <w:p>
            <w:pPr>
              <w:spacing w:after="0"/>
              <w:rPr>
                <w:sz w:val="1"/>
                <w:szCs w:val="1"/>
                <w:color w:val="auto"/>
              </w:rPr>
            </w:pPr>
          </w:p>
        </w:tc>
      </w:tr>
      <w:tr>
        <w:trPr>
          <w:trHeight w:val="99"/>
        </w:trPr>
        <w:tc>
          <w:tcPr>
            <w:tcW w:w="33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Eliminations &amp; other</w:t>
            </w:r>
          </w:p>
        </w:tc>
        <w:tc>
          <w:tcPr>
            <w:tcW w:w="5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34</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b w:val="1"/>
                <w:bCs w:val="1"/>
                <w:color w:val="auto"/>
              </w:rPr>
              <w:t>(35)</w:t>
            </w:r>
          </w:p>
        </w:tc>
        <w:tc>
          <w:tcPr>
            <w:tcW w:w="28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69</w:t>
            </w:r>
          </w:p>
        </w:tc>
        <w:tc>
          <w:tcPr>
            <w:tcW w:w="820" w:type="dxa"/>
            <w:vAlign w:val="bottom"/>
            <w:gridSpan w:val="3"/>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48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7,305</w:t>
            </w: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9"/>
                <w:szCs w:val="9"/>
                <w:color w:val="auto"/>
                <w:w w:val="87"/>
              </w:rPr>
              <w:t>26,673</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9"/>
                <w:szCs w:val="9"/>
                <w:color w:val="auto"/>
              </w:rPr>
              <w:t>5,071</w:t>
            </w:r>
          </w:p>
        </w:tc>
        <w:tc>
          <w:tcPr>
            <w:tcW w:w="0" w:type="dxa"/>
            <w:vAlign w:val="bottom"/>
          </w:tcPr>
          <w:p>
            <w:pPr>
              <w:spacing w:after="0" w:line="20" w:lineRule="exact"/>
              <w:rPr>
                <w:sz w:val="1"/>
                <w:szCs w:val="1"/>
                <w:color w:val="auto"/>
              </w:rPr>
            </w:pPr>
          </w:p>
        </w:tc>
      </w:tr>
      <w:tr>
        <w:trPr>
          <w:trHeight w:val="75"/>
        </w:trPr>
        <w:tc>
          <w:tcPr>
            <w:tcW w:w="332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jc w:val="right"/>
              <w:spacing w:after="0" w:line="75" w:lineRule="exact"/>
              <w:rPr>
                <w:sz w:val="20"/>
                <w:szCs w:val="20"/>
                <w:color w:val="auto"/>
              </w:rPr>
            </w:pPr>
            <w:r>
              <w:rPr>
                <w:rFonts w:ascii="Arial" w:cs="Arial" w:eastAsia="Arial" w:hAnsi="Arial"/>
                <w:sz w:val="8"/>
                <w:szCs w:val="8"/>
                <w:b w:val="1"/>
                <w:bCs w:val="1"/>
                <w:color w:val="auto"/>
                <w:w w:val="97"/>
              </w:rPr>
              <w:t>36,959</w:t>
            </w:r>
          </w:p>
        </w:tc>
        <w:tc>
          <w:tcPr>
            <w:tcW w:w="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32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i w:val="1"/>
                <w:iCs w:val="1"/>
                <w:color w:val="auto"/>
              </w:rPr>
              <w:t>Distribution</w:t>
            </w:r>
          </w:p>
        </w:tc>
        <w:tc>
          <w:tcPr>
            <w:tcW w:w="5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2,621</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103</w:t>
            </w:r>
          </w:p>
        </w:tc>
        <w:tc>
          <w:tcPr>
            <w:tcW w:w="28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774</w:t>
            </w:r>
          </w:p>
        </w:tc>
        <w:tc>
          <w:tcPr>
            <w:tcW w:w="820" w:type="dxa"/>
            <w:vAlign w:val="bottom"/>
            <w:gridSpan w:val="3"/>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29</w:t>
            </w:r>
          </w:p>
        </w:tc>
        <w:tc>
          <w:tcPr>
            <w:tcW w:w="0" w:type="dxa"/>
            <w:vAlign w:val="bottom"/>
          </w:tcPr>
          <w:p>
            <w:pPr>
              <w:spacing w:after="0"/>
              <w:rPr>
                <w:sz w:val="1"/>
                <w:szCs w:val="1"/>
                <w:color w:val="auto"/>
              </w:rPr>
            </w:pPr>
          </w:p>
        </w:tc>
      </w:tr>
      <w:tr>
        <w:trPr>
          <w:trHeight w:val="99"/>
        </w:trPr>
        <w:tc>
          <w:tcPr>
            <w:tcW w:w="3320" w:type="dxa"/>
            <w:vAlign w:val="bottom"/>
          </w:tcPr>
          <w:p>
            <w:pPr>
              <w:spacing w:after="0" w:line="99" w:lineRule="exact"/>
              <w:rPr>
                <w:sz w:val="20"/>
                <w:szCs w:val="20"/>
                <w:color w:val="auto"/>
              </w:rPr>
            </w:pPr>
            <w:r>
              <w:rPr>
                <w:rFonts w:ascii="Arial" w:cs="Arial" w:eastAsia="Arial" w:hAnsi="Arial"/>
                <w:sz w:val="9"/>
                <w:szCs w:val="9"/>
                <w:color w:val="auto"/>
              </w:rPr>
              <w:t>Eliminations</w:t>
            </w:r>
          </w:p>
        </w:tc>
        <w:tc>
          <w:tcPr>
            <w:tcW w:w="5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gridSpan w:val="2"/>
          </w:tcPr>
          <w:p>
            <w:pPr>
              <w:jc w:val="right"/>
              <w:ind w:right="40"/>
              <w:spacing w:after="0" w:line="99" w:lineRule="exact"/>
              <w:rPr>
                <w:sz w:val="20"/>
                <w:szCs w:val="20"/>
                <w:color w:val="auto"/>
              </w:rPr>
            </w:pPr>
            <w:r>
              <w:rPr>
                <w:rFonts w:ascii="Arial" w:cs="Arial" w:eastAsia="Arial" w:hAnsi="Arial"/>
                <w:sz w:val="9"/>
                <w:szCs w:val="9"/>
                <w:b w:val="1"/>
                <w:bCs w:val="1"/>
                <w:color w:val="auto"/>
              </w:rPr>
              <w:t>(40)</w:t>
            </w:r>
          </w:p>
        </w:tc>
        <w:tc>
          <w:tcPr>
            <w:tcW w:w="460" w:type="dxa"/>
            <w:vAlign w:val="bottom"/>
          </w:tcPr>
          <w:p>
            <w:pPr>
              <w:spacing w:after="0"/>
              <w:rPr>
                <w:sz w:val="8"/>
                <w:szCs w:val="8"/>
                <w:color w:val="auto"/>
              </w:rPr>
            </w:pPr>
          </w:p>
        </w:tc>
        <w:tc>
          <w:tcPr>
            <w:tcW w:w="56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8"/>
                <w:szCs w:val="8"/>
                <w:color w:val="auto"/>
              </w:rPr>
            </w:pPr>
          </w:p>
        </w:tc>
        <w:tc>
          <w:tcPr>
            <w:tcW w:w="28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32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3320" w:type="dxa"/>
            <w:vAlign w:val="bottom"/>
            <w:shd w:val="clear" w:color="auto" w:fill="000000"/>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320" w:type="dxa"/>
            <w:vAlign w:val="bottom"/>
            <w:shd w:val="clear" w:color="auto" w:fill="CCEEFF"/>
          </w:tcPr>
          <w:p>
            <w:pPr>
              <w:spacing w:after="0"/>
              <w:rPr>
                <w:sz w:val="8"/>
                <w:szCs w:val="8"/>
                <w:color w:val="auto"/>
              </w:rPr>
            </w:pPr>
          </w:p>
        </w:tc>
        <w:tc>
          <w:tcPr>
            <w:tcW w:w="5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2,581</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103</w:t>
            </w:r>
          </w:p>
        </w:tc>
        <w:tc>
          <w:tcPr>
            <w:tcW w:w="28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774</w:t>
            </w:r>
          </w:p>
        </w:tc>
        <w:tc>
          <w:tcPr>
            <w:tcW w:w="820" w:type="dxa"/>
            <w:vAlign w:val="bottom"/>
            <w:gridSpan w:val="3"/>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29</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line="117" w:lineRule="exact"/>
              <w:rPr>
                <w:sz w:val="20"/>
                <w:szCs w:val="20"/>
                <w:color w:val="auto"/>
              </w:rPr>
            </w:pPr>
            <w:r>
              <w:rPr>
                <w:rFonts w:ascii="Arial" w:cs="Arial" w:eastAsia="Arial" w:hAnsi="Arial"/>
                <w:sz w:val="8"/>
                <w:szCs w:val="8"/>
                <w:color w:val="auto"/>
              </w:rPr>
              <w:t xml:space="preserve">Corporate &amp; other </w:t>
            </w:r>
            <w:r>
              <w:rPr>
                <w:rFonts w:ascii="Arial" w:cs="Arial" w:eastAsia="Arial" w:hAnsi="Arial"/>
                <w:sz w:val="13"/>
                <w:szCs w:val="13"/>
                <w:color w:val="auto"/>
                <w:vertAlign w:val="superscript"/>
              </w:rPr>
              <w:t>(1)</w:t>
            </w:r>
          </w:p>
        </w:tc>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320" w:type="dxa"/>
            <w:vAlign w:val="bottom"/>
            <w:vMerge w:val="continue"/>
          </w:tcPr>
          <w:p>
            <w:pPr>
              <w:spacing w:after="0"/>
              <w:rPr>
                <w:sz w:val="8"/>
                <w:szCs w:val="8"/>
                <w:color w:val="auto"/>
              </w:rPr>
            </w:pPr>
          </w:p>
        </w:tc>
        <w:tc>
          <w:tcPr>
            <w:tcW w:w="5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(592)</w:t>
            </w:r>
          </w:p>
        </w:tc>
        <w:tc>
          <w:tcPr>
            <w:tcW w:w="2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82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(405)</w:t>
            </w:r>
          </w:p>
        </w:tc>
        <w:tc>
          <w:tcPr>
            <w:tcW w:w="0" w:type="dxa"/>
            <w:vAlign w:val="bottom"/>
          </w:tcPr>
          <w:p>
            <w:pPr>
              <w:spacing w:after="0"/>
              <w:rPr>
                <w:sz w:val="1"/>
                <w:szCs w:val="1"/>
                <w:color w:val="auto"/>
              </w:rPr>
            </w:pPr>
          </w:p>
        </w:tc>
      </w:tr>
      <w:tr>
        <w:trPr>
          <w:trHeight w:val="99"/>
        </w:trPr>
        <w:tc>
          <w:tcPr>
            <w:tcW w:w="3320" w:type="dxa"/>
            <w:vAlign w:val="bottom"/>
            <w:shd w:val="clear" w:color="auto" w:fill="CCEEFF"/>
          </w:tcPr>
          <w:p>
            <w:pPr>
              <w:spacing w:after="0" w:line="99" w:lineRule="exact"/>
              <w:rPr>
                <w:sz w:val="20"/>
                <w:szCs w:val="20"/>
                <w:color w:val="auto"/>
              </w:rPr>
            </w:pPr>
            <w:r>
              <w:rPr>
                <w:rFonts w:ascii="Arial" w:cs="Arial" w:eastAsia="Arial" w:hAnsi="Arial"/>
                <w:sz w:val="7"/>
                <w:szCs w:val="7"/>
                <w:color w:val="auto"/>
              </w:rPr>
              <w:t xml:space="preserve">Interest income </w:t>
            </w:r>
            <w:r>
              <w:rPr>
                <w:rFonts w:ascii="Arial" w:cs="Arial" w:eastAsia="Arial" w:hAnsi="Arial"/>
                <w:sz w:val="11"/>
                <w:szCs w:val="11"/>
                <w:color w:val="auto"/>
                <w:vertAlign w:val="superscript"/>
              </w:rPr>
              <w:t>(2)</w:t>
            </w:r>
          </w:p>
        </w:tc>
        <w:tc>
          <w:tcPr>
            <w:tcW w:w="5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b w:val="1"/>
                <w:bCs w:val="1"/>
                <w:color w:val="auto"/>
              </w:rPr>
              <w:t>–</w:t>
            </w:r>
          </w:p>
        </w:tc>
        <w:tc>
          <w:tcPr>
            <w:tcW w:w="7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37</w:t>
            </w:r>
          </w:p>
        </w:tc>
        <w:tc>
          <w:tcPr>
            <w:tcW w:w="28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w:t>
            </w:r>
          </w:p>
        </w:tc>
        <w:tc>
          <w:tcPr>
            <w:tcW w:w="820" w:type="dxa"/>
            <w:vAlign w:val="bottom"/>
            <w:gridSpan w:val="3"/>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43</w:t>
            </w:r>
          </w:p>
        </w:tc>
        <w:tc>
          <w:tcPr>
            <w:tcW w:w="0" w:type="dxa"/>
            <w:vAlign w:val="bottom"/>
          </w:tcPr>
          <w:p>
            <w:pPr>
              <w:spacing w:after="0"/>
              <w:rPr>
                <w:sz w:val="1"/>
                <w:szCs w:val="1"/>
                <w:color w:val="auto"/>
              </w:rPr>
            </w:pPr>
          </w:p>
        </w:tc>
      </w:tr>
      <w:tr>
        <w:trPr>
          <w:trHeight w:val="99"/>
        </w:trPr>
        <w:tc>
          <w:tcPr>
            <w:tcW w:w="3320" w:type="dxa"/>
            <w:vAlign w:val="bottom"/>
          </w:tcPr>
          <w:p>
            <w:pPr>
              <w:spacing w:after="0" w:line="99" w:lineRule="exact"/>
              <w:rPr>
                <w:sz w:val="20"/>
                <w:szCs w:val="20"/>
                <w:color w:val="auto"/>
              </w:rPr>
            </w:pPr>
            <w:r>
              <w:rPr>
                <w:rFonts w:ascii="Arial" w:cs="Arial" w:eastAsia="Arial" w:hAnsi="Arial"/>
                <w:sz w:val="7"/>
                <w:szCs w:val="7"/>
                <w:color w:val="auto"/>
              </w:rPr>
              <w:t xml:space="preserve">Interest expense </w:t>
            </w:r>
            <w:r>
              <w:rPr>
                <w:rFonts w:ascii="Arial" w:cs="Arial" w:eastAsia="Arial" w:hAnsi="Arial"/>
                <w:sz w:val="11"/>
                <w:szCs w:val="11"/>
                <w:color w:val="auto"/>
                <w:vertAlign w:val="superscript"/>
              </w:rPr>
              <w:t>(3)</w:t>
            </w:r>
          </w:p>
        </w:tc>
        <w:tc>
          <w:tcPr>
            <w:tcW w:w="5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rPr>
              <w:t>–</w:t>
            </w:r>
          </w:p>
        </w:tc>
        <w:tc>
          <w:tcPr>
            <w:tcW w:w="1020" w:type="dxa"/>
            <w:vAlign w:val="bottom"/>
            <w:gridSpan w:val="3"/>
          </w:tcPr>
          <w:p>
            <w:pPr>
              <w:jc w:val="right"/>
              <w:ind w:right="260"/>
              <w:spacing w:after="0" w:line="99" w:lineRule="exact"/>
              <w:rPr>
                <w:sz w:val="20"/>
                <w:szCs w:val="20"/>
                <w:color w:val="auto"/>
              </w:rPr>
            </w:pPr>
            <w:r>
              <w:rPr>
                <w:rFonts w:ascii="Arial" w:cs="Arial" w:eastAsia="Arial" w:hAnsi="Arial"/>
                <w:sz w:val="9"/>
                <w:szCs w:val="9"/>
                <w:b w:val="1"/>
                <w:bCs w:val="1"/>
                <w:color w:val="auto"/>
              </w:rPr>
              <w:t>(290)</w:t>
            </w:r>
          </w:p>
        </w:tc>
        <w:tc>
          <w:tcPr>
            <w:tcW w:w="280" w:type="dxa"/>
            <w:vAlign w:val="bottom"/>
          </w:tcPr>
          <w:p>
            <w:pPr>
              <w:spacing w:after="0"/>
              <w:rPr>
                <w:sz w:val="8"/>
                <w:szCs w:val="8"/>
                <w:color w:val="auto"/>
              </w:rPr>
            </w:pPr>
          </w:p>
        </w:tc>
        <w:tc>
          <w:tcPr>
            <w:tcW w:w="28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w:t>
            </w:r>
          </w:p>
        </w:tc>
        <w:tc>
          <w:tcPr>
            <w:tcW w:w="820" w:type="dxa"/>
            <w:vAlign w:val="bottom"/>
            <w:gridSpan w:val="3"/>
          </w:tcPr>
          <w:p>
            <w:pPr>
              <w:jc w:val="right"/>
              <w:ind w:right="20"/>
              <w:spacing w:after="0" w:line="99" w:lineRule="exact"/>
              <w:rPr>
                <w:sz w:val="20"/>
                <w:szCs w:val="20"/>
                <w:color w:val="auto"/>
              </w:rPr>
            </w:pPr>
            <w:r>
              <w:rPr>
                <w:rFonts w:ascii="Arial" w:cs="Arial" w:eastAsia="Arial" w:hAnsi="Arial"/>
                <w:sz w:val="9"/>
                <w:szCs w:val="9"/>
                <w:color w:val="auto"/>
              </w:rPr>
              <w:t>(202)</w:t>
            </w:r>
          </w:p>
        </w:tc>
        <w:tc>
          <w:tcPr>
            <w:tcW w:w="0" w:type="dxa"/>
            <w:vAlign w:val="bottom"/>
          </w:tcPr>
          <w:p>
            <w:pPr>
              <w:spacing w:after="0"/>
              <w:rPr>
                <w:sz w:val="1"/>
                <w:szCs w:val="1"/>
                <w:color w:val="auto"/>
              </w:rPr>
            </w:pPr>
          </w:p>
        </w:tc>
      </w:tr>
      <w:tr>
        <w:trPr>
          <w:trHeight w:val="99"/>
        </w:trPr>
        <w:tc>
          <w:tcPr>
            <w:tcW w:w="3320" w:type="dxa"/>
            <w:vAlign w:val="bottom"/>
            <w:shd w:val="clear" w:color="auto" w:fill="CCEEFF"/>
          </w:tcPr>
          <w:p>
            <w:pPr>
              <w:spacing w:after="0" w:line="99" w:lineRule="exact"/>
              <w:rPr>
                <w:sz w:val="20"/>
                <w:szCs w:val="20"/>
                <w:color w:val="auto"/>
              </w:rPr>
            </w:pPr>
            <w:r>
              <w:rPr>
                <w:rFonts w:ascii="Arial" w:cs="Arial" w:eastAsia="Arial" w:hAnsi="Arial"/>
                <w:sz w:val="7"/>
                <w:szCs w:val="7"/>
                <w:color w:val="auto"/>
              </w:rPr>
              <w:t xml:space="preserve">Charges &amp; credits </w:t>
            </w:r>
            <w:r>
              <w:rPr>
                <w:rFonts w:ascii="Arial" w:cs="Arial" w:eastAsia="Arial" w:hAnsi="Arial"/>
                <w:sz w:val="11"/>
                <w:szCs w:val="11"/>
                <w:color w:val="auto"/>
                <w:vertAlign w:val="superscript"/>
              </w:rPr>
              <w:t>(4)</w:t>
            </w:r>
          </w:p>
        </w:tc>
        <w:tc>
          <w:tcPr>
            <w:tcW w:w="5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b w:val="1"/>
                <w:bCs w:val="1"/>
                <w:color w:val="auto"/>
              </w:rPr>
              <w:t>(225)</w:t>
            </w:r>
          </w:p>
        </w:tc>
        <w:tc>
          <w:tcPr>
            <w:tcW w:w="28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w:t>
            </w:r>
          </w:p>
        </w:tc>
        <w:tc>
          <w:tcPr>
            <w:tcW w:w="820" w:type="dxa"/>
            <w:vAlign w:val="bottom"/>
            <w:gridSpan w:val="3"/>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620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$ 6,338</w:t>
            </w:r>
          </w:p>
        </w:tc>
        <w:tc>
          <w:tcPr>
            <w:tcW w:w="280" w:type="dxa"/>
            <w:vAlign w:val="bottom"/>
          </w:tcPr>
          <w:p>
            <w:pPr>
              <w:spacing w:after="0" w:line="20" w:lineRule="exact"/>
              <w:rPr>
                <w:sz w:val="1"/>
                <w:szCs w:val="1"/>
                <w:color w:val="auto"/>
              </w:rPr>
            </w:pPr>
          </w:p>
        </w:tc>
        <w:tc>
          <w:tcPr>
            <w:tcW w:w="280" w:type="dxa"/>
            <w:vAlign w:val="bottom"/>
            <w:vMerge w:val="restart"/>
          </w:tcPr>
          <w:p>
            <w:pPr>
              <w:ind w:left="240"/>
              <w:spacing w:after="0"/>
              <w:rPr>
                <w:sz w:val="20"/>
                <w:szCs w:val="20"/>
                <w:color w:val="auto"/>
              </w:rPr>
            </w:pPr>
            <w:r>
              <w:rPr>
                <w:rFonts w:ascii="Arial" w:cs="Arial" w:eastAsia="Arial" w:hAnsi="Arial"/>
                <w:sz w:val="1"/>
                <w:szCs w:val="1"/>
                <w:color w:val="auto"/>
                <w:w w:val="4294967288"/>
              </w:rPr>
              <w:t>$</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9"/>
                <w:szCs w:val="9"/>
                <w:color w:val="auto"/>
                <w:w w:val="87"/>
              </w:rPr>
              <w:t>27,447</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9"/>
                <w:szCs w:val="9"/>
                <w:color w:val="auto"/>
              </w:rPr>
              <w:t>$ 5,156</w:t>
            </w:r>
          </w:p>
        </w:tc>
        <w:tc>
          <w:tcPr>
            <w:tcW w:w="0" w:type="dxa"/>
            <w:vAlign w:val="bottom"/>
          </w:tcPr>
          <w:p>
            <w:pPr>
              <w:spacing w:after="0" w:line="20" w:lineRule="exact"/>
              <w:rPr>
                <w:sz w:val="1"/>
                <w:szCs w:val="1"/>
                <w:color w:val="auto"/>
              </w:rPr>
            </w:pPr>
          </w:p>
        </w:tc>
      </w:tr>
      <w:tr>
        <w:trPr>
          <w:trHeight w:val="75"/>
        </w:trPr>
        <w:tc>
          <w:tcPr>
            <w:tcW w:w="3320" w:type="dxa"/>
            <w:vAlign w:val="bottom"/>
          </w:tcPr>
          <w:p>
            <w:pPr>
              <w:spacing w:after="0"/>
              <w:rPr>
                <w:sz w:val="6"/>
                <w:szCs w:val="6"/>
                <w:color w:val="auto"/>
              </w:rPr>
            </w:pPr>
          </w:p>
        </w:tc>
        <w:tc>
          <w:tcPr>
            <w:tcW w:w="5440" w:type="dxa"/>
            <w:vAlign w:val="bottom"/>
            <w:gridSpan w:val="2"/>
          </w:tcPr>
          <w:p>
            <w:pPr>
              <w:jc w:val="right"/>
              <w:spacing w:after="0" w:line="75" w:lineRule="exact"/>
              <w:rPr>
                <w:sz w:val="20"/>
                <w:szCs w:val="20"/>
                <w:color w:val="auto"/>
              </w:rPr>
            </w:pPr>
            <w:r>
              <w:rPr>
                <w:rFonts w:ascii="Arial" w:cs="Arial" w:eastAsia="Arial" w:hAnsi="Arial"/>
                <w:sz w:val="8"/>
                <w:szCs w:val="8"/>
                <w:b w:val="1"/>
                <w:bCs w:val="1"/>
                <w:color w:val="auto"/>
              </w:rPr>
              <w:t>$</w:t>
            </w:r>
          </w:p>
        </w:tc>
        <w:tc>
          <w:tcPr>
            <w:tcW w:w="260" w:type="dxa"/>
            <w:vAlign w:val="bottom"/>
          </w:tcPr>
          <w:p>
            <w:pPr>
              <w:jc w:val="right"/>
              <w:spacing w:after="0" w:line="75" w:lineRule="exact"/>
              <w:rPr>
                <w:sz w:val="20"/>
                <w:szCs w:val="20"/>
                <w:color w:val="auto"/>
              </w:rPr>
            </w:pPr>
            <w:r>
              <w:rPr>
                <w:rFonts w:ascii="Arial" w:cs="Arial" w:eastAsia="Arial" w:hAnsi="Arial"/>
                <w:sz w:val="8"/>
                <w:szCs w:val="8"/>
                <w:b w:val="1"/>
                <w:bCs w:val="1"/>
                <w:color w:val="auto"/>
                <w:w w:val="97"/>
              </w:rPr>
              <w:t>39,540</w:t>
            </w: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320" w:type="dxa"/>
            <w:vAlign w:val="bottom"/>
          </w:tcPr>
          <w:p>
            <w:pPr>
              <w:spacing w:after="0"/>
              <w:rPr>
                <w:sz w:val="17"/>
                <w:szCs w:val="17"/>
                <w:color w:val="auto"/>
              </w:rPr>
            </w:pPr>
          </w:p>
        </w:tc>
        <w:tc>
          <w:tcPr>
            <w:tcW w:w="5300" w:type="dxa"/>
            <w:vAlign w:val="bottom"/>
          </w:tcPr>
          <w:p>
            <w:pPr>
              <w:jc w:val="right"/>
              <w:ind w:right="2797"/>
              <w:spacing w:after="0"/>
              <w:rPr>
                <w:sz w:val="20"/>
                <w:szCs w:val="20"/>
                <w:color w:val="auto"/>
              </w:rPr>
            </w:pPr>
            <w:r>
              <w:rPr>
                <w:rFonts w:ascii="Arial" w:cs="Arial" w:eastAsia="Arial" w:hAnsi="Arial"/>
                <w:sz w:val="9"/>
                <w:szCs w:val="9"/>
                <w:color w:val="auto"/>
              </w:rPr>
              <w:t>19</w:t>
            </w: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19" w:name="page20"/>
    <w:bookmarkEnd w:id="19"/>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48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9"/>
                <w:szCs w:val="9"/>
                <w:b w:val="1"/>
                <w:bCs w:val="1"/>
                <w:color w:val="auto"/>
              </w:rPr>
              <w:t>(Stated in millions)</w:t>
            </w: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37"/>
              <w:spacing w:after="0"/>
              <w:rPr>
                <w:sz w:val="20"/>
                <w:szCs w:val="20"/>
                <w:color w:val="auto"/>
              </w:rPr>
            </w:pPr>
            <w:r>
              <w:rPr>
                <w:rFonts w:ascii="Arial" w:cs="Arial" w:eastAsia="Arial" w:hAnsi="Arial"/>
                <w:sz w:val="9"/>
                <w:szCs w:val="9"/>
                <w:b w:val="1"/>
                <w:bCs w:val="1"/>
                <w:color w:val="auto"/>
                <w:w w:val="89"/>
              </w:rPr>
              <w:t>2011</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17"/>
              <w:spacing w:after="0"/>
              <w:rPr>
                <w:sz w:val="20"/>
                <w:szCs w:val="20"/>
                <w:color w:val="auto"/>
              </w:rPr>
            </w:pPr>
            <w:r>
              <w:rPr>
                <w:rFonts w:ascii="Arial" w:cs="Arial" w:eastAsia="Arial" w:hAnsi="Arial"/>
                <w:sz w:val="9"/>
                <w:szCs w:val="9"/>
                <w:color w:val="auto"/>
              </w:rPr>
              <w:t>2010</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4800" w:type="dxa"/>
            <w:vAlign w:val="bottom"/>
          </w:tcPr>
          <w:p>
            <w:pPr>
              <w:spacing w:after="0"/>
              <w:rPr>
                <w:sz w:val="6"/>
                <w:szCs w:val="6"/>
                <w:color w:val="auto"/>
              </w:rPr>
            </w:pPr>
          </w:p>
        </w:tc>
        <w:tc>
          <w:tcPr>
            <w:tcW w:w="4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jc w:val="center"/>
              <w:spacing w:after="0" w:line="79" w:lineRule="exact"/>
              <w:rPr>
                <w:sz w:val="20"/>
                <w:szCs w:val="20"/>
                <w:color w:val="auto"/>
              </w:rPr>
            </w:pPr>
            <w:r>
              <w:rPr>
                <w:rFonts w:ascii="Arial" w:cs="Arial" w:eastAsia="Arial" w:hAnsi="Arial"/>
                <w:sz w:val="9"/>
                <w:szCs w:val="9"/>
                <w:b w:val="1"/>
                <w:bCs w:val="1"/>
                <w:color w:val="auto"/>
                <w:w w:val="82"/>
              </w:rPr>
              <w:t>Income</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jc w:val="center"/>
              <w:spacing w:after="0" w:line="79" w:lineRule="exact"/>
              <w:rPr>
                <w:sz w:val="20"/>
                <w:szCs w:val="20"/>
                <w:color w:val="auto"/>
              </w:rPr>
            </w:pPr>
            <w:r>
              <w:rPr>
                <w:rFonts w:ascii="Arial" w:cs="Arial" w:eastAsia="Arial" w:hAnsi="Arial"/>
                <w:sz w:val="9"/>
                <w:szCs w:val="9"/>
                <w:color w:val="auto"/>
                <w:w w:val="87"/>
              </w:rPr>
              <w:t>Income</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8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w w:val="87"/>
              </w:rPr>
              <w:t>before</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gridSpan w:val="2"/>
          </w:tcPr>
          <w:p>
            <w:pPr>
              <w:jc w:val="center"/>
              <w:ind w:right="120"/>
              <w:spacing w:after="0" w:line="99" w:lineRule="exact"/>
              <w:rPr>
                <w:sz w:val="20"/>
                <w:szCs w:val="20"/>
                <w:color w:val="auto"/>
              </w:rPr>
            </w:pPr>
            <w:r>
              <w:rPr>
                <w:rFonts w:ascii="Arial" w:cs="Arial" w:eastAsia="Arial" w:hAnsi="Arial"/>
                <w:sz w:val="9"/>
                <w:szCs w:val="9"/>
                <w:color w:val="auto"/>
                <w:w w:val="93"/>
              </w:rPr>
              <w:t>before</w:t>
            </w: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4020" w:type="dxa"/>
            <w:vAlign w:val="bottom"/>
          </w:tcPr>
          <w:p>
            <w:pPr>
              <w:spacing w:after="0"/>
              <w:rPr>
                <w:sz w:val="9"/>
                <w:szCs w:val="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9"/>
                <w:szCs w:val="9"/>
                <w:b w:val="1"/>
                <w:bCs w:val="1"/>
                <w:color w:val="auto"/>
                <w:w w:val="90"/>
              </w:rPr>
              <w:t>Revenue</w:t>
            </w:r>
          </w:p>
        </w:tc>
        <w:tc>
          <w:tcPr>
            <w:tcW w:w="380" w:type="dxa"/>
            <w:vAlign w:val="bottom"/>
          </w:tcPr>
          <w:p>
            <w:pPr>
              <w:spacing w:after="0"/>
              <w:rPr>
                <w:sz w:val="9"/>
                <w:szCs w:val="9"/>
                <w:color w:val="auto"/>
              </w:rPr>
            </w:pPr>
          </w:p>
        </w:tc>
        <w:tc>
          <w:tcPr>
            <w:tcW w:w="5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6"/>
              </w:rPr>
              <w:t>taxes</w:t>
            </w:r>
          </w:p>
        </w:tc>
        <w:tc>
          <w:tcPr>
            <w:tcW w:w="180" w:type="dxa"/>
            <w:vAlign w:val="bottom"/>
          </w:tcPr>
          <w:p>
            <w:pPr>
              <w:spacing w:after="0"/>
              <w:rPr>
                <w:sz w:val="9"/>
                <w:szCs w:val="9"/>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9"/>
                <w:szCs w:val="9"/>
                <w:color w:val="auto"/>
                <w:w w:val="88"/>
              </w:rPr>
              <w:t>Revenue</w:t>
            </w:r>
          </w:p>
        </w:tc>
        <w:tc>
          <w:tcPr>
            <w:tcW w:w="400" w:type="dxa"/>
            <w:vAlign w:val="bottom"/>
          </w:tcPr>
          <w:p>
            <w:pPr>
              <w:spacing w:after="0"/>
              <w:rPr>
                <w:sz w:val="9"/>
                <w:szCs w:val="9"/>
                <w:color w:val="auto"/>
              </w:rPr>
            </w:pPr>
          </w:p>
        </w:tc>
        <w:tc>
          <w:tcPr>
            <w:tcW w:w="360" w:type="dxa"/>
            <w:vAlign w:val="bottom"/>
            <w:gridSpan w:val="2"/>
          </w:tcPr>
          <w:p>
            <w:pPr>
              <w:jc w:val="center"/>
              <w:ind w:right="120"/>
              <w:spacing w:after="0"/>
              <w:rPr>
                <w:sz w:val="20"/>
                <w:szCs w:val="20"/>
                <w:color w:val="auto"/>
              </w:rPr>
            </w:pPr>
            <w:r>
              <w:rPr>
                <w:rFonts w:ascii="Arial" w:cs="Arial" w:eastAsia="Arial" w:hAnsi="Arial"/>
                <w:sz w:val="9"/>
                <w:szCs w:val="9"/>
                <w:color w:val="auto"/>
                <w:w w:val="92"/>
              </w:rPr>
              <w:t>taxes</w:t>
            </w:r>
          </w:p>
        </w:tc>
        <w:tc>
          <w:tcPr>
            <w:tcW w:w="0" w:type="dxa"/>
            <w:vAlign w:val="bottom"/>
          </w:tcPr>
          <w:p>
            <w:pPr>
              <w:spacing w:after="0"/>
              <w:rPr>
                <w:sz w:val="1"/>
                <w:szCs w:val="1"/>
                <w:color w:val="auto"/>
              </w:rPr>
            </w:pPr>
          </w:p>
        </w:tc>
      </w:tr>
      <w:tr>
        <w:trPr>
          <w:trHeight w:val="79"/>
        </w:trPr>
        <w:tc>
          <w:tcPr>
            <w:tcW w:w="480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i w:val="1"/>
                <w:iCs w:val="1"/>
                <w:color w:val="auto"/>
              </w:rPr>
              <w:t>Oilfield Services</w:t>
            </w:r>
          </w:p>
        </w:tc>
        <w:tc>
          <w:tcPr>
            <w:tcW w:w="40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right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800" w:type="dxa"/>
            <w:vAlign w:val="bottom"/>
          </w:tcPr>
          <w:p>
            <w:pPr>
              <w:spacing w:after="0" w:line="99" w:lineRule="exact"/>
              <w:rPr>
                <w:sz w:val="20"/>
                <w:szCs w:val="20"/>
                <w:color w:val="auto"/>
              </w:rPr>
            </w:pPr>
            <w:r>
              <w:rPr>
                <w:rFonts w:ascii="Arial" w:cs="Arial" w:eastAsia="Arial" w:hAnsi="Arial"/>
                <w:sz w:val="9"/>
                <w:szCs w:val="9"/>
                <w:color w:val="auto"/>
              </w:rPr>
              <w:t>North America</w:t>
            </w:r>
          </w:p>
        </w:tc>
        <w:tc>
          <w:tcPr>
            <w:tcW w:w="412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34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w w:val="94"/>
              </w:rPr>
              <w:t>12,273</w:t>
            </w:r>
          </w:p>
        </w:tc>
        <w:tc>
          <w:tcPr>
            <w:tcW w:w="3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3,051</w:t>
            </w:r>
          </w:p>
        </w:tc>
        <w:tc>
          <w:tcPr>
            <w:tcW w:w="26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6,729</w:t>
            </w:r>
          </w:p>
        </w:tc>
        <w:tc>
          <w:tcPr>
            <w:tcW w:w="40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1,145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Latin America</w:t>
            </w:r>
          </w:p>
        </w:tc>
        <w:tc>
          <w:tcPr>
            <w:tcW w:w="4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b w:val="1"/>
                <w:bCs w:val="1"/>
                <w:color w:val="auto"/>
              </w:rPr>
              <w:t>6,453</w:t>
            </w:r>
          </w:p>
        </w:tc>
        <w:tc>
          <w:tcPr>
            <w:tcW w:w="3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rPr>
              <w:t>1,072</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4,985</w:t>
            </w:r>
          </w:p>
        </w:tc>
        <w:tc>
          <w:tcPr>
            <w:tcW w:w="40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808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0" w:type="dxa"/>
            <w:vAlign w:val="bottom"/>
          </w:tcPr>
          <w:p>
            <w:pPr>
              <w:spacing w:after="0" w:line="99" w:lineRule="exact"/>
              <w:rPr>
                <w:sz w:val="20"/>
                <w:szCs w:val="20"/>
                <w:color w:val="auto"/>
              </w:rPr>
            </w:pPr>
            <w:r>
              <w:rPr>
                <w:rFonts w:ascii="Arial" w:cs="Arial" w:eastAsia="Arial" w:hAnsi="Arial"/>
                <w:sz w:val="9"/>
                <w:szCs w:val="9"/>
                <w:color w:val="auto"/>
              </w:rPr>
              <w:t>Europe/CIS/Africa</w:t>
            </w: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rPr>
              <w:t>9,761</w:t>
            </w:r>
          </w:p>
        </w:tc>
        <w:tc>
          <w:tcPr>
            <w:tcW w:w="38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1,489</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8,024</w:t>
            </w:r>
          </w:p>
        </w:tc>
        <w:tc>
          <w:tcPr>
            <w:tcW w:w="4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1,457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Middle East &amp; Asia</w:t>
            </w:r>
          </w:p>
        </w:tc>
        <w:tc>
          <w:tcPr>
            <w:tcW w:w="4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b w:val="1"/>
                <w:bCs w:val="1"/>
                <w:color w:val="auto"/>
              </w:rPr>
              <w:t>8,065</w:t>
            </w:r>
          </w:p>
        </w:tc>
        <w:tc>
          <w:tcPr>
            <w:tcW w:w="3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rPr>
              <w:t>1,868</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6,650</w:t>
            </w:r>
          </w:p>
        </w:tc>
        <w:tc>
          <w:tcPr>
            <w:tcW w:w="40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1,764</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0" w:type="dxa"/>
            <w:vAlign w:val="bottom"/>
          </w:tcPr>
          <w:p>
            <w:pPr>
              <w:spacing w:after="0" w:line="99" w:lineRule="exact"/>
              <w:rPr>
                <w:sz w:val="20"/>
                <w:szCs w:val="20"/>
                <w:color w:val="auto"/>
              </w:rPr>
            </w:pPr>
            <w:r>
              <w:rPr>
                <w:rFonts w:ascii="Arial" w:cs="Arial" w:eastAsia="Arial" w:hAnsi="Arial"/>
                <w:sz w:val="9"/>
                <w:szCs w:val="9"/>
                <w:color w:val="auto"/>
              </w:rPr>
              <w:t>Eliminations &amp; other</w:t>
            </w: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rPr>
              <w:t>407</w:t>
            </w:r>
          </w:p>
        </w:tc>
        <w:tc>
          <w:tcPr>
            <w:tcW w:w="38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(175)</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285</w:t>
            </w:r>
          </w:p>
        </w:tc>
        <w:tc>
          <w:tcPr>
            <w:tcW w:w="40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(103)</w:t>
            </w: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800" w:type="dxa"/>
            <w:vAlign w:val="bottom"/>
            <w:shd w:val="clear" w:color="auto" w:fill="CCEEFF"/>
          </w:tcPr>
          <w:p>
            <w:pPr>
              <w:spacing w:after="0"/>
              <w:rPr>
                <w:sz w:val="6"/>
                <w:szCs w:val="6"/>
                <w:color w:val="auto"/>
              </w:rPr>
            </w:pPr>
          </w:p>
        </w:tc>
        <w:tc>
          <w:tcPr>
            <w:tcW w:w="4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jc w:val="right"/>
              <w:spacing w:after="0" w:line="75" w:lineRule="exact"/>
              <w:rPr>
                <w:sz w:val="20"/>
                <w:szCs w:val="20"/>
                <w:color w:val="auto"/>
              </w:rPr>
            </w:pPr>
            <w:r>
              <w:rPr>
                <w:rFonts w:ascii="Arial" w:cs="Arial" w:eastAsia="Arial" w:hAnsi="Arial"/>
                <w:sz w:val="8"/>
                <w:szCs w:val="8"/>
                <w:b w:val="1"/>
                <w:bCs w:val="1"/>
                <w:color w:val="auto"/>
              </w:rPr>
              <w:t>36,959</w:t>
            </w:r>
          </w:p>
        </w:tc>
        <w:tc>
          <w:tcPr>
            <w:tcW w:w="60" w:type="dxa"/>
            <w:vAlign w:val="bottom"/>
            <w:shd w:val="clear" w:color="auto" w:fill="CCEEFF"/>
          </w:tcPr>
          <w:p>
            <w:pPr>
              <w:spacing w:after="0"/>
              <w:rPr>
                <w:sz w:val="6"/>
                <w:szCs w:val="6"/>
                <w:color w:val="auto"/>
              </w:rPr>
            </w:pPr>
          </w:p>
        </w:tc>
        <w:tc>
          <w:tcPr>
            <w:tcW w:w="380" w:type="dxa"/>
            <w:vAlign w:val="bottom"/>
            <w:tcBorders>
              <w:right w:val="single" w:sz="8" w:color="CCEEFF"/>
            </w:tcBorders>
            <w:shd w:val="clear" w:color="auto" w:fill="CCEEFF"/>
          </w:tcPr>
          <w:p>
            <w:pPr>
              <w:spacing w:after="0"/>
              <w:rPr>
                <w:sz w:val="6"/>
                <w:szCs w:val="6"/>
                <w:color w:val="auto"/>
              </w:rPr>
            </w:pPr>
          </w:p>
        </w:tc>
        <w:tc>
          <w:tcPr>
            <w:tcW w:w="280" w:type="dxa"/>
            <w:vAlign w:val="bottom"/>
            <w:shd w:val="clear" w:color="auto" w:fill="CCEEFF"/>
          </w:tcPr>
          <w:p>
            <w:pPr>
              <w:jc w:val="right"/>
              <w:spacing w:after="0" w:line="75" w:lineRule="exact"/>
              <w:rPr>
                <w:sz w:val="20"/>
                <w:szCs w:val="20"/>
                <w:color w:val="auto"/>
              </w:rPr>
            </w:pPr>
            <w:r>
              <w:rPr>
                <w:rFonts w:ascii="Arial" w:cs="Arial" w:eastAsia="Arial" w:hAnsi="Arial"/>
                <w:sz w:val="8"/>
                <w:szCs w:val="8"/>
                <w:b w:val="1"/>
                <w:bCs w:val="1"/>
                <w:color w:val="auto"/>
              </w:rPr>
              <w:t>7,305</w:t>
            </w: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gridSpan w:val="2"/>
            <w:shd w:val="clear" w:color="auto" w:fill="CCEEFF"/>
          </w:tcPr>
          <w:p>
            <w:pPr>
              <w:jc w:val="right"/>
              <w:ind w:right="40"/>
              <w:spacing w:after="0" w:line="75" w:lineRule="exact"/>
              <w:rPr>
                <w:sz w:val="20"/>
                <w:szCs w:val="20"/>
                <w:color w:val="auto"/>
              </w:rPr>
            </w:pPr>
            <w:r>
              <w:rPr>
                <w:rFonts w:ascii="Arial" w:cs="Arial" w:eastAsia="Arial" w:hAnsi="Arial"/>
                <w:sz w:val="8"/>
                <w:szCs w:val="8"/>
                <w:color w:val="auto"/>
              </w:rPr>
              <w:t>26,673</w:t>
            </w:r>
          </w:p>
        </w:tc>
        <w:tc>
          <w:tcPr>
            <w:tcW w:w="400" w:type="dxa"/>
            <w:vAlign w:val="bottom"/>
            <w:tcBorders>
              <w:right w:val="single" w:sz="8" w:color="CCEEFF"/>
            </w:tcBorders>
            <w:shd w:val="clear" w:color="auto" w:fill="CCEEFF"/>
          </w:tcPr>
          <w:p>
            <w:pPr>
              <w:spacing w:after="0"/>
              <w:rPr>
                <w:sz w:val="6"/>
                <w:szCs w:val="6"/>
                <w:color w:val="auto"/>
              </w:rPr>
            </w:pPr>
          </w:p>
        </w:tc>
        <w:tc>
          <w:tcPr>
            <w:tcW w:w="280" w:type="dxa"/>
            <w:vAlign w:val="bottom"/>
            <w:shd w:val="clear" w:color="auto" w:fill="CCEEFF"/>
          </w:tcPr>
          <w:p>
            <w:pPr>
              <w:jc w:val="right"/>
              <w:spacing w:after="0" w:line="75" w:lineRule="exact"/>
              <w:rPr>
                <w:sz w:val="20"/>
                <w:szCs w:val="20"/>
                <w:color w:val="auto"/>
              </w:rPr>
            </w:pPr>
            <w:r>
              <w:rPr>
                <w:rFonts w:ascii="Arial" w:cs="Arial" w:eastAsia="Arial" w:hAnsi="Arial"/>
                <w:sz w:val="8"/>
                <w:szCs w:val="8"/>
                <w:color w:val="auto"/>
              </w:rPr>
              <w:t>5,071</w:t>
            </w: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9"/>
                <w:szCs w:val="9"/>
                <w:b w:val="1"/>
                <w:bCs w:val="1"/>
                <w:i w:val="1"/>
                <w:iCs w:val="1"/>
                <w:color w:val="auto"/>
              </w:rPr>
              <w:t>Distribution</w:t>
            </w:r>
          </w:p>
        </w:tc>
        <w:tc>
          <w:tcPr>
            <w:tcW w:w="4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0" w:type="dxa"/>
            <w:vAlign w:val="bottom"/>
            <w:vMerge w:val="continue"/>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2,621</w:t>
            </w:r>
          </w:p>
        </w:tc>
        <w:tc>
          <w:tcPr>
            <w:tcW w:w="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103</w:t>
            </w:r>
          </w:p>
        </w:tc>
        <w:tc>
          <w:tcPr>
            <w:tcW w:w="2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774</w:t>
            </w:r>
          </w:p>
        </w:tc>
        <w:tc>
          <w:tcPr>
            <w:tcW w:w="40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rPr>
              <w:t>29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Eliminations</w:t>
            </w:r>
          </w:p>
        </w:tc>
        <w:tc>
          <w:tcPr>
            <w:tcW w:w="4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b w:val="1"/>
                <w:bCs w:val="1"/>
                <w:color w:val="auto"/>
              </w:rPr>
              <w:t>(40)</w:t>
            </w:r>
          </w:p>
        </w:tc>
        <w:tc>
          <w:tcPr>
            <w:tcW w:w="3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rPr>
              <w:t>–</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w:t>
            </w:r>
          </w:p>
        </w:tc>
        <w:tc>
          <w:tcPr>
            <w:tcW w:w="400" w:type="dxa"/>
            <w:vAlign w:val="bottom"/>
            <w:tcBorders>
              <w:right w:val="single" w:sz="8" w:color="CCEEFF"/>
            </w:tcBorders>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4800" w:type="dxa"/>
            <w:vAlign w:val="bottom"/>
            <w:shd w:val="clear" w:color="auto" w:fill="000000"/>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2,581</w:t>
            </w:r>
          </w:p>
        </w:tc>
        <w:tc>
          <w:tcPr>
            <w:tcW w:w="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103</w:t>
            </w:r>
          </w:p>
        </w:tc>
        <w:tc>
          <w:tcPr>
            <w:tcW w:w="2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774</w:t>
            </w:r>
          </w:p>
        </w:tc>
        <w:tc>
          <w:tcPr>
            <w:tcW w:w="40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rPr>
              <w:t>29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0" w:type="dxa"/>
            <w:vAlign w:val="bottom"/>
            <w:shd w:val="clear" w:color="auto" w:fill="CCEEFF"/>
          </w:tcPr>
          <w:p>
            <w:pPr>
              <w:spacing w:after="0" w:line="97" w:lineRule="exact"/>
              <w:rPr>
                <w:sz w:val="20"/>
                <w:szCs w:val="20"/>
                <w:color w:val="auto"/>
              </w:rPr>
            </w:pPr>
            <w:r>
              <w:rPr>
                <w:rFonts w:ascii="Arial" w:cs="Arial" w:eastAsia="Arial" w:hAnsi="Arial"/>
                <w:sz w:val="7"/>
                <w:szCs w:val="7"/>
                <w:color w:val="auto"/>
              </w:rPr>
              <w:t xml:space="preserve">Corporate &amp; other </w:t>
            </w:r>
            <w:r>
              <w:rPr>
                <w:rFonts w:ascii="Arial" w:cs="Arial" w:eastAsia="Arial" w:hAnsi="Arial"/>
                <w:sz w:val="11"/>
                <w:szCs w:val="11"/>
                <w:color w:val="auto"/>
                <w:vertAlign w:val="superscript"/>
              </w:rPr>
              <w:t>(1)</w:t>
            </w:r>
          </w:p>
        </w:tc>
        <w:tc>
          <w:tcPr>
            <w:tcW w:w="4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spacing w:after="0"/>
              <w:rPr>
                <w:sz w:val="8"/>
                <w:szCs w:val="8"/>
                <w:color w:val="auto"/>
              </w:rPr>
            </w:pPr>
          </w:p>
        </w:tc>
        <w:tc>
          <w:tcPr>
            <w:tcW w:w="3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b w:val="1"/>
                <w:bCs w:val="1"/>
                <w:color w:val="auto"/>
              </w:rPr>
              <w:t>(592)</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400" w:type="dxa"/>
            <w:vAlign w:val="bottom"/>
            <w:tcBorders>
              <w:right w:val="single" w:sz="8" w:color="CCEEFF"/>
            </w:tcBorders>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(405)</w:t>
            </w:r>
          </w:p>
        </w:tc>
        <w:tc>
          <w:tcPr>
            <w:tcW w:w="0" w:type="dxa"/>
            <w:vAlign w:val="bottom"/>
          </w:tcPr>
          <w:p>
            <w:pPr>
              <w:spacing w:after="0"/>
              <w:rPr>
                <w:sz w:val="1"/>
                <w:szCs w:val="1"/>
                <w:color w:val="auto"/>
              </w:rPr>
            </w:pPr>
          </w:p>
        </w:tc>
      </w:tr>
      <w:tr>
        <w:trPr>
          <w:trHeight w:val="99"/>
        </w:trPr>
        <w:tc>
          <w:tcPr>
            <w:tcW w:w="4800" w:type="dxa"/>
            <w:vAlign w:val="bottom"/>
          </w:tcPr>
          <w:p>
            <w:pPr>
              <w:spacing w:after="0" w:line="99" w:lineRule="exact"/>
              <w:rPr>
                <w:sz w:val="20"/>
                <w:szCs w:val="20"/>
                <w:color w:val="auto"/>
              </w:rPr>
            </w:pPr>
            <w:r>
              <w:rPr>
                <w:rFonts w:ascii="Arial" w:cs="Arial" w:eastAsia="Arial" w:hAnsi="Arial"/>
                <w:sz w:val="7"/>
                <w:szCs w:val="7"/>
                <w:color w:val="auto"/>
              </w:rPr>
              <w:t xml:space="preserve">Interest income </w:t>
            </w:r>
            <w:r>
              <w:rPr>
                <w:rFonts w:ascii="Arial" w:cs="Arial" w:eastAsia="Arial" w:hAnsi="Arial"/>
                <w:sz w:val="11"/>
                <w:szCs w:val="11"/>
                <w:color w:val="auto"/>
                <w:vertAlign w:val="superscript"/>
              </w:rPr>
              <w:t>(2)</w:t>
            </w: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rPr>
              <w:t>–</w:t>
            </w:r>
          </w:p>
        </w:tc>
        <w:tc>
          <w:tcPr>
            <w:tcW w:w="38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37</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43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0" w:type="dxa"/>
            <w:vAlign w:val="bottom"/>
            <w:shd w:val="clear" w:color="auto" w:fill="CCEEFF"/>
          </w:tcPr>
          <w:p>
            <w:pPr>
              <w:spacing w:after="0" w:line="99" w:lineRule="exact"/>
              <w:rPr>
                <w:sz w:val="20"/>
                <w:szCs w:val="20"/>
                <w:color w:val="auto"/>
              </w:rPr>
            </w:pPr>
            <w:r>
              <w:rPr>
                <w:rFonts w:ascii="Arial" w:cs="Arial" w:eastAsia="Arial" w:hAnsi="Arial"/>
                <w:sz w:val="7"/>
                <w:szCs w:val="7"/>
                <w:color w:val="auto"/>
              </w:rPr>
              <w:t xml:space="preserve">Interest expense </w:t>
            </w:r>
            <w:r>
              <w:rPr>
                <w:rFonts w:ascii="Arial" w:cs="Arial" w:eastAsia="Arial" w:hAnsi="Arial"/>
                <w:sz w:val="11"/>
                <w:szCs w:val="11"/>
                <w:color w:val="auto"/>
                <w:vertAlign w:val="superscript"/>
              </w:rPr>
              <w:t>(3)</w:t>
            </w:r>
          </w:p>
        </w:tc>
        <w:tc>
          <w:tcPr>
            <w:tcW w:w="4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b w:val="1"/>
                <w:bCs w:val="1"/>
                <w:color w:val="auto"/>
              </w:rPr>
              <w:t>–</w:t>
            </w:r>
          </w:p>
        </w:tc>
        <w:tc>
          <w:tcPr>
            <w:tcW w:w="3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b w:val="1"/>
                <w:bCs w:val="1"/>
                <w:color w:val="auto"/>
              </w:rPr>
              <w:t>(290)</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w:t>
            </w:r>
          </w:p>
        </w:tc>
        <w:tc>
          <w:tcPr>
            <w:tcW w:w="400" w:type="dxa"/>
            <w:vAlign w:val="bottom"/>
            <w:tcBorders>
              <w:right w:val="single" w:sz="8" w:color="CCEEFF"/>
            </w:tcBorders>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(202)</w:t>
            </w:r>
          </w:p>
        </w:tc>
        <w:tc>
          <w:tcPr>
            <w:tcW w:w="0" w:type="dxa"/>
            <w:vAlign w:val="bottom"/>
          </w:tcPr>
          <w:p>
            <w:pPr>
              <w:spacing w:after="0"/>
              <w:rPr>
                <w:sz w:val="1"/>
                <w:szCs w:val="1"/>
                <w:color w:val="auto"/>
              </w:rPr>
            </w:pPr>
          </w:p>
        </w:tc>
      </w:tr>
      <w:tr>
        <w:trPr>
          <w:trHeight w:val="99"/>
        </w:trPr>
        <w:tc>
          <w:tcPr>
            <w:tcW w:w="4800" w:type="dxa"/>
            <w:vAlign w:val="bottom"/>
          </w:tcPr>
          <w:p>
            <w:pPr>
              <w:spacing w:after="0" w:line="99" w:lineRule="exact"/>
              <w:rPr>
                <w:sz w:val="20"/>
                <w:szCs w:val="20"/>
                <w:color w:val="auto"/>
              </w:rPr>
            </w:pPr>
            <w:r>
              <w:rPr>
                <w:rFonts w:ascii="Arial" w:cs="Arial" w:eastAsia="Arial" w:hAnsi="Arial"/>
                <w:sz w:val="7"/>
                <w:szCs w:val="7"/>
                <w:color w:val="auto"/>
              </w:rPr>
              <w:t xml:space="preserve">Charges &amp; credits </w:t>
            </w:r>
            <w:r>
              <w:rPr>
                <w:rFonts w:ascii="Arial" w:cs="Arial" w:eastAsia="Arial" w:hAnsi="Arial"/>
                <w:sz w:val="11"/>
                <w:szCs w:val="11"/>
                <w:color w:val="auto"/>
                <w:vertAlign w:val="superscript"/>
              </w:rPr>
              <w:t>(4)</w:t>
            </w: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rPr>
              <w:t>–</w:t>
            </w:r>
          </w:p>
        </w:tc>
        <w:tc>
          <w:tcPr>
            <w:tcW w:w="38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(225)</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620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800" w:type="dxa"/>
            <w:vAlign w:val="bottom"/>
            <w:shd w:val="clear" w:color="auto" w:fill="CCEEFF"/>
          </w:tcPr>
          <w:p>
            <w:pPr>
              <w:spacing w:after="0"/>
              <w:rPr>
                <w:sz w:val="6"/>
                <w:szCs w:val="6"/>
                <w:color w:val="auto"/>
              </w:rPr>
            </w:pPr>
          </w:p>
        </w:tc>
        <w:tc>
          <w:tcPr>
            <w:tcW w:w="4020" w:type="dxa"/>
            <w:vAlign w:val="bottom"/>
            <w:shd w:val="clear" w:color="auto" w:fill="CCEEFF"/>
          </w:tcPr>
          <w:p>
            <w:pPr>
              <w:spacing w:after="0"/>
              <w:rPr>
                <w:sz w:val="6"/>
                <w:szCs w:val="6"/>
                <w:color w:val="auto"/>
              </w:rPr>
            </w:pPr>
          </w:p>
        </w:tc>
        <w:tc>
          <w:tcPr>
            <w:tcW w:w="100" w:type="dxa"/>
            <w:vAlign w:val="bottom"/>
            <w:shd w:val="clear" w:color="auto" w:fill="CCEEFF"/>
          </w:tcPr>
          <w:p>
            <w:pPr>
              <w:jc w:val="right"/>
              <w:spacing w:after="0" w:line="75" w:lineRule="exact"/>
              <w:rPr>
                <w:sz w:val="20"/>
                <w:szCs w:val="20"/>
                <w:color w:val="auto"/>
              </w:rPr>
            </w:pPr>
            <w:r>
              <w:rPr>
                <w:rFonts w:ascii="Arial" w:cs="Arial" w:eastAsia="Arial" w:hAnsi="Arial"/>
                <w:sz w:val="8"/>
                <w:szCs w:val="8"/>
                <w:b w:val="1"/>
                <w:bCs w:val="1"/>
                <w:color w:val="auto"/>
                <w:w w:val="88"/>
              </w:rPr>
              <w:t>$</w:t>
            </w:r>
          </w:p>
        </w:tc>
        <w:tc>
          <w:tcPr>
            <w:tcW w:w="280" w:type="dxa"/>
            <w:vAlign w:val="bottom"/>
            <w:shd w:val="clear" w:color="auto" w:fill="CCEEFF"/>
          </w:tcPr>
          <w:p>
            <w:pPr>
              <w:jc w:val="right"/>
              <w:spacing w:after="0" w:line="75" w:lineRule="exact"/>
              <w:rPr>
                <w:sz w:val="20"/>
                <w:szCs w:val="20"/>
                <w:color w:val="auto"/>
              </w:rPr>
            </w:pPr>
            <w:r>
              <w:rPr>
                <w:rFonts w:ascii="Arial" w:cs="Arial" w:eastAsia="Arial" w:hAnsi="Arial"/>
                <w:sz w:val="8"/>
                <w:szCs w:val="8"/>
                <w:b w:val="1"/>
                <w:bCs w:val="1"/>
                <w:color w:val="auto"/>
              </w:rPr>
              <w:t>39,540</w:t>
            </w:r>
          </w:p>
        </w:tc>
        <w:tc>
          <w:tcPr>
            <w:tcW w:w="60" w:type="dxa"/>
            <w:vAlign w:val="bottom"/>
            <w:shd w:val="clear" w:color="auto" w:fill="CCEEFF"/>
          </w:tcPr>
          <w:p>
            <w:pPr>
              <w:spacing w:after="0"/>
              <w:rPr>
                <w:sz w:val="6"/>
                <w:szCs w:val="6"/>
                <w:color w:val="auto"/>
              </w:rPr>
            </w:pPr>
          </w:p>
        </w:tc>
        <w:tc>
          <w:tcPr>
            <w:tcW w:w="380" w:type="dxa"/>
            <w:vAlign w:val="bottom"/>
            <w:tcBorders>
              <w:right w:val="single" w:sz="8" w:color="CCEEFF"/>
            </w:tcBorders>
            <w:shd w:val="clear" w:color="auto" w:fill="CCEEFF"/>
          </w:tcPr>
          <w:p>
            <w:pPr>
              <w:jc w:val="right"/>
              <w:spacing w:after="0" w:line="75" w:lineRule="exact"/>
              <w:rPr>
                <w:sz w:val="20"/>
                <w:szCs w:val="20"/>
                <w:color w:val="auto"/>
              </w:rPr>
            </w:pPr>
            <w:r>
              <w:rPr>
                <w:rFonts w:ascii="Arial" w:cs="Arial" w:eastAsia="Arial" w:hAnsi="Arial"/>
                <w:sz w:val="8"/>
                <w:szCs w:val="8"/>
                <w:b w:val="1"/>
                <w:bCs w:val="1"/>
                <w:color w:val="auto"/>
              </w:rPr>
              <w:t>$</w:t>
            </w:r>
          </w:p>
        </w:tc>
        <w:tc>
          <w:tcPr>
            <w:tcW w:w="500" w:type="dxa"/>
            <w:vAlign w:val="bottom"/>
            <w:gridSpan w:val="2"/>
            <w:shd w:val="clear" w:color="auto" w:fill="CCEEFF"/>
          </w:tcPr>
          <w:p>
            <w:pPr>
              <w:jc w:val="right"/>
              <w:ind w:right="220"/>
              <w:spacing w:after="0" w:line="75" w:lineRule="exact"/>
              <w:rPr>
                <w:sz w:val="20"/>
                <w:szCs w:val="20"/>
                <w:color w:val="auto"/>
              </w:rPr>
            </w:pPr>
            <w:r>
              <w:rPr>
                <w:rFonts w:ascii="Arial" w:cs="Arial" w:eastAsia="Arial" w:hAnsi="Arial"/>
                <w:sz w:val="8"/>
                <w:szCs w:val="8"/>
                <w:b w:val="1"/>
                <w:bCs w:val="1"/>
                <w:color w:val="auto"/>
              </w:rPr>
              <w:t>6,338</w:t>
            </w:r>
          </w:p>
        </w:tc>
        <w:tc>
          <w:tcPr>
            <w:tcW w:w="260" w:type="dxa"/>
            <w:vAlign w:val="bottom"/>
            <w:gridSpan w:val="2"/>
            <w:shd w:val="clear" w:color="auto" w:fill="CCEEFF"/>
          </w:tcPr>
          <w:p>
            <w:pPr>
              <w:jc w:val="right"/>
              <w:spacing w:after="0" w:line="75" w:lineRule="exact"/>
              <w:rPr>
                <w:sz w:val="20"/>
                <w:szCs w:val="20"/>
                <w:color w:val="auto"/>
              </w:rPr>
            </w:pPr>
            <w:r>
              <w:rPr>
                <w:rFonts w:ascii="Arial" w:cs="Arial" w:eastAsia="Arial" w:hAnsi="Arial"/>
                <w:sz w:val="8"/>
                <w:szCs w:val="8"/>
                <w:color w:val="auto"/>
              </w:rPr>
              <w:t>$</w:t>
            </w:r>
          </w:p>
        </w:tc>
        <w:tc>
          <w:tcPr>
            <w:tcW w:w="320" w:type="dxa"/>
            <w:vAlign w:val="bottom"/>
            <w:gridSpan w:val="2"/>
            <w:shd w:val="clear" w:color="auto" w:fill="CCEEFF"/>
          </w:tcPr>
          <w:p>
            <w:pPr>
              <w:jc w:val="right"/>
              <w:ind w:right="40"/>
              <w:spacing w:after="0" w:line="75" w:lineRule="exact"/>
              <w:rPr>
                <w:sz w:val="20"/>
                <w:szCs w:val="20"/>
                <w:color w:val="auto"/>
              </w:rPr>
            </w:pPr>
            <w:r>
              <w:rPr>
                <w:rFonts w:ascii="Arial" w:cs="Arial" w:eastAsia="Arial" w:hAnsi="Arial"/>
                <w:sz w:val="8"/>
                <w:szCs w:val="8"/>
                <w:color w:val="auto"/>
              </w:rPr>
              <w:t>27,447</w:t>
            </w:r>
          </w:p>
        </w:tc>
        <w:tc>
          <w:tcPr>
            <w:tcW w:w="400" w:type="dxa"/>
            <w:vAlign w:val="bottom"/>
            <w:tcBorders>
              <w:right w:val="single" w:sz="8" w:color="CCEEFF"/>
            </w:tcBorders>
            <w:shd w:val="clear" w:color="auto" w:fill="CCEEFF"/>
          </w:tcPr>
          <w:p>
            <w:pPr>
              <w:jc w:val="right"/>
              <w:spacing w:after="0" w:line="75" w:lineRule="exact"/>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jc w:val="right"/>
              <w:spacing w:after="0" w:line="75" w:lineRule="exact"/>
              <w:rPr>
                <w:sz w:val="20"/>
                <w:szCs w:val="20"/>
                <w:color w:val="auto"/>
              </w:rPr>
            </w:pPr>
            <w:r>
              <w:rPr>
                <w:rFonts w:ascii="Arial" w:cs="Arial" w:eastAsia="Arial" w:hAnsi="Arial"/>
                <w:sz w:val="8"/>
                <w:szCs w:val="8"/>
                <w:color w:val="auto"/>
              </w:rPr>
              <w:t>5,156</w:t>
            </w: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ind w:left="348" w:hanging="348"/>
        <w:spacing w:after="0"/>
        <w:tabs>
          <w:tab w:leader="none" w:pos="348" w:val="left"/>
        </w:tabs>
        <w:numPr>
          <w:ilvl w:val="0"/>
          <w:numId w:val="10"/>
        </w:numPr>
        <w:rPr>
          <w:rFonts w:ascii="Arial" w:cs="Arial" w:eastAsia="Arial" w:hAnsi="Arial"/>
          <w:sz w:val="14"/>
          <w:szCs w:val="14"/>
          <w:color w:val="auto"/>
          <w:vertAlign w:val="superscript"/>
        </w:rPr>
      </w:pPr>
      <w:r>
        <w:rPr>
          <w:rFonts w:ascii="Arial" w:cs="Arial" w:eastAsia="Arial" w:hAnsi="Arial"/>
          <w:sz w:val="8"/>
          <w:szCs w:val="8"/>
          <w:color w:val="auto"/>
        </w:rPr>
        <w:t>Comprised principally of corporate expenses not allocated to the segments, interest on postretirement medical benefits, stock-based compensation costs, amortization expense associated with intangible assets recorded as a result of the acquisition of Smith and certain other nonoperating items.</w:t>
      </w:r>
    </w:p>
    <w:p>
      <w:pPr>
        <w:ind w:left="348" w:hanging="348"/>
        <w:spacing w:after="0" w:line="187" w:lineRule="auto"/>
        <w:tabs>
          <w:tab w:leader="none" w:pos="348" w:val="left"/>
        </w:tabs>
        <w:numPr>
          <w:ilvl w:val="0"/>
          <w:numId w:val="10"/>
        </w:numPr>
        <w:rPr>
          <w:rFonts w:ascii="Arial" w:cs="Arial" w:eastAsia="Arial" w:hAnsi="Arial"/>
          <w:sz w:val="11"/>
          <w:szCs w:val="11"/>
          <w:color w:val="auto"/>
          <w:vertAlign w:val="superscript"/>
        </w:rPr>
      </w:pPr>
      <w:r>
        <w:rPr>
          <w:rFonts w:ascii="Arial" w:cs="Arial" w:eastAsia="Arial" w:hAnsi="Arial"/>
          <w:sz w:val="7"/>
          <w:szCs w:val="7"/>
          <w:color w:val="auto"/>
        </w:rPr>
        <w:t>Excludes interest income included in the segments’ income (2011 – $3 million; 2010 – $7 million).</w:t>
      </w:r>
    </w:p>
    <w:p>
      <w:pPr>
        <w:ind w:left="348" w:hanging="348"/>
        <w:spacing w:after="0" w:line="187" w:lineRule="auto"/>
        <w:tabs>
          <w:tab w:leader="none" w:pos="348" w:val="left"/>
        </w:tabs>
        <w:numPr>
          <w:ilvl w:val="0"/>
          <w:numId w:val="10"/>
        </w:numPr>
        <w:rPr>
          <w:rFonts w:ascii="Arial" w:cs="Arial" w:eastAsia="Arial" w:hAnsi="Arial"/>
          <w:sz w:val="11"/>
          <w:szCs w:val="11"/>
          <w:color w:val="auto"/>
          <w:vertAlign w:val="superscript"/>
        </w:rPr>
      </w:pPr>
      <w:r>
        <w:rPr>
          <w:rFonts w:ascii="Arial" w:cs="Arial" w:eastAsia="Arial" w:hAnsi="Arial"/>
          <w:sz w:val="7"/>
          <w:szCs w:val="7"/>
          <w:color w:val="auto"/>
        </w:rPr>
        <w:t>Excludes interest expense included in the segments’ income (2011 – $8 million; 2010 – $5 million).</w:t>
      </w:r>
    </w:p>
    <w:p>
      <w:pPr>
        <w:ind w:left="348" w:hanging="348"/>
        <w:spacing w:after="0" w:line="184" w:lineRule="auto"/>
        <w:tabs>
          <w:tab w:leader="none" w:pos="348" w:val="left"/>
        </w:tabs>
        <w:numPr>
          <w:ilvl w:val="0"/>
          <w:numId w:val="10"/>
        </w:numPr>
        <w:rPr>
          <w:rFonts w:ascii="Arial" w:cs="Arial" w:eastAsia="Arial" w:hAnsi="Arial"/>
          <w:sz w:val="12"/>
          <w:szCs w:val="12"/>
          <w:color w:val="auto"/>
          <w:vertAlign w:val="superscript"/>
        </w:rPr>
      </w:pPr>
      <w:r>
        <w:rPr>
          <w:rFonts w:ascii="Arial" w:cs="Arial" w:eastAsia="Arial" w:hAnsi="Arial"/>
          <w:sz w:val="7"/>
          <w:szCs w:val="7"/>
          <w:color w:val="auto"/>
        </w:rPr>
        <w:t xml:space="preserve">Charges and credits are described in detail in Note 3 to the </w:t>
      </w:r>
      <w:r>
        <w:rPr>
          <w:rFonts w:ascii="Arial" w:cs="Arial" w:eastAsia="Arial" w:hAnsi="Arial"/>
          <w:sz w:val="7"/>
          <w:szCs w:val="7"/>
          <w:i w:val="1"/>
          <w:iCs w:val="1"/>
          <w:color w:val="auto"/>
        </w:rPr>
        <w:t>Consolidated Financial Statements</w:t>
      </w:r>
      <w:r>
        <w:rPr>
          <w:rFonts w:ascii="Arial" w:cs="Arial" w:eastAsia="Arial" w:hAnsi="Arial"/>
          <w:sz w:val="7"/>
          <w:szCs w:val="7"/>
          <w:color w:val="auto"/>
        </w:rPr>
        <w:t>.</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u w:val="single" w:color="auto"/>
          <w:color w:val="auto"/>
        </w:rPr>
        <w:t>Oilfield Services</w:t>
      </w:r>
    </w:p>
    <w:p>
      <w:pPr>
        <w:spacing w:after="0" w:line="60" w:lineRule="exact"/>
        <w:rPr>
          <w:sz w:val="20"/>
          <w:szCs w:val="20"/>
          <w:color w:val="auto"/>
        </w:rPr>
      </w:pPr>
    </w:p>
    <w:p>
      <w:pPr>
        <w:ind w:left="8" w:right="20" w:firstLine="230"/>
        <w:spacing w:after="0" w:line="254" w:lineRule="auto"/>
        <w:rPr>
          <w:sz w:val="20"/>
          <w:szCs w:val="20"/>
          <w:color w:val="auto"/>
        </w:rPr>
      </w:pPr>
      <w:r>
        <w:rPr>
          <w:rFonts w:ascii="Arial" w:cs="Arial" w:eastAsia="Arial" w:hAnsi="Arial"/>
          <w:sz w:val="12"/>
          <w:szCs w:val="12"/>
          <w:color w:val="auto"/>
        </w:rPr>
        <w:t>Full-year 2011 revenue of $37.0 billion was 39% higher than 2010 primarily reflecting the acquisition of Smith on August 27, 2010 as well as the significantly improved activity, pricing and asset efficiency for Well Services Technologies in North America as the market transitioned to liquid-rich plays demanding increasing service intensity in drilling and completing horizontal wells.</w:t>
      </w:r>
    </w:p>
    <w:p>
      <w:pPr>
        <w:ind w:left="8" w:right="280" w:firstLine="230"/>
        <w:spacing w:after="0" w:line="261" w:lineRule="auto"/>
        <w:rPr>
          <w:sz w:val="20"/>
          <w:szCs w:val="20"/>
          <w:color w:val="auto"/>
        </w:rPr>
      </w:pPr>
      <w:r>
        <w:rPr>
          <w:rFonts w:ascii="Arial" w:cs="Arial" w:eastAsia="Arial" w:hAnsi="Arial"/>
          <w:sz w:val="12"/>
          <w:szCs w:val="12"/>
          <w:color w:val="auto"/>
        </w:rPr>
        <w:t>Year-on-year pretax operating margin increased 75 bps to 19.8% largely due to the improved pricing and asset efficiency for Well Services Technologies in North America and the resumption of higher-margin activity in the US Gulf of Mexico. However, the margin expansion was tempered by activity disruptions from the geopolitical unrest in North Africa and in the Middle East during the first quarter of 2011.</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Reservoir Characterization</w:t>
      </w:r>
    </w:p>
    <w:p>
      <w:pPr>
        <w:spacing w:after="0" w:line="62" w:lineRule="exact"/>
        <w:rPr>
          <w:sz w:val="20"/>
          <w:szCs w:val="20"/>
          <w:color w:val="auto"/>
        </w:rPr>
      </w:pPr>
    </w:p>
    <w:p>
      <w:pPr>
        <w:ind w:left="228"/>
        <w:spacing w:after="0"/>
        <w:rPr>
          <w:sz w:val="20"/>
          <w:szCs w:val="20"/>
          <w:color w:val="auto"/>
        </w:rPr>
      </w:pPr>
      <w:r>
        <w:rPr>
          <w:rFonts w:ascii="Arial" w:cs="Arial" w:eastAsia="Arial" w:hAnsi="Arial"/>
          <w:sz w:val="12"/>
          <w:szCs w:val="12"/>
          <w:color w:val="auto"/>
        </w:rPr>
        <w:t>Revenue of $9.93 billion was 7% higher than the same period last year on stronger Wireline activity, higher WesternGeco marine and multiclient sales, and increased SIS software sales.</w:t>
      </w:r>
    </w:p>
    <w:p>
      <w:pPr>
        <w:spacing w:after="0" w:line="10" w:lineRule="exact"/>
        <w:rPr>
          <w:sz w:val="20"/>
          <w:szCs w:val="20"/>
          <w:color w:val="auto"/>
        </w:rPr>
      </w:pPr>
    </w:p>
    <w:p>
      <w:pPr>
        <w:ind w:left="8" w:right="120" w:firstLine="230"/>
        <w:spacing w:after="0" w:line="261" w:lineRule="auto"/>
        <w:rPr>
          <w:sz w:val="20"/>
          <w:szCs w:val="20"/>
          <w:color w:val="auto"/>
        </w:rPr>
      </w:pPr>
      <w:r>
        <w:rPr>
          <w:rFonts w:ascii="Arial" w:cs="Arial" w:eastAsia="Arial" w:hAnsi="Arial"/>
          <w:sz w:val="12"/>
          <w:szCs w:val="12"/>
          <w:color w:val="auto"/>
        </w:rPr>
        <w:t>Year-on-year, pretax operating margin decreased 23 bps to 24.7% led by margin declines in Wireline and Testing Services, largely due to the revenue mix, as well as the impact of geopolitical events which prevailed during the first quarter of 2011. The margin decline however was partially offset by a favorable WesternGeco multiclient sales mix and improved marine vessel utilization.</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Drilling</w:t>
      </w:r>
    </w:p>
    <w:p>
      <w:pPr>
        <w:spacing w:after="0" w:line="62" w:lineRule="exact"/>
        <w:rPr>
          <w:sz w:val="20"/>
          <w:szCs w:val="20"/>
          <w:color w:val="auto"/>
        </w:rPr>
      </w:pPr>
    </w:p>
    <w:p>
      <w:pPr>
        <w:ind w:left="8" w:right="100" w:firstLine="230"/>
        <w:spacing w:after="0" w:line="254" w:lineRule="auto"/>
        <w:rPr>
          <w:sz w:val="20"/>
          <w:szCs w:val="20"/>
          <w:color w:val="auto"/>
        </w:rPr>
      </w:pPr>
      <w:r>
        <w:rPr>
          <w:rFonts w:ascii="Arial" w:cs="Arial" w:eastAsia="Arial" w:hAnsi="Arial"/>
          <w:sz w:val="12"/>
          <w:szCs w:val="12"/>
          <w:color w:val="auto"/>
        </w:rPr>
        <w:t>Revenue of $14.25 billion was 73% higher than the same period last year reflecting the acquisitions of Smith, in August 2010, and Geoservices, in April 2010, partially offset by a decrease in IPM activities in Mexico. The ramp-up of IPM projects in Iraq also contributed to the revenue increase.</w:t>
      </w:r>
    </w:p>
    <w:p>
      <w:pPr>
        <w:ind w:left="228"/>
        <w:spacing w:after="0"/>
        <w:rPr>
          <w:sz w:val="20"/>
          <w:szCs w:val="20"/>
          <w:color w:val="auto"/>
        </w:rPr>
      </w:pPr>
      <w:r>
        <w:rPr>
          <w:rFonts w:ascii="Arial" w:cs="Arial" w:eastAsia="Arial" w:hAnsi="Arial"/>
          <w:sz w:val="12"/>
          <w:szCs w:val="12"/>
          <w:color w:val="auto"/>
        </w:rPr>
        <w:t>Year-on-year, pretax operating margin decreased 24 bps to 16.0% largely due to the addition of the Smith and Geoservices activities as well as the effects of the geopolitical events.</w:t>
      </w:r>
    </w:p>
    <w:p>
      <w:pPr>
        <w:spacing w:after="0" w:line="100"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20</w:t>
      </w:r>
    </w:p>
    <w:p>
      <w:pPr>
        <w:sectPr>
          <w:pgSz w:w="11900" w:h="16838" w:orient="portrait"/>
          <w:cols w:equalWidth="0" w:num="1">
            <w:col w:w="11488"/>
          </w:cols>
          <w:pgMar w:left="212" w:top="354" w:right="199" w:bottom="1440" w:gutter="0" w:footer="0" w:header="0"/>
        </w:sectPr>
      </w:pPr>
    </w:p>
    <w:bookmarkStart w:id="20" w:name="page21"/>
    <w:bookmarkEnd w:id="20"/>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Reservoir Production</w:t>
      </w:r>
    </w:p>
    <w:p>
      <w:pPr>
        <w:spacing w:after="0" w:line="62" w:lineRule="exact"/>
        <w:rPr>
          <w:sz w:val="20"/>
          <w:szCs w:val="20"/>
          <w:color w:val="auto"/>
        </w:rPr>
      </w:pPr>
    </w:p>
    <w:p>
      <w:pPr>
        <w:ind w:left="8" w:right="40" w:firstLine="230"/>
        <w:spacing w:after="0" w:line="259" w:lineRule="auto"/>
        <w:rPr>
          <w:sz w:val="20"/>
          <w:szCs w:val="20"/>
          <w:color w:val="auto"/>
        </w:rPr>
      </w:pPr>
      <w:r>
        <w:rPr>
          <w:rFonts w:ascii="Arial" w:cs="Arial" w:eastAsia="Arial" w:hAnsi="Arial"/>
          <w:sz w:val="12"/>
          <w:szCs w:val="12"/>
          <w:color w:val="auto"/>
        </w:rPr>
        <w:t>Revenue of $12.75 billion was 41% higher than the same period last year while pretax operating margin increased 541 bps to 20.5%. Well Services revenue and margins expanded strongly in North America on higher pricing, capacity additions and improved asset utilization and efficiency as the market transitioned to liquid-rich plays. Internationally, Well Services also posted growth on the strength of higher activity, despite the exceptional geopolitical events which prevailed during the first quarter of 2011.</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u w:val="single" w:color="auto"/>
          <w:color w:val="auto"/>
        </w:rPr>
        <w:t>Distribution</w:t>
      </w:r>
    </w:p>
    <w:p>
      <w:pPr>
        <w:spacing w:after="0" w:line="60" w:lineRule="exact"/>
        <w:rPr>
          <w:sz w:val="20"/>
          <w:szCs w:val="20"/>
          <w:color w:val="auto"/>
        </w:rPr>
      </w:pPr>
    </w:p>
    <w:p>
      <w:pPr>
        <w:ind w:left="8" w:right="400" w:firstLine="230"/>
        <w:spacing w:after="0" w:line="268" w:lineRule="auto"/>
        <w:rPr>
          <w:sz w:val="20"/>
          <w:szCs w:val="20"/>
          <w:color w:val="auto"/>
        </w:rPr>
      </w:pPr>
      <w:r>
        <w:rPr>
          <w:rFonts w:ascii="Arial" w:cs="Arial" w:eastAsia="Arial" w:hAnsi="Arial"/>
          <w:sz w:val="12"/>
          <w:szCs w:val="12"/>
          <w:color w:val="auto"/>
        </w:rPr>
        <w:t>Revenue of $2.62 billion increased $1.85 billion, while pretax operating income of $103 million increased $74 million compared to last year. These increases are attributable to the fact that 2010 reflected only four months of activity following the Smith acquisition.</w:t>
      </w:r>
    </w:p>
    <w:p>
      <w:pPr>
        <w:spacing w:after="0" w:line="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Full-Year 2010 Results</w:t>
      </w:r>
    </w:p>
    <w:p>
      <w:pPr>
        <w:spacing w:after="0" w:line="194"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8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9"/>
                <w:szCs w:val="9"/>
                <w:b w:val="1"/>
                <w:bCs w:val="1"/>
                <w:color w:val="auto"/>
              </w:rPr>
              <w:t>(Stated in millions)</w:t>
            </w:r>
          </w:p>
        </w:tc>
        <w:tc>
          <w:tcPr>
            <w:tcW w:w="0" w:type="dxa"/>
            <w:vAlign w:val="bottom"/>
          </w:tcPr>
          <w:p>
            <w:pPr>
              <w:spacing w:after="0"/>
              <w:rPr>
                <w:sz w:val="1"/>
                <w:szCs w:val="1"/>
                <w:color w:val="auto"/>
              </w:rPr>
            </w:pPr>
          </w:p>
        </w:tc>
      </w:tr>
      <w:tr>
        <w:trPr>
          <w:trHeight w:val="199"/>
        </w:trPr>
        <w:tc>
          <w:tcPr>
            <w:tcW w:w="88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b w:val="1"/>
                <w:bCs w:val="1"/>
                <w:color w:val="auto"/>
              </w:rPr>
              <w:t>2010</w:t>
            </w: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color w:val="auto"/>
              </w:rPr>
              <w:t>2009</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88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gridSpan w:val="2"/>
          </w:tcPr>
          <w:p>
            <w:pPr>
              <w:jc w:val="right"/>
              <w:spacing w:after="0" w:line="79" w:lineRule="exact"/>
              <w:rPr>
                <w:sz w:val="20"/>
                <w:szCs w:val="20"/>
                <w:color w:val="auto"/>
              </w:rPr>
            </w:pPr>
            <w:r>
              <w:rPr>
                <w:rFonts w:ascii="Arial" w:cs="Arial" w:eastAsia="Arial" w:hAnsi="Arial"/>
                <w:sz w:val="9"/>
                <w:szCs w:val="9"/>
                <w:b w:val="1"/>
                <w:bCs w:val="1"/>
                <w:color w:val="auto"/>
                <w:w w:val="95"/>
              </w:rPr>
              <w:t>Income</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jc w:val="right"/>
              <w:spacing w:after="0" w:line="79" w:lineRule="exact"/>
              <w:rPr>
                <w:sz w:val="20"/>
                <w:szCs w:val="20"/>
                <w:color w:val="auto"/>
              </w:rPr>
            </w:pPr>
            <w:r>
              <w:rPr>
                <w:rFonts w:ascii="Arial" w:cs="Arial" w:eastAsia="Arial" w:hAnsi="Arial"/>
                <w:sz w:val="9"/>
                <w:szCs w:val="9"/>
                <w:color w:val="auto"/>
                <w:w w:val="87"/>
              </w:rPr>
              <w:t>Income</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8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w w:val="87"/>
              </w:rPr>
              <w:t>before</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before</w:t>
            </w:r>
          </w:p>
        </w:tc>
        <w:tc>
          <w:tcPr>
            <w:tcW w:w="0" w:type="dxa"/>
            <w:vAlign w:val="bottom"/>
          </w:tcPr>
          <w:p>
            <w:pPr>
              <w:spacing w:after="0"/>
              <w:rPr>
                <w:sz w:val="1"/>
                <w:szCs w:val="1"/>
                <w:color w:val="auto"/>
              </w:rPr>
            </w:pPr>
          </w:p>
        </w:tc>
      </w:tr>
      <w:tr>
        <w:trPr>
          <w:trHeight w:val="108"/>
        </w:trPr>
        <w:tc>
          <w:tcPr>
            <w:tcW w:w="88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w w:val="79"/>
              </w:rPr>
              <w:t>Revenue</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taxes</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w w:val="83"/>
              </w:rPr>
              <w:t>Revenue</w:t>
            </w:r>
          </w:p>
        </w:tc>
        <w:tc>
          <w:tcPr>
            <w:tcW w:w="40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taxes</w:t>
            </w:r>
          </w:p>
        </w:tc>
        <w:tc>
          <w:tcPr>
            <w:tcW w:w="0" w:type="dxa"/>
            <w:vAlign w:val="bottom"/>
          </w:tcPr>
          <w:p>
            <w:pPr>
              <w:spacing w:after="0"/>
              <w:rPr>
                <w:sz w:val="1"/>
                <w:szCs w:val="1"/>
                <w:color w:val="auto"/>
              </w:rPr>
            </w:pPr>
          </w:p>
        </w:tc>
      </w:tr>
      <w:tr>
        <w:trPr>
          <w:trHeight w:val="79"/>
        </w:trPr>
        <w:tc>
          <w:tcPr>
            <w:tcW w:w="882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i w:val="1"/>
                <w:iCs w:val="1"/>
                <w:color w:val="auto"/>
              </w:rPr>
              <w:t>Oilfield Services</w:t>
            </w:r>
          </w:p>
        </w:tc>
        <w:tc>
          <w:tcPr>
            <w:tcW w:w="60" w:type="dxa"/>
            <w:vAlign w:val="bottom"/>
            <w:tcBorders>
              <w:top w:val="single" w:sz="8" w:color="auto"/>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CCEEFF"/>
              <w:left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right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820" w:type="dxa"/>
            <w:vAlign w:val="bottom"/>
          </w:tcPr>
          <w:p>
            <w:pPr>
              <w:spacing w:after="0" w:line="99" w:lineRule="exact"/>
              <w:rPr>
                <w:sz w:val="20"/>
                <w:szCs w:val="20"/>
                <w:color w:val="auto"/>
              </w:rPr>
            </w:pPr>
            <w:r>
              <w:rPr>
                <w:rFonts w:ascii="Arial" w:cs="Arial" w:eastAsia="Arial" w:hAnsi="Arial"/>
                <w:sz w:val="9"/>
                <w:szCs w:val="9"/>
                <w:color w:val="auto"/>
              </w:rPr>
              <w:t>Reservoir Characterization</w:t>
            </w:r>
          </w:p>
        </w:tc>
        <w:tc>
          <w:tcPr>
            <w:tcW w:w="6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78"/>
              </w:rPr>
              <w:t>$</w:t>
            </w:r>
          </w:p>
        </w:tc>
        <w:tc>
          <w:tcPr>
            <w:tcW w:w="3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9,321</w:t>
            </w:r>
          </w:p>
        </w:tc>
        <w:tc>
          <w:tcPr>
            <w:tcW w:w="46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2,321</w:t>
            </w:r>
          </w:p>
        </w:tc>
        <w:tc>
          <w:tcPr>
            <w:tcW w:w="22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9,502</w:t>
            </w:r>
          </w:p>
        </w:tc>
        <w:tc>
          <w:tcPr>
            <w:tcW w:w="40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2,559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8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Drilling</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8,230</w:t>
            </w:r>
          </w:p>
        </w:tc>
        <w:tc>
          <w:tcPr>
            <w:tcW w:w="40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rPr>
              <w:t>1,334</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5,881</w:t>
            </w:r>
          </w:p>
        </w:tc>
        <w:tc>
          <w:tcPr>
            <w:tcW w:w="40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1,245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820" w:type="dxa"/>
            <w:vAlign w:val="bottom"/>
          </w:tcPr>
          <w:p>
            <w:pPr>
              <w:spacing w:after="0" w:line="99" w:lineRule="exact"/>
              <w:rPr>
                <w:sz w:val="20"/>
                <w:szCs w:val="20"/>
                <w:color w:val="auto"/>
              </w:rPr>
            </w:pPr>
            <w:r>
              <w:rPr>
                <w:rFonts w:ascii="Arial" w:cs="Arial" w:eastAsia="Arial" w:hAnsi="Arial"/>
                <w:sz w:val="9"/>
                <w:szCs w:val="9"/>
                <w:color w:val="auto"/>
              </w:rPr>
              <w:t>Reservoir Production</w:t>
            </w:r>
          </w:p>
        </w:tc>
        <w:tc>
          <w:tcPr>
            <w:tcW w:w="6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9,053</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1,368</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7,282</w:t>
            </w:r>
          </w:p>
        </w:tc>
        <w:tc>
          <w:tcPr>
            <w:tcW w:w="4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780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8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Eliminations &amp; other</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69</w:t>
            </w:r>
          </w:p>
        </w:tc>
        <w:tc>
          <w:tcPr>
            <w:tcW w:w="40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48</w:t>
            </w: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37</w:t>
            </w:r>
          </w:p>
        </w:tc>
        <w:tc>
          <w:tcPr>
            <w:tcW w:w="40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51</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8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26,673</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5,071</w:t>
            </w:r>
          </w:p>
        </w:tc>
        <w:tc>
          <w:tcPr>
            <w:tcW w:w="2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22,702</w:t>
            </w:r>
          </w:p>
        </w:tc>
        <w:tc>
          <w:tcPr>
            <w:tcW w:w="40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rPr>
              <w:t>4,635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82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i w:val="1"/>
                <w:iCs w:val="1"/>
                <w:color w:val="auto"/>
              </w:rPr>
              <w:t>Distribution</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774</w:t>
            </w:r>
          </w:p>
        </w:tc>
        <w:tc>
          <w:tcPr>
            <w:tcW w:w="40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29</w:t>
            </w: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400" w:type="dxa"/>
            <w:vAlign w:val="bottom"/>
            <w:tcBorders>
              <w:right w:val="single" w:sz="8" w:color="CCEEFF"/>
            </w:tcBorders>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8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8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774</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29</w:t>
            </w:r>
          </w:p>
        </w:tc>
        <w:tc>
          <w:tcPr>
            <w:tcW w:w="2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3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820" w:type="dxa"/>
            <w:vAlign w:val="bottom"/>
            <w:shd w:val="clear" w:color="auto" w:fill="CCEEFF"/>
          </w:tcPr>
          <w:p>
            <w:pPr>
              <w:spacing w:after="0" w:line="97" w:lineRule="exact"/>
              <w:rPr>
                <w:sz w:val="20"/>
                <w:szCs w:val="20"/>
                <w:color w:val="auto"/>
              </w:rPr>
            </w:pPr>
            <w:r>
              <w:rPr>
                <w:rFonts w:ascii="Arial" w:cs="Arial" w:eastAsia="Arial" w:hAnsi="Arial"/>
                <w:sz w:val="7"/>
                <w:szCs w:val="7"/>
                <w:color w:val="auto"/>
              </w:rPr>
              <w:t xml:space="preserve">Corporate &amp; other </w:t>
            </w:r>
            <w:r>
              <w:rPr>
                <w:rFonts w:ascii="Arial" w:cs="Arial" w:eastAsia="Arial" w:hAnsi="Arial"/>
                <w:sz w:val="11"/>
                <w:szCs w:val="11"/>
                <w:color w:val="auto"/>
                <w:vertAlign w:val="superscript"/>
              </w:rPr>
              <w:t>(1)</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0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b w:val="1"/>
                <w:bCs w:val="1"/>
                <w:color w:val="auto"/>
              </w:rPr>
              <w:t>(406)</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400" w:type="dxa"/>
            <w:vAlign w:val="bottom"/>
            <w:tcBorders>
              <w:right w:val="single" w:sz="8" w:color="CCEEFF"/>
            </w:tcBorders>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(327)</w:t>
            </w:r>
          </w:p>
        </w:tc>
        <w:tc>
          <w:tcPr>
            <w:tcW w:w="0" w:type="dxa"/>
            <w:vAlign w:val="bottom"/>
          </w:tcPr>
          <w:p>
            <w:pPr>
              <w:spacing w:after="0"/>
              <w:rPr>
                <w:sz w:val="1"/>
                <w:szCs w:val="1"/>
                <w:color w:val="auto"/>
              </w:rPr>
            </w:pPr>
          </w:p>
        </w:tc>
      </w:tr>
      <w:tr>
        <w:trPr>
          <w:trHeight w:val="99"/>
        </w:trPr>
        <w:tc>
          <w:tcPr>
            <w:tcW w:w="8820" w:type="dxa"/>
            <w:vAlign w:val="bottom"/>
          </w:tcPr>
          <w:p>
            <w:pPr>
              <w:spacing w:after="0" w:line="99" w:lineRule="exact"/>
              <w:rPr>
                <w:sz w:val="20"/>
                <w:szCs w:val="20"/>
                <w:color w:val="auto"/>
              </w:rPr>
            </w:pPr>
            <w:r>
              <w:rPr>
                <w:rFonts w:ascii="Arial" w:cs="Arial" w:eastAsia="Arial" w:hAnsi="Arial"/>
                <w:sz w:val="7"/>
                <w:szCs w:val="7"/>
                <w:color w:val="auto"/>
              </w:rPr>
              <w:t xml:space="preserve">Interest income </w:t>
            </w:r>
            <w:r>
              <w:rPr>
                <w:rFonts w:ascii="Arial" w:cs="Arial" w:eastAsia="Arial" w:hAnsi="Arial"/>
                <w:sz w:val="11"/>
                <w:szCs w:val="11"/>
                <w:color w:val="auto"/>
                <w:vertAlign w:val="superscript"/>
              </w:rPr>
              <w:t>(2)</w:t>
            </w:r>
          </w:p>
        </w:tc>
        <w:tc>
          <w:tcPr>
            <w:tcW w:w="6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43</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52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820" w:type="dxa"/>
            <w:vAlign w:val="bottom"/>
            <w:shd w:val="clear" w:color="auto" w:fill="CCEEFF"/>
          </w:tcPr>
          <w:p>
            <w:pPr>
              <w:spacing w:after="0" w:line="99" w:lineRule="exact"/>
              <w:rPr>
                <w:sz w:val="20"/>
                <w:szCs w:val="20"/>
                <w:color w:val="auto"/>
              </w:rPr>
            </w:pPr>
            <w:r>
              <w:rPr>
                <w:rFonts w:ascii="Arial" w:cs="Arial" w:eastAsia="Arial" w:hAnsi="Arial"/>
                <w:sz w:val="7"/>
                <w:szCs w:val="7"/>
                <w:color w:val="auto"/>
              </w:rPr>
              <w:t xml:space="preserve">Interest expense </w:t>
            </w:r>
            <w:r>
              <w:rPr>
                <w:rFonts w:ascii="Arial" w:cs="Arial" w:eastAsia="Arial" w:hAnsi="Arial"/>
                <w:sz w:val="11"/>
                <w:szCs w:val="11"/>
                <w:color w:val="auto"/>
                <w:vertAlign w:val="superscript"/>
              </w:rPr>
              <w:t>(3)</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b w:val="1"/>
                <w:bCs w:val="1"/>
                <w:color w:val="auto"/>
              </w:rPr>
              <w:t>(202)</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w:t>
            </w:r>
          </w:p>
        </w:tc>
        <w:tc>
          <w:tcPr>
            <w:tcW w:w="400" w:type="dxa"/>
            <w:vAlign w:val="bottom"/>
            <w:tcBorders>
              <w:right w:val="single" w:sz="8" w:color="CCEEFF"/>
            </w:tcBorders>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(188)</w:t>
            </w:r>
          </w:p>
        </w:tc>
        <w:tc>
          <w:tcPr>
            <w:tcW w:w="0" w:type="dxa"/>
            <w:vAlign w:val="bottom"/>
          </w:tcPr>
          <w:p>
            <w:pPr>
              <w:spacing w:after="0"/>
              <w:rPr>
                <w:sz w:val="1"/>
                <w:szCs w:val="1"/>
                <w:color w:val="auto"/>
              </w:rPr>
            </w:pPr>
          </w:p>
        </w:tc>
      </w:tr>
      <w:tr>
        <w:trPr>
          <w:trHeight w:val="99"/>
        </w:trPr>
        <w:tc>
          <w:tcPr>
            <w:tcW w:w="8820" w:type="dxa"/>
            <w:vAlign w:val="bottom"/>
          </w:tcPr>
          <w:p>
            <w:pPr>
              <w:spacing w:after="0" w:line="99" w:lineRule="exact"/>
              <w:rPr>
                <w:sz w:val="20"/>
                <w:szCs w:val="20"/>
                <w:color w:val="auto"/>
              </w:rPr>
            </w:pPr>
            <w:r>
              <w:rPr>
                <w:rFonts w:ascii="Arial" w:cs="Arial" w:eastAsia="Arial" w:hAnsi="Arial"/>
                <w:sz w:val="7"/>
                <w:szCs w:val="7"/>
                <w:color w:val="auto"/>
              </w:rPr>
              <w:t xml:space="preserve">Charges &amp; credits </w:t>
            </w:r>
            <w:r>
              <w:rPr>
                <w:rFonts w:ascii="Arial" w:cs="Arial" w:eastAsia="Arial" w:hAnsi="Arial"/>
                <w:sz w:val="11"/>
                <w:szCs w:val="11"/>
                <w:color w:val="auto"/>
                <w:vertAlign w:val="superscript"/>
              </w:rPr>
              <w:t>(4)</w:t>
            </w:r>
          </w:p>
        </w:tc>
        <w:tc>
          <w:tcPr>
            <w:tcW w:w="6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621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(238)</w:t>
            </w:r>
          </w:p>
        </w:tc>
        <w:tc>
          <w:tcPr>
            <w:tcW w:w="0" w:type="dxa"/>
            <w:vAlign w:val="bottom"/>
          </w:tcPr>
          <w:p>
            <w:pPr>
              <w:spacing w:after="0"/>
              <w:rPr>
                <w:sz w:val="1"/>
                <w:szCs w:val="1"/>
                <w:color w:val="auto"/>
              </w:rPr>
            </w:pPr>
          </w:p>
        </w:tc>
      </w:tr>
      <w:tr>
        <w:trPr>
          <w:trHeight w:val="20"/>
        </w:trPr>
        <w:tc>
          <w:tcPr>
            <w:tcW w:w="8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8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78"/>
              </w:rPr>
              <w:t>$</w:t>
            </w:r>
          </w:p>
        </w:tc>
        <w:tc>
          <w:tcPr>
            <w:tcW w:w="32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27,447</w:t>
            </w:r>
          </w:p>
        </w:tc>
        <w:tc>
          <w:tcPr>
            <w:tcW w:w="460" w:type="dxa"/>
            <w:vAlign w:val="bottom"/>
            <w:tcBorders>
              <w:left w:val="single" w:sz="8" w:color="CCEEFF"/>
            </w:tcBorders>
            <w:gridSpan w:val="2"/>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b w:val="1"/>
                <w:bCs w:val="1"/>
                <w:color w:val="auto"/>
              </w:rPr>
              <w:t>5,156</w:t>
            </w:r>
          </w:p>
        </w:tc>
        <w:tc>
          <w:tcPr>
            <w:tcW w:w="2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22,702</w:t>
            </w:r>
          </w:p>
        </w:tc>
        <w:tc>
          <w:tcPr>
            <w:tcW w:w="40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3,934</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9"/>
                <w:szCs w:val="9"/>
                <w:b w:val="1"/>
                <w:bCs w:val="1"/>
                <w:color w:val="auto"/>
              </w:rPr>
              <w:t>(Stated in millions)</w:t>
            </w:r>
          </w:p>
        </w:tc>
        <w:tc>
          <w:tcPr>
            <w:tcW w:w="0" w:type="dxa"/>
            <w:vAlign w:val="bottom"/>
          </w:tcPr>
          <w:p>
            <w:pPr>
              <w:spacing w:after="0"/>
              <w:rPr>
                <w:sz w:val="1"/>
                <w:szCs w:val="1"/>
                <w:color w:val="auto"/>
              </w:rPr>
            </w:pPr>
          </w:p>
        </w:tc>
      </w:tr>
      <w:tr>
        <w:trPr>
          <w:trHeight w:val="199"/>
        </w:trPr>
        <w:tc>
          <w:tcPr>
            <w:tcW w:w="88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b w:val="1"/>
                <w:bCs w:val="1"/>
                <w:color w:val="auto"/>
              </w:rPr>
              <w:t>2010</w:t>
            </w: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color w:val="auto"/>
              </w:rPr>
              <w:t>2009</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88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gridSpan w:val="2"/>
          </w:tcPr>
          <w:p>
            <w:pPr>
              <w:jc w:val="right"/>
              <w:spacing w:after="0" w:line="79" w:lineRule="exact"/>
              <w:rPr>
                <w:sz w:val="20"/>
                <w:szCs w:val="20"/>
                <w:color w:val="auto"/>
              </w:rPr>
            </w:pPr>
            <w:r>
              <w:rPr>
                <w:rFonts w:ascii="Arial" w:cs="Arial" w:eastAsia="Arial" w:hAnsi="Arial"/>
                <w:sz w:val="9"/>
                <w:szCs w:val="9"/>
                <w:b w:val="1"/>
                <w:bCs w:val="1"/>
                <w:color w:val="auto"/>
                <w:w w:val="95"/>
              </w:rPr>
              <w:t>Income</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jc w:val="right"/>
              <w:spacing w:after="0" w:line="79" w:lineRule="exact"/>
              <w:rPr>
                <w:sz w:val="20"/>
                <w:szCs w:val="20"/>
                <w:color w:val="auto"/>
              </w:rPr>
            </w:pPr>
            <w:r>
              <w:rPr>
                <w:rFonts w:ascii="Arial" w:cs="Arial" w:eastAsia="Arial" w:hAnsi="Arial"/>
                <w:sz w:val="9"/>
                <w:szCs w:val="9"/>
                <w:color w:val="auto"/>
                <w:w w:val="87"/>
              </w:rPr>
              <w:t>Income</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8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w w:val="87"/>
              </w:rPr>
              <w:t>before</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before</w:t>
            </w:r>
          </w:p>
        </w:tc>
        <w:tc>
          <w:tcPr>
            <w:tcW w:w="0" w:type="dxa"/>
            <w:vAlign w:val="bottom"/>
          </w:tcPr>
          <w:p>
            <w:pPr>
              <w:spacing w:after="0"/>
              <w:rPr>
                <w:sz w:val="1"/>
                <w:szCs w:val="1"/>
                <w:color w:val="auto"/>
              </w:rPr>
            </w:pPr>
          </w:p>
        </w:tc>
      </w:tr>
      <w:tr>
        <w:trPr>
          <w:trHeight w:val="108"/>
        </w:trPr>
        <w:tc>
          <w:tcPr>
            <w:tcW w:w="88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w w:val="79"/>
              </w:rPr>
              <w:t>Revenue</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taxes</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w w:val="83"/>
              </w:rPr>
              <w:t>Revenue</w:t>
            </w:r>
          </w:p>
        </w:tc>
        <w:tc>
          <w:tcPr>
            <w:tcW w:w="40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taxes</w:t>
            </w:r>
          </w:p>
        </w:tc>
        <w:tc>
          <w:tcPr>
            <w:tcW w:w="0" w:type="dxa"/>
            <w:vAlign w:val="bottom"/>
          </w:tcPr>
          <w:p>
            <w:pPr>
              <w:spacing w:after="0"/>
              <w:rPr>
                <w:sz w:val="1"/>
                <w:szCs w:val="1"/>
                <w:color w:val="auto"/>
              </w:rPr>
            </w:pPr>
          </w:p>
        </w:tc>
      </w:tr>
      <w:tr>
        <w:trPr>
          <w:trHeight w:val="79"/>
        </w:trPr>
        <w:tc>
          <w:tcPr>
            <w:tcW w:w="882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i w:val="1"/>
                <w:iCs w:val="1"/>
                <w:color w:val="auto"/>
              </w:rPr>
              <w:t>Oilfield Services</w:t>
            </w:r>
          </w:p>
        </w:tc>
        <w:tc>
          <w:tcPr>
            <w:tcW w:w="60" w:type="dxa"/>
            <w:vAlign w:val="bottom"/>
            <w:tcBorders>
              <w:top w:val="single" w:sz="8" w:color="auto"/>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CCEEFF"/>
              <w:left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right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820" w:type="dxa"/>
            <w:vAlign w:val="bottom"/>
          </w:tcPr>
          <w:p>
            <w:pPr>
              <w:spacing w:after="0" w:line="99" w:lineRule="exact"/>
              <w:rPr>
                <w:sz w:val="20"/>
                <w:szCs w:val="20"/>
                <w:color w:val="auto"/>
              </w:rPr>
            </w:pPr>
            <w:r>
              <w:rPr>
                <w:rFonts w:ascii="Arial" w:cs="Arial" w:eastAsia="Arial" w:hAnsi="Arial"/>
                <w:sz w:val="9"/>
                <w:szCs w:val="9"/>
                <w:color w:val="auto"/>
              </w:rPr>
              <w:t>North America</w:t>
            </w:r>
          </w:p>
        </w:tc>
        <w:tc>
          <w:tcPr>
            <w:tcW w:w="6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78"/>
              </w:rPr>
              <w:t>$</w:t>
            </w:r>
          </w:p>
        </w:tc>
        <w:tc>
          <w:tcPr>
            <w:tcW w:w="3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6,729</w:t>
            </w:r>
          </w:p>
        </w:tc>
        <w:tc>
          <w:tcPr>
            <w:tcW w:w="46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1,145</w:t>
            </w:r>
          </w:p>
        </w:tc>
        <w:tc>
          <w:tcPr>
            <w:tcW w:w="22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4,217</w:t>
            </w:r>
          </w:p>
        </w:tc>
        <w:tc>
          <w:tcPr>
            <w:tcW w:w="40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387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8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Latin America</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4,985</w:t>
            </w:r>
          </w:p>
        </w:tc>
        <w:tc>
          <w:tcPr>
            <w:tcW w:w="40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rPr>
              <w:t>808</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4,552</w:t>
            </w:r>
          </w:p>
        </w:tc>
        <w:tc>
          <w:tcPr>
            <w:tcW w:w="40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864</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820" w:type="dxa"/>
            <w:vAlign w:val="bottom"/>
          </w:tcPr>
          <w:p>
            <w:pPr>
              <w:spacing w:after="0" w:line="99" w:lineRule="exact"/>
              <w:rPr>
                <w:sz w:val="20"/>
                <w:szCs w:val="20"/>
                <w:color w:val="auto"/>
              </w:rPr>
            </w:pPr>
            <w:r>
              <w:rPr>
                <w:rFonts w:ascii="Arial" w:cs="Arial" w:eastAsia="Arial" w:hAnsi="Arial"/>
                <w:sz w:val="9"/>
                <w:szCs w:val="9"/>
                <w:color w:val="auto"/>
              </w:rPr>
              <w:t>Europe/CIS/Africa</w:t>
            </w:r>
          </w:p>
        </w:tc>
        <w:tc>
          <w:tcPr>
            <w:tcW w:w="6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8,024</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1,457</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7,737</w:t>
            </w:r>
          </w:p>
        </w:tc>
        <w:tc>
          <w:tcPr>
            <w:tcW w:w="4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1,821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8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Middle East &amp; Asia</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6,650</w:t>
            </w:r>
          </w:p>
        </w:tc>
        <w:tc>
          <w:tcPr>
            <w:tcW w:w="40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rPr>
              <w:t>1,764</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5,961</w:t>
            </w:r>
          </w:p>
        </w:tc>
        <w:tc>
          <w:tcPr>
            <w:tcW w:w="40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1,817</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820" w:type="dxa"/>
            <w:vAlign w:val="bottom"/>
          </w:tcPr>
          <w:p>
            <w:pPr>
              <w:spacing w:after="0" w:line="99" w:lineRule="exact"/>
              <w:rPr>
                <w:sz w:val="20"/>
                <w:szCs w:val="20"/>
                <w:color w:val="auto"/>
              </w:rPr>
            </w:pPr>
            <w:r>
              <w:rPr>
                <w:rFonts w:ascii="Arial" w:cs="Arial" w:eastAsia="Arial" w:hAnsi="Arial"/>
                <w:sz w:val="9"/>
                <w:szCs w:val="9"/>
                <w:color w:val="auto"/>
              </w:rPr>
              <w:t>Eliminations &amp; other</w:t>
            </w:r>
          </w:p>
        </w:tc>
        <w:tc>
          <w:tcPr>
            <w:tcW w:w="6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285</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(103)</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235</w:t>
            </w:r>
          </w:p>
        </w:tc>
        <w:tc>
          <w:tcPr>
            <w:tcW w:w="40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(254)</w:t>
            </w:r>
          </w:p>
        </w:tc>
        <w:tc>
          <w:tcPr>
            <w:tcW w:w="0" w:type="dxa"/>
            <w:vAlign w:val="bottom"/>
          </w:tcPr>
          <w:p>
            <w:pPr>
              <w:spacing w:after="0"/>
              <w:rPr>
                <w:sz w:val="1"/>
                <w:szCs w:val="1"/>
                <w:color w:val="auto"/>
              </w:rPr>
            </w:pPr>
          </w:p>
        </w:tc>
      </w:tr>
      <w:tr>
        <w:trPr>
          <w:trHeight w:val="20"/>
        </w:trPr>
        <w:tc>
          <w:tcPr>
            <w:tcW w:w="8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8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26,673</w:t>
            </w:r>
          </w:p>
        </w:tc>
        <w:tc>
          <w:tcPr>
            <w:tcW w:w="40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5,071</w:t>
            </w: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22,702</w:t>
            </w:r>
          </w:p>
        </w:tc>
        <w:tc>
          <w:tcPr>
            <w:tcW w:w="40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4,635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9"/>
                <w:szCs w:val="9"/>
                <w:b w:val="1"/>
                <w:bCs w:val="1"/>
                <w:i w:val="1"/>
                <w:iCs w:val="1"/>
                <w:color w:val="auto"/>
              </w:rPr>
              <w:t>Distribution</w:t>
            </w: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8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774</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29</w:t>
            </w:r>
          </w:p>
        </w:tc>
        <w:tc>
          <w:tcPr>
            <w:tcW w:w="2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3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8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8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774</w:t>
            </w:r>
          </w:p>
        </w:tc>
        <w:tc>
          <w:tcPr>
            <w:tcW w:w="40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29</w:t>
            </w: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400" w:type="dxa"/>
            <w:vAlign w:val="bottom"/>
            <w:tcBorders>
              <w:right w:val="single" w:sz="8" w:color="CCEEFF"/>
            </w:tcBorders>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line="117" w:lineRule="exact"/>
              <w:rPr>
                <w:sz w:val="20"/>
                <w:szCs w:val="20"/>
                <w:color w:val="auto"/>
              </w:rPr>
            </w:pPr>
            <w:r>
              <w:rPr>
                <w:rFonts w:ascii="Arial" w:cs="Arial" w:eastAsia="Arial" w:hAnsi="Arial"/>
                <w:sz w:val="8"/>
                <w:szCs w:val="8"/>
                <w:color w:val="auto"/>
              </w:rPr>
              <w:t xml:space="preserve">Corporate &amp; other </w:t>
            </w:r>
            <w:r>
              <w:rPr>
                <w:rFonts w:ascii="Arial" w:cs="Arial" w:eastAsia="Arial" w:hAnsi="Arial"/>
                <w:sz w:val="13"/>
                <w:szCs w:val="13"/>
                <w:color w:val="auto"/>
                <w:vertAlign w:val="superscript"/>
              </w:rPr>
              <w:t>(1)</w:t>
            </w: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8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(406)</w:t>
            </w:r>
          </w:p>
        </w:tc>
        <w:tc>
          <w:tcPr>
            <w:tcW w:w="2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3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(327)</w:t>
            </w:r>
          </w:p>
        </w:tc>
        <w:tc>
          <w:tcPr>
            <w:tcW w:w="0" w:type="dxa"/>
            <w:vAlign w:val="bottom"/>
          </w:tcPr>
          <w:p>
            <w:pPr>
              <w:spacing w:after="0"/>
              <w:rPr>
                <w:sz w:val="1"/>
                <w:szCs w:val="1"/>
                <w:color w:val="auto"/>
              </w:rPr>
            </w:pPr>
          </w:p>
        </w:tc>
      </w:tr>
      <w:tr>
        <w:trPr>
          <w:trHeight w:val="99"/>
        </w:trPr>
        <w:tc>
          <w:tcPr>
            <w:tcW w:w="8820" w:type="dxa"/>
            <w:vAlign w:val="bottom"/>
            <w:shd w:val="clear" w:color="auto" w:fill="CCEEFF"/>
          </w:tcPr>
          <w:p>
            <w:pPr>
              <w:spacing w:after="0" w:line="99" w:lineRule="exact"/>
              <w:rPr>
                <w:sz w:val="20"/>
                <w:szCs w:val="20"/>
                <w:color w:val="auto"/>
              </w:rPr>
            </w:pPr>
            <w:r>
              <w:rPr>
                <w:rFonts w:ascii="Arial" w:cs="Arial" w:eastAsia="Arial" w:hAnsi="Arial"/>
                <w:sz w:val="7"/>
                <w:szCs w:val="7"/>
                <w:color w:val="auto"/>
              </w:rPr>
              <w:t xml:space="preserve">Interest income </w:t>
            </w:r>
            <w:r>
              <w:rPr>
                <w:rFonts w:ascii="Arial" w:cs="Arial" w:eastAsia="Arial" w:hAnsi="Arial"/>
                <w:sz w:val="11"/>
                <w:szCs w:val="11"/>
                <w:color w:val="auto"/>
                <w:vertAlign w:val="superscript"/>
              </w:rPr>
              <w:t>(2)</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rPr>
              <w:t>43</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w:t>
            </w:r>
          </w:p>
        </w:tc>
        <w:tc>
          <w:tcPr>
            <w:tcW w:w="40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820" w:type="dxa"/>
            <w:vAlign w:val="bottom"/>
          </w:tcPr>
          <w:p>
            <w:pPr>
              <w:spacing w:after="0" w:line="99" w:lineRule="exact"/>
              <w:rPr>
                <w:sz w:val="20"/>
                <w:szCs w:val="20"/>
                <w:color w:val="auto"/>
              </w:rPr>
            </w:pPr>
            <w:r>
              <w:rPr>
                <w:rFonts w:ascii="Arial" w:cs="Arial" w:eastAsia="Arial" w:hAnsi="Arial"/>
                <w:sz w:val="7"/>
                <w:szCs w:val="7"/>
                <w:color w:val="auto"/>
              </w:rPr>
              <w:t xml:space="preserve">Interest expense </w:t>
            </w:r>
            <w:r>
              <w:rPr>
                <w:rFonts w:ascii="Arial" w:cs="Arial" w:eastAsia="Arial" w:hAnsi="Arial"/>
                <w:sz w:val="11"/>
                <w:szCs w:val="11"/>
                <w:color w:val="auto"/>
                <w:vertAlign w:val="superscript"/>
              </w:rPr>
              <w:t>(3)</w:t>
            </w:r>
          </w:p>
        </w:tc>
        <w:tc>
          <w:tcPr>
            <w:tcW w:w="6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(202)</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(188)</w:t>
            </w:r>
          </w:p>
        </w:tc>
        <w:tc>
          <w:tcPr>
            <w:tcW w:w="0" w:type="dxa"/>
            <w:vAlign w:val="bottom"/>
          </w:tcPr>
          <w:p>
            <w:pPr>
              <w:spacing w:after="0"/>
              <w:rPr>
                <w:sz w:val="1"/>
                <w:szCs w:val="1"/>
                <w:color w:val="auto"/>
              </w:rPr>
            </w:pPr>
          </w:p>
        </w:tc>
      </w:tr>
      <w:tr>
        <w:trPr>
          <w:trHeight w:val="99"/>
        </w:trPr>
        <w:tc>
          <w:tcPr>
            <w:tcW w:w="8820" w:type="dxa"/>
            <w:vAlign w:val="bottom"/>
            <w:shd w:val="clear" w:color="auto" w:fill="CCEEFF"/>
          </w:tcPr>
          <w:p>
            <w:pPr>
              <w:spacing w:after="0" w:line="99" w:lineRule="exact"/>
              <w:rPr>
                <w:sz w:val="20"/>
                <w:szCs w:val="20"/>
                <w:color w:val="auto"/>
              </w:rPr>
            </w:pPr>
            <w:r>
              <w:rPr>
                <w:rFonts w:ascii="Arial" w:cs="Arial" w:eastAsia="Arial" w:hAnsi="Arial"/>
                <w:sz w:val="7"/>
                <w:szCs w:val="7"/>
                <w:color w:val="auto"/>
              </w:rPr>
              <w:t xml:space="preserve">Charges &amp; credits </w:t>
            </w:r>
            <w:r>
              <w:rPr>
                <w:rFonts w:ascii="Arial" w:cs="Arial" w:eastAsia="Arial" w:hAnsi="Arial"/>
                <w:sz w:val="11"/>
                <w:szCs w:val="11"/>
                <w:color w:val="auto"/>
                <w:vertAlign w:val="superscript"/>
              </w:rPr>
              <w:t>(4)</w:t>
            </w: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621</w:t>
            </w: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w:t>
            </w:r>
          </w:p>
        </w:tc>
        <w:tc>
          <w:tcPr>
            <w:tcW w:w="400" w:type="dxa"/>
            <w:vAlign w:val="bottom"/>
            <w:tcBorders>
              <w:right w:val="single" w:sz="8" w:color="CCEEFF"/>
            </w:tcBorders>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(238)</w:t>
            </w:r>
          </w:p>
        </w:tc>
        <w:tc>
          <w:tcPr>
            <w:tcW w:w="0" w:type="dxa"/>
            <w:vAlign w:val="bottom"/>
          </w:tcPr>
          <w:p>
            <w:pPr>
              <w:spacing w:after="0"/>
              <w:rPr>
                <w:sz w:val="1"/>
                <w:szCs w:val="1"/>
                <w:color w:val="auto"/>
              </w:rPr>
            </w:pPr>
          </w:p>
        </w:tc>
      </w:tr>
      <w:tr>
        <w:trPr>
          <w:trHeight w:val="20"/>
        </w:trPr>
        <w:tc>
          <w:tcPr>
            <w:tcW w:w="8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82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78"/>
              </w:rPr>
              <w:t>$</w:t>
            </w:r>
          </w:p>
        </w:tc>
        <w:tc>
          <w:tcPr>
            <w:tcW w:w="32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27,447</w:t>
            </w:r>
          </w:p>
        </w:tc>
        <w:tc>
          <w:tcPr>
            <w:tcW w:w="40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26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5,156</w:t>
            </w:r>
          </w:p>
        </w:tc>
        <w:tc>
          <w:tcPr>
            <w:tcW w:w="2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22,702</w:t>
            </w:r>
          </w:p>
        </w:tc>
        <w:tc>
          <w:tcPr>
            <w:tcW w:w="40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rPr>
              <w:t>3,934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228" w:hanging="228"/>
        <w:spacing w:after="0"/>
        <w:tabs>
          <w:tab w:leader="none" w:pos="228" w:val="left"/>
        </w:tabs>
        <w:numPr>
          <w:ilvl w:val="0"/>
          <w:numId w:val="11"/>
        </w:numPr>
        <w:rPr>
          <w:rFonts w:ascii="Arial" w:cs="Arial" w:eastAsia="Arial" w:hAnsi="Arial"/>
          <w:sz w:val="8"/>
          <w:szCs w:val="8"/>
          <w:color w:val="auto"/>
        </w:rPr>
      </w:pPr>
      <w:r>
        <w:rPr>
          <w:rFonts w:ascii="Arial" w:cs="Arial" w:eastAsia="Arial" w:hAnsi="Arial"/>
          <w:sz w:val="8"/>
          <w:szCs w:val="8"/>
          <w:color w:val="auto"/>
        </w:rPr>
        <w:t>Comprised principally of corporate expenses not allocated to the segments, interest on postretirement medical benefits, stock-based compensation costs, amortization expense associated with intangible assets recorded as a result of the acquisition of Smith and certain other nonoperating items.</w:t>
      </w:r>
    </w:p>
    <w:p>
      <w:pPr>
        <w:spacing w:after="0" w:line="15" w:lineRule="exact"/>
        <w:rPr>
          <w:rFonts w:ascii="Arial" w:cs="Arial" w:eastAsia="Arial" w:hAnsi="Arial"/>
          <w:sz w:val="8"/>
          <w:szCs w:val="8"/>
          <w:color w:val="auto"/>
        </w:rPr>
      </w:pPr>
    </w:p>
    <w:p>
      <w:pPr>
        <w:ind w:left="228" w:hanging="228"/>
        <w:spacing w:after="0" w:line="229" w:lineRule="auto"/>
        <w:tabs>
          <w:tab w:leader="none" w:pos="228" w:val="left"/>
        </w:tabs>
        <w:numPr>
          <w:ilvl w:val="0"/>
          <w:numId w:val="11"/>
        </w:numPr>
        <w:rPr>
          <w:rFonts w:ascii="Arial" w:cs="Arial" w:eastAsia="Arial" w:hAnsi="Arial"/>
          <w:sz w:val="9"/>
          <w:szCs w:val="9"/>
          <w:color w:val="auto"/>
        </w:rPr>
      </w:pPr>
      <w:r>
        <w:rPr>
          <w:rFonts w:ascii="Arial" w:cs="Arial" w:eastAsia="Arial" w:hAnsi="Arial"/>
          <w:sz w:val="9"/>
          <w:szCs w:val="9"/>
          <w:color w:val="auto"/>
        </w:rPr>
        <w:t>Excludes interest income included in the segments’ income (2010 – $7 million; 2009 – $10 million).</w:t>
      </w:r>
    </w:p>
    <w:p>
      <w:pPr>
        <w:ind w:left="228" w:hanging="228"/>
        <w:spacing w:after="0" w:line="229" w:lineRule="auto"/>
        <w:tabs>
          <w:tab w:leader="none" w:pos="228" w:val="left"/>
        </w:tabs>
        <w:numPr>
          <w:ilvl w:val="0"/>
          <w:numId w:val="11"/>
        </w:numPr>
        <w:rPr>
          <w:rFonts w:ascii="Arial" w:cs="Arial" w:eastAsia="Arial" w:hAnsi="Arial"/>
          <w:sz w:val="9"/>
          <w:szCs w:val="9"/>
          <w:color w:val="auto"/>
        </w:rPr>
      </w:pPr>
      <w:r>
        <w:rPr>
          <w:rFonts w:ascii="Arial" w:cs="Arial" w:eastAsia="Arial" w:hAnsi="Arial"/>
          <w:sz w:val="9"/>
          <w:szCs w:val="9"/>
          <w:color w:val="auto"/>
        </w:rPr>
        <w:t>Excludes interest expense included in the segments’ income (2010 – $5 million; 2009 – $33 million).</w:t>
      </w:r>
    </w:p>
    <w:p>
      <w:pPr>
        <w:ind w:left="228" w:hanging="228"/>
        <w:spacing w:after="0"/>
        <w:tabs>
          <w:tab w:leader="none" w:pos="228" w:val="left"/>
        </w:tabs>
        <w:numPr>
          <w:ilvl w:val="0"/>
          <w:numId w:val="11"/>
        </w:numPr>
        <w:rPr>
          <w:rFonts w:ascii="Arial" w:cs="Arial" w:eastAsia="Arial" w:hAnsi="Arial"/>
          <w:sz w:val="9"/>
          <w:szCs w:val="9"/>
          <w:color w:val="auto"/>
        </w:rPr>
      </w:pPr>
      <w:r>
        <w:rPr>
          <w:rFonts w:ascii="Arial" w:cs="Arial" w:eastAsia="Arial" w:hAnsi="Arial"/>
          <w:sz w:val="9"/>
          <w:szCs w:val="9"/>
          <w:color w:val="auto"/>
        </w:rPr>
        <w:t>Charges and credits are described in detail in Note 3 to the Consolidated Financial Statements.</w:t>
      </w:r>
    </w:p>
    <w:p>
      <w:pPr>
        <w:spacing w:after="0" w:line="87"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21</w:t>
      </w:r>
    </w:p>
    <w:p>
      <w:pPr>
        <w:sectPr>
          <w:pgSz w:w="11900" w:h="16838" w:orient="portrait"/>
          <w:cols w:equalWidth="0" w:num="1">
            <w:col w:w="11488"/>
          </w:cols>
          <w:pgMar w:left="212" w:top="354" w:right="199"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Oilfield Services</w:t>
      </w:r>
    </w:p>
    <w:p>
      <w:pPr>
        <w:spacing w:after="0" w:line="60" w:lineRule="exact"/>
        <w:rPr>
          <w:sz w:val="20"/>
          <w:szCs w:val="20"/>
          <w:color w:val="auto"/>
        </w:rPr>
      </w:pPr>
    </w:p>
    <w:p>
      <w:pPr>
        <w:ind w:right="120" w:firstLine="230"/>
        <w:spacing w:after="0" w:line="254" w:lineRule="auto"/>
        <w:rPr>
          <w:sz w:val="20"/>
          <w:szCs w:val="20"/>
          <w:color w:val="auto"/>
        </w:rPr>
      </w:pPr>
      <w:r>
        <w:rPr>
          <w:rFonts w:ascii="Arial" w:cs="Arial" w:eastAsia="Arial" w:hAnsi="Arial"/>
          <w:sz w:val="12"/>
          <w:szCs w:val="12"/>
          <w:color w:val="auto"/>
        </w:rPr>
        <w:t>Full-year 2010 revenue of $26.67 billion was 17% higher than 2009. This increase was largely attributable to the acquisition of Smith as well as significantly higher activity and pricing for Well Services technologies in US land. However, these increases were partially offset by lower activity in the US Gulf of Mexico due to the deepwater drilling moratorium and by lower pricing and activity in Europe/CIS/Africa.</w:t>
      </w:r>
    </w:p>
    <w:p>
      <w:pPr>
        <w:ind w:right="220" w:firstLine="230"/>
        <w:spacing w:after="0" w:line="261" w:lineRule="auto"/>
        <w:rPr>
          <w:sz w:val="20"/>
          <w:szCs w:val="20"/>
          <w:color w:val="auto"/>
        </w:rPr>
      </w:pPr>
      <w:r>
        <w:rPr>
          <w:rFonts w:ascii="Arial" w:cs="Arial" w:eastAsia="Arial" w:hAnsi="Arial"/>
          <w:sz w:val="12"/>
          <w:szCs w:val="12"/>
          <w:color w:val="auto"/>
        </w:rPr>
        <w:t>Year-on-year, pretax operating margin declined 141 bps to 19.0% primarily due to the inclusion of the acquired Smith businesses as well as the reduced activity and weaker pricing in the Europe/CIS/Africa Area. These effects, however, were partially offset by the impact of the stronger activity and pricing for Well Services technologies in US land.</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Reservoir Characterization</w:t>
      </w:r>
    </w:p>
    <w:p>
      <w:pPr>
        <w:spacing w:after="0" w:line="62" w:lineRule="exact"/>
        <w:rPr>
          <w:sz w:val="20"/>
          <w:szCs w:val="20"/>
          <w:color w:val="auto"/>
        </w:rPr>
      </w:pPr>
    </w:p>
    <w:p>
      <w:pPr>
        <w:ind w:right="80" w:firstLine="230"/>
        <w:spacing w:after="0" w:line="276" w:lineRule="auto"/>
        <w:rPr>
          <w:sz w:val="20"/>
          <w:szCs w:val="20"/>
          <w:color w:val="auto"/>
        </w:rPr>
      </w:pPr>
      <w:r>
        <w:rPr>
          <w:rFonts w:ascii="Arial" w:cs="Arial" w:eastAsia="Arial" w:hAnsi="Arial"/>
          <w:sz w:val="11"/>
          <w:szCs w:val="11"/>
          <w:color w:val="auto"/>
        </w:rPr>
        <w:t>Revenue of $9.32 billion was 2% lower than last year. WesternGeco revenue decreased primarily due to reduced activity and pricing for Marine acquisition services, which was partially offset by higher sales of wide-azimuth multiclient surveys in the US Gulf of Mexico. Wireline revenue fell primarily due to the deepwater drilling moratorium in the Gulf of Mexico and reduced activity and lower pricing in Europe/CIS/Africa. Testing Services revenue also decreased as a result of lower activity and pricing in Europe/CIS/Africa. These decreases were partially offset by an increase in SIS revenue primarily in Latin America and North America.</w:t>
      </w:r>
    </w:p>
    <w:p>
      <w:pPr>
        <w:ind w:right="340" w:firstLine="230"/>
        <w:spacing w:after="0" w:line="387" w:lineRule="auto"/>
        <w:rPr>
          <w:sz w:val="20"/>
          <w:szCs w:val="20"/>
          <w:color w:val="auto"/>
        </w:rPr>
      </w:pPr>
      <w:r>
        <w:rPr>
          <w:rFonts w:ascii="Arial" w:cs="Arial" w:eastAsia="Arial" w:hAnsi="Arial"/>
          <w:sz w:val="12"/>
          <w:szCs w:val="12"/>
          <w:color w:val="auto"/>
        </w:rPr>
        <w:t xml:space="preserve">Year-on-year, pretax operating margin decreased 203 bps to 24.9% mostly due to the lower activity and pricing for Wireline and Testing services in Europe/CIS/Africa and from the impact of the moratorium in the US Gulf of Mexico. </w:t>
      </w:r>
      <w:r>
        <w:rPr>
          <w:rFonts w:ascii="Arial" w:cs="Arial" w:eastAsia="Arial" w:hAnsi="Arial"/>
          <w:sz w:val="12"/>
          <w:szCs w:val="12"/>
          <w:b w:val="1"/>
          <w:bCs w:val="1"/>
          <w:color w:val="auto"/>
        </w:rPr>
        <w:t>Drilling</w:t>
      </w:r>
    </w:p>
    <w:p>
      <w:pPr>
        <w:spacing w:after="0" w:line="1" w:lineRule="exact"/>
        <w:rPr>
          <w:sz w:val="20"/>
          <w:szCs w:val="20"/>
          <w:color w:val="auto"/>
        </w:rPr>
      </w:pPr>
    </w:p>
    <w:p>
      <w:pPr>
        <w:ind w:right="260" w:firstLine="230"/>
        <w:spacing w:after="0" w:line="254" w:lineRule="auto"/>
        <w:rPr>
          <w:sz w:val="20"/>
          <w:szCs w:val="20"/>
          <w:color w:val="auto"/>
        </w:rPr>
      </w:pPr>
      <w:r>
        <w:rPr>
          <w:rFonts w:ascii="Arial" w:cs="Arial" w:eastAsia="Arial" w:hAnsi="Arial"/>
          <w:sz w:val="12"/>
          <w:szCs w:val="12"/>
          <w:color w:val="auto"/>
        </w:rPr>
        <w:t>Revenue of $8.23 billion was 40% higher than the previous year. This increase was primarily driven from the acquisitions of Smith and Geoservices during 2010 partially offset by lower revenue for Drilling &amp; Measurements due to the impact of the deepwater drilling moratorium in the US Gulf of Mexico and generally lower pricing in international markets.</w:t>
      </w:r>
    </w:p>
    <w:p>
      <w:pPr>
        <w:ind w:right="1960" w:firstLine="230"/>
        <w:spacing w:after="0" w:line="387" w:lineRule="auto"/>
        <w:rPr>
          <w:sz w:val="20"/>
          <w:szCs w:val="20"/>
          <w:color w:val="auto"/>
        </w:rPr>
      </w:pPr>
      <w:r>
        <w:rPr>
          <w:rFonts w:ascii="Arial" w:cs="Arial" w:eastAsia="Arial" w:hAnsi="Arial"/>
          <w:sz w:val="12"/>
          <w:szCs w:val="12"/>
          <w:color w:val="auto"/>
        </w:rPr>
        <w:t xml:space="preserve">Year-on-year, pretax operating margin decreased 496 bps to 16.2% due to the inclusion of the Smith and Geoservices technologies as well the lower pricing and activity for Drilling &amp; Measurements. </w:t>
      </w:r>
      <w:r>
        <w:rPr>
          <w:rFonts w:ascii="Arial" w:cs="Arial" w:eastAsia="Arial" w:hAnsi="Arial"/>
          <w:sz w:val="12"/>
          <w:szCs w:val="12"/>
          <w:b w:val="1"/>
          <w:bCs w:val="1"/>
          <w:color w:val="auto"/>
        </w:rPr>
        <w:t>Reservoir Production</w:t>
      </w:r>
    </w:p>
    <w:p>
      <w:pPr>
        <w:spacing w:after="0" w:line="1" w:lineRule="exact"/>
        <w:rPr>
          <w:sz w:val="20"/>
          <w:szCs w:val="20"/>
          <w:color w:val="auto"/>
        </w:rPr>
      </w:pPr>
    </w:p>
    <w:p>
      <w:pPr>
        <w:ind w:right="20" w:firstLine="230"/>
        <w:spacing w:after="0" w:line="254" w:lineRule="auto"/>
        <w:rPr>
          <w:sz w:val="20"/>
          <w:szCs w:val="20"/>
          <w:color w:val="auto"/>
        </w:rPr>
      </w:pPr>
      <w:r>
        <w:rPr>
          <w:rFonts w:ascii="Arial" w:cs="Arial" w:eastAsia="Arial" w:hAnsi="Arial"/>
          <w:sz w:val="12"/>
          <w:szCs w:val="12"/>
          <w:color w:val="auto"/>
        </w:rPr>
        <w:t>Revenue of $9.05 billion was 24% higher year-on-year mostly from significantly higher pricing and activity for Well Services technologies in North America and increased gain share from SPM field production projects in Latin America. In addition, an $87 million early payout relating to services on an SPM gain share project, triggered by the customer’s sale of the field, also contributed to the revenue growth.</w:t>
      </w:r>
    </w:p>
    <w:p>
      <w:pPr>
        <w:ind w:right="240" w:firstLine="230"/>
        <w:spacing w:after="0" w:line="261" w:lineRule="auto"/>
        <w:rPr>
          <w:sz w:val="20"/>
          <w:szCs w:val="20"/>
          <w:color w:val="auto"/>
        </w:rPr>
      </w:pPr>
      <w:r>
        <w:rPr>
          <w:rFonts w:ascii="Arial" w:cs="Arial" w:eastAsia="Arial" w:hAnsi="Arial"/>
          <w:sz w:val="12"/>
          <w:szCs w:val="12"/>
          <w:color w:val="auto"/>
        </w:rPr>
        <w:t>Year-on-year, pretax operating margin increased 440 bps to 15.1% primarily due to improved pricing and activity for Well Services in North America and strong contribution from the SPM field production projects. The SPM gain share early payout mentioned above contributed approximately $55 million to pretax operating income.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Interest and Other Income</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Interest and other income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68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7"/>
          </w:tcPr>
          <w:p>
            <w:pPr>
              <w:jc w:val="right"/>
              <w:ind w:right="60"/>
              <w:spacing w:after="0"/>
              <w:rPr>
                <w:sz w:val="20"/>
                <w:szCs w:val="20"/>
                <w:color w:val="auto"/>
              </w:rPr>
            </w:pPr>
            <w:r>
              <w:rPr>
                <w:rFonts w:ascii="Arial" w:cs="Arial" w:eastAsia="Arial" w:hAnsi="Arial"/>
                <w:sz w:val="9"/>
                <w:szCs w:val="9"/>
                <w:b w:val="1"/>
                <w:bCs w:val="1"/>
                <w:color w:val="auto"/>
                <w:w w:val="99"/>
              </w:rPr>
              <w:t>(Stated in millions)</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6920" w:type="dxa"/>
            <w:vAlign w:val="bottom"/>
            <w:gridSpan w:val="4"/>
          </w:tcPr>
          <w:p>
            <w:pPr>
              <w:jc w:val="right"/>
              <w:ind w:right="100"/>
              <w:spacing w:after="0"/>
              <w:rPr>
                <w:sz w:val="20"/>
                <w:szCs w:val="20"/>
                <w:color w:val="auto"/>
              </w:rPr>
            </w:pPr>
            <w:r>
              <w:rPr>
                <w:rFonts w:ascii="Arial" w:cs="Arial" w:eastAsia="Arial" w:hAnsi="Arial"/>
                <w:sz w:val="9"/>
                <w:szCs w:val="9"/>
                <w:b w:val="1"/>
                <w:bCs w:val="1"/>
                <w:color w:val="auto"/>
              </w:rPr>
              <w:t>2011</w:t>
            </w:r>
          </w:p>
        </w:tc>
        <w:tc>
          <w:tcPr>
            <w:tcW w:w="640" w:type="dxa"/>
            <w:vAlign w:val="bottom"/>
            <w:gridSpan w:val="4"/>
          </w:tcPr>
          <w:p>
            <w:pPr>
              <w:jc w:val="right"/>
              <w:ind w:right="280"/>
              <w:spacing w:after="0"/>
              <w:rPr>
                <w:sz w:val="20"/>
                <w:szCs w:val="20"/>
                <w:color w:val="auto"/>
              </w:rPr>
            </w:pPr>
            <w:r>
              <w:rPr>
                <w:rFonts w:ascii="Arial" w:cs="Arial" w:eastAsia="Arial" w:hAnsi="Arial"/>
                <w:sz w:val="9"/>
                <w:szCs w:val="9"/>
                <w:color w:val="auto"/>
              </w:rPr>
              <w:t>2010</w:t>
            </w:r>
          </w:p>
        </w:tc>
        <w:tc>
          <w:tcPr>
            <w:tcW w:w="240" w:type="dxa"/>
            <w:vAlign w:val="bottom"/>
            <w:gridSpan w:val="3"/>
          </w:tcPr>
          <w:p>
            <w:pPr>
              <w:jc w:val="right"/>
              <w:ind w:right="60"/>
              <w:spacing w:after="0"/>
              <w:rPr>
                <w:sz w:val="20"/>
                <w:szCs w:val="20"/>
                <w:color w:val="auto"/>
              </w:rPr>
            </w:pPr>
            <w:r>
              <w:rPr>
                <w:rFonts w:ascii="Arial" w:cs="Arial" w:eastAsia="Arial" w:hAnsi="Arial"/>
                <w:sz w:val="9"/>
                <w:szCs w:val="9"/>
                <w:color w:val="auto"/>
                <w:w w:val="79"/>
              </w:rPr>
              <w:t>2009</w:t>
            </w:r>
          </w:p>
        </w:tc>
        <w:tc>
          <w:tcPr>
            <w:tcW w:w="0" w:type="dxa"/>
            <w:vAlign w:val="bottom"/>
          </w:tcPr>
          <w:p>
            <w:pPr>
              <w:spacing w:after="0"/>
              <w:rPr>
                <w:sz w:val="1"/>
                <w:szCs w:val="1"/>
                <w:color w:val="auto"/>
              </w:rPr>
            </w:pPr>
          </w:p>
        </w:tc>
      </w:tr>
      <w:tr>
        <w:trPr>
          <w:trHeight w:val="88"/>
        </w:trPr>
        <w:tc>
          <w:tcPr>
            <w:tcW w:w="36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Interest income</w:t>
            </w:r>
          </w:p>
        </w:tc>
        <w:tc>
          <w:tcPr>
            <w:tcW w:w="66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1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40</w:t>
            </w:r>
          </w:p>
        </w:tc>
        <w:tc>
          <w:tcPr>
            <w:tcW w:w="1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50</w:t>
            </w: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61</w:t>
            </w: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680" w:type="dxa"/>
            <w:vAlign w:val="bottom"/>
          </w:tcPr>
          <w:p>
            <w:pPr>
              <w:spacing w:after="0" w:line="99" w:lineRule="exact"/>
              <w:rPr>
                <w:sz w:val="20"/>
                <w:szCs w:val="20"/>
                <w:color w:val="auto"/>
              </w:rPr>
            </w:pPr>
            <w:r>
              <w:rPr>
                <w:rFonts w:ascii="Arial" w:cs="Arial" w:eastAsia="Arial" w:hAnsi="Arial"/>
                <w:sz w:val="9"/>
                <w:szCs w:val="9"/>
                <w:color w:val="auto"/>
              </w:rPr>
              <w:t>Equity in net earnings of affiliated companies:</w:t>
            </w:r>
          </w:p>
        </w:tc>
        <w:tc>
          <w:tcPr>
            <w:tcW w:w="6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6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M-I SWACO</w:t>
            </w:r>
          </w:p>
        </w:tc>
        <w:tc>
          <w:tcPr>
            <w:tcW w:w="6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b w:val="1"/>
                <w:bCs w:val="1"/>
                <w:color w:val="auto"/>
              </w:rPr>
              <w:t>–</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78</w:t>
            </w:r>
          </w:p>
        </w:tc>
        <w:tc>
          <w:tcPr>
            <w:tcW w:w="4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w w:val="79"/>
              </w:rPr>
              <w:t>131</w:t>
            </w:r>
          </w:p>
        </w:tc>
        <w:tc>
          <w:tcPr>
            <w:tcW w:w="0" w:type="dxa"/>
            <w:vAlign w:val="bottom"/>
          </w:tcPr>
          <w:p>
            <w:pPr>
              <w:spacing w:after="0"/>
              <w:rPr>
                <w:sz w:val="1"/>
                <w:szCs w:val="1"/>
                <w:color w:val="auto"/>
              </w:rPr>
            </w:pPr>
          </w:p>
        </w:tc>
      </w:tr>
      <w:tr>
        <w:trPr>
          <w:trHeight w:val="99"/>
        </w:trPr>
        <w:tc>
          <w:tcPr>
            <w:tcW w:w="3680" w:type="dxa"/>
            <w:vAlign w:val="bottom"/>
          </w:tcPr>
          <w:p>
            <w:pPr>
              <w:spacing w:after="0" w:line="99" w:lineRule="exact"/>
              <w:rPr>
                <w:sz w:val="20"/>
                <w:szCs w:val="20"/>
                <w:color w:val="auto"/>
              </w:rPr>
            </w:pPr>
            <w:r>
              <w:rPr>
                <w:rFonts w:ascii="Arial" w:cs="Arial" w:eastAsia="Arial" w:hAnsi="Arial"/>
                <w:sz w:val="9"/>
                <w:szCs w:val="9"/>
                <w:color w:val="auto"/>
              </w:rPr>
              <w:t>Others</w:t>
            </w:r>
          </w:p>
        </w:tc>
        <w:tc>
          <w:tcPr>
            <w:tcW w:w="6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gridSpan w:val="2"/>
          </w:tcPr>
          <w:p>
            <w:pPr>
              <w:jc w:val="right"/>
              <w:ind w:right="100"/>
              <w:spacing w:after="0" w:line="99" w:lineRule="exact"/>
              <w:rPr>
                <w:sz w:val="20"/>
                <w:szCs w:val="20"/>
                <w:color w:val="auto"/>
              </w:rPr>
            </w:pPr>
            <w:r>
              <w:rPr>
                <w:rFonts w:ascii="Arial" w:cs="Arial" w:eastAsia="Arial" w:hAnsi="Arial"/>
                <w:sz w:val="9"/>
                <w:szCs w:val="9"/>
                <w:b w:val="1"/>
                <w:bCs w:val="1"/>
                <w:color w:val="auto"/>
              </w:rPr>
              <w:t>89</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86</w:t>
            </w:r>
          </w:p>
        </w:tc>
        <w:tc>
          <w:tcPr>
            <w:tcW w:w="40" w:type="dxa"/>
            <w:vAlign w:val="bottom"/>
          </w:tcPr>
          <w:p>
            <w:pPr>
              <w:spacing w:after="0"/>
              <w:rPr>
                <w:sz w:val="8"/>
                <w:szCs w:val="8"/>
                <w:color w:val="auto"/>
              </w:rPr>
            </w:pPr>
          </w:p>
        </w:tc>
        <w:tc>
          <w:tcPr>
            <w:tcW w:w="2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78</w:t>
            </w:r>
          </w:p>
        </w:tc>
        <w:tc>
          <w:tcPr>
            <w:tcW w:w="0" w:type="dxa"/>
            <w:vAlign w:val="bottom"/>
          </w:tcPr>
          <w:p>
            <w:pPr>
              <w:spacing w:after="0"/>
              <w:rPr>
                <w:sz w:val="1"/>
                <w:szCs w:val="1"/>
                <w:color w:val="auto"/>
              </w:rPr>
            </w:pPr>
          </w:p>
        </w:tc>
      </w:tr>
      <w:tr>
        <w:trPr>
          <w:trHeight w:val="99"/>
        </w:trPr>
        <w:tc>
          <w:tcPr>
            <w:tcW w:w="36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Other</w:t>
            </w:r>
          </w:p>
        </w:tc>
        <w:tc>
          <w:tcPr>
            <w:tcW w:w="6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b w:val="1"/>
                <w:bCs w:val="1"/>
                <w:color w:val="auto"/>
              </w:rPr>
              <w:t>–</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66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680" w:type="dxa"/>
            <w:vAlign w:val="bottom"/>
          </w:tcPr>
          <w:p>
            <w:pPr>
              <w:spacing w:after="0"/>
              <w:rPr>
                <w:sz w:val="8"/>
                <w:szCs w:val="8"/>
                <w:color w:val="auto"/>
              </w:rPr>
            </w:pPr>
          </w:p>
        </w:tc>
        <w:tc>
          <w:tcPr>
            <w:tcW w:w="6680" w:type="dxa"/>
            <w:vAlign w:val="bottom"/>
            <w:gridSpan w:val="2"/>
          </w:tcPr>
          <w:p>
            <w:pPr>
              <w:jc w:val="right"/>
              <w:spacing w:after="0" w:line="98" w:lineRule="exact"/>
              <w:rPr>
                <w:sz w:val="20"/>
                <w:szCs w:val="20"/>
                <w:color w:val="auto"/>
              </w:rPr>
            </w:pPr>
            <w:r>
              <w:rPr>
                <w:rFonts w:ascii="Arial" w:cs="Arial" w:eastAsia="Arial" w:hAnsi="Arial"/>
                <w:sz w:val="9"/>
                <w:szCs w:val="9"/>
                <w:b w:val="1"/>
                <w:bCs w:val="1"/>
                <w:u w:val="single" w:color="auto"/>
                <w:color w:val="auto"/>
              </w:rPr>
              <w:t>$</w:t>
            </w:r>
          </w:p>
        </w:tc>
        <w:tc>
          <w:tcPr>
            <w:tcW w:w="14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79"/>
              </w:rPr>
              <w:t>129</w:t>
            </w:r>
          </w:p>
        </w:tc>
        <w:tc>
          <w:tcPr>
            <w:tcW w:w="100" w:type="dxa"/>
            <w:vAlign w:val="bottom"/>
            <w:vMerge w:val="continue"/>
          </w:tcPr>
          <w:p>
            <w:pPr>
              <w:spacing w:after="0"/>
              <w:rPr>
                <w:sz w:val="8"/>
                <w:szCs w:val="8"/>
                <w:color w:val="auto"/>
              </w:rPr>
            </w:pPr>
          </w:p>
        </w:tc>
        <w:tc>
          <w:tcPr>
            <w:tcW w:w="220" w:type="dxa"/>
            <w:vAlign w:val="bottom"/>
            <w:gridSpan w:val="2"/>
          </w:tcPr>
          <w:p>
            <w:pPr>
              <w:jc w:val="right"/>
              <w:spacing w:after="0" w:line="98" w:lineRule="exact"/>
              <w:rPr>
                <w:sz w:val="20"/>
                <w:szCs w:val="20"/>
                <w:color w:val="auto"/>
              </w:rPr>
            </w:pPr>
            <w:r>
              <w:rPr>
                <w:rFonts w:ascii="Arial" w:cs="Arial" w:eastAsia="Arial" w:hAnsi="Arial"/>
                <w:sz w:val="9"/>
                <w:szCs w:val="9"/>
                <w:u w:val="single" w:color="auto"/>
                <w:color w:val="auto"/>
              </w:rPr>
              <w:t>$</w:t>
            </w:r>
          </w:p>
        </w:tc>
        <w:tc>
          <w:tcPr>
            <w:tcW w:w="4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w w:val="79"/>
              </w:rPr>
              <w:t>214</w:t>
            </w: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2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w w:val="79"/>
              </w:rPr>
              <w:t>273</w:t>
            </w:r>
          </w:p>
        </w:tc>
        <w:tc>
          <w:tcPr>
            <w:tcW w:w="0" w:type="dxa"/>
            <w:vAlign w:val="bottom"/>
          </w:tcPr>
          <w:p>
            <w:pPr>
              <w:spacing w:after="0"/>
              <w:rPr>
                <w:sz w:val="1"/>
                <w:szCs w:val="1"/>
                <w:color w:val="auto"/>
              </w:rPr>
            </w:pPr>
          </w:p>
        </w:tc>
      </w:tr>
      <w:tr>
        <w:trPr>
          <w:trHeight w:val="204"/>
        </w:trPr>
        <w:tc>
          <w:tcPr>
            <w:tcW w:w="3680" w:type="dxa"/>
            <w:vAlign w:val="bottom"/>
          </w:tcPr>
          <w:p>
            <w:pPr>
              <w:spacing w:after="0"/>
              <w:rPr>
                <w:sz w:val="17"/>
                <w:szCs w:val="17"/>
                <w:color w:val="auto"/>
              </w:rPr>
            </w:pPr>
          </w:p>
        </w:tc>
        <w:tc>
          <w:tcPr>
            <w:tcW w:w="6640" w:type="dxa"/>
            <w:vAlign w:val="bottom"/>
          </w:tcPr>
          <w:p>
            <w:pPr>
              <w:jc w:val="right"/>
              <w:ind w:right="4495"/>
              <w:spacing w:after="0"/>
              <w:rPr>
                <w:sz w:val="20"/>
                <w:szCs w:val="20"/>
                <w:color w:val="auto"/>
              </w:rPr>
            </w:pPr>
            <w:r>
              <w:rPr>
                <w:rFonts w:ascii="Arial" w:cs="Arial" w:eastAsia="Arial" w:hAnsi="Arial"/>
                <w:sz w:val="9"/>
                <w:szCs w:val="9"/>
                <w:color w:val="auto"/>
              </w:rPr>
              <w:t>22</w:t>
            </w: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Equity in Net Earnings of Affiliated Companies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Equity income from the M-I SWACO joint venture in 2010 represents eight months of equity income through the closing of the Smith transaction.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Interest Expense</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9"/>
          <w:szCs w:val="9"/>
          <w:color w:val="auto"/>
        </w:rPr>
        <w:t>Interest expense of $298 million in 2011 increased by $91 million compared to 2010 primarily due to the $4.6 billion of long-term debt that Schlumberger issued during 2011.</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9"/>
          <w:szCs w:val="9"/>
          <w:color w:val="auto"/>
        </w:rPr>
        <w:t>Interest expense of $207 million in 2010 decreased by $14 million compared to 2009 primarily due to a decline in the weighted average borrowing rates, from 3.9% to 3.2%.</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Other</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Research &amp; engineering </w:t>
      </w:r>
      <w:r>
        <w:rPr>
          <w:rFonts w:ascii="Arial" w:cs="Arial" w:eastAsia="Arial" w:hAnsi="Arial"/>
          <w:sz w:val="12"/>
          <w:szCs w:val="12"/>
          <w:color w:val="auto"/>
        </w:rPr>
        <w:t>and</w:t>
      </w:r>
      <w:r>
        <w:rPr>
          <w:rFonts w:ascii="Arial" w:cs="Arial" w:eastAsia="Arial" w:hAnsi="Arial"/>
          <w:sz w:val="12"/>
          <w:szCs w:val="12"/>
          <w:i w:val="1"/>
          <w:iCs w:val="1"/>
          <w:color w:val="auto"/>
        </w:rPr>
        <w:t xml:space="preserve"> General &amp; administrative </w:t>
      </w:r>
      <w:r>
        <w:rPr>
          <w:rFonts w:ascii="Arial" w:cs="Arial" w:eastAsia="Arial" w:hAnsi="Arial"/>
          <w:sz w:val="12"/>
          <w:szCs w:val="12"/>
          <w:color w:val="auto"/>
        </w:rPr>
        <w:t>expenses, as a percentage of</w:t>
      </w:r>
      <w:r>
        <w:rPr>
          <w:rFonts w:ascii="Arial" w:cs="Arial" w:eastAsia="Arial" w:hAnsi="Arial"/>
          <w:sz w:val="12"/>
          <w:szCs w:val="12"/>
          <w:i w:val="1"/>
          <w:iCs w:val="1"/>
          <w:color w:val="auto"/>
        </w:rPr>
        <w:t xml:space="preserve"> Revenue</w:t>
      </w:r>
      <w:r>
        <w:rPr>
          <w:rFonts w:ascii="Arial" w:cs="Arial" w:eastAsia="Arial" w:hAnsi="Arial"/>
          <w:sz w:val="12"/>
          <w:szCs w:val="12"/>
          <w:color w:val="auto"/>
        </w:rPr>
        <w:t>, were as follows:</w:t>
      </w:r>
    </w:p>
    <w:p>
      <w:pPr>
        <w:spacing w:after="0" w:line="239" w:lineRule="exact"/>
        <w:rPr>
          <w:sz w:val="20"/>
          <w:szCs w:val="20"/>
          <w:color w:val="auto"/>
        </w:rPr>
      </w:pPr>
    </w:p>
    <w:p>
      <w:pPr>
        <w:spacing w:after="0"/>
        <w:rPr>
          <w:sz w:val="20"/>
          <w:szCs w:val="20"/>
          <w:color w:val="auto"/>
        </w:rPr>
      </w:pPr>
      <w:r>
        <w:rPr>
          <w:rFonts w:ascii="Arial" w:cs="Arial" w:eastAsia="Arial" w:hAnsi="Arial"/>
          <w:sz w:val="9"/>
          <w:szCs w:val="9"/>
          <w:color w:val="auto"/>
        </w:rPr>
        <w:t>Research &amp;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29234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68580"/>
                    </a:xfrm>
                    <a:prstGeom prst="rect">
                      <a:avLst/>
                    </a:prstGeom>
                    <a:noFill/>
                  </pic:spPr>
                </pic:pic>
              </a:graphicData>
            </a:graphic>
          </wp:anchor>
        </w:drawing>
      </w:r>
    </w:p>
    <w:p>
      <w:pPr>
        <w:spacing w:after="0"/>
        <w:rPr>
          <w:sz w:val="20"/>
          <w:szCs w:val="20"/>
          <w:color w:val="auto"/>
        </w:rPr>
      </w:pPr>
      <w:r>
        <w:rPr>
          <w:rFonts w:ascii="Arial" w:cs="Arial" w:eastAsia="Arial" w:hAnsi="Arial"/>
          <w:sz w:val="9"/>
          <w:szCs w:val="9"/>
          <w:color w:val="auto"/>
        </w:rPr>
        <w:t>General &amp; administrative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8"/>
        </w:trPr>
        <w:tc>
          <w:tcPr>
            <w:tcW w:w="180" w:type="dxa"/>
            <w:vAlign w:val="bottom"/>
          </w:tcPr>
          <w:p>
            <w:pPr>
              <w:jc w:val="right"/>
              <w:spacing w:after="0"/>
              <w:rPr>
                <w:sz w:val="20"/>
                <w:szCs w:val="20"/>
                <w:color w:val="auto"/>
              </w:rPr>
            </w:pPr>
            <w:r>
              <w:rPr>
                <w:rFonts w:ascii="Arial" w:cs="Arial" w:eastAsia="Arial" w:hAnsi="Arial"/>
                <w:sz w:val="9"/>
                <w:szCs w:val="9"/>
                <w:b w:val="1"/>
                <w:bCs w:val="1"/>
                <w:color w:val="auto"/>
                <w:w w:val="79"/>
              </w:rPr>
              <w:t>2011</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9"/>
                <w:szCs w:val="9"/>
                <w:color w:val="auto"/>
                <w:w w:val="79"/>
              </w:rPr>
              <w:t>2010</w:t>
            </w:r>
          </w:p>
        </w:tc>
        <w:tc>
          <w:tcPr>
            <w:tcW w:w="180" w:type="dxa"/>
            <w:vAlign w:val="bottom"/>
          </w:tcPr>
          <w:p>
            <w:pPr>
              <w:jc w:val="right"/>
              <w:spacing w:after="0"/>
              <w:rPr>
                <w:sz w:val="20"/>
                <w:szCs w:val="20"/>
                <w:color w:val="auto"/>
              </w:rPr>
            </w:pPr>
            <w:r>
              <w:rPr>
                <w:rFonts w:ascii="Arial" w:cs="Arial" w:eastAsia="Arial" w:hAnsi="Arial"/>
                <w:sz w:val="9"/>
                <w:szCs w:val="9"/>
                <w:color w:val="auto"/>
                <w:w w:val="79"/>
              </w:rPr>
              <w:t>2009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40" w:type="dxa"/>
            <w:vAlign w:val="bottom"/>
            <w:gridSpan w:val="2"/>
          </w:tcPr>
          <w:p>
            <w:pPr>
              <w:jc w:val="right"/>
              <w:ind w:right="180"/>
              <w:spacing w:after="0" w:line="79" w:lineRule="exact"/>
              <w:rPr>
                <w:sz w:val="20"/>
                <w:szCs w:val="20"/>
                <w:color w:val="auto"/>
              </w:rPr>
            </w:pPr>
            <w:r>
              <w:rPr>
                <w:rFonts w:ascii="Arial" w:cs="Arial" w:eastAsia="Arial" w:hAnsi="Arial"/>
                <w:sz w:val="9"/>
                <w:szCs w:val="9"/>
                <w:b w:val="1"/>
                <w:bCs w:val="1"/>
                <w:color w:val="auto"/>
              </w:rPr>
              <w:t>2.7%</w:t>
            </w:r>
          </w:p>
        </w:tc>
        <w:tc>
          <w:tcPr>
            <w:tcW w:w="180" w:type="dxa"/>
            <w:vAlign w:val="bottom"/>
            <w:vMerge w:val="continue"/>
          </w:tcPr>
          <w:p>
            <w:pPr>
              <w:spacing w:after="0"/>
              <w:rPr>
                <w:sz w:val="6"/>
                <w:szCs w:val="6"/>
                <w:color w:val="auto"/>
              </w:rPr>
            </w:pPr>
          </w:p>
        </w:tc>
        <w:tc>
          <w:tcPr>
            <w:tcW w:w="620" w:type="dxa"/>
            <w:vAlign w:val="bottom"/>
            <w:gridSpan w:val="2"/>
          </w:tcPr>
          <w:p>
            <w:pPr>
              <w:jc w:val="right"/>
              <w:ind w:right="360"/>
              <w:spacing w:after="0" w:line="79" w:lineRule="exact"/>
              <w:rPr>
                <w:sz w:val="20"/>
                <w:szCs w:val="20"/>
                <w:color w:val="auto"/>
              </w:rPr>
            </w:pPr>
            <w:r>
              <w:rPr>
                <w:rFonts w:ascii="Arial" w:cs="Arial" w:eastAsia="Arial" w:hAnsi="Arial"/>
                <w:sz w:val="9"/>
                <w:szCs w:val="9"/>
                <w:color w:val="auto"/>
              </w:rPr>
              <w:t>3.3%</w:t>
            </w:r>
          </w:p>
        </w:tc>
        <w:tc>
          <w:tcPr>
            <w:tcW w:w="260" w:type="dxa"/>
            <w:vAlign w:val="bottom"/>
            <w:gridSpan w:val="2"/>
          </w:tcPr>
          <w:p>
            <w:pPr>
              <w:jc w:val="right"/>
              <w:spacing w:after="0" w:line="79" w:lineRule="exact"/>
              <w:rPr>
                <w:sz w:val="20"/>
                <w:szCs w:val="20"/>
                <w:color w:val="auto"/>
              </w:rPr>
            </w:pPr>
            <w:r>
              <w:rPr>
                <w:rFonts w:ascii="Arial" w:cs="Arial" w:eastAsia="Arial" w:hAnsi="Arial"/>
                <w:sz w:val="9"/>
                <w:szCs w:val="9"/>
                <w:color w:val="auto"/>
              </w:rPr>
              <w:t>3.5%</w:t>
            </w:r>
          </w:p>
        </w:tc>
        <w:tc>
          <w:tcPr>
            <w:tcW w:w="0" w:type="dxa"/>
            <w:vAlign w:val="bottom"/>
          </w:tcPr>
          <w:p>
            <w:pPr>
              <w:spacing w:after="0"/>
              <w:rPr>
                <w:sz w:val="1"/>
                <w:szCs w:val="1"/>
                <w:color w:val="auto"/>
              </w:rPr>
            </w:pPr>
          </w:p>
        </w:tc>
      </w:tr>
      <w:tr>
        <w:trPr>
          <w:trHeight w:val="116"/>
        </w:trPr>
        <w:tc>
          <w:tcPr>
            <w:tcW w:w="44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rPr>
              <w:t>1.1%</w:t>
            </w:r>
          </w:p>
        </w:tc>
        <w:tc>
          <w:tcPr>
            <w:tcW w:w="800" w:type="dxa"/>
            <w:vAlign w:val="bottom"/>
            <w:gridSpan w:val="3"/>
          </w:tcPr>
          <w:p>
            <w:pPr>
              <w:jc w:val="right"/>
              <w:ind w:right="360"/>
              <w:spacing w:after="0"/>
              <w:rPr>
                <w:sz w:val="20"/>
                <w:szCs w:val="20"/>
                <w:color w:val="auto"/>
              </w:rPr>
            </w:pPr>
            <w:r>
              <w:rPr>
                <w:rFonts w:ascii="Arial" w:cs="Arial" w:eastAsia="Arial" w:hAnsi="Arial"/>
                <w:sz w:val="9"/>
                <w:szCs w:val="9"/>
                <w:color w:val="auto"/>
              </w:rPr>
              <w:t>1.1%</w:t>
            </w:r>
          </w:p>
        </w:tc>
        <w:tc>
          <w:tcPr>
            <w:tcW w:w="260" w:type="dxa"/>
            <w:vAlign w:val="bottom"/>
            <w:gridSpan w:val="2"/>
          </w:tcPr>
          <w:p>
            <w:pPr>
              <w:jc w:val="right"/>
              <w:spacing w:after="0"/>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2">
            <w:col w:w="9240" w:space="720"/>
            <w:col w:w="1500"/>
          </w:cols>
          <w:pgMar w:left="220" w:top="354" w:right="219" w:bottom="1440" w:gutter="0" w:footer="0" w:header="0"/>
        </w:sectPr>
      </w:pPr>
    </w:p>
    <w:p>
      <w:pPr>
        <w:ind w:right="220" w:firstLine="230"/>
        <w:spacing w:after="0" w:line="268" w:lineRule="auto"/>
        <w:rPr>
          <w:sz w:val="20"/>
          <w:szCs w:val="20"/>
          <w:color w:val="auto"/>
        </w:rPr>
      </w:pPr>
      <w:r>
        <w:rPr>
          <w:rFonts w:ascii="Arial" w:cs="Arial" w:eastAsia="Arial" w:hAnsi="Arial"/>
          <w:sz w:val="12"/>
          <w:szCs w:val="12"/>
          <w:color w:val="auto"/>
        </w:rPr>
        <w:t xml:space="preserve">Although </w:t>
      </w:r>
      <w:r>
        <w:rPr>
          <w:rFonts w:ascii="Arial" w:cs="Arial" w:eastAsia="Arial" w:hAnsi="Arial"/>
          <w:sz w:val="12"/>
          <w:szCs w:val="12"/>
          <w:i w:val="1"/>
          <w:iCs w:val="1"/>
          <w:color w:val="auto"/>
        </w:rPr>
        <w:t>Research &amp; engineering</w:t>
      </w:r>
      <w:r>
        <w:rPr>
          <w:rFonts w:ascii="Arial" w:cs="Arial" w:eastAsia="Arial" w:hAnsi="Arial"/>
          <w:sz w:val="12"/>
          <w:szCs w:val="12"/>
          <w:color w:val="auto"/>
        </w:rPr>
        <w:t xml:space="preserve"> decreased as a percentage of revenue in 2011 as compared to 2010 and in 2010 compared to 2009, it has increased in absolute dollars by $154 million and $117 million, respectively. These increases in absolute dollars were driven in large part by the impact of the Smith acquisition.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Income Taxes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Schlumberger effective tax rate was 24.4% in 2011, 17.3% in 2010, and 19.6% in 2009.</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9"/>
          <w:szCs w:val="9"/>
          <w:color w:val="auto"/>
        </w:rPr>
        <w:t>The Schlumberger effective tax rate is sensitive to the geographic mix of earnings. When the percentage of pretax earnings generated outside of North America increases, the Schlumberger effective tax rate will generally decrease.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Conversely, when the percentage of pretax earnings generated outside of North America decreases, the Schlumberger effective tax rate will generally increase.</w:t>
      </w:r>
    </w:p>
    <w:p>
      <w:pPr>
        <w:spacing w:after="0" w:line="6" w:lineRule="exact"/>
        <w:rPr>
          <w:sz w:val="20"/>
          <w:szCs w:val="20"/>
          <w:color w:val="auto"/>
        </w:rPr>
      </w:pPr>
    </w:p>
    <w:p>
      <w:pPr>
        <w:jc w:val="both"/>
        <w:ind w:right="300" w:firstLine="230"/>
        <w:spacing w:after="0" w:line="273" w:lineRule="auto"/>
        <w:rPr>
          <w:sz w:val="20"/>
          <w:szCs w:val="20"/>
          <w:color w:val="auto"/>
        </w:rPr>
      </w:pPr>
      <w:r>
        <w:rPr>
          <w:rFonts w:ascii="Arial" w:cs="Arial" w:eastAsia="Arial" w:hAnsi="Arial"/>
          <w:sz w:val="11"/>
          <w:szCs w:val="11"/>
          <w:color w:val="auto"/>
        </w:rPr>
        <w:t xml:space="preserve">The effective tax rate for both 2011 and 2010 was impacted by the charges and credits described in Note 3 to the </w:t>
      </w:r>
      <w:r>
        <w:rPr>
          <w:rFonts w:ascii="Arial" w:cs="Arial" w:eastAsia="Arial" w:hAnsi="Arial"/>
          <w:sz w:val="11"/>
          <w:szCs w:val="11"/>
          <w:i w:val="1"/>
          <w:iCs w:val="1"/>
          <w:color w:val="auto"/>
        </w:rPr>
        <w:t>Consolidated Financial Statements</w:t>
      </w:r>
      <w:r>
        <w:rPr>
          <w:rFonts w:ascii="Arial" w:cs="Arial" w:eastAsia="Arial" w:hAnsi="Arial"/>
          <w:sz w:val="11"/>
          <w:szCs w:val="11"/>
          <w:color w:val="auto"/>
        </w:rPr>
        <w:t>. Excluding the impact of these charges and credits, the effective tax rate in 2011 was 24.0% compared to 20.6% in 2010. This increase in the effective tax rate, excluding the impact of the charges and credits, was primarily attributable to the fact that Schlumberger generated a larger proportion of its pretax earnings in North America in 2011 as compared to 2010 as a result of improved market conditions and the effect of a full year’s activity from the acquired Smith businesses.</w:t>
      </w:r>
    </w:p>
    <w:p>
      <w:pPr>
        <w:spacing w:after="0" w:line="1" w:lineRule="exact"/>
        <w:rPr>
          <w:sz w:val="20"/>
          <w:szCs w:val="20"/>
          <w:color w:val="auto"/>
        </w:rPr>
      </w:pPr>
    </w:p>
    <w:p>
      <w:pPr>
        <w:ind w:right="60" w:firstLine="230"/>
        <w:spacing w:after="0" w:line="428" w:lineRule="auto"/>
        <w:rPr>
          <w:sz w:val="20"/>
          <w:szCs w:val="20"/>
          <w:color w:val="auto"/>
        </w:rPr>
      </w:pPr>
      <w:r>
        <w:rPr>
          <w:rFonts w:ascii="Arial" w:cs="Arial" w:eastAsia="Arial" w:hAnsi="Arial"/>
          <w:sz w:val="9"/>
          <w:szCs w:val="9"/>
          <w:color w:val="auto"/>
        </w:rPr>
        <w:t xml:space="preserve">The effective tax rate for 2009 was also impacted by the charges and credits described in Note 3 to the </w:t>
      </w:r>
      <w:r>
        <w:rPr>
          <w:rFonts w:ascii="Arial" w:cs="Arial" w:eastAsia="Arial" w:hAnsi="Arial"/>
          <w:sz w:val="9"/>
          <w:szCs w:val="9"/>
          <w:i w:val="1"/>
          <w:iCs w:val="1"/>
          <w:color w:val="auto"/>
        </w:rPr>
        <w:t>Consolidated Financial Statements</w:t>
      </w:r>
      <w:r>
        <w:rPr>
          <w:rFonts w:ascii="Arial" w:cs="Arial" w:eastAsia="Arial" w:hAnsi="Arial"/>
          <w:sz w:val="9"/>
          <w:szCs w:val="9"/>
          <w:color w:val="auto"/>
        </w:rPr>
        <w:t>, but to a much lesser extent. Excluding charges and credits, the effective tax rate in 2010 was 20.6% compared to 19.2% in 2009. This increase is largely attributable to the geographic mix of earnings as well as the inclusion of four months’ results from the acquisition of Smith, which served to increase the Schlumberger effective tax rate.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Charges and Credits</w:t>
      </w:r>
    </w:p>
    <w:p>
      <w:pPr>
        <w:spacing w:after="0" w:line="60" w:lineRule="exact"/>
        <w:rPr>
          <w:sz w:val="20"/>
          <w:szCs w:val="20"/>
          <w:color w:val="auto"/>
        </w:rPr>
      </w:pPr>
    </w:p>
    <w:p>
      <w:pPr>
        <w:ind w:right="400" w:firstLine="230"/>
        <w:spacing w:after="0" w:line="268" w:lineRule="auto"/>
        <w:rPr>
          <w:sz w:val="20"/>
          <w:szCs w:val="20"/>
          <w:color w:val="auto"/>
        </w:rPr>
      </w:pPr>
      <w:r>
        <w:rPr>
          <w:rFonts w:ascii="Arial" w:cs="Arial" w:eastAsia="Arial" w:hAnsi="Arial"/>
          <w:sz w:val="12"/>
          <w:szCs w:val="12"/>
          <w:color w:val="auto"/>
        </w:rPr>
        <w:t xml:space="preserve">Schlumberger recorded significant charges and credits in continuing operations during 2011, 2010 and 2009. These charges and credits, which are summarized below, are more fully described in Note 3 to the </w:t>
      </w:r>
      <w:r>
        <w:rPr>
          <w:rFonts w:ascii="Arial" w:cs="Arial" w:eastAsia="Arial" w:hAnsi="Arial"/>
          <w:sz w:val="12"/>
          <w:szCs w:val="12"/>
          <w:i w:val="1"/>
          <w:iCs w:val="1"/>
          <w:color w:val="auto"/>
        </w:rPr>
        <w:t>Consolidated 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Statements</w:t>
      </w:r>
      <w:r>
        <w:rPr>
          <w:rFonts w:ascii="Arial" w:cs="Arial" w:eastAsia="Arial" w:hAnsi="Arial"/>
          <w:sz w:val="12"/>
          <w:szCs w:val="12"/>
          <w:color w:val="auto"/>
        </w:rPr>
        <w: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9"/>
          <w:szCs w:val="9"/>
          <w:color w:val="auto"/>
        </w:rPr>
        <w:t>23</w:t>
      </w:r>
    </w:p>
    <w:p>
      <w:pPr>
        <w:sectPr>
          <w:pgSz w:w="11900" w:h="16838" w:orient="portrait"/>
          <w:cols w:equalWidth="0" w:num="1">
            <w:col w:w="11460"/>
          </w:cols>
          <w:pgMar w:left="220" w:top="354" w:right="219" w:bottom="1440" w:gutter="0" w:footer="0" w:header="0"/>
          <w:type w:val="continuous"/>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is a summary of the 2011 charges and credits: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7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6"/>
          </w:tcPr>
          <w:p>
            <w:pPr>
              <w:jc w:val="right"/>
              <w:ind w:right="280"/>
              <w:spacing w:after="0"/>
              <w:rPr>
                <w:sz w:val="20"/>
                <w:szCs w:val="20"/>
                <w:color w:val="auto"/>
              </w:rPr>
            </w:pPr>
            <w:r>
              <w:rPr>
                <w:rFonts w:ascii="Arial" w:cs="Arial" w:eastAsia="Arial" w:hAnsi="Arial"/>
                <w:sz w:val="9"/>
                <w:szCs w:val="9"/>
                <w:b w:val="1"/>
                <w:bCs w:val="1"/>
                <w:color w:val="auto"/>
                <w:w w:val="96"/>
              </w:rPr>
              <w:t>(Stated in millions)</w:t>
            </w:r>
          </w:p>
        </w:tc>
        <w:tc>
          <w:tcPr>
            <w:tcW w:w="2620" w:type="dxa"/>
            <w:vAlign w:val="bottom"/>
          </w:tcPr>
          <w:p>
            <w:pPr>
              <w:spacing w:after="0"/>
              <w:rPr>
                <w:sz w:val="10"/>
                <w:szCs w:val="10"/>
                <w:color w:val="auto"/>
              </w:rPr>
            </w:pPr>
          </w:p>
        </w:tc>
      </w:tr>
      <w:tr>
        <w:trPr>
          <w:trHeight w:val="190"/>
        </w:trPr>
        <w:tc>
          <w:tcPr>
            <w:tcW w:w="7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9"/>
                <w:szCs w:val="9"/>
                <w:b w:val="1"/>
                <w:bCs w:val="1"/>
                <w:color w:val="auto"/>
              </w:rPr>
              <w:t>Consolidated Statement of</w:t>
            </w:r>
          </w:p>
        </w:tc>
      </w:tr>
      <w:tr>
        <w:trPr>
          <w:trHeight w:val="117"/>
        </w:trPr>
        <w:tc>
          <w:tcPr>
            <w:tcW w:w="7480" w:type="dxa"/>
            <w:vAlign w:val="bottom"/>
          </w:tcPr>
          <w:p>
            <w:pPr>
              <w:spacing w:after="0"/>
              <w:rPr>
                <w:sz w:val="10"/>
                <w:szCs w:val="10"/>
                <w:color w:val="auto"/>
              </w:rPr>
            </w:pPr>
          </w:p>
        </w:tc>
        <w:tc>
          <w:tcPr>
            <w:tcW w:w="300" w:type="dxa"/>
            <w:vAlign w:val="bottom"/>
            <w:gridSpan w:val="3"/>
          </w:tcPr>
          <w:p>
            <w:pPr>
              <w:spacing w:after="0"/>
              <w:rPr>
                <w:sz w:val="20"/>
                <w:szCs w:val="20"/>
                <w:color w:val="auto"/>
              </w:rPr>
            </w:pPr>
            <w:r>
              <w:rPr>
                <w:rFonts w:ascii="Arial" w:cs="Arial" w:eastAsia="Arial" w:hAnsi="Arial"/>
                <w:sz w:val="9"/>
                <w:szCs w:val="9"/>
                <w:b w:val="1"/>
                <w:bCs w:val="1"/>
                <w:color w:val="auto"/>
              </w:rPr>
              <w:t>Pretax</w:t>
            </w:r>
          </w:p>
        </w:tc>
        <w:tc>
          <w:tcPr>
            <w:tcW w:w="220" w:type="dxa"/>
            <w:vAlign w:val="bottom"/>
          </w:tcPr>
          <w:p>
            <w:pPr>
              <w:spacing w:after="0"/>
              <w:rPr>
                <w:sz w:val="10"/>
                <w:szCs w:val="10"/>
                <w:color w:val="auto"/>
              </w:rPr>
            </w:pPr>
          </w:p>
        </w:tc>
        <w:tc>
          <w:tcPr>
            <w:tcW w:w="400" w:type="dxa"/>
            <w:vAlign w:val="bottom"/>
            <w:gridSpan w:val="2"/>
          </w:tcPr>
          <w:p>
            <w:pPr>
              <w:spacing w:after="0"/>
              <w:rPr>
                <w:sz w:val="20"/>
                <w:szCs w:val="20"/>
                <w:color w:val="auto"/>
              </w:rPr>
            </w:pPr>
            <w:r>
              <w:rPr>
                <w:rFonts w:ascii="Arial" w:cs="Arial" w:eastAsia="Arial" w:hAnsi="Arial"/>
                <w:sz w:val="9"/>
                <w:szCs w:val="9"/>
                <w:b w:val="1"/>
                <w:bCs w:val="1"/>
                <w:color w:val="auto"/>
              </w:rPr>
              <w:t>Tax</w:t>
            </w:r>
          </w:p>
        </w:tc>
        <w:tc>
          <w:tcPr>
            <w:tcW w:w="40" w:type="dxa"/>
            <w:vAlign w:val="bottom"/>
          </w:tcPr>
          <w:p>
            <w:pPr>
              <w:spacing w:after="0"/>
              <w:rPr>
                <w:sz w:val="10"/>
                <w:szCs w:val="10"/>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82"/>
              </w:rPr>
              <w:t>Net</w:t>
            </w:r>
          </w:p>
        </w:tc>
        <w:tc>
          <w:tcPr>
            <w:tcW w:w="2620" w:type="dxa"/>
            <w:vAlign w:val="bottom"/>
          </w:tcPr>
          <w:p>
            <w:pPr>
              <w:spacing w:after="0"/>
              <w:rPr>
                <w:sz w:val="20"/>
                <w:szCs w:val="20"/>
                <w:color w:val="auto"/>
              </w:rPr>
            </w:pPr>
            <w:r>
              <w:rPr>
                <w:rFonts w:ascii="Arial" w:cs="Arial" w:eastAsia="Arial" w:hAnsi="Arial"/>
                <w:sz w:val="9"/>
                <w:szCs w:val="9"/>
                <w:b w:val="1"/>
                <w:bCs w:val="1"/>
                <w:color w:val="auto"/>
              </w:rPr>
              <w:t>Income Classification</w:t>
            </w:r>
          </w:p>
        </w:tc>
      </w:tr>
      <w:tr>
        <w:trPr>
          <w:trHeight w:val="88"/>
        </w:trPr>
        <w:tc>
          <w:tcPr>
            <w:tcW w:w="7480" w:type="dxa"/>
            <w:vAlign w:val="bottom"/>
            <w:tcBorders>
              <w:top w:val="single" w:sz="8" w:color="CCEEFF"/>
              <w:right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Merger-related integration costs</w:t>
            </w:r>
          </w:p>
        </w:tc>
        <w:tc>
          <w:tcPr>
            <w:tcW w:w="6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w w:val="78"/>
              </w:rPr>
              <w:t>$</w:t>
            </w:r>
          </w:p>
        </w:tc>
        <w:tc>
          <w:tcPr>
            <w:tcW w:w="1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115</w:t>
            </w:r>
          </w:p>
        </w:tc>
        <w:tc>
          <w:tcPr>
            <w:tcW w:w="6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9"/>
              </w:rPr>
              <w:t>$19</w:t>
            </w:r>
          </w:p>
        </w:tc>
        <w:tc>
          <w:tcPr>
            <w:tcW w:w="2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96</w:t>
            </w:r>
          </w:p>
        </w:tc>
        <w:tc>
          <w:tcPr>
            <w:tcW w:w="280" w:type="dxa"/>
            <w:vAlign w:val="bottom"/>
            <w:tcBorders>
              <w:top w:val="single" w:sz="8" w:color="CCEEFF"/>
            </w:tcBorders>
            <w:shd w:val="clear" w:color="auto" w:fill="CCEEFF"/>
          </w:tcPr>
          <w:p>
            <w:pPr>
              <w:spacing w:after="0"/>
              <w:rPr>
                <w:sz w:val="7"/>
                <w:szCs w:val="7"/>
                <w:color w:val="auto"/>
              </w:rPr>
            </w:pPr>
          </w:p>
        </w:tc>
        <w:tc>
          <w:tcPr>
            <w:tcW w:w="262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i w:val="1"/>
                <w:iCs w:val="1"/>
                <w:color w:val="auto"/>
              </w:rPr>
              <w:t>Merger &amp; integration</w:t>
            </w:r>
          </w:p>
        </w:tc>
      </w:tr>
      <w:tr>
        <w:trPr>
          <w:trHeight w:val="99"/>
        </w:trPr>
        <w:tc>
          <w:tcPr>
            <w:tcW w:w="7480" w:type="dxa"/>
            <w:vAlign w:val="bottom"/>
          </w:tcPr>
          <w:p>
            <w:pPr>
              <w:spacing w:after="0" w:line="99" w:lineRule="exact"/>
              <w:rPr>
                <w:sz w:val="20"/>
                <w:szCs w:val="20"/>
                <w:color w:val="auto"/>
              </w:rPr>
            </w:pPr>
            <w:r>
              <w:rPr>
                <w:rFonts w:ascii="Arial" w:cs="Arial" w:eastAsia="Arial" w:hAnsi="Arial"/>
                <w:sz w:val="9"/>
                <w:szCs w:val="9"/>
                <w:color w:val="auto"/>
              </w:rPr>
              <w:t>Donation to the Schlumberger Foundation</w:t>
            </w:r>
          </w:p>
        </w:tc>
        <w:tc>
          <w:tcPr>
            <w:tcW w:w="60" w:type="dxa"/>
            <w:vAlign w:val="bottom"/>
          </w:tcPr>
          <w:p>
            <w:pPr>
              <w:spacing w:after="0"/>
              <w:rPr>
                <w:sz w:val="8"/>
                <w:szCs w:val="8"/>
                <w:color w:val="auto"/>
              </w:rPr>
            </w:pPr>
          </w:p>
        </w:tc>
        <w:tc>
          <w:tcPr>
            <w:tcW w:w="180" w:type="dxa"/>
            <w:vAlign w:val="bottom"/>
          </w:tcPr>
          <w:p>
            <w:pPr>
              <w:jc w:val="right"/>
              <w:spacing w:after="0" w:line="99" w:lineRule="exact"/>
              <w:rPr>
                <w:sz w:val="20"/>
                <w:szCs w:val="20"/>
                <w:color w:val="auto"/>
              </w:rPr>
            </w:pPr>
            <w:r>
              <w:rPr>
                <w:rFonts w:ascii="Arial" w:cs="Arial" w:eastAsia="Arial" w:hAnsi="Arial"/>
                <w:sz w:val="9"/>
                <w:szCs w:val="9"/>
                <w:color w:val="auto"/>
              </w:rPr>
              <w:t>50</w:t>
            </w:r>
          </w:p>
        </w:tc>
        <w:tc>
          <w:tcPr>
            <w:tcW w:w="60" w:type="dxa"/>
            <w:vAlign w:val="bottom"/>
          </w:tcPr>
          <w:p>
            <w:pPr>
              <w:spacing w:after="0"/>
              <w:rPr>
                <w:sz w:val="8"/>
                <w:szCs w:val="8"/>
                <w:color w:val="auto"/>
              </w:rPr>
            </w:pPr>
          </w:p>
        </w:tc>
        <w:tc>
          <w:tcPr>
            <w:tcW w:w="620" w:type="dxa"/>
            <w:vAlign w:val="bottom"/>
            <w:gridSpan w:val="3"/>
          </w:tcPr>
          <w:p>
            <w:pPr>
              <w:jc w:val="right"/>
              <w:ind w:right="260"/>
              <w:spacing w:after="0" w:line="99" w:lineRule="exact"/>
              <w:rPr>
                <w:sz w:val="20"/>
                <w:szCs w:val="20"/>
                <w:color w:val="auto"/>
              </w:rPr>
            </w:pPr>
            <w:r>
              <w:rPr>
                <w:rFonts w:ascii="Arial" w:cs="Arial" w:eastAsia="Arial" w:hAnsi="Arial"/>
                <w:sz w:val="9"/>
                <w:szCs w:val="9"/>
                <w:color w:val="auto"/>
              </w:rPr>
              <w:t>10</w:t>
            </w:r>
          </w:p>
        </w:tc>
        <w:tc>
          <w:tcPr>
            <w:tcW w:w="40" w:type="dxa"/>
            <w:vAlign w:val="bottom"/>
          </w:tcPr>
          <w:p>
            <w:pPr>
              <w:spacing w:after="0"/>
              <w:rPr>
                <w:sz w:val="8"/>
                <w:szCs w:val="8"/>
                <w:color w:val="auto"/>
              </w:rPr>
            </w:pPr>
          </w:p>
        </w:tc>
        <w:tc>
          <w:tcPr>
            <w:tcW w:w="4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40</w:t>
            </w:r>
          </w:p>
        </w:tc>
        <w:tc>
          <w:tcPr>
            <w:tcW w:w="2620" w:type="dxa"/>
            <w:vAlign w:val="bottom"/>
          </w:tcPr>
          <w:p>
            <w:pPr>
              <w:spacing w:after="0" w:line="99" w:lineRule="exact"/>
              <w:rPr>
                <w:sz w:val="20"/>
                <w:szCs w:val="20"/>
                <w:color w:val="auto"/>
              </w:rPr>
            </w:pPr>
            <w:r>
              <w:rPr>
                <w:rFonts w:ascii="Arial" w:cs="Arial" w:eastAsia="Arial" w:hAnsi="Arial"/>
                <w:sz w:val="9"/>
                <w:szCs w:val="9"/>
                <w:i w:val="1"/>
                <w:iCs w:val="1"/>
                <w:color w:val="auto"/>
              </w:rPr>
              <w:t>General &amp; administrative</w:t>
            </w:r>
          </w:p>
        </w:tc>
      </w:tr>
      <w:tr>
        <w:trPr>
          <w:trHeight w:val="99"/>
        </w:trPr>
        <w:tc>
          <w:tcPr>
            <w:tcW w:w="748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color w:val="auto"/>
              </w:rPr>
              <w:t>Write-off of assets in Libya</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60</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60</w:t>
            </w:r>
          </w:p>
        </w:tc>
        <w:tc>
          <w:tcPr>
            <w:tcW w:w="2620" w:type="dxa"/>
            <w:vAlign w:val="bottom"/>
            <w:shd w:val="clear" w:color="auto" w:fill="CCEEFF"/>
          </w:tcPr>
          <w:p>
            <w:pPr>
              <w:spacing w:after="0" w:line="99" w:lineRule="exact"/>
              <w:rPr>
                <w:sz w:val="20"/>
                <w:szCs w:val="20"/>
                <w:color w:val="auto"/>
              </w:rPr>
            </w:pPr>
            <w:r>
              <w:rPr>
                <w:rFonts w:ascii="Arial" w:cs="Arial" w:eastAsia="Arial" w:hAnsi="Arial"/>
                <w:sz w:val="9"/>
                <w:szCs w:val="9"/>
                <w:i w:val="1"/>
                <w:iCs w:val="1"/>
                <w:color w:val="auto"/>
              </w:rPr>
              <w:t>Cost of revenue -Oilfield Services</w:t>
            </w:r>
          </w:p>
        </w:tc>
      </w:tr>
      <w:tr>
        <w:trPr>
          <w:trHeight w:val="20"/>
        </w:trPr>
        <w:tc>
          <w:tcPr>
            <w:tcW w:w="7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97"/>
        </w:trPr>
        <w:tc>
          <w:tcPr>
            <w:tcW w:w="748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w w:val="78"/>
              </w:rPr>
              <w:t>$</w:t>
            </w:r>
          </w:p>
        </w:tc>
        <w:tc>
          <w:tcPr>
            <w:tcW w:w="180" w:type="dxa"/>
            <w:vAlign w:val="bottom"/>
          </w:tcPr>
          <w:p>
            <w:pPr>
              <w:jc w:val="right"/>
              <w:spacing w:after="0" w:line="98" w:lineRule="exact"/>
              <w:rPr>
                <w:sz w:val="20"/>
                <w:szCs w:val="20"/>
                <w:color w:val="auto"/>
              </w:rPr>
            </w:pPr>
            <w:r>
              <w:rPr>
                <w:rFonts w:ascii="Arial" w:cs="Arial" w:eastAsia="Arial" w:hAnsi="Arial"/>
                <w:sz w:val="9"/>
                <w:szCs w:val="9"/>
                <w:color w:val="auto"/>
              </w:rPr>
              <w:t>225</w:t>
            </w:r>
          </w:p>
        </w:tc>
        <w:tc>
          <w:tcPr>
            <w:tcW w:w="60" w:type="dxa"/>
            <w:vAlign w:val="bottom"/>
          </w:tcPr>
          <w:p>
            <w:pPr>
              <w:spacing w:after="0"/>
              <w:rPr>
                <w:sz w:val="8"/>
                <w:szCs w:val="8"/>
                <w:color w:val="auto"/>
              </w:rPr>
            </w:pPr>
          </w:p>
        </w:tc>
        <w:tc>
          <w:tcPr>
            <w:tcW w:w="620" w:type="dxa"/>
            <w:vAlign w:val="bottom"/>
            <w:gridSpan w:val="3"/>
          </w:tcPr>
          <w:p>
            <w:pPr>
              <w:jc w:val="right"/>
              <w:ind w:right="260"/>
              <w:spacing w:after="0" w:line="98"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29</w:t>
            </w: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4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w w:val="79"/>
              </w:rPr>
              <w:t>196</w:t>
            </w:r>
          </w:p>
        </w:tc>
        <w:tc>
          <w:tcPr>
            <w:tcW w:w="2620" w:type="dxa"/>
            <w:vAlign w:val="bottom"/>
          </w:tcPr>
          <w:p>
            <w:pPr>
              <w:spacing w:after="0"/>
              <w:rPr>
                <w:sz w:val="8"/>
                <w:szCs w:val="8"/>
                <w:color w:val="auto"/>
              </w:rPr>
            </w:pPr>
          </w:p>
        </w:tc>
      </w:tr>
      <w:tr>
        <w:trPr>
          <w:trHeight w:val="20"/>
        </w:trPr>
        <w:tc>
          <w:tcPr>
            <w:tcW w:w="74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of the 2010 charges and credits: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7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5"/>
          </w:tcPr>
          <w:p>
            <w:pPr>
              <w:jc w:val="right"/>
              <w:ind w:right="160"/>
              <w:spacing w:after="0"/>
              <w:rPr>
                <w:sz w:val="20"/>
                <w:szCs w:val="20"/>
                <w:color w:val="auto"/>
              </w:rPr>
            </w:pPr>
            <w:r>
              <w:rPr>
                <w:rFonts w:ascii="Arial" w:cs="Arial" w:eastAsia="Arial" w:hAnsi="Arial"/>
                <w:sz w:val="9"/>
                <w:szCs w:val="9"/>
                <w:b w:val="1"/>
                <w:bCs w:val="1"/>
                <w:color w:val="auto"/>
                <w:w w:val="86"/>
              </w:rPr>
              <w:t>(Stated in millions)</w:t>
            </w: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r>
      <w:tr>
        <w:trPr>
          <w:trHeight w:val="190"/>
        </w:trPr>
        <w:tc>
          <w:tcPr>
            <w:tcW w:w="7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2"/>
          </w:tcPr>
          <w:p>
            <w:pPr>
              <w:ind w:left="120"/>
              <w:spacing w:after="0"/>
              <w:rPr>
                <w:sz w:val="20"/>
                <w:szCs w:val="20"/>
                <w:color w:val="auto"/>
              </w:rPr>
            </w:pPr>
            <w:r>
              <w:rPr>
                <w:rFonts w:ascii="Arial" w:cs="Arial" w:eastAsia="Arial" w:hAnsi="Arial"/>
                <w:sz w:val="9"/>
                <w:szCs w:val="9"/>
                <w:b w:val="1"/>
                <w:bCs w:val="1"/>
                <w:color w:val="auto"/>
              </w:rPr>
              <w:t>Consolidated Statement of</w:t>
            </w:r>
          </w:p>
        </w:tc>
      </w:tr>
      <w:tr>
        <w:trPr>
          <w:trHeight w:val="117"/>
        </w:trPr>
        <w:tc>
          <w:tcPr>
            <w:tcW w:w="7100" w:type="dxa"/>
            <w:vAlign w:val="bottom"/>
          </w:tcPr>
          <w:p>
            <w:pPr>
              <w:spacing w:after="0"/>
              <w:rPr>
                <w:sz w:val="10"/>
                <w:szCs w:val="10"/>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9"/>
                <w:szCs w:val="9"/>
                <w:b w:val="1"/>
                <w:bCs w:val="1"/>
                <w:color w:val="auto"/>
              </w:rPr>
              <w:t>Pretax</w:t>
            </w:r>
          </w:p>
        </w:tc>
        <w:tc>
          <w:tcPr>
            <w:tcW w:w="160" w:type="dxa"/>
            <w:vAlign w:val="bottom"/>
          </w:tcPr>
          <w:p>
            <w:pPr>
              <w:spacing w:after="0"/>
              <w:rPr>
                <w:sz w:val="10"/>
                <w:szCs w:val="10"/>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77"/>
              </w:rPr>
              <w:t>Tax</w:t>
            </w:r>
          </w:p>
        </w:tc>
        <w:tc>
          <w:tcPr>
            <w:tcW w:w="40" w:type="dxa"/>
            <w:vAlign w:val="bottom"/>
          </w:tcPr>
          <w:p>
            <w:pPr>
              <w:spacing w:after="0"/>
              <w:rPr>
                <w:sz w:val="10"/>
                <w:szCs w:val="1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rPr>
              <w:t>Net</w:t>
            </w:r>
          </w:p>
        </w:tc>
        <w:tc>
          <w:tcPr>
            <w:tcW w:w="2880" w:type="dxa"/>
            <w:vAlign w:val="bottom"/>
            <w:gridSpan w:val="2"/>
          </w:tcPr>
          <w:p>
            <w:pPr>
              <w:ind w:left="120"/>
              <w:spacing w:after="0"/>
              <w:rPr>
                <w:sz w:val="20"/>
                <w:szCs w:val="20"/>
                <w:color w:val="auto"/>
              </w:rPr>
            </w:pPr>
            <w:r>
              <w:rPr>
                <w:rFonts w:ascii="Arial" w:cs="Arial" w:eastAsia="Arial" w:hAnsi="Arial"/>
                <w:sz w:val="9"/>
                <w:szCs w:val="9"/>
                <w:b w:val="1"/>
                <w:bCs w:val="1"/>
                <w:color w:val="auto"/>
              </w:rPr>
              <w:t>Income Classification</w:t>
            </w:r>
          </w:p>
        </w:tc>
      </w:tr>
      <w:tr>
        <w:trPr>
          <w:trHeight w:val="79"/>
        </w:trPr>
        <w:tc>
          <w:tcPr>
            <w:tcW w:w="710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i w:val="1"/>
                <w:iCs w:val="1"/>
                <w:color w:val="auto"/>
              </w:rPr>
              <w:t>Restructuring and Merger-related Charges:</w:t>
            </w:r>
          </w:p>
        </w:tc>
        <w:tc>
          <w:tcPr>
            <w:tcW w:w="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right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760" w:type="dxa"/>
            <w:vAlign w:val="bottom"/>
            <w:tcBorders>
              <w:top w:val="single" w:sz="8" w:color="auto"/>
            </w:tcBorders>
            <w:shd w:val="clear" w:color="auto" w:fill="CCEEFF"/>
          </w:tcPr>
          <w:p>
            <w:pPr>
              <w:spacing w:after="0"/>
              <w:rPr>
                <w:sz w:val="6"/>
                <w:szCs w:val="6"/>
                <w:color w:val="auto"/>
              </w:rPr>
            </w:pPr>
          </w:p>
        </w:tc>
      </w:tr>
      <w:tr>
        <w:trPr>
          <w:trHeight w:val="99"/>
        </w:trPr>
        <w:tc>
          <w:tcPr>
            <w:tcW w:w="7100" w:type="dxa"/>
            <w:vAlign w:val="bottom"/>
          </w:tcPr>
          <w:p>
            <w:pPr>
              <w:spacing w:after="0" w:line="99" w:lineRule="exact"/>
              <w:rPr>
                <w:sz w:val="20"/>
                <w:szCs w:val="20"/>
                <w:color w:val="auto"/>
              </w:rPr>
            </w:pPr>
            <w:r>
              <w:rPr>
                <w:rFonts w:ascii="Arial" w:cs="Arial" w:eastAsia="Arial" w:hAnsi="Arial"/>
                <w:sz w:val="9"/>
                <w:szCs w:val="9"/>
                <w:color w:val="auto"/>
              </w:rPr>
              <w:t>Severance and other</w:t>
            </w:r>
          </w:p>
        </w:tc>
        <w:tc>
          <w:tcPr>
            <w:tcW w:w="6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4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90</w:t>
            </w:r>
          </w:p>
        </w:tc>
        <w:tc>
          <w:tcPr>
            <w:tcW w:w="1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13</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77</w:t>
            </w:r>
          </w:p>
        </w:tc>
        <w:tc>
          <w:tcPr>
            <w:tcW w:w="2880" w:type="dxa"/>
            <w:vAlign w:val="bottom"/>
            <w:gridSpan w:val="2"/>
          </w:tcPr>
          <w:p>
            <w:pPr>
              <w:ind w:left="120"/>
              <w:spacing w:after="0" w:line="99" w:lineRule="exact"/>
              <w:rPr>
                <w:sz w:val="20"/>
                <w:szCs w:val="20"/>
                <w:color w:val="auto"/>
              </w:rPr>
            </w:pPr>
            <w:r>
              <w:rPr>
                <w:rFonts w:ascii="Arial" w:cs="Arial" w:eastAsia="Arial" w:hAnsi="Arial"/>
                <w:sz w:val="9"/>
                <w:szCs w:val="9"/>
                <w:i w:val="1"/>
                <w:iCs w:val="1"/>
                <w:color w:val="auto"/>
              </w:rPr>
              <w:t>Restructuring &amp; other</w:t>
            </w:r>
          </w:p>
        </w:tc>
      </w:tr>
      <w:tr>
        <w:trPr>
          <w:trHeight w:val="99"/>
        </w:trPr>
        <w:tc>
          <w:tcPr>
            <w:tcW w:w="71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Impairment relating to WesternGeco’s first generation Q-Land acquisition system</w:t>
            </w: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78</w:t>
            </w:r>
          </w:p>
        </w:tc>
        <w:tc>
          <w:tcPr>
            <w:tcW w:w="1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7</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71</w:t>
            </w:r>
          </w:p>
        </w:tc>
        <w:tc>
          <w:tcPr>
            <w:tcW w:w="2880" w:type="dxa"/>
            <w:vAlign w:val="bottom"/>
            <w:gridSpan w:val="2"/>
            <w:shd w:val="clear" w:color="auto" w:fill="CCEEFF"/>
          </w:tcPr>
          <w:p>
            <w:pPr>
              <w:ind w:left="120"/>
              <w:spacing w:after="0" w:line="99" w:lineRule="exact"/>
              <w:rPr>
                <w:sz w:val="20"/>
                <w:szCs w:val="20"/>
                <w:color w:val="auto"/>
              </w:rPr>
            </w:pPr>
            <w:r>
              <w:rPr>
                <w:rFonts w:ascii="Arial" w:cs="Arial" w:eastAsia="Arial" w:hAnsi="Arial"/>
                <w:sz w:val="9"/>
                <w:szCs w:val="9"/>
                <w:i w:val="1"/>
                <w:iCs w:val="1"/>
                <w:color w:val="auto"/>
              </w:rPr>
              <w:t>Restructuring &amp; other</w:t>
            </w:r>
          </w:p>
        </w:tc>
      </w:tr>
      <w:tr>
        <w:trPr>
          <w:trHeight w:val="99"/>
        </w:trPr>
        <w:tc>
          <w:tcPr>
            <w:tcW w:w="7100" w:type="dxa"/>
            <w:vAlign w:val="bottom"/>
          </w:tcPr>
          <w:p>
            <w:pPr>
              <w:spacing w:after="0" w:line="99" w:lineRule="exact"/>
              <w:rPr>
                <w:sz w:val="20"/>
                <w:szCs w:val="20"/>
                <w:color w:val="auto"/>
              </w:rPr>
            </w:pPr>
            <w:r>
              <w:rPr>
                <w:rFonts w:ascii="Arial" w:cs="Arial" w:eastAsia="Arial" w:hAnsi="Arial"/>
                <w:sz w:val="9"/>
                <w:szCs w:val="9"/>
                <w:color w:val="auto"/>
              </w:rPr>
              <w:t>Other WesternGeco-related charges</w:t>
            </w:r>
          </w:p>
        </w:tc>
        <w:tc>
          <w:tcPr>
            <w:tcW w:w="60" w:type="dxa"/>
            <w:vAlign w:val="bottom"/>
          </w:tcPr>
          <w:p>
            <w:pPr>
              <w:spacing w:after="0"/>
              <w:rPr>
                <w:sz w:val="8"/>
                <w:szCs w:val="8"/>
                <w:color w:val="auto"/>
              </w:rPr>
            </w:pPr>
          </w:p>
        </w:tc>
        <w:tc>
          <w:tcPr>
            <w:tcW w:w="4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63</w:t>
            </w:r>
          </w:p>
        </w:tc>
        <w:tc>
          <w:tcPr>
            <w:tcW w:w="160" w:type="dxa"/>
            <w:vAlign w:val="bottom"/>
          </w:tcPr>
          <w:p>
            <w:pPr>
              <w:spacing w:after="0"/>
              <w:rPr>
                <w:sz w:val="8"/>
                <w:szCs w:val="8"/>
                <w:color w:val="auto"/>
              </w:rPr>
            </w:pPr>
          </w:p>
        </w:tc>
        <w:tc>
          <w:tcPr>
            <w:tcW w:w="4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63</w:t>
            </w:r>
          </w:p>
        </w:tc>
        <w:tc>
          <w:tcPr>
            <w:tcW w:w="2880" w:type="dxa"/>
            <w:vAlign w:val="bottom"/>
            <w:gridSpan w:val="2"/>
          </w:tcPr>
          <w:p>
            <w:pPr>
              <w:ind w:left="120"/>
              <w:spacing w:after="0" w:line="99" w:lineRule="exact"/>
              <w:rPr>
                <w:sz w:val="20"/>
                <w:szCs w:val="20"/>
                <w:color w:val="auto"/>
              </w:rPr>
            </w:pPr>
            <w:r>
              <w:rPr>
                <w:rFonts w:ascii="Arial" w:cs="Arial" w:eastAsia="Arial" w:hAnsi="Arial"/>
                <w:sz w:val="9"/>
                <w:szCs w:val="9"/>
                <w:i w:val="1"/>
                <w:iCs w:val="1"/>
                <w:color w:val="auto"/>
              </w:rPr>
              <w:t>Restructuring &amp; other</w:t>
            </w:r>
          </w:p>
        </w:tc>
      </w:tr>
      <w:tr>
        <w:trPr>
          <w:trHeight w:val="99"/>
        </w:trPr>
        <w:tc>
          <w:tcPr>
            <w:tcW w:w="71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Professional fees and other</w:t>
            </w: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107</w:t>
            </w:r>
          </w:p>
        </w:tc>
        <w:tc>
          <w:tcPr>
            <w:tcW w:w="1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1</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106</w:t>
            </w:r>
          </w:p>
        </w:tc>
        <w:tc>
          <w:tcPr>
            <w:tcW w:w="2880" w:type="dxa"/>
            <w:vAlign w:val="bottom"/>
            <w:gridSpan w:val="2"/>
            <w:shd w:val="clear" w:color="auto" w:fill="CCEEFF"/>
          </w:tcPr>
          <w:p>
            <w:pPr>
              <w:ind w:left="120"/>
              <w:spacing w:after="0" w:line="99" w:lineRule="exact"/>
              <w:rPr>
                <w:sz w:val="20"/>
                <w:szCs w:val="20"/>
                <w:color w:val="auto"/>
              </w:rPr>
            </w:pPr>
            <w:r>
              <w:rPr>
                <w:rFonts w:ascii="Arial" w:cs="Arial" w:eastAsia="Arial" w:hAnsi="Arial"/>
                <w:sz w:val="9"/>
                <w:szCs w:val="9"/>
                <w:i w:val="1"/>
                <w:iCs w:val="1"/>
                <w:color w:val="auto"/>
              </w:rPr>
              <w:t>Merger &amp; integration</w:t>
            </w:r>
          </w:p>
        </w:tc>
      </w:tr>
      <w:tr>
        <w:trPr>
          <w:trHeight w:val="99"/>
        </w:trPr>
        <w:tc>
          <w:tcPr>
            <w:tcW w:w="7100" w:type="dxa"/>
            <w:vAlign w:val="bottom"/>
          </w:tcPr>
          <w:p>
            <w:pPr>
              <w:spacing w:after="0" w:line="99" w:lineRule="exact"/>
              <w:rPr>
                <w:sz w:val="20"/>
                <w:szCs w:val="20"/>
                <w:color w:val="auto"/>
              </w:rPr>
            </w:pPr>
            <w:r>
              <w:rPr>
                <w:rFonts w:ascii="Arial" w:cs="Arial" w:eastAsia="Arial" w:hAnsi="Arial"/>
                <w:sz w:val="9"/>
                <w:szCs w:val="9"/>
                <w:color w:val="auto"/>
              </w:rPr>
              <w:t>Merger-related employee benefits</w:t>
            </w:r>
          </w:p>
        </w:tc>
        <w:tc>
          <w:tcPr>
            <w:tcW w:w="60" w:type="dxa"/>
            <w:vAlign w:val="bottom"/>
          </w:tcPr>
          <w:p>
            <w:pPr>
              <w:spacing w:after="0"/>
              <w:rPr>
                <w:sz w:val="8"/>
                <w:szCs w:val="8"/>
                <w:color w:val="auto"/>
              </w:rPr>
            </w:pPr>
          </w:p>
        </w:tc>
        <w:tc>
          <w:tcPr>
            <w:tcW w:w="4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58</w:t>
            </w:r>
          </w:p>
        </w:tc>
        <w:tc>
          <w:tcPr>
            <w:tcW w:w="160" w:type="dxa"/>
            <w:vAlign w:val="bottom"/>
          </w:tcPr>
          <w:p>
            <w:pPr>
              <w:spacing w:after="0"/>
              <w:rPr>
                <w:sz w:val="8"/>
                <w:szCs w:val="8"/>
                <w:color w:val="auto"/>
              </w:rPr>
            </w:pPr>
          </w:p>
        </w:tc>
        <w:tc>
          <w:tcPr>
            <w:tcW w:w="4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10</w:t>
            </w:r>
          </w:p>
        </w:tc>
        <w:tc>
          <w:tcPr>
            <w:tcW w:w="4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48</w:t>
            </w:r>
          </w:p>
        </w:tc>
        <w:tc>
          <w:tcPr>
            <w:tcW w:w="2880" w:type="dxa"/>
            <w:vAlign w:val="bottom"/>
            <w:gridSpan w:val="2"/>
          </w:tcPr>
          <w:p>
            <w:pPr>
              <w:ind w:left="120"/>
              <w:spacing w:after="0" w:line="99" w:lineRule="exact"/>
              <w:rPr>
                <w:sz w:val="20"/>
                <w:szCs w:val="20"/>
                <w:color w:val="auto"/>
              </w:rPr>
            </w:pPr>
            <w:r>
              <w:rPr>
                <w:rFonts w:ascii="Arial" w:cs="Arial" w:eastAsia="Arial" w:hAnsi="Arial"/>
                <w:sz w:val="9"/>
                <w:szCs w:val="9"/>
                <w:i w:val="1"/>
                <w:iCs w:val="1"/>
                <w:color w:val="auto"/>
              </w:rPr>
              <w:t>Merger &amp; integration</w:t>
            </w:r>
          </w:p>
        </w:tc>
      </w:tr>
      <w:tr>
        <w:trPr>
          <w:trHeight w:val="99"/>
        </w:trPr>
        <w:tc>
          <w:tcPr>
            <w:tcW w:w="71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Inventory fair value adjustments</w:t>
            </w: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153</w:t>
            </w:r>
          </w:p>
        </w:tc>
        <w:tc>
          <w:tcPr>
            <w:tcW w:w="1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56</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97</w:t>
            </w:r>
          </w:p>
        </w:tc>
        <w:tc>
          <w:tcPr>
            <w:tcW w:w="2880" w:type="dxa"/>
            <w:vAlign w:val="bottom"/>
            <w:gridSpan w:val="2"/>
            <w:shd w:val="clear" w:color="auto" w:fill="CCEEFF"/>
          </w:tcPr>
          <w:p>
            <w:pPr>
              <w:ind w:left="120"/>
              <w:spacing w:after="0" w:line="99" w:lineRule="exact"/>
              <w:rPr>
                <w:sz w:val="20"/>
                <w:szCs w:val="20"/>
                <w:color w:val="auto"/>
              </w:rPr>
            </w:pPr>
            <w:r>
              <w:rPr>
                <w:rFonts w:ascii="Arial" w:cs="Arial" w:eastAsia="Arial" w:hAnsi="Arial"/>
                <w:sz w:val="9"/>
                <w:szCs w:val="9"/>
                <w:i w:val="1"/>
                <w:iCs w:val="1"/>
                <w:color w:val="auto"/>
              </w:rPr>
              <w:t>Cost of revenue - Oilfield Services</w:t>
            </w:r>
          </w:p>
        </w:tc>
      </w:tr>
      <w:tr>
        <w:trPr>
          <w:trHeight w:val="99"/>
        </w:trPr>
        <w:tc>
          <w:tcPr>
            <w:tcW w:w="7100" w:type="dxa"/>
            <w:vAlign w:val="bottom"/>
          </w:tcPr>
          <w:p>
            <w:pPr>
              <w:spacing w:after="0" w:line="99" w:lineRule="exact"/>
              <w:rPr>
                <w:sz w:val="20"/>
                <w:szCs w:val="20"/>
                <w:color w:val="auto"/>
              </w:rPr>
            </w:pPr>
            <w:r>
              <w:rPr>
                <w:rFonts w:ascii="Arial" w:cs="Arial" w:eastAsia="Arial" w:hAnsi="Arial"/>
                <w:sz w:val="9"/>
                <w:szCs w:val="9"/>
                <w:color w:val="auto"/>
              </w:rPr>
              <w:t>Mexico restructuring</w:t>
            </w:r>
          </w:p>
        </w:tc>
        <w:tc>
          <w:tcPr>
            <w:tcW w:w="60" w:type="dxa"/>
            <w:vAlign w:val="bottom"/>
          </w:tcPr>
          <w:p>
            <w:pPr>
              <w:spacing w:after="0"/>
              <w:rPr>
                <w:sz w:val="8"/>
                <w:szCs w:val="8"/>
                <w:color w:val="auto"/>
              </w:rPr>
            </w:pPr>
          </w:p>
        </w:tc>
        <w:tc>
          <w:tcPr>
            <w:tcW w:w="4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40</w:t>
            </w:r>
          </w:p>
        </w:tc>
        <w:tc>
          <w:tcPr>
            <w:tcW w:w="160" w:type="dxa"/>
            <w:vAlign w:val="bottom"/>
          </w:tcPr>
          <w:p>
            <w:pPr>
              <w:spacing w:after="0"/>
              <w:rPr>
                <w:sz w:val="8"/>
                <w:szCs w:val="8"/>
                <w:color w:val="auto"/>
              </w:rPr>
            </w:pPr>
          </w:p>
        </w:tc>
        <w:tc>
          <w:tcPr>
            <w:tcW w:w="4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4</w:t>
            </w:r>
          </w:p>
        </w:tc>
        <w:tc>
          <w:tcPr>
            <w:tcW w:w="4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36</w:t>
            </w:r>
          </w:p>
        </w:tc>
        <w:tc>
          <w:tcPr>
            <w:tcW w:w="2880" w:type="dxa"/>
            <w:vAlign w:val="bottom"/>
            <w:gridSpan w:val="2"/>
          </w:tcPr>
          <w:p>
            <w:pPr>
              <w:ind w:left="120"/>
              <w:spacing w:after="0" w:line="99" w:lineRule="exact"/>
              <w:rPr>
                <w:sz w:val="20"/>
                <w:szCs w:val="20"/>
                <w:color w:val="auto"/>
              </w:rPr>
            </w:pPr>
            <w:r>
              <w:rPr>
                <w:rFonts w:ascii="Arial" w:cs="Arial" w:eastAsia="Arial" w:hAnsi="Arial"/>
                <w:sz w:val="9"/>
                <w:szCs w:val="9"/>
                <w:i w:val="1"/>
                <w:iCs w:val="1"/>
                <w:color w:val="auto"/>
              </w:rPr>
              <w:t>Restructuring &amp; other</w:t>
            </w:r>
          </w:p>
        </w:tc>
      </w:tr>
      <w:tr>
        <w:trPr>
          <w:trHeight w:val="99"/>
        </w:trPr>
        <w:tc>
          <w:tcPr>
            <w:tcW w:w="7100" w:type="dxa"/>
            <w:vAlign w:val="bottom"/>
            <w:tcBorders>
              <w:bottom w:val="single" w:sz="8" w:color="auto"/>
            </w:tcBorders>
            <w:shd w:val="clear" w:color="auto" w:fill="CCEEFF"/>
          </w:tcPr>
          <w:p>
            <w:pPr>
              <w:spacing w:after="0" w:line="99" w:lineRule="exact"/>
              <w:rPr>
                <w:sz w:val="20"/>
                <w:szCs w:val="20"/>
                <w:color w:val="auto"/>
              </w:rPr>
            </w:pPr>
            <w:r>
              <w:rPr>
                <w:rFonts w:ascii="Arial" w:cs="Arial" w:eastAsia="Arial" w:hAnsi="Arial"/>
                <w:sz w:val="9"/>
                <w:szCs w:val="9"/>
                <w:color w:val="auto"/>
              </w:rPr>
              <w:t>Repurchase of bonds</w:t>
            </w:r>
          </w:p>
        </w:tc>
        <w:tc>
          <w:tcPr>
            <w:tcW w:w="6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60</w:t>
            </w:r>
          </w:p>
        </w:tc>
        <w:tc>
          <w:tcPr>
            <w:tcW w:w="1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23</w:t>
            </w:r>
          </w:p>
        </w:tc>
        <w:tc>
          <w:tcPr>
            <w:tcW w:w="28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37</w:t>
            </w:r>
          </w:p>
        </w:tc>
        <w:tc>
          <w:tcPr>
            <w:tcW w:w="160" w:type="dxa"/>
            <w:vAlign w:val="bottom"/>
            <w:shd w:val="clear" w:color="auto" w:fill="CCEEFF"/>
          </w:tcPr>
          <w:p>
            <w:pPr>
              <w:spacing w:after="0"/>
              <w:rPr>
                <w:sz w:val="8"/>
                <w:szCs w:val="8"/>
                <w:color w:val="auto"/>
              </w:rPr>
            </w:pPr>
          </w:p>
        </w:tc>
        <w:tc>
          <w:tcPr>
            <w:tcW w:w="2880" w:type="dxa"/>
            <w:vAlign w:val="bottom"/>
            <w:gridSpan w:val="2"/>
            <w:shd w:val="clear" w:color="auto" w:fill="CCEEFF"/>
          </w:tcPr>
          <w:p>
            <w:pPr>
              <w:ind w:left="120"/>
              <w:spacing w:after="0" w:line="99" w:lineRule="exact"/>
              <w:rPr>
                <w:sz w:val="20"/>
                <w:szCs w:val="20"/>
                <w:color w:val="auto"/>
              </w:rPr>
            </w:pPr>
            <w:r>
              <w:rPr>
                <w:rFonts w:ascii="Arial" w:cs="Arial" w:eastAsia="Arial" w:hAnsi="Arial"/>
                <w:sz w:val="9"/>
                <w:szCs w:val="9"/>
                <w:i w:val="1"/>
                <w:iCs w:val="1"/>
                <w:color w:val="auto"/>
              </w:rPr>
              <w:t>Restructuring &amp; other</w:t>
            </w:r>
          </w:p>
        </w:tc>
      </w:tr>
      <w:tr>
        <w:trPr>
          <w:trHeight w:val="97"/>
        </w:trPr>
        <w:tc>
          <w:tcPr>
            <w:tcW w:w="7100" w:type="dxa"/>
            <w:vAlign w:val="bottom"/>
          </w:tcPr>
          <w:p>
            <w:pPr>
              <w:spacing w:after="0" w:line="98" w:lineRule="exact"/>
              <w:rPr>
                <w:sz w:val="20"/>
                <w:szCs w:val="20"/>
                <w:color w:val="auto"/>
              </w:rPr>
            </w:pPr>
            <w:r>
              <w:rPr>
                <w:rFonts w:ascii="Arial" w:cs="Arial" w:eastAsia="Arial" w:hAnsi="Arial"/>
                <w:sz w:val="9"/>
                <w:szCs w:val="9"/>
                <w:i w:val="1"/>
                <w:iCs w:val="1"/>
                <w:color w:val="auto"/>
              </w:rPr>
              <w:t>Total restructuring and merger-related charges</w:t>
            </w: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649</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9"/>
              </w:rPr>
              <w:t>114</w:t>
            </w:r>
          </w:p>
        </w:tc>
        <w:tc>
          <w:tcPr>
            <w:tcW w:w="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535</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60" w:type="dxa"/>
            <w:vAlign w:val="bottom"/>
          </w:tcPr>
          <w:p>
            <w:pPr>
              <w:spacing w:after="0"/>
              <w:rPr>
                <w:sz w:val="8"/>
                <w:szCs w:val="8"/>
                <w:color w:val="auto"/>
              </w:rPr>
            </w:pPr>
          </w:p>
        </w:tc>
      </w:tr>
      <w:tr>
        <w:trPr>
          <w:trHeight w:val="97"/>
        </w:trPr>
        <w:tc>
          <w:tcPr>
            <w:tcW w:w="7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Gain on investment in M-I SWACO</w:t>
            </w: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w w:val="83"/>
              </w:rPr>
              <w:t>(1,270)</w:t>
            </w:r>
          </w:p>
        </w:tc>
        <w:tc>
          <w:tcPr>
            <w:tcW w:w="1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w w:val="87"/>
              </w:rPr>
              <w:t>(32)</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w w:val="91"/>
              </w:rPr>
              <w:t>(1,238)</w:t>
            </w:r>
          </w:p>
        </w:tc>
        <w:tc>
          <w:tcPr>
            <w:tcW w:w="288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i w:val="1"/>
                <w:iCs w:val="1"/>
                <w:color w:val="auto"/>
              </w:rPr>
              <w:t>Gain on Investment in M-I SWACO</w:t>
            </w:r>
          </w:p>
        </w:tc>
      </w:tr>
      <w:tr>
        <w:trPr>
          <w:trHeight w:val="99"/>
        </w:trPr>
        <w:tc>
          <w:tcPr>
            <w:tcW w:w="7100" w:type="dxa"/>
            <w:vAlign w:val="bottom"/>
          </w:tcPr>
          <w:p>
            <w:pPr>
              <w:spacing w:after="0" w:line="99" w:lineRule="exact"/>
              <w:rPr>
                <w:sz w:val="20"/>
                <w:szCs w:val="20"/>
                <w:color w:val="auto"/>
              </w:rPr>
            </w:pPr>
            <w:r>
              <w:rPr>
                <w:rFonts w:ascii="Arial" w:cs="Arial" w:eastAsia="Arial" w:hAnsi="Arial"/>
                <w:sz w:val="9"/>
                <w:szCs w:val="9"/>
                <w:color w:val="auto"/>
              </w:rPr>
              <w:t>Impact of elimination of tax deduction related to Medicare Part D subsidy</w:t>
            </w: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gridSpan w:val="2"/>
          </w:tcPr>
          <w:p>
            <w:pPr>
              <w:jc w:val="right"/>
              <w:ind w:right="260"/>
              <w:spacing w:after="0" w:line="99" w:lineRule="exact"/>
              <w:rPr>
                <w:sz w:val="20"/>
                <w:szCs w:val="20"/>
                <w:color w:val="auto"/>
              </w:rPr>
            </w:pPr>
            <w:r>
              <w:rPr>
                <w:rFonts w:ascii="Arial" w:cs="Arial" w:eastAsia="Arial" w:hAnsi="Arial"/>
                <w:sz w:val="9"/>
                <w:szCs w:val="9"/>
                <w:color w:val="auto"/>
                <w:w w:val="87"/>
              </w:rPr>
              <w:t>(40)</w:t>
            </w:r>
          </w:p>
        </w:tc>
        <w:tc>
          <w:tcPr>
            <w:tcW w:w="4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40</w:t>
            </w:r>
          </w:p>
        </w:tc>
        <w:tc>
          <w:tcPr>
            <w:tcW w:w="2880" w:type="dxa"/>
            <w:vAlign w:val="bottom"/>
            <w:gridSpan w:val="2"/>
          </w:tcPr>
          <w:p>
            <w:pPr>
              <w:ind w:left="120"/>
              <w:spacing w:after="0" w:line="99" w:lineRule="exact"/>
              <w:rPr>
                <w:sz w:val="20"/>
                <w:szCs w:val="20"/>
                <w:color w:val="auto"/>
              </w:rPr>
            </w:pPr>
            <w:r>
              <w:rPr>
                <w:rFonts w:ascii="Arial" w:cs="Arial" w:eastAsia="Arial" w:hAnsi="Arial"/>
                <w:sz w:val="9"/>
                <w:szCs w:val="9"/>
                <w:i w:val="1"/>
                <w:iCs w:val="1"/>
                <w:color w:val="auto"/>
              </w:rPr>
              <w:t>Taxes on income</w:t>
            </w:r>
          </w:p>
        </w:tc>
      </w:tr>
      <w:tr>
        <w:trPr>
          <w:trHeight w:val="20"/>
        </w:trPr>
        <w:tc>
          <w:tcPr>
            <w:tcW w:w="7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97"/>
        </w:trPr>
        <w:tc>
          <w:tcPr>
            <w:tcW w:w="710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40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(621)</w:t>
            </w:r>
          </w:p>
        </w:tc>
        <w:tc>
          <w:tcPr>
            <w:tcW w:w="16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42</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(663)</w:t>
            </w:r>
          </w:p>
        </w:tc>
        <w:tc>
          <w:tcPr>
            <w:tcW w:w="120" w:type="dxa"/>
            <w:vAlign w:val="bottom"/>
            <w:shd w:val="clear" w:color="auto" w:fill="CCEEFF"/>
          </w:tcPr>
          <w:p>
            <w:pPr>
              <w:spacing w:after="0"/>
              <w:rPr>
                <w:sz w:val="8"/>
                <w:szCs w:val="8"/>
                <w:color w:val="auto"/>
              </w:rPr>
            </w:pPr>
          </w:p>
        </w:tc>
        <w:tc>
          <w:tcPr>
            <w:tcW w:w="2760" w:type="dxa"/>
            <w:vAlign w:val="bottom"/>
            <w:shd w:val="clear" w:color="auto" w:fill="CCEEFF"/>
          </w:tcPr>
          <w:p>
            <w:pPr>
              <w:spacing w:after="0"/>
              <w:rPr>
                <w:sz w:val="8"/>
                <w:szCs w:val="8"/>
                <w:color w:val="auto"/>
              </w:rPr>
            </w:pPr>
          </w:p>
        </w:tc>
      </w:tr>
      <w:tr>
        <w:trPr>
          <w:trHeight w:val="20"/>
        </w:trPr>
        <w:tc>
          <w:tcPr>
            <w:tcW w:w="7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spacing w:after="0" w:line="16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is a summary of the 2009 charges: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3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6"/>
          </w:tcPr>
          <w:p>
            <w:pPr>
              <w:jc w:val="right"/>
              <w:ind w:right="260"/>
              <w:spacing w:after="0"/>
              <w:rPr>
                <w:sz w:val="20"/>
                <w:szCs w:val="20"/>
                <w:color w:val="auto"/>
              </w:rPr>
            </w:pPr>
            <w:r>
              <w:rPr>
                <w:rFonts w:ascii="Arial" w:cs="Arial" w:eastAsia="Arial" w:hAnsi="Arial"/>
                <w:sz w:val="9"/>
                <w:szCs w:val="9"/>
                <w:b w:val="1"/>
                <w:bCs w:val="1"/>
                <w:color w:val="auto"/>
                <w:w w:val="96"/>
              </w:rPr>
              <w:t>(Stated in millions)</w:t>
            </w:r>
          </w:p>
        </w:tc>
        <w:tc>
          <w:tcPr>
            <w:tcW w:w="2620" w:type="dxa"/>
            <w:vAlign w:val="bottom"/>
          </w:tcPr>
          <w:p>
            <w:pPr>
              <w:spacing w:after="0"/>
              <w:rPr>
                <w:sz w:val="10"/>
                <w:szCs w:val="10"/>
                <w:color w:val="auto"/>
              </w:rPr>
            </w:pPr>
          </w:p>
        </w:tc>
      </w:tr>
      <w:tr>
        <w:trPr>
          <w:trHeight w:val="190"/>
        </w:trPr>
        <w:tc>
          <w:tcPr>
            <w:tcW w:w="43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9"/>
                <w:szCs w:val="9"/>
                <w:b w:val="1"/>
                <w:bCs w:val="1"/>
                <w:color w:val="auto"/>
              </w:rPr>
              <w:t>Consolidated Statement of</w:t>
            </w:r>
          </w:p>
        </w:tc>
      </w:tr>
      <w:tr>
        <w:trPr>
          <w:trHeight w:val="117"/>
        </w:trPr>
        <w:tc>
          <w:tcPr>
            <w:tcW w:w="43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0" w:type="dxa"/>
            <w:vAlign w:val="bottom"/>
            <w:gridSpan w:val="3"/>
          </w:tcPr>
          <w:p>
            <w:pPr>
              <w:ind w:left="20"/>
              <w:spacing w:after="0"/>
              <w:rPr>
                <w:sz w:val="20"/>
                <w:szCs w:val="20"/>
                <w:color w:val="auto"/>
              </w:rPr>
            </w:pPr>
            <w:r>
              <w:rPr>
                <w:rFonts w:ascii="Arial" w:cs="Arial" w:eastAsia="Arial" w:hAnsi="Arial"/>
                <w:sz w:val="9"/>
                <w:szCs w:val="9"/>
                <w:b w:val="1"/>
                <w:bCs w:val="1"/>
                <w:color w:val="auto"/>
              </w:rPr>
              <w:t>Pretax</w:t>
            </w:r>
          </w:p>
        </w:tc>
        <w:tc>
          <w:tcPr>
            <w:tcW w:w="200" w:type="dxa"/>
            <w:vAlign w:val="bottom"/>
          </w:tcPr>
          <w:p>
            <w:pPr>
              <w:spacing w:after="0"/>
              <w:rPr>
                <w:sz w:val="10"/>
                <w:szCs w:val="10"/>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77"/>
              </w:rPr>
              <w:t>Tax</w:t>
            </w:r>
          </w:p>
        </w:tc>
        <w:tc>
          <w:tcPr>
            <w:tcW w:w="40" w:type="dxa"/>
            <w:vAlign w:val="bottom"/>
          </w:tcPr>
          <w:p>
            <w:pPr>
              <w:spacing w:after="0"/>
              <w:rPr>
                <w:sz w:val="10"/>
                <w:szCs w:val="10"/>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w w:val="82"/>
              </w:rPr>
              <w:t>Net</w:t>
            </w:r>
          </w:p>
        </w:tc>
        <w:tc>
          <w:tcPr>
            <w:tcW w:w="2620" w:type="dxa"/>
            <w:vAlign w:val="bottom"/>
          </w:tcPr>
          <w:p>
            <w:pPr>
              <w:spacing w:after="0"/>
              <w:rPr>
                <w:sz w:val="20"/>
                <w:szCs w:val="20"/>
                <w:color w:val="auto"/>
              </w:rPr>
            </w:pPr>
            <w:r>
              <w:rPr>
                <w:rFonts w:ascii="Arial" w:cs="Arial" w:eastAsia="Arial" w:hAnsi="Arial"/>
                <w:sz w:val="9"/>
                <w:szCs w:val="9"/>
                <w:b w:val="1"/>
                <w:bCs w:val="1"/>
                <w:color w:val="auto"/>
              </w:rPr>
              <w:t>Income Classification</w:t>
            </w:r>
          </w:p>
        </w:tc>
      </w:tr>
      <w:tr>
        <w:trPr>
          <w:trHeight w:val="88"/>
        </w:trPr>
        <w:tc>
          <w:tcPr>
            <w:tcW w:w="436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Workforce reductions</w:t>
            </w:r>
          </w:p>
        </w:tc>
        <w:tc>
          <w:tcPr>
            <w:tcW w:w="3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1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2"/>
              </w:rPr>
              <w:t>102</w:t>
            </w:r>
          </w:p>
        </w:tc>
        <w:tc>
          <w:tcPr>
            <w:tcW w:w="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9"/>
              </w:rPr>
              <w:t>$17</w:t>
            </w: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85</w:t>
            </w:r>
          </w:p>
        </w:tc>
        <w:tc>
          <w:tcPr>
            <w:tcW w:w="260" w:type="dxa"/>
            <w:vAlign w:val="bottom"/>
            <w:tcBorders>
              <w:top w:val="single" w:sz="8" w:color="CCEEFF"/>
            </w:tcBorders>
            <w:shd w:val="clear" w:color="auto" w:fill="CCEEFF"/>
          </w:tcPr>
          <w:p>
            <w:pPr>
              <w:spacing w:after="0"/>
              <w:rPr>
                <w:sz w:val="7"/>
                <w:szCs w:val="7"/>
                <w:color w:val="auto"/>
              </w:rPr>
            </w:pPr>
          </w:p>
        </w:tc>
        <w:tc>
          <w:tcPr>
            <w:tcW w:w="262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i w:val="1"/>
                <w:iCs w:val="1"/>
                <w:color w:val="auto"/>
              </w:rPr>
              <w:t>Restructuring &amp; other</w:t>
            </w:r>
          </w:p>
        </w:tc>
      </w:tr>
      <w:tr>
        <w:trPr>
          <w:trHeight w:val="99"/>
        </w:trPr>
        <w:tc>
          <w:tcPr>
            <w:tcW w:w="4360" w:type="dxa"/>
            <w:vAlign w:val="bottom"/>
          </w:tcPr>
          <w:p>
            <w:pPr>
              <w:spacing w:after="0" w:line="99" w:lineRule="exact"/>
              <w:rPr>
                <w:sz w:val="20"/>
                <w:szCs w:val="20"/>
                <w:color w:val="auto"/>
              </w:rPr>
            </w:pPr>
            <w:r>
              <w:rPr>
                <w:rFonts w:ascii="Arial" w:cs="Arial" w:eastAsia="Arial" w:hAnsi="Arial"/>
                <w:sz w:val="9"/>
                <w:szCs w:val="9"/>
                <w:color w:val="auto"/>
              </w:rPr>
              <w:t>Postretirement benefits curtailment</w:t>
            </w: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jc w:val="right"/>
              <w:spacing w:after="0" w:line="99" w:lineRule="exact"/>
              <w:rPr>
                <w:sz w:val="20"/>
                <w:szCs w:val="20"/>
                <w:color w:val="auto"/>
              </w:rPr>
            </w:pPr>
            <w:r>
              <w:rPr>
                <w:rFonts w:ascii="Arial" w:cs="Arial" w:eastAsia="Arial" w:hAnsi="Arial"/>
                <w:sz w:val="9"/>
                <w:szCs w:val="9"/>
                <w:color w:val="auto"/>
                <w:w w:val="92"/>
              </w:rPr>
              <w:t>136</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14</w:t>
            </w:r>
          </w:p>
        </w:tc>
        <w:tc>
          <w:tcPr>
            <w:tcW w:w="40" w:type="dxa"/>
            <w:vAlign w:val="bottom"/>
          </w:tcPr>
          <w:p>
            <w:pPr>
              <w:spacing w:after="0"/>
              <w:rPr>
                <w:sz w:val="8"/>
                <w:szCs w:val="8"/>
                <w:color w:val="auto"/>
              </w:rPr>
            </w:pPr>
          </w:p>
        </w:tc>
        <w:tc>
          <w:tcPr>
            <w:tcW w:w="400" w:type="dxa"/>
            <w:vAlign w:val="bottom"/>
            <w:gridSpan w:val="2"/>
          </w:tcPr>
          <w:p>
            <w:pPr>
              <w:jc w:val="right"/>
              <w:ind w:right="260"/>
              <w:spacing w:after="0" w:line="99" w:lineRule="exact"/>
              <w:rPr>
                <w:sz w:val="20"/>
                <w:szCs w:val="20"/>
                <w:color w:val="auto"/>
              </w:rPr>
            </w:pPr>
            <w:r>
              <w:rPr>
                <w:rFonts w:ascii="Arial" w:cs="Arial" w:eastAsia="Arial" w:hAnsi="Arial"/>
                <w:sz w:val="9"/>
                <w:szCs w:val="9"/>
                <w:color w:val="auto"/>
                <w:w w:val="79"/>
              </w:rPr>
              <w:t>122</w:t>
            </w:r>
          </w:p>
        </w:tc>
        <w:tc>
          <w:tcPr>
            <w:tcW w:w="2620" w:type="dxa"/>
            <w:vAlign w:val="bottom"/>
          </w:tcPr>
          <w:p>
            <w:pPr>
              <w:spacing w:after="0" w:line="99" w:lineRule="exact"/>
              <w:rPr>
                <w:sz w:val="20"/>
                <w:szCs w:val="20"/>
                <w:color w:val="auto"/>
              </w:rPr>
            </w:pPr>
            <w:r>
              <w:rPr>
                <w:rFonts w:ascii="Arial" w:cs="Arial" w:eastAsia="Arial" w:hAnsi="Arial"/>
                <w:sz w:val="9"/>
                <w:szCs w:val="9"/>
                <w:i w:val="1"/>
                <w:iCs w:val="1"/>
                <w:color w:val="auto"/>
              </w:rPr>
              <w:t>Restructuring &amp; other</w:t>
            </w:r>
          </w:p>
        </w:tc>
      </w:tr>
      <w:tr>
        <w:trPr>
          <w:trHeight w:val="20"/>
        </w:trPr>
        <w:tc>
          <w:tcPr>
            <w:tcW w:w="436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97"/>
        </w:trPr>
        <w:tc>
          <w:tcPr>
            <w:tcW w:w="4360" w:type="dxa"/>
            <w:vAlign w:val="bottom"/>
            <w:shd w:val="clear" w:color="auto" w:fill="CCEEFF"/>
          </w:tcPr>
          <w:p>
            <w:pPr>
              <w:spacing w:after="0"/>
              <w:rPr>
                <w:sz w:val="8"/>
                <w:szCs w:val="8"/>
                <w:color w:val="auto"/>
              </w:rPr>
            </w:pPr>
          </w:p>
        </w:tc>
        <w:tc>
          <w:tcPr>
            <w:tcW w:w="3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92"/>
              </w:rPr>
              <w:t>238</w:t>
            </w:r>
          </w:p>
        </w:tc>
        <w:tc>
          <w:tcPr>
            <w:tcW w:w="8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280"/>
              <w:spacing w:after="0" w:line="98"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31</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u w:val="single" w:color="auto"/>
                <w:color w:val="auto"/>
                <w:w w:val="70"/>
              </w:rPr>
              <w:t>$</w:t>
            </w:r>
          </w:p>
        </w:tc>
        <w:tc>
          <w:tcPr>
            <w:tcW w:w="40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w w:val="79"/>
              </w:rPr>
              <w:t>207</w:t>
            </w:r>
          </w:p>
        </w:tc>
        <w:tc>
          <w:tcPr>
            <w:tcW w:w="2620" w:type="dxa"/>
            <w:vAlign w:val="bottom"/>
            <w:shd w:val="clear" w:color="auto" w:fill="CCEEFF"/>
          </w:tcPr>
          <w:p>
            <w:pPr>
              <w:spacing w:after="0"/>
              <w:rPr>
                <w:sz w:val="8"/>
                <w:szCs w:val="8"/>
                <w:color w:val="auto"/>
              </w:rPr>
            </w:pPr>
          </w:p>
        </w:tc>
      </w:tr>
      <w:tr>
        <w:trPr>
          <w:trHeight w:val="20"/>
        </w:trPr>
        <w:tc>
          <w:tcPr>
            <w:tcW w:w="43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Cash Flow</w:t>
      </w:r>
    </w:p>
    <w:p>
      <w:pPr>
        <w:spacing w:after="0" w:line="60" w:lineRule="exact"/>
        <w:rPr>
          <w:sz w:val="20"/>
          <w:szCs w:val="20"/>
          <w:color w:val="auto"/>
        </w:rPr>
      </w:pPr>
    </w:p>
    <w:p>
      <w:pPr>
        <w:ind w:right="360" w:firstLine="230"/>
        <w:spacing w:after="0" w:line="268" w:lineRule="auto"/>
        <w:rPr>
          <w:sz w:val="20"/>
          <w:szCs w:val="20"/>
          <w:color w:val="auto"/>
        </w:rPr>
      </w:pPr>
      <w:r>
        <w:rPr>
          <w:rFonts w:ascii="Arial" w:cs="Arial" w:eastAsia="Arial" w:hAnsi="Arial"/>
          <w:sz w:val="12"/>
          <w:szCs w:val="12"/>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9"/>
          <w:szCs w:val="9"/>
          <w:color w:val="auto"/>
        </w:rPr>
        <w:t>24</w:t>
      </w:r>
    </w:p>
    <w:p>
      <w:pPr>
        <w:sectPr>
          <w:pgSz w:w="11900" w:h="16838" w:orient="portrait"/>
          <w:cols w:equalWidth="0" w:num="1">
            <w:col w:w="11480"/>
          </w:cols>
          <w:pgMar w:left="220" w:top="354" w:right="199"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Details of Net Debt follow: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9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5"/>
          </w:tcPr>
          <w:p>
            <w:pPr>
              <w:jc w:val="center"/>
              <w:ind w:right="20"/>
              <w:spacing w:after="0"/>
              <w:rPr>
                <w:sz w:val="20"/>
                <w:szCs w:val="20"/>
                <w:color w:val="auto"/>
              </w:rPr>
            </w:pPr>
            <w:r>
              <w:rPr>
                <w:rFonts w:ascii="Arial" w:cs="Arial" w:eastAsia="Arial" w:hAnsi="Arial"/>
                <w:sz w:val="9"/>
                <w:szCs w:val="9"/>
                <w:b w:val="1"/>
                <w:bCs w:val="1"/>
                <w:color w:val="auto"/>
                <w:w w:val="91"/>
              </w:rPr>
              <w:t>(Stated in millions)</w:t>
            </w:r>
          </w:p>
        </w:tc>
        <w:tc>
          <w:tcPr>
            <w:tcW w:w="0" w:type="dxa"/>
            <w:vAlign w:val="bottom"/>
          </w:tcPr>
          <w:p>
            <w:pPr>
              <w:spacing w:after="0"/>
              <w:rPr>
                <w:sz w:val="1"/>
                <w:szCs w:val="1"/>
                <w:color w:val="auto"/>
              </w:rPr>
            </w:pPr>
          </w:p>
        </w:tc>
      </w:tr>
      <w:tr>
        <w:trPr>
          <w:trHeight w:val="199"/>
        </w:trPr>
        <w:tc>
          <w:tcPr>
            <w:tcW w:w="9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jc w:val="right"/>
              <w:ind w:right="55"/>
              <w:spacing w:after="0"/>
              <w:rPr>
                <w:sz w:val="20"/>
                <w:szCs w:val="20"/>
                <w:color w:val="auto"/>
              </w:rPr>
            </w:pPr>
            <w:r>
              <w:rPr>
                <w:rFonts w:ascii="Arial" w:cs="Arial" w:eastAsia="Arial" w:hAnsi="Arial"/>
                <w:sz w:val="9"/>
                <w:szCs w:val="9"/>
                <w:b w:val="1"/>
                <w:bCs w:val="1"/>
                <w:color w:val="auto"/>
                <w:w w:val="99"/>
              </w:rPr>
              <w:t>2011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9"/>
                <w:szCs w:val="9"/>
                <w:color w:val="auto"/>
              </w:rPr>
              <w:t>2010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91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Net Debt, beginning of year</w:t>
            </w:r>
          </w:p>
        </w:tc>
        <w:tc>
          <w:tcPr>
            <w:tcW w:w="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300" w:type="dxa"/>
            <w:vAlign w:val="bottom"/>
            <w:tcBorders>
              <w:top w:val="single" w:sz="8" w:color="auto"/>
            </w:tcBorders>
            <w:gridSpan w:val="3"/>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w w:val="98"/>
              </w:rPr>
              <w:t>(2,638)</w:t>
            </w:r>
          </w:p>
        </w:tc>
        <w:tc>
          <w:tcPr>
            <w:tcW w:w="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8"/>
              </w:rPr>
              <w:t>$</w:t>
            </w:r>
          </w:p>
        </w:tc>
        <w:tc>
          <w:tcPr>
            <w:tcW w:w="6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(126)</w:t>
            </w:r>
          </w:p>
        </w:tc>
        <w:tc>
          <w:tcPr>
            <w:tcW w:w="140" w:type="dxa"/>
            <w:vAlign w:val="bottom"/>
            <w:tcBorders>
              <w:top w:val="single" w:sz="8" w:color="CCEEFF"/>
              <w:left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gridSpan w:val="2"/>
            <w:shd w:val="clear" w:color="auto" w:fill="CCEEFF"/>
          </w:tcPr>
          <w:p>
            <w:pPr>
              <w:jc w:val="center"/>
              <w:ind w:right="37"/>
              <w:spacing w:after="0" w:line="88" w:lineRule="exact"/>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8"/>
              </w:rPr>
              <w:t>(1,129)</w:t>
            </w:r>
          </w:p>
        </w:tc>
        <w:tc>
          <w:tcPr>
            <w:tcW w:w="80" w:type="dxa"/>
            <w:vAlign w:val="bottom"/>
            <w:tcBorders>
              <w:top w:val="single" w:sz="8" w:color="CCEEFF"/>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9180" w:type="dxa"/>
            <w:vAlign w:val="bottom"/>
          </w:tcPr>
          <w:p>
            <w:pPr>
              <w:ind w:left="280"/>
              <w:spacing w:after="0" w:line="99" w:lineRule="exact"/>
              <w:rPr>
                <w:sz w:val="20"/>
                <w:szCs w:val="20"/>
                <w:color w:val="auto"/>
              </w:rPr>
            </w:pPr>
            <w:r>
              <w:rPr>
                <w:rFonts w:ascii="Arial" w:cs="Arial" w:eastAsia="Arial" w:hAnsi="Arial"/>
                <w:sz w:val="9"/>
                <w:szCs w:val="9"/>
                <w:color w:val="auto"/>
              </w:rPr>
              <w:t>Income from continuing operations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88"/>
              </w:rPr>
              <w:t>4,793</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4,266</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3,164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180" w:type="dxa"/>
            <w:vAlign w:val="bottom"/>
            <w:shd w:val="clear" w:color="auto" w:fill="CCEEFF"/>
          </w:tcPr>
          <w:p>
            <w:pPr>
              <w:ind w:left="280"/>
              <w:spacing w:after="0" w:line="99" w:lineRule="exact"/>
              <w:rPr>
                <w:sz w:val="20"/>
                <w:szCs w:val="20"/>
                <w:color w:val="auto"/>
              </w:rPr>
            </w:pPr>
            <w:r>
              <w:rPr>
                <w:rFonts w:ascii="Arial" w:cs="Arial" w:eastAsia="Arial" w:hAnsi="Arial"/>
                <w:sz w:val="7"/>
                <w:szCs w:val="7"/>
                <w:color w:val="auto"/>
              </w:rPr>
              <w:t xml:space="preserve">Depreciation and amortization </w:t>
            </w:r>
            <w:r>
              <w:rPr>
                <w:rFonts w:ascii="Arial" w:cs="Arial" w:eastAsia="Arial" w:hAnsi="Arial"/>
                <w:sz w:val="11"/>
                <w:szCs w:val="11"/>
                <w:color w:val="auto"/>
                <w:vertAlign w:val="superscript"/>
              </w:rPr>
              <w:t>(1)</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88"/>
              </w:rPr>
              <w:t>3,281</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2,759</w:t>
            </w:r>
          </w:p>
        </w:tc>
        <w:tc>
          <w:tcPr>
            <w:tcW w:w="140" w:type="dxa"/>
            <w:vAlign w:val="bottom"/>
            <w:tcBorders>
              <w:lef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2,476</w:t>
            </w: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180" w:type="dxa"/>
            <w:vAlign w:val="bottom"/>
          </w:tcPr>
          <w:p>
            <w:pPr>
              <w:ind w:left="280"/>
              <w:spacing w:after="0" w:line="99" w:lineRule="exact"/>
              <w:rPr>
                <w:sz w:val="20"/>
                <w:szCs w:val="20"/>
                <w:color w:val="auto"/>
              </w:rPr>
            </w:pPr>
            <w:r>
              <w:rPr>
                <w:rFonts w:ascii="Arial" w:cs="Arial" w:eastAsia="Arial" w:hAnsi="Arial"/>
                <w:sz w:val="9"/>
                <w:szCs w:val="9"/>
                <w:color w:val="auto"/>
              </w:rPr>
              <w:t>Gain on M-I SWACO investment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3"/>
          </w:tcPr>
          <w:p>
            <w:pPr>
              <w:jc w:val="right"/>
              <w:ind w:right="320"/>
              <w:spacing w:after="0" w:line="99" w:lineRule="exact"/>
              <w:rPr>
                <w:sz w:val="20"/>
                <w:szCs w:val="20"/>
                <w:color w:val="auto"/>
              </w:rPr>
            </w:pPr>
            <w:r>
              <w:rPr>
                <w:rFonts w:ascii="Arial" w:cs="Arial" w:eastAsia="Arial" w:hAnsi="Arial"/>
                <w:sz w:val="9"/>
                <w:szCs w:val="9"/>
                <w:b w:val="1"/>
                <w:bCs w:val="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1"/>
              </w:rPr>
              <w:t>(1,270)</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91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Pension and other postretirement benefits expense</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365</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299</w:t>
            </w:r>
          </w:p>
        </w:tc>
        <w:tc>
          <w:tcPr>
            <w:tcW w:w="140" w:type="dxa"/>
            <w:vAlign w:val="bottom"/>
            <w:tcBorders>
              <w:lef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306</w:t>
            </w: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180" w:type="dxa"/>
            <w:vAlign w:val="bottom"/>
          </w:tcPr>
          <w:p>
            <w:pPr>
              <w:ind w:left="280"/>
              <w:spacing w:after="0" w:line="99" w:lineRule="exact"/>
              <w:rPr>
                <w:sz w:val="20"/>
                <w:szCs w:val="20"/>
                <w:color w:val="auto"/>
              </w:rPr>
            </w:pPr>
            <w:r>
              <w:rPr>
                <w:rFonts w:ascii="Arial" w:cs="Arial" w:eastAsia="Arial" w:hAnsi="Arial"/>
                <w:sz w:val="9"/>
                <w:szCs w:val="9"/>
                <w:color w:val="auto"/>
              </w:rPr>
              <w:t>Pension and other postretirement benefits curtailment charge</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3"/>
          </w:tcPr>
          <w:p>
            <w:pPr>
              <w:jc w:val="right"/>
              <w:ind w:right="320"/>
              <w:spacing w:after="0" w:line="99" w:lineRule="exact"/>
              <w:rPr>
                <w:sz w:val="20"/>
                <w:szCs w:val="20"/>
                <w:color w:val="auto"/>
              </w:rPr>
            </w:pPr>
            <w:r>
              <w:rPr>
                <w:rFonts w:ascii="Arial" w:cs="Arial" w:eastAsia="Arial" w:hAnsi="Arial"/>
                <w:sz w:val="9"/>
                <w:szCs w:val="9"/>
                <w:b w:val="1"/>
                <w:bCs w:val="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95"/>
              <w:spacing w:after="0" w:line="99"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136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1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Excess of equity income over dividends received</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35"/>
              <w:spacing w:after="0" w:line="99" w:lineRule="exact"/>
              <w:rPr>
                <w:sz w:val="20"/>
                <w:szCs w:val="20"/>
                <w:color w:val="auto"/>
              </w:rPr>
            </w:pPr>
            <w:r>
              <w:rPr>
                <w:rFonts w:ascii="Arial" w:cs="Arial" w:eastAsia="Arial" w:hAnsi="Arial"/>
                <w:sz w:val="9"/>
                <w:szCs w:val="9"/>
                <w:b w:val="1"/>
                <w:bCs w:val="1"/>
                <w:color w:val="auto"/>
              </w:rPr>
              <w:t>(64)</w:t>
            </w: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(85)</w:t>
            </w:r>
          </w:p>
        </w:tc>
        <w:tc>
          <w:tcPr>
            <w:tcW w:w="140" w:type="dxa"/>
            <w:vAlign w:val="bottom"/>
            <w:tcBorders>
              <w:lef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(103)</w:t>
            </w:r>
          </w:p>
        </w:tc>
        <w:tc>
          <w:tcPr>
            <w:tcW w:w="0" w:type="dxa"/>
            <w:vAlign w:val="bottom"/>
          </w:tcPr>
          <w:p>
            <w:pPr>
              <w:spacing w:after="0"/>
              <w:rPr>
                <w:sz w:val="1"/>
                <w:szCs w:val="1"/>
                <w:color w:val="auto"/>
              </w:rPr>
            </w:pPr>
          </w:p>
        </w:tc>
      </w:tr>
      <w:tr>
        <w:trPr>
          <w:trHeight w:val="99"/>
        </w:trPr>
        <w:tc>
          <w:tcPr>
            <w:tcW w:w="9180" w:type="dxa"/>
            <w:vAlign w:val="bottom"/>
          </w:tcPr>
          <w:p>
            <w:pPr>
              <w:ind w:left="280"/>
              <w:spacing w:after="0" w:line="99" w:lineRule="exact"/>
              <w:rPr>
                <w:sz w:val="20"/>
                <w:szCs w:val="20"/>
                <w:color w:val="auto"/>
              </w:rPr>
            </w:pPr>
            <w:r>
              <w:rPr>
                <w:rFonts w:ascii="Arial" w:cs="Arial" w:eastAsia="Arial" w:hAnsi="Arial"/>
                <w:sz w:val="9"/>
                <w:szCs w:val="9"/>
                <w:color w:val="auto"/>
              </w:rPr>
              <w:t>Stock -based compensation expense</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272</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198</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186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1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Other non-cash items</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203</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327</w:t>
            </w:r>
          </w:p>
        </w:tc>
        <w:tc>
          <w:tcPr>
            <w:tcW w:w="140" w:type="dxa"/>
            <w:vAlign w:val="bottom"/>
            <w:tcBorders>
              <w:lef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162</w:t>
            </w: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180" w:type="dxa"/>
            <w:vAlign w:val="bottom"/>
          </w:tcPr>
          <w:p>
            <w:pPr>
              <w:ind w:left="280"/>
              <w:spacing w:after="0" w:line="99" w:lineRule="exact"/>
              <w:rPr>
                <w:sz w:val="20"/>
                <w:szCs w:val="20"/>
                <w:color w:val="auto"/>
              </w:rPr>
            </w:pPr>
            <w:r>
              <w:rPr>
                <w:rFonts w:ascii="Arial" w:cs="Arial" w:eastAsia="Arial" w:hAnsi="Arial"/>
                <w:sz w:val="9"/>
                <w:szCs w:val="9"/>
                <w:color w:val="auto"/>
              </w:rPr>
              <w:t>Pension and other postretirement benefits funding</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gridSpan w:val="2"/>
          </w:tcPr>
          <w:p>
            <w:pPr>
              <w:jc w:val="right"/>
              <w:ind w:right="35"/>
              <w:spacing w:after="0" w:line="99" w:lineRule="exact"/>
              <w:rPr>
                <w:sz w:val="20"/>
                <w:szCs w:val="20"/>
                <w:color w:val="auto"/>
              </w:rPr>
            </w:pPr>
            <w:r>
              <w:rPr>
                <w:rFonts w:ascii="Arial" w:cs="Arial" w:eastAsia="Arial" w:hAnsi="Arial"/>
                <w:sz w:val="9"/>
                <w:szCs w:val="9"/>
                <w:b w:val="1"/>
                <w:bCs w:val="1"/>
                <w:color w:val="auto"/>
              </w:rPr>
              <w:t>(601)</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(868)</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(1,149)</w:t>
            </w:r>
          </w:p>
        </w:tc>
        <w:tc>
          <w:tcPr>
            <w:tcW w:w="0" w:type="dxa"/>
            <w:vAlign w:val="bottom"/>
          </w:tcPr>
          <w:p>
            <w:pPr>
              <w:spacing w:after="0"/>
              <w:rPr>
                <w:sz w:val="1"/>
                <w:szCs w:val="1"/>
                <w:color w:val="auto"/>
              </w:rPr>
            </w:pPr>
          </w:p>
        </w:tc>
      </w:tr>
      <w:tr>
        <w:trPr>
          <w:trHeight w:val="99"/>
        </w:trPr>
        <w:tc>
          <w:tcPr>
            <w:tcW w:w="91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(Increase) decrease in working capital</w:t>
            </w:r>
          </w:p>
        </w:tc>
        <w:tc>
          <w:tcPr>
            <w:tcW w:w="80" w:type="dxa"/>
            <w:vAlign w:val="bottom"/>
            <w:shd w:val="clear" w:color="auto" w:fill="CCEEFF"/>
          </w:tcPr>
          <w:p>
            <w:pPr>
              <w:spacing w:after="0"/>
              <w:rPr>
                <w:sz w:val="8"/>
                <w:szCs w:val="8"/>
                <w:color w:val="auto"/>
              </w:rPr>
            </w:pPr>
          </w:p>
        </w:tc>
        <w:tc>
          <w:tcPr>
            <w:tcW w:w="380" w:type="dxa"/>
            <w:vAlign w:val="bottom"/>
            <w:gridSpan w:val="4"/>
            <w:shd w:val="clear" w:color="auto" w:fill="CCEEFF"/>
          </w:tcPr>
          <w:p>
            <w:pPr>
              <w:jc w:val="right"/>
              <w:ind w:right="35"/>
              <w:spacing w:after="0" w:line="99" w:lineRule="exact"/>
              <w:rPr>
                <w:sz w:val="20"/>
                <w:szCs w:val="20"/>
                <w:color w:val="auto"/>
              </w:rPr>
            </w:pPr>
            <w:r>
              <w:rPr>
                <w:rFonts w:ascii="Arial" w:cs="Arial" w:eastAsia="Arial" w:hAnsi="Arial"/>
                <w:sz w:val="9"/>
                <w:szCs w:val="9"/>
                <w:b w:val="1"/>
                <w:bCs w:val="1"/>
                <w:color w:val="auto"/>
              </w:rPr>
              <w:t>(2,185)</w:t>
            </w: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230</w:t>
            </w:r>
          </w:p>
        </w:tc>
        <w:tc>
          <w:tcPr>
            <w:tcW w:w="140" w:type="dxa"/>
            <w:vAlign w:val="bottom"/>
            <w:tcBorders>
              <w:lef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(258)</w:t>
            </w:r>
          </w:p>
        </w:tc>
        <w:tc>
          <w:tcPr>
            <w:tcW w:w="0" w:type="dxa"/>
            <w:vAlign w:val="bottom"/>
          </w:tcPr>
          <w:p>
            <w:pPr>
              <w:spacing w:after="0"/>
              <w:rPr>
                <w:sz w:val="1"/>
                <w:szCs w:val="1"/>
                <w:color w:val="auto"/>
              </w:rPr>
            </w:pPr>
          </w:p>
        </w:tc>
      </w:tr>
      <w:tr>
        <w:trPr>
          <w:trHeight w:val="99"/>
        </w:trPr>
        <w:tc>
          <w:tcPr>
            <w:tcW w:w="9180" w:type="dxa"/>
            <w:vAlign w:val="bottom"/>
          </w:tcPr>
          <w:p>
            <w:pPr>
              <w:ind w:left="280"/>
              <w:spacing w:after="0" w:line="99" w:lineRule="exact"/>
              <w:rPr>
                <w:sz w:val="20"/>
                <w:szCs w:val="20"/>
                <w:color w:val="auto"/>
              </w:rPr>
            </w:pPr>
            <w:r>
              <w:rPr>
                <w:rFonts w:ascii="Arial" w:cs="Arial" w:eastAsia="Arial" w:hAnsi="Arial"/>
                <w:sz w:val="9"/>
                <w:szCs w:val="9"/>
                <w:color w:val="auto"/>
              </w:rPr>
              <w:t>Capital expenditures</w:t>
            </w:r>
          </w:p>
        </w:tc>
        <w:tc>
          <w:tcPr>
            <w:tcW w:w="80" w:type="dxa"/>
            <w:vAlign w:val="bottom"/>
          </w:tcPr>
          <w:p>
            <w:pPr>
              <w:spacing w:after="0"/>
              <w:rPr>
                <w:sz w:val="8"/>
                <w:szCs w:val="8"/>
                <w:color w:val="auto"/>
              </w:rPr>
            </w:pPr>
          </w:p>
        </w:tc>
        <w:tc>
          <w:tcPr>
            <w:tcW w:w="380" w:type="dxa"/>
            <w:vAlign w:val="bottom"/>
            <w:gridSpan w:val="4"/>
          </w:tcPr>
          <w:p>
            <w:pPr>
              <w:jc w:val="right"/>
              <w:ind w:right="35"/>
              <w:spacing w:after="0" w:line="99" w:lineRule="exact"/>
              <w:rPr>
                <w:sz w:val="20"/>
                <w:szCs w:val="20"/>
                <w:color w:val="auto"/>
              </w:rPr>
            </w:pPr>
            <w:r>
              <w:rPr>
                <w:rFonts w:ascii="Arial" w:cs="Arial" w:eastAsia="Arial" w:hAnsi="Arial"/>
                <w:sz w:val="9"/>
                <w:szCs w:val="9"/>
                <w:b w:val="1"/>
                <w:bCs w:val="1"/>
                <w:color w:val="auto"/>
              </w:rPr>
              <w:t>(4,016)</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1"/>
              </w:rPr>
              <w:t>(2,914)</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(2,395)</w:t>
            </w:r>
          </w:p>
        </w:tc>
        <w:tc>
          <w:tcPr>
            <w:tcW w:w="0" w:type="dxa"/>
            <w:vAlign w:val="bottom"/>
          </w:tcPr>
          <w:p>
            <w:pPr>
              <w:spacing w:after="0"/>
              <w:rPr>
                <w:sz w:val="1"/>
                <w:szCs w:val="1"/>
                <w:color w:val="auto"/>
              </w:rPr>
            </w:pPr>
          </w:p>
        </w:tc>
      </w:tr>
      <w:tr>
        <w:trPr>
          <w:trHeight w:val="99"/>
        </w:trPr>
        <w:tc>
          <w:tcPr>
            <w:tcW w:w="91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Multiclient seismic data capitalized</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35"/>
              <w:spacing w:after="0" w:line="99" w:lineRule="exact"/>
              <w:rPr>
                <w:sz w:val="20"/>
                <w:szCs w:val="20"/>
                <w:color w:val="auto"/>
              </w:rPr>
            </w:pPr>
            <w:r>
              <w:rPr>
                <w:rFonts w:ascii="Arial" w:cs="Arial" w:eastAsia="Arial" w:hAnsi="Arial"/>
                <w:sz w:val="9"/>
                <w:szCs w:val="9"/>
                <w:b w:val="1"/>
                <w:bCs w:val="1"/>
                <w:color w:val="auto"/>
              </w:rPr>
              <w:t>(289)</w:t>
            </w: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(326)</w:t>
            </w:r>
          </w:p>
        </w:tc>
        <w:tc>
          <w:tcPr>
            <w:tcW w:w="140" w:type="dxa"/>
            <w:vAlign w:val="bottom"/>
            <w:tcBorders>
              <w:lef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(230)</w:t>
            </w:r>
          </w:p>
        </w:tc>
        <w:tc>
          <w:tcPr>
            <w:tcW w:w="0" w:type="dxa"/>
            <w:vAlign w:val="bottom"/>
          </w:tcPr>
          <w:p>
            <w:pPr>
              <w:spacing w:after="0"/>
              <w:rPr>
                <w:sz w:val="1"/>
                <w:szCs w:val="1"/>
                <w:color w:val="auto"/>
              </w:rPr>
            </w:pPr>
          </w:p>
        </w:tc>
      </w:tr>
      <w:tr>
        <w:trPr>
          <w:trHeight w:val="99"/>
        </w:trPr>
        <w:tc>
          <w:tcPr>
            <w:tcW w:w="9180" w:type="dxa"/>
            <w:vAlign w:val="bottom"/>
          </w:tcPr>
          <w:p>
            <w:pPr>
              <w:ind w:left="280"/>
              <w:spacing w:after="0" w:line="99" w:lineRule="exact"/>
              <w:rPr>
                <w:sz w:val="20"/>
                <w:szCs w:val="20"/>
                <w:color w:val="auto"/>
              </w:rPr>
            </w:pPr>
            <w:r>
              <w:rPr>
                <w:rFonts w:ascii="Arial" w:cs="Arial" w:eastAsia="Arial" w:hAnsi="Arial"/>
                <w:sz w:val="9"/>
                <w:szCs w:val="9"/>
                <w:color w:val="auto"/>
              </w:rPr>
              <w:t>Dividends paid</w:t>
            </w:r>
          </w:p>
        </w:tc>
        <w:tc>
          <w:tcPr>
            <w:tcW w:w="80" w:type="dxa"/>
            <w:vAlign w:val="bottom"/>
          </w:tcPr>
          <w:p>
            <w:pPr>
              <w:spacing w:after="0"/>
              <w:rPr>
                <w:sz w:val="8"/>
                <w:szCs w:val="8"/>
                <w:color w:val="auto"/>
              </w:rPr>
            </w:pPr>
          </w:p>
        </w:tc>
        <w:tc>
          <w:tcPr>
            <w:tcW w:w="380" w:type="dxa"/>
            <w:vAlign w:val="bottom"/>
            <w:gridSpan w:val="4"/>
          </w:tcPr>
          <w:p>
            <w:pPr>
              <w:jc w:val="right"/>
              <w:ind w:right="35"/>
              <w:spacing w:after="0" w:line="99" w:lineRule="exact"/>
              <w:rPr>
                <w:sz w:val="20"/>
                <w:szCs w:val="20"/>
                <w:color w:val="auto"/>
              </w:rPr>
            </w:pPr>
            <w:r>
              <w:rPr>
                <w:rFonts w:ascii="Arial" w:cs="Arial" w:eastAsia="Arial" w:hAnsi="Arial"/>
                <w:sz w:val="9"/>
                <w:szCs w:val="9"/>
                <w:b w:val="1"/>
                <w:bCs w:val="1"/>
                <w:color w:val="auto"/>
              </w:rPr>
              <w:t>(1,300)</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1"/>
              </w:rPr>
              <w:t>(1,040)</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(1,006)</w:t>
            </w:r>
          </w:p>
        </w:tc>
        <w:tc>
          <w:tcPr>
            <w:tcW w:w="0" w:type="dxa"/>
            <w:vAlign w:val="bottom"/>
          </w:tcPr>
          <w:p>
            <w:pPr>
              <w:spacing w:after="0"/>
              <w:rPr>
                <w:sz w:val="1"/>
                <w:szCs w:val="1"/>
                <w:color w:val="auto"/>
              </w:rPr>
            </w:pPr>
          </w:p>
        </w:tc>
      </w:tr>
      <w:tr>
        <w:trPr>
          <w:trHeight w:val="99"/>
        </w:trPr>
        <w:tc>
          <w:tcPr>
            <w:tcW w:w="91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Stock repurchase program</w:t>
            </w:r>
          </w:p>
        </w:tc>
        <w:tc>
          <w:tcPr>
            <w:tcW w:w="80" w:type="dxa"/>
            <w:vAlign w:val="bottom"/>
            <w:shd w:val="clear" w:color="auto" w:fill="CCEEFF"/>
          </w:tcPr>
          <w:p>
            <w:pPr>
              <w:spacing w:after="0"/>
              <w:rPr>
                <w:sz w:val="8"/>
                <w:szCs w:val="8"/>
                <w:color w:val="auto"/>
              </w:rPr>
            </w:pPr>
          </w:p>
        </w:tc>
        <w:tc>
          <w:tcPr>
            <w:tcW w:w="380" w:type="dxa"/>
            <w:vAlign w:val="bottom"/>
            <w:gridSpan w:val="4"/>
            <w:shd w:val="clear" w:color="auto" w:fill="CCEEFF"/>
          </w:tcPr>
          <w:p>
            <w:pPr>
              <w:jc w:val="right"/>
              <w:ind w:right="35"/>
              <w:spacing w:after="0" w:line="99" w:lineRule="exact"/>
              <w:rPr>
                <w:sz w:val="20"/>
                <w:szCs w:val="20"/>
                <w:color w:val="auto"/>
              </w:rPr>
            </w:pPr>
            <w:r>
              <w:rPr>
                <w:rFonts w:ascii="Arial" w:cs="Arial" w:eastAsia="Arial" w:hAnsi="Arial"/>
                <w:sz w:val="9"/>
                <w:szCs w:val="9"/>
                <w:b w:val="1"/>
                <w:bCs w:val="1"/>
                <w:color w:val="auto"/>
              </w:rPr>
              <w:t>(2,998)</w:t>
            </w: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1"/>
              </w:rPr>
              <w:t>(1,717)</w:t>
            </w:r>
          </w:p>
        </w:tc>
        <w:tc>
          <w:tcPr>
            <w:tcW w:w="140" w:type="dxa"/>
            <w:vAlign w:val="bottom"/>
            <w:tcBorders>
              <w:lef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(500)</w:t>
            </w:r>
          </w:p>
        </w:tc>
        <w:tc>
          <w:tcPr>
            <w:tcW w:w="0" w:type="dxa"/>
            <w:vAlign w:val="bottom"/>
          </w:tcPr>
          <w:p>
            <w:pPr>
              <w:spacing w:after="0"/>
              <w:rPr>
                <w:sz w:val="1"/>
                <w:szCs w:val="1"/>
                <w:color w:val="auto"/>
              </w:rPr>
            </w:pPr>
          </w:p>
        </w:tc>
      </w:tr>
      <w:tr>
        <w:trPr>
          <w:trHeight w:val="99"/>
        </w:trPr>
        <w:tc>
          <w:tcPr>
            <w:tcW w:w="9180" w:type="dxa"/>
            <w:vAlign w:val="bottom"/>
          </w:tcPr>
          <w:p>
            <w:pPr>
              <w:ind w:left="280"/>
              <w:spacing w:after="0" w:line="99" w:lineRule="exact"/>
              <w:rPr>
                <w:sz w:val="20"/>
                <w:szCs w:val="20"/>
                <w:color w:val="auto"/>
              </w:rPr>
            </w:pPr>
            <w:r>
              <w:rPr>
                <w:rFonts w:ascii="Arial" w:cs="Arial" w:eastAsia="Arial" w:hAnsi="Arial"/>
                <w:sz w:val="9"/>
                <w:szCs w:val="9"/>
                <w:color w:val="auto"/>
              </w:rPr>
              <w:t>Proceeds from employee stock plans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438</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401</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206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1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Net debt assumed in merger with Smith</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3"/>
            <w:shd w:val="clear" w:color="auto" w:fill="CCEEFF"/>
          </w:tcPr>
          <w:p>
            <w:pPr>
              <w:jc w:val="right"/>
              <w:ind w:right="320"/>
              <w:spacing w:after="0" w:line="99" w:lineRule="exact"/>
              <w:rPr>
                <w:sz w:val="20"/>
                <w:szCs w:val="20"/>
                <w:color w:val="auto"/>
              </w:rPr>
            </w:pPr>
            <w:r>
              <w:rPr>
                <w:rFonts w:ascii="Arial" w:cs="Arial" w:eastAsia="Arial" w:hAnsi="Arial"/>
                <w:sz w:val="9"/>
                <w:szCs w:val="9"/>
                <w:b w:val="1"/>
                <w:bCs w:val="1"/>
                <w:color w:val="auto"/>
              </w:rPr>
              <w:t>–</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1"/>
              </w:rPr>
              <w:t>(1,829)</w:t>
            </w:r>
          </w:p>
        </w:tc>
        <w:tc>
          <w:tcPr>
            <w:tcW w:w="140" w:type="dxa"/>
            <w:vAlign w:val="bottom"/>
            <w:tcBorders>
              <w:lef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9180" w:type="dxa"/>
            <w:vAlign w:val="bottom"/>
          </w:tcPr>
          <w:p>
            <w:pPr>
              <w:ind w:left="280"/>
              <w:spacing w:after="0" w:line="99" w:lineRule="exact"/>
              <w:rPr>
                <w:sz w:val="20"/>
                <w:szCs w:val="20"/>
                <w:color w:val="auto"/>
              </w:rPr>
            </w:pPr>
            <w:r>
              <w:rPr>
                <w:rFonts w:ascii="Arial" w:cs="Arial" w:eastAsia="Arial" w:hAnsi="Arial"/>
                <w:sz w:val="9"/>
                <w:szCs w:val="9"/>
                <w:color w:val="auto"/>
              </w:rPr>
              <w:t>Geoservices acquisition, net of debt acquired</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3"/>
          </w:tcPr>
          <w:p>
            <w:pPr>
              <w:jc w:val="right"/>
              <w:ind w:right="320"/>
              <w:spacing w:after="0" w:line="99" w:lineRule="exact"/>
              <w:rPr>
                <w:sz w:val="20"/>
                <w:szCs w:val="20"/>
                <w:color w:val="auto"/>
              </w:rPr>
            </w:pPr>
            <w:r>
              <w:rPr>
                <w:rFonts w:ascii="Arial" w:cs="Arial" w:eastAsia="Arial" w:hAnsi="Arial"/>
                <w:sz w:val="9"/>
                <w:szCs w:val="9"/>
                <w:b w:val="1"/>
                <w:bCs w:val="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1"/>
              </w:rPr>
              <w:t>(1,033)</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91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Business acquisitions and other transactions</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35"/>
              <w:spacing w:after="0" w:line="99" w:lineRule="exact"/>
              <w:rPr>
                <w:sz w:val="20"/>
                <w:szCs w:val="20"/>
                <w:color w:val="auto"/>
              </w:rPr>
            </w:pPr>
            <w:r>
              <w:rPr>
                <w:rFonts w:ascii="Arial" w:cs="Arial" w:eastAsia="Arial" w:hAnsi="Arial"/>
                <w:sz w:val="9"/>
                <w:szCs w:val="9"/>
                <w:b w:val="1"/>
                <w:bCs w:val="1"/>
                <w:color w:val="auto"/>
              </w:rPr>
              <w:t>(610)</w:t>
            </w: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(212)</w:t>
            </w:r>
          </w:p>
        </w:tc>
        <w:tc>
          <w:tcPr>
            <w:tcW w:w="140" w:type="dxa"/>
            <w:vAlign w:val="bottom"/>
            <w:tcBorders>
              <w:lef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(514)</w:t>
            </w:r>
          </w:p>
        </w:tc>
        <w:tc>
          <w:tcPr>
            <w:tcW w:w="0" w:type="dxa"/>
            <w:vAlign w:val="bottom"/>
          </w:tcPr>
          <w:p>
            <w:pPr>
              <w:spacing w:after="0"/>
              <w:rPr>
                <w:sz w:val="1"/>
                <w:szCs w:val="1"/>
                <w:color w:val="auto"/>
              </w:rPr>
            </w:pPr>
          </w:p>
        </w:tc>
      </w:tr>
      <w:tr>
        <w:trPr>
          <w:trHeight w:val="99"/>
        </w:trPr>
        <w:tc>
          <w:tcPr>
            <w:tcW w:w="9180" w:type="dxa"/>
            <w:vAlign w:val="bottom"/>
          </w:tcPr>
          <w:p>
            <w:pPr>
              <w:ind w:left="280"/>
              <w:spacing w:after="0" w:line="99" w:lineRule="exact"/>
              <w:rPr>
                <w:sz w:val="20"/>
                <w:szCs w:val="20"/>
                <w:color w:val="auto"/>
              </w:rPr>
            </w:pPr>
            <w:r>
              <w:rPr>
                <w:rFonts w:ascii="Arial" w:cs="Arial" w:eastAsia="Arial" w:hAnsi="Arial"/>
                <w:sz w:val="9"/>
                <w:szCs w:val="9"/>
                <w:color w:val="auto"/>
              </w:rPr>
              <w:t>Proceeds from divestiture of Global Connectivity Services business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385</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95"/>
              <w:spacing w:after="0" w:line="99"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91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Conversion of debentures</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3"/>
            <w:shd w:val="clear" w:color="auto" w:fill="CCEEFF"/>
          </w:tcPr>
          <w:p>
            <w:pPr>
              <w:jc w:val="right"/>
              <w:ind w:right="320"/>
              <w:spacing w:after="0" w:line="99" w:lineRule="exact"/>
              <w:rPr>
                <w:sz w:val="20"/>
                <w:szCs w:val="20"/>
                <w:color w:val="auto"/>
              </w:rPr>
            </w:pPr>
            <w:r>
              <w:rPr>
                <w:rFonts w:ascii="Arial" w:cs="Arial" w:eastAsia="Arial" w:hAnsi="Arial"/>
                <w:sz w:val="9"/>
                <w:szCs w:val="9"/>
                <w:b w:val="1"/>
                <w:bCs w:val="1"/>
                <w:color w:val="auto"/>
              </w:rPr>
              <w:t>–</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320</w:t>
            </w:r>
          </w:p>
        </w:tc>
        <w:tc>
          <w:tcPr>
            <w:tcW w:w="140" w:type="dxa"/>
            <w:vAlign w:val="bottom"/>
            <w:tcBorders>
              <w:lef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9180" w:type="dxa"/>
            <w:vAlign w:val="bottom"/>
          </w:tcPr>
          <w:p>
            <w:pPr>
              <w:ind w:left="280"/>
              <w:spacing w:after="0" w:line="99" w:lineRule="exact"/>
              <w:rPr>
                <w:sz w:val="20"/>
                <w:szCs w:val="20"/>
                <w:color w:val="auto"/>
              </w:rPr>
            </w:pPr>
            <w:r>
              <w:rPr>
                <w:rFonts w:ascii="Arial" w:cs="Arial" w:eastAsia="Arial" w:hAnsi="Arial"/>
                <w:sz w:val="9"/>
                <w:szCs w:val="9"/>
                <w:color w:val="auto"/>
              </w:rPr>
              <w:t>Translation effect on net debt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23</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30</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(59)</w:t>
            </w:r>
          </w:p>
        </w:tc>
        <w:tc>
          <w:tcPr>
            <w:tcW w:w="0" w:type="dxa"/>
            <w:vAlign w:val="bottom"/>
          </w:tcPr>
          <w:p>
            <w:pPr>
              <w:spacing w:after="0"/>
              <w:rPr>
                <w:sz w:val="1"/>
                <w:szCs w:val="1"/>
                <w:color w:val="auto"/>
              </w:rPr>
            </w:pPr>
          </w:p>
        </w:tc>
      </w:tr>
      <w:tr>
        <w:trPr>
          <w:trHeight w:val="99"/>
        </w:trPr>
        <w:tc>
          <w:tcPr>
            <w:tcW w:w="91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Other</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91</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(48)</w:t>
            </w:r>
          </w:p>
        </w:tc>
        <w:tc>
          <w:tcPr>
            <w:tcW w:w="140" w:type="dxa"/>
            <w:vAlign w:val="bottom"/>
            <w:tcBorders>
              <w:lef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581</w:t>
            </w: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jc w:val="right"/>
              <w:ind w:right="35"/>
              <w:spacing w:after="0"/>
              <w:rPr>
                <w:sz w:val="20"/>
                <w:szCs w:val="20"/>
                <w:color w:val="auto"/>
              </w:rPr>
            </w:pPr>
            <w:r>
              <w:rPr>
                <w:rFonts w:ascii="Arial" w:cs="Arial" w:eastAsia="Arial" w:hAnsi="Arial"/>
                <w:sz w:val="1"/>
                <w:szCs w:val="1"/>
                <w:b w:val="1"/>
                <w:bCs w:val="1"/>
                <w:color w:val="auto"/>
                <w:w w:val="4294967281"/>
              </w:rPr>
              <w:t>)</w:t>
            </w: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180" w:type="dxa"/>
            <w:vAlign w:val="bottom"/>
          </w:tcPr>
          <w:p>
            <w:pPr>
              <w:spacing w:after="0" w:line="98" w:lineRule="exact"/>
              <w:rPr>
                <w:sz w:val="20"/>
                <w:szCs w:val="20"/>
                <w:color w:val="auto"/>
              </w:rPr>
            </w:pPr>
            <w:r>
              <w:rPr>
                <w:rFonts w:ascii="Arial" w:cs="Arial" w:eastAsia="Arial" w:hAnsi="Arial"/>
                <w:sz w:val="9"/>
                <w:szCs w:val="9"/>
                <w:color w:val="auto"/>
              </w:rPr>
              <w:t>Net Debt, end of year</w:t>
            </w:r>
          </w:p>
        </w:tc>
        <w:tc>
          <w:tcPr>
            <w:tcW w:w="80" w:type="dxa"/>
            <w:vAlign w:val="bottom"/>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300" w:type="dxa"/>
            <w:vAlign w:val="bottom"/>
            <w:gridSpan w:val="3"/>
          </w:tcPr>
          <w:p>
            <w:pPr>
              <w:jc w:val="right"/>
              <w:spacing w:after="0" w:line="98" w:lineRule="exact"/>
              <w:rPr>
                <w:sz w:val="20"/>
                <w:szCs w:val="20"/>
                <w:color w:val="auto"/>
              </w:rPr>
            </w:pPr>
            <w:r>
              <w:rPr>
                <w:rFonts w:ascii="Arial" w:cs="Arial" w:eastAsia="Arial" w:hAnsi="Arial"/>
                <w:sz w:val="9"/>
                <w:szCs w:val="9"/>
                <w:b w:val="1"/>
                <w:bCs w:val="1"/>
                <w:color w:val="auto"/>
              </w:rPr>
              <w:t>(4,850</w:t>
            </w:r>
          </w:p>
        </w:tc>
        <w:tc>
          <w:tcPr>
            <w:tcW w:w="8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60" w:type="dxa"/>
            <w:vAlign w:val="bottom"/>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w w:val="91"/>
              </w:rPr>
              <w:t>(2,638)</w:t>
            </w:r>
          </w:p>
        </w:tc>
        <w:tc>
          <w:tcPr>
            <w:tcW w:w="140" w:type="dxa"/>
            <w:vAlign w:val="bottom"/>
          </w:tcPr>
          <w:p>
            <w:pPr>
              <w:spacing w:after="0"/>
              <w:rPr>
                <w:sz w:val="8"/>
                <w:szCs w:val="8"/>
                <w:color w:val="auto"/>
              </w:rPr>
            </w:pPr>
          </w:p>
        </w:tc>
        <w:tc>
          <w:tcPr>
            <w:tcW w:w="500" w:type="dxa"/>
            <w:vAlign w:val="bottom"/>
            <w:gridSpan w:val="3"/>
          </w:tcPr>
          <w:p>
            <w:pPr>
              <w:jc w:val="center"/>
              <w:ind w:left="295"/>
              <w:spacing w:after="0" w:line="98" w:lineRule="exact"/>
              <w:rPr>
                <w:sz w:val="20"/>
                <w:szCs w:val="20"/>
                <w:color w:val="auto"/>
              </w:rPr>
            </w:pPr>
            <w:r>
              <w:rPr>
                <w:rFonts w:ascii="Arial" w:cs="Arial" w:eastAsia="Arial" w:hAnsi="Arial"/>
                <w:sz w:val="9"/>
                <w:szCs w:val="9"/>
                <w:color w:val="auto"/>
                <w:w w:val="78"/>
              </w:rPr>
              <w:t>$</w:t>
            </w:r>
          </w:p>
        </w:tc>
        <w:tc>
          <w:tcPr>
            <w:tcW w:w="38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(126)</w:t>
            </w:r>
          </w:p>
        </w:tc>
        <w:tc>
          <w:tcPr>
            <w:tcW w:w="0" w:type="dxa"/>
            <w:vAlign w:val="bottom"/>
          </w:tcPr>
          <w:p>
            <w:pPr>
              <w:spacing w:after="0"/>
              <w:rPr>
                <w:sz w:val="1"/>
                <w:szCs w:val="1"/>
                <w:color w:val="auto"/>
              </w:rPr>
            </w:pPr>
          </w:p>
        </w:tc>
      </w:tr>
      <w:tr>
        <w:trPr>
          <w:trHeight w:val="159"/>
        </w:trPr>
        <w:tc>
          <w:tcPr>
            <w:tcW w:w="9180" w:type="dxa"/>
            <w:vAlign w:val="bottom"/>
          </w:tcPr>
          <w:p>
            <w:pPr>
              <w:spacing w:after="0"/>
              <w:rPr>
                <w:sz w:val="20"/>
                <w:szCs w:val="20"/>
                <w:color w:val="auto"/>
              </w:rPr>
            </w:pPr>
            <w:r>
              <w:rPr>
                <w:rFonts w:ascii="Arial" w:cs="Arial" w:eastAsia="Arial" w:hAnsi="Arial"/>
                <w:sz w:val="9"/>
                <w:szCs w:val="9"/>
                <w:color w:val="auto"/>
              </w:rPr>
              <w:t>(1)Includes multiclient seismic data costs.</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9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5"/>
          </w:tcPr>
          <w:p>
            <w:pPr>
              <w:jc w:val="center"/>
              <w:spacing w:after="0"/>
              <w:rPr>
                <w:sz w:val="20"/>
                <w:szCs w:val="20"/>
                <w:color w:val="auto"/>
              </w:rPr>
            </w:pPr>
            <w:r>
              <w:rPr>
                <w:rFonts w:ascii="Arial" w:cs="Arial" w:eastAsia="Arial" w:hAnsi="Arial"/>
                <w:sz w:val="9"/>
                <w:szCs w:val="9"/>
                <w:b w:val="1"/>
                <w:bCs w:val="1"/>
                <w:color w:val="auto"/>
                <w:w w:val="89"/>
              </w:rPr>
              <w:t>(Stated in millions)</w:t>
            </w:r>
          </w:p>
        </w:tc>
        <w:tc>
          <w:tcPr>
            <w:tcW w:w="0" w:type="dxa"/>
            <w:vAlign w:val="bottom"/>
          </w:tcPr>
          <w:p>
            <w:pPr>
              <w:spacing w:after="0"/>
              <w:rPr>
                <w:sz w:val="1"/>
                <w:szCs w:val="1"/>
                <w:color w:val="auto"/>
              </w:rPr>
            </w:pPr>
          </w:p>
        </w:tc>
      </w:tr>
      <w:tr>
        <w:trPr>
          <w:trHeight w:val="190"/>
        </w:trPr>
        <w:tc>
          <w:tcPr>
            <w:tcW w:w="9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9"/>
                <w:szCs w:val="9"/>
                <w:b w:val="1"/>
                <w:bCs w:val="1"/>
                <w:color w:val="auto"/>
                <w:w w:val="88"/>
              </w:rPr>
              <w:t>Dec. 31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gridSpan w:val="2"/>
          </w:tcPr>
          <w:p>
            <w:pPr>
              <w:jc w:val="right"/>
              <w:ind w:right="35"/>
              <w:spacing w:after="0"/>
              <w:rPr>
                <w:sz w:val="20"/>
                <w:szCs w:val="20"/>
                <w:color w:val="auto"/>
              </w:rPr>
            </w:pPr>
            <w:r>
              <w:rPr>
                <w:rFonts w:ascii="Arial" w:cs="Arial" w:eastAsia="Arial" w:hAnsi="Arial"/>
                <w:sz w:val="9"/>
                <w:szCs w:val="9"/>
                <w:color w:val="auto"/>
                <w:w w:val="90"/>
              </w:rPr>
              <w:t>Dec. 31</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9"/>
                <w:szCs w:val="9"/>
                <w:color w:val="auto"/>
                <w:w w:val="90"/>
              </w:rPr>
              <w:t>Dec. 31</w:t>
            </w:r>
          </w:p>
        </w:tc>
        <w:tc>
          <w:tcPr>
            <w:tcW w:w="0" w:type="dxa"/>
            <w:vAlign w:val="bottom"/>
          </w:tcPr>
          <w:p>
            <w:pPr>
              <w:spacing w:after="0"/>
              <w:rPr>
                <w:sz w:val="1"/>
                <w:szCs w:val="1"/>
                <w:color w:val="auto"/>
              </w:rPr>
            </w:pPr>
          </w:p>
        </w:tc>
      </w:tr>
      <w:tr>
        <w:trPr>
          <w:trHeight w:val="108"/>
        </w:trPr>
        <w:tc>
          <w:tcPr>
            <w:tcW w:w="9180" w:type="dxa"/>
            <w:vAlign w:val="bottom"/>
          </w:tcPr>
          <w:p>
            <w:pPr>
              <w:spacing w:after="0"/>
              <w:rPr>
                <w:sz w:val="20"/>
                <w:szCs w:val="20"/>
                <w:color w:val="auto"/>
              </w:rPr>
            </w:pPr>
            <w:r>
              <w:rPr>
                <w:rFonts w:ascii="Arial" w:cs="Arial" w:eastAsia="Arial" w:hAnsi="Arial"/>
                <w:sz w:val="9"/>
                <w:szCs w:val="9"/>
                <w:b w:val="1"/>
                <w:bCs w:val="1"/>
                <w:color w:val="auto"/>
              </w:rPr>
              <w:t>Components of Net Debt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9"/>
                <w:szCs w:val="9"/>
                <w:b w:val="1"/>
                <w:bCs w:val="1"/>
                <w:color w:val="auto"/>
              </w:rPr>
              <w:t>2011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ind w:right="35"/>
              <w:spacing w:after="0"/>
              <w:rPr>
                <w:sz w:val="20"/>
                <w:szCs w:val="20"/>
                <w:color w:val="auto"/>
              </w:rPr>
            </w:pPr>
            <w:r>
              <w:rPr>
                <w:rFonts w:ascii="Arial" w:cs="Arial" w:eastAsia="Arial" w:hAnsi="Arial"/>
                <w:sz w:val="9"/>
                <w:szCs w:val="9"/>
                <w:color w:val="auto"/>
              </w:rPr>
              <w:t>2010</w:t>
            </w: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2009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91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Cash</w:t>
            </w: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w w:val="78"/>
              </w:rPr>
              <w:t>$</w:t>
            </w:r>
          </w:p>
        </w:tc>
        <w:tc>
          <w:tcPr>
            <w:tcW w:w="300" w:type="dxa"/>
            <w:vAlign w:val="bottom"/>
            <w:tcBorders>
              <w:top w:val="single" w:sz="8" w:color="auto"/>
            </w:tcBorders>
            <w:gridSpan w:val="2"/>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1,705</w:t>
            </w:r>
          </w:p>
        </w:tc>
        <w:tc>
          <w:tcPr>
            <w:tcW w:w="24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gridSpan w:val="2"/>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1,764</w:t>
            </w:r>
          </w:p>
        </w:tc>
        <w:tc>
          <w:tcPr>
            <w:tcW w:w="140" w:type="dxa"/>
            <w:vAlign w:val="bottom"/>
            <w:tcBorders>
              <w:top w:val="single" w:sz="8" w:color="CCEEFF"/>
              <w:left w:val="single" w:sz="8" w:color="CCEEFF"/>
            </w:tcBorders>
            <w:shd w:val="clear" w:color="auto" w:fill="CCEEFF"/>
          </w:tcPr>
          <w:p>
            <w:pPr>
              <w:spacing w:after="0"/>
              <w:rPr>
                <w:sz w:val="7"/>
                <w:szCs w:val="7"/>
                <w:color w:val="auto"/>
              </w:rPr>
            </w:pPr>
          </w:p>
        </w:tc>
        <w:tc>
          <w:tcPr>
            <w:tcW w:w="440" w:type="dxa"/>
            <w:vAlign w:val="bottom"/>
            <w:tcBorders>
              <w:top w:val="single" w:sz="8" w:color="CCEEFF"/>
            </w:tcBorders>
            <w:gridSpan w:val="2"/>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617</w:t>
            </w:r>
          </w:p>
        </w:tc>
        <w:tc>
          <w:tcPr>
            <w:tcW w:w="80" w:type="dxa"/>
            <w:vAlign w:val="bottom"/>
            <w:tcBorders>
              <w:top w:val="single" w:sz="8" w:color="CCEEFF"/>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9180" w:type="dxa"/>
            <w:vAlign w:val="bottom"/>
          </w:tcPr>
          <w:p>
            <w:pPr>
              <w:spacing w:after="0" w:line="99" w:lineRule="exact"/>
              <w:rPr>
                <w:sz w:val="20"/>
                <w:szCs w:val="20"/>
                <w:color w:val="auto"/>
              </w:rPr>
            </w:pPr>
            <w:r>
              <w:rPr>
                <w:rFonts w:ascii="Arial" w:cs="Arial" w:eastAsia="Arial" w:hAnsi="Arial"/>
                <w:sz w:val="9"/>
                <w:szCs w:val="9"/>
                <w:color w:val="auto"/>
              </w:rPr>
              <w:t>Short-term investments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3"/>
          </w:tcPr>
          <w:p>
            <w:pPr>
              <w:jc w:val="right"/>
              <w:ind w:right="240"/>
              <w:spacing w:after="0" w:line="99" w:lineRule="exact"/>
              <w:rPr>
                <w:sz w:val="20"/>
                <w:szCs w:val="20"/>
                <w:color w:val="auto"/>
              </w:rPr>
            </w:pPr>
            <w:r>
              <w:rPr>
                <w:rFonts w:ascii="Arial" w:cs="Arial" w:eastAsia="Arial" w:hAnsi="Arial"/>
                <w:sz w:val="9"/>
                <w:szCs w:val="9"/>
                <w:b w:val="1"/>
                <w:bCs w:val="1"/>
                <w:color w:val="auto"/>
              </w:rPr>
              <w:t>3,122</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35"/>
              <w:spacing w:after="0" w:line="99" w:lineRule="exact"/>
              <w:rPr>
                <w:sz w:val="20"/>
                <w:szCs w:val="20"/>
                <w:color w:val="auto"/>
              </w:rPr>
            </w:pPr>
            <w:r>
              <w:rPr>
                <w:rFonts w:ascii="Arial" w:cs="Arial" w:eastAsia="Arial" w:hAnsi="Arial"/>
                <w:sz w:val="9"/>
                <w:szCs w:val="9"/>
                <w:color w:val="auto"/>
              </w:rPr>
              <w:t>3,226</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3,999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1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Fixed income investments, held to maturity</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3"/>
            <w:shd w:val="clear" w:color="auto" w:fill="CCEEFF"/>
          </w:tcPr>
          <w:p>
            <w:pPr>
              <w:jc w:val="right"/>
              <w:ind w:right="240"/>
              <w:spacing w:after="0" w:line="99" w:lineRule="exact"/>
              <w:rPr>
                <w:sz w:val="20"/>
                <w:szCs w:val="20"/>
                <w:color w:val="auto"/>
              </w:rPr>
            </w:pPr>
            <w:r>
              <w:rPr>
                <w:rFonts w:ascii="Arial" w:cs="Arial" w:eastAsia="Arial" w:hAnsi="Arial"/>
                <w:sz w:val="9"/>
                <w:szCs w:val="9"/>
                <w:b w:val="1"/>
                <w:bCs w:val="1"/>
                <w:color w:val="auto"/>
              </w:rPr>
              <w:t>256</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35"/>
              <w:spacing w:after="0" w:line="99" w:lineRule="exact"/>
              <w:rPr>
                <w:sz w:val="20"/>
                <w:szCs w:val="20"/>
                <w:color w:val="auto"/>
              </w:rPr>
            </w:pPr>
            <w:r>
              <w:rPr>
                <w:rFonts w:ascii="Arial" w:cs="Arial" w:eastAsia="Arial" w:hAnsi="Arial"/>
                <w:sz w:val="9"/>
                <w:szCs w:val="9"/>
                <w:color w:val="auto"/>
              </w:rPr>
              <w:t>484</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738</w:t>
            </w: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180" w:type="dxa"/>
            <w:vAlign w:val="bottom"/>
          </w:tcPr>
          <w:p>
            <w:pPr>
              <w:spacing w:after="0" w:line="99" w:lineRule="exact"/>
              <w:rPr>
                <w:sz w:val="20"/>
                <w:szCs w:val="20"/>
                <w:color w:val="auto"/>
              </w:rPr>
            </w:pPr>
            <w:r>
              <w:rPr>
                <w:rFonts w:ascii="Arial" w:cs="Arial" w:eastAsia="Arial" w:hAnsi="Arial"/>
                <w:sz w:val="9"/>
                <w:szCs w:val="9"/>
                <w:color w:val="auto"/>
              </w:rPr>
              <w:t>Short-term borrowings and current portion of long-term debt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3"/>
          </w:tcPr>
          <w:p>
            <w:pPr>
              <w:jc w:val="right"/>
              <w:ind w:right="220"/>
              <w:spacing w:after="0" w:line="99" w:lineRule="exact"/>
              <w:rPr>
                <w:sz w:val="20"/>
                <w:szCs w:val="20"/>
                <w:color w:val="auto"/>
              </w:rPr>
            </w:pPr>
            <w:r>
              <w:rPr>
                <w:rFonts w:ascii="Arial" w:cs="Arial" w:eastAsia="Arial" w:hAnsi="Arial"/>
                <w:sz w:val="9"/>
                <w:szCs w:val="9"/>
                <w:b w:val="1"/>
                <w:bCs w:val="1"/>
                <w:color w:val="auto"/>
              </w:rPr>
              <w:t>(1,377)</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5"/>
              <w:spacing w:after="0" w:line="99" w:lineRule="exact"/>
              <w:rPr>
                <w:sz w:val="20"/>
                <w:szCs w:val="20"/>
                <w:color w:val="auto"/>
              </w:rPr>
            </w:pPr>
            <w:r>
              <w:rPr>
                <w:rFonts w:ascii="Arial" w:cs="Arial" w:eastAsia="Arial" w:hAnsi="Arial"/>
                <w:sz w:val="9"/>
                <w:szCs w:val="9"/>
                <w:color w:val="auto"/>
              </w:rPr>
              <w:t>(2,595)</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(804)</w:t>
            </w:r>
          </w:p>
        </w:tc>
        <w:tc>
          <w:tcPr>
            <w:tcW w:w="0" w:type="dxa"/>
            <w:vAlign w:val="bottom"/>
          </w:tcPr>
          <w:p>
            <w:pPr>
              <w:spacing w:after="0"/>
              <w:rPr>
                <w:sz w:val="1"/>
                <w:szCs w:val="1"/>
                <w:color w:val="auto"/>
              </w:rPr>
            </w:pPr>
          </w:p>
        </w:tc>
      </w:tr>
      <w:tr>
        <w:trPr>
          <w:trHeight w:val="99"/>
        </w:trPr>
        <w:tc>
          <w:tcPr>
            <w:tcW w:w="91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Convertible debentures</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9"/>
                <w:szCs w:val="9"/>
                <w:b w:val="1"/>
                <w:bCs w:val="1"/>
                <w:color w:val="auto"/>
              </w:rPr>
              <w:t>–</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jc w:val="right"/>
              <w:ind w:right="35"/>
              <w:spacing w:after="0" w:line="99" w:lineRule="exact"/>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(321)</w:t>
            </w:r>
          </w:p>
        </w:tc>
        <w:tc>
          <w:tcPr>
            <w:tcW w:w="0" w:type="dxa"/>
            <w:vAlign w:val="bottom"/>
          </w:tcPr>
          <w:p>
            <w:pPr>
              <w:spacing w:after="0"/>
              <w:rPr>
                <w:sz w:val="1"/>
                <w:szCs w:val="1"/>
                <w:color w:val="auto"/>
              </w:rPr>
            </w:pPr>
          </w:p>
        </w:tc>
      </w:tr>
      <w:tr>
        <w:trPr>
          <w:trHeight w:val="99"/>
        </w:trPr>
        <w:tc>
          <w:tcPr>
            <w:tcW w:w="9180" w:type="dxa"/>
            <w:vAlign w:val="bottom"/>
          </w:tcPr>
          <w:p>
            <w:pPr>
              <w:spacing w:after="0" w:line="99" w:lineRule="exact"/>
              <w:rPr>
                <w:sz w:val="20"/>
                <w:szCs w:val="20"/>
                <w:color w:val="auto"/>
              </w:rPr>
            </w:pPr>
            <w:r>
              <w:rPr>
                <w:rFonts w:ascii="Arial" w:cs="Arial" w:eastAsia="Arial" w:hAnsi="Arial"/>
                <w:sz w:val="9"/>
                <w:szCs w:val="9"/>
                <w:color w:val="auto"/>
              </w:rPr>
              <w:t>Long-term debt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3"/>
          </w:tcPr>
          <w:p>
            <w:pPr>
              <w:jc w:val="right"/>
              <w:ind w:right="220"/>
              <w:spacing w:after="0" w:line="99" w:lineRule="exact"/>
              <w:rPr>
                <w:sz w:val="20"/>
                <w:szCs w:val="20"/>
                <w:color w:val="auto"/>
              </w:rPr>
            </w:pPr>
            <w:r>
              <w:rPr>
                <w:rFonts w:ascii="Arial" w:cs="Arial" w:eastAsia="Arial" w:hAnsi="Arial"/>
                <w:sz w:val="9"/>
                <w:szCs w:val="9"/>
                <w:b w:val="1"/>
                <w:bCs w:val="1"/>
                <w:color w:val="auto"/>
              </w:rPr>
              <w:t>(8,556)</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5"/>
              <w:spacing w:after="0" w:line="99" w:lineRule="exact"/>
              <w:rPr>
                <w:sz w:val="20"/>
                <w:szCs w:val="20"/>
                <w:color w:val="auto"/>
              </w:rPr>
            </w:pPr>
            <w:r>
              <w:rPr>
                <w:rFonts w:ascii="Arial" w:cs="Arial" w:eastAsia="Arial" w:hAnsi="Arial"/>
                <w:sz w:val="9"/>
                <w:szCs w:val="9"/>
                <w:color w:val="auto"/>
              </w:rPr>
              <w:t>(5,517)</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(4,355)</w:t>
            </w:r>
          </w:p>
        </w:tc>
        <w:tc>
          <w:tcPr>
            <w:tcW w:w="0" w:type="dxa"/>
            <w:vAlign w:val="bottom"/>
          </w:tcPr>
          <w:p>
            <w:pPr>
              <w:spacing w:after="0"/>
              <w:rPr>
                <w:sz w:val="1"/>
                <w:szCs w:val="1"/>
                <w:color w:val="auto"/>
              </w:rPr>
            </w:pPr>
          </w:p>
        </w:tc>
      </w:tr>
      <w:tr>
        <w:trPr>
          <w:trHeight w:val="20"/>
        </w:trPr>
        <w:tc>
          <w:tcPr>
            <w:tcW w:w="9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78"/>
              </w:rPr>
              <w:t>$</w:t>
            </w:r>
          </w:p>
        </w:tc>
        <w:tc>
          <w:tcPr>
            <w:tcW w:w="540" w:type="dxa"/>
            <w:vAlign w:val="bottom"/>
            <w:gridSpan w:val="3"/>
            <w:shd w:val="clear" w:color="auto" w:fill="CCEEFF"/>
          </w:tcPr>
          <w:p>
            <w:pPr>
              <w:jc w:val="right"/>
              <w:ind w:right="220"/>
              <w:spacing w:after="0" w:line="98" w:lineRule="exact"/>
              <w:rPr>
                <w:sz w:val="20"/>
                <w:szCs w:val="20"/>
                <w:color w:val="auto"/>
              </w:rPr>
            </w:pPr>
            <w:r>
              <w:rPr>
                <w:rFonts w:ascii="Arial" w:cs="Arial" w:eastAsia="Arial" w:hAnsi="Arial"/>
                <w:sz w:val="9"/>
                <w:szCs w:val="9"/>
                <w:b w:val="1"/>
                <w:bCs w:val="1"/>
                <w:color w:val="auto"/>
              </w:rPr>
              <w:t>(4,850)</w:t>
            </w:r>
          </w:p>
        </w:tc>
        <w:tc>
          <w:tcPr>
            <w:tcW w:w="34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right"/>
              <w:ind w:right="15"/>
              <w:spacing w:after="0" w:line="98" w:lineRule="exact"/>
              <w:rPr>
                <w:sz w:val="20"/>
                <w:szCs w:val="20"/>
                <w:color w:val="auto"/>
              </w:rPr>
            </w:pPr>
            <w:r>
              <w:rPr>
                <w:rFonts w:ascii="Arial" w:cs="Arial" w:eastAsia="Arial" w:hAnsi="Arial"/>
                <w:sz w:val="9"/>
                <w:szCs w:val="9"/>
                <w:color w:val="auto"/>
              </w:rPr>
              <w:t>(2,638)</w:t>
            </w:r>
          </w:p>
        </w:tc>
        <w:tc>
          <w:tcPr>
            <w:tcW w:w="50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(126)</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Key liquidity events during 2011, 2010 and 2009 included:</w:t>
      </w:r>
    </w:p>
    <w:p>
      <w:pPr>
        <w:spacing w:after="0" w:line="60" w:lineRule="exact"/>
        <w:rPr>
          <w:sz w:val="20"/>
          <w:szCs w:val="20"/>
          <w:color w:val="auto"/>
        </w:rPr>
      </w:pPr>
    </w:p>
    <w:p>
      <w:pPr>
        <w:ind w:left="780" w:right="40" w:hanging="333"/>
        <w:spacing w:after="0" w:line="268" w:lineRule="auto"/>
        <w:rPr>
          <w:sz w:val="20"/>
          <w:szCs w:val="20"/>
          <w:color w:val="auto"/>
        </w:rPr>
      </w:pPr>
      <w:r>
        <w:rPr>
          <w:rFonts w:ascii="Arial" w:cs="Arial" w:eastAsia="Arial" w:hAnsi="Arial"/>
          <w:sz w:val="12"/>
          <w:szCs w:val="12"/>
          <w:color w:val="auto"/>
        </w:rPr>
        <w:t>—During the third quarter of 2011, Schlumberger issued $1.1 billion of 1.950% Senior Notes due 2016, $1.6 billion of 3.300% Senior Notes due 2021 and $300 million of Floating Rate Senior Notes due 2014 that bear interest at a rate equal to three-month LIBOR plus 55 bps per year.</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During the second quarter of 2011, Schlumberger completed the divestiture of its Global Connectivity Services business for approximately $385 million in cash.</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During the first quarter of 2011, Schlumberger issued $1.1 billion of 4.200% Senior Notes due 2021 and $500 million of 2.650% Senior Notes due 2016.</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During the first quarter of 2011, Schlumberger repurchased all of its outstanding 9.75% Senior Notes due 2019, 8.625% Senior Notes due 2014 and 6.00% Senior Notes due 2016 for approximately $1.26 billion.</w:t>
      </w:r>
    </w:p>
    <w:p>
      <w:pPr>
        <w:spacing w:after="0" w:line="60" w:lineRule="exact"/>
        <w:rPr>
          <w:sz w:val="20"/>
          <w:szCs w:val="20"/>
          <w:color w:val="auto"/>
        </w:rPr>
      </w:pPr>
    </w:p>
    <w:p>
      <w:pPr>
        <w:ind w:left="780" w:right="80" w:hanging="333"/>
        <w:spacing w:after="0" w:line="268" w:lineRule="auto"/>
        <w:rPr>
          <w:sz w:val="20"/>
          <w:szCs w:val="20"/>
          <w:color w:val="auto"/>
        </w:rPr>
      </w:pPr>
      <w:r>
        <w:rPr>
          <w:rFonts w:ascii="Arial" w:cs="Arial" w:eastAsia="Arial" w:hAnsi="Arial"/>
          <w:sz w:val="12"/>
          <w:szCs w:val="12"/>
          <w:color w:val="auto"/>
        </w:rPr>
        <w:t>—As a result of the Smith acquisition on August 27, 2010, Schlumberger assumed net debt of $1.8 billion. This amount consisted of $2.2 billion of debt (including a $0.4 billion adjustment to increase Smith’s long-term fixed rate debt to its estimated fair value) and $0.4 billion of cash.</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During the second quarter of 2010, Schlumberger completed the acquisition of Geoservices for cash of $0.9 billion. Schlumberger assumed net debt of $0.1 billion in connection with this transaction.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9"/>
          <w:szCs w:val="9"/>
          <w:color w:val="auto"/>
        </w:rPr>
        <w:t>25</w:t>
      </w:r>
    </w:p>
    <w:p>
      <w:pPr>
        <w:sectPr>
          <w:pgSz w:w="11900" w:h="16838" w:orient="portrait"/>
          <w:cols w:equalWidth="0" w:num="1">
            <w:col w:w="11480"/>
          </w:cols>
          <w:pgMar w:left="220" w:top="354" w:right="199" w:bottom="1440" w:gutter="0" w:footer="0" w:header="0"/>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During the third and fourth quarters of 2010, Schlumberger repurchased the following debt: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4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5580" w:type="dxa"/>
            <w:vAlign w:val="bottom"/>
            <w:gridSpan w:val="5"/>
          </w:tcPr>
          <w:p>
            <w:pPr>
              <w:ind w:left="4800"/>
              <w:spacing w:after="0"/>
              <w:rPr>
                <w:sz w:val="20"/>
                <w:szCs w:val="20"/>
                <w:color w:val="auto"/>
              </w:rPr>
            </w:pPr>
            <w:r>
              <w:rPr>
                <w:rFonts w:ascii="Arial" w:cs="Arial" w:eastAsia="Arial" w:hAnsi="Arial"/>
                <w:sz w:val="9"/>
                <w:szCs w:val="9"/>
                <w:b w:val="1"/>
                <w:bCs w:val="1"/>
                <w:color w:val="auto"/>
                <w:w w:val="94"/>
              </w:rPr>
              <w:t>(Stated in millions)</w:t>
            </w:r>
          </w:p>
        </w:tc>
      </w:tr>
      <w:tr>
        <w:trPr>
          <w:trHeight w:val="190"/>
        </w:trPr>
        <w:tc>
          <w:tcPr>
            <w:tcW w:w="2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80" w:type="dxa"/>
            <w:vAlign w:val="bottom"/>
            <w:gridSpan w:val="4"/>
          </w:tcPr>
          <w:p>
            <w:pPr>
              <w:jc w:val="center"/>
              <w:ind w:right="40"/>
              <w:spacing w:after="0"/>
              <w:rPr>
                <w:sz w:val="20"/>
                <w:szCs w:val="20"/>
                <w:color w:val="auto"/>
              </w:rPr>
            </w:pPr>
            <w:r>
              <w:rPr>
                <w:rFonts w:ascii="Arial" w:cs="Arial" w:eastAsia="Arial" w:hAnsi="Arial"/>
                <w:sz w:val="9"/>
                <w:szCs w:val="9"/>
                <w:b w:val="1"/>
                <w:bCs w:val="1"/>
                <w:color w:val="auto"/>
                <w:w w:val="97"/>
              </w:rPr>
              <w:t>Carrying</w:t>
            </w:r>
          </w:p>
        </w:tc>
      </w:tr>
      <w:tr>
        <w:trPr>
          <w:trHeight w:val="108"/>
        </w:trPr>
        <w:tc>
          <w:tcPr>
            <w:tcW w:w="24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3"/>
          </w:tcPr>
          <w:p>
            <w:pPr>
              <w:jc w:val="center"/>
              <w:ind w:right="140"/>
              <w:spacing w:after="0"/>
              <w:rPr>
                <w:sz w:val="20"/>
                <w:szCs w:val="20"/>
                <w:color w:val="auto"/>
              </w:rPr>
            </w:pPr>
            <w:r>
              <w:rPr>
                <w:rFonts w:ascii="Arial" w:cs="Arial" w:eastAsia="Arial" w:hAnsi="Arial"/>
                <w:sz w:val="9"/>
                <w:szCs w:val="9"/>
                <w:b w:val="1"/>
                <w:bCs w:val="1"/>
                <w:color w:val="auto"/>
                <w:w w:val="91"/>
              </w:rPr>
              <w:t>Value</w:t>
            </w:r>
          </w:p>
        </w:tc>
      </w:tr>
      <w:tr>
        <w:trPr>
          <w:trHeight w:val="88"/>
        </w:trPr>
        <w:tc>
          <w:tcPr>
            <w:tcW w:w="24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w w:val="86"/>
              </w:rPr>
              <w:t>6.50%</w:t>
            </w:r>
          </w:p>
        </w:tc>
        <w:tc>
          <w:tcPr>
            <w:tcW w:w="566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Notes due 2012</w:t>
            </w:r>
          </w:p>
        </w:tc>
        <w:tc>
          <w:tcPr>
            <w:tcW w:w="5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649</w:t>
            </w: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r>
      <w:tr>
        <w:trPr>
          <w:trHeight w:val="99"/>
        </w:trPr>
        <w:tc>
          <w:tcPr>
            <w:tcW w:w="240" w:type="dxa"/>
            <w:vAlign w:val="bottom"/>
          </w:tcPr>
          <w:p>
            <w:pPr>
              <w:spacing w:after="0" w:line="99" w:lineRule="exact"/>
              <w:rPr>
                <w:sz w:val="20"/>
                <w:szCs w:val="20"/>
                <w:color w:val="auto"/>
              </w:rPr>
            </w:pPr>
            <w:r>
              <w:rPr>
                <w:rFonts w:ascii="Arial" w:cs="Arial" w:eastAsia="Arial" w:hAnsi="Arial"/>
                <w:sz w:val="9"/>
                <w:szCs w:val="9"/>
                <w:color w:val="auto"/>
                <w:w w:val="86"/>
              </w:rPr>
              <w:t>6.75%</w:t>
            </w:r>
          </w:p>
        </w:tc>
        <w:tc>
          <w:tcPr>
            <w:tcW w:w="5660" w:type="dxa"/>
            <w:vAlign w:val="bottom"/>
          </w:tcPr>
          <w:p>
            <w:pPr>
              <w:spacing w:after="0" w:line="99" w:lineRule="exact"/>
              <w:rPr>
                <w:sz w:val="20"/>
                <w:szCs w:val="20"/>
                <w:color w:val="auto"/>
              </w:rPr>
            </w:pPr>
            <w:r>
              <w:rPr>
                <w:rFonts w:ascii="Arial" w:cs="Arial" w:eastAsia="Arial" w:hAnsi="Arial"/>
                <w:sz w:val="9"/>
                <w:szCs w:val="9"/>
                <w:color w:val="auto"/>
              </w:rPr>
              <w:t>Senior Notes due 2011</w:t>
            </w: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224</w:t>
            </w:r>
          </w:p>
        </w:tc>
        <w:tc>
          <w:tcPr>
            <w:tcW w:w="40" w:type="dxa"/>
            <w:vAlign w:val="bottom"/>
          </w:tcPr>
          <w:p>
            <w:pPr>
              <w:spacing w:after="0"/>
              <w:rPr>
                <w:sz w:val="8"/>
                <w:szCs w:val="8"/>
                <w:color w:val="auto"/>
              </w:rPr>
            </w:pPr>
          </w:p>
        </w:tc>
      </w:tr>
      <w:tr>
        <w:trPr>
          <w:trHeight w:val="99"/>
        </w:trPr>
        <w:tc>
          <w:tcPr>
            <w:tcW w:w="24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w w:val="86"/>
              </w:rPr>
              <w:t>9.75%</w:t>
            </w:r>
          </w:p>
        </w:tc>
        <w:tc>
          <w:tcPr>
            <w:tcW w:w="56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Senior Notes due 2019</w:t>
            </w:r>
          </w:p>
        </w:tc>
        <w:tc>
          <w:tcPr>
            <w:tcW w:w="5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212</w:t>
            </w:r>
          </w:p>
        </w:tc>
        <w:tc>
          <w:tcPr>
            <w:tcW w:w="40" w:type="dxa"/>
            <w:vAlign w:val="bottom"/>
            <w:shd w:val="clear" w:color="auto" w:fill="CCEEFF"/>
          </w:tcPr>
          <w:p>
            <w:pPr>
              <w:spacing w:after="0"/>
              <w:rPr>
                <w:sz w:val="8"/>
                <w:szCs w:val="8"/>
                <w:color w:val="auto"/>
              </w:rPr>
            </w:pPr>
          </w:p>
        </w:tc>
      </w:tr>
      <w:tr>
        <w:trPr>
          <w:trHeight w:val="99"/>
        </w:trPr>
        <w:tc>
          <w:tcPr>
            <w:tcW w:w="240" w:type="dxa"/>
            <w:vAlign w:val="bottom"/>
          </w:tcPr>
          <w:p>
            <w:pPr>
              <w:spacing w:after="0" w:line="99" w:lineRule="exact"/>
              <w:rPr>
                <w:sz w:val="20"/>
                <w:szCs w:val="20"/>
                <w:color w:val="auto"/>
              </w:rPr>
            </w:pPr>
            <w:r>
              <w:rPr>
                <w:rFonts w:ascii="Arial" w:cs="Arial" w:eastAsia="Arial" w:hAnsi="Arial"/>
                <w:sz w:val="9"/>
                <w:szCs w:val="9"/>
                <w:color w:val="auto"/>
                <w:w w:val="86"/>
              </w:rPr>
              <w:t>6.00%</w:t>
            </w:r>
          </w:p>
        </w:tc>
        <w:tc>
          <w:tcPr>
            <w:tcW w:w="5660" w:type="dxa"/>
            <w:vAlign w:val="bottom"/>
          </w:tcPr>
          <w:p>
            <w:pPr>
              <w:spacing w:after="0" w:line="99" w:lineRule="exact"/>
              <w:rPr>
                <w:sz w:val="20"/>
                <w:szCs w:val="20"/>
                <w:color w:val="auto"/>
              </w:rPr>
            </w:pPr>
            <w:r>
              <w:rPr>
                <w:rFonts w:ascii="Arial" w:cs="Arial" w:eastAsia="Arial" w:hAnsi="Arial"/>
                <w:sz w:val="9"/>
                <w:szCs w:val="9"/>
                <w:color w:val="auto"/>
              </w:rPr>
              <w:t>Senior Notes due 2016</w:t>
            </w: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102</w:t>
            </w:r>
          </w:p>
        </w:tc>
        <w:tc>
          <w:tcPr>
            <w:tcW w:w="40" w:type="dxa"/>
            <w:vAlign w:val="bottom"/>
          </w:tcPr>
          <w:p>
            <w:pPr>
              <w:spacing w:after="0"/>
              <w:rPr>
                <w:sz w:val="8"/>
                <w:szCs w:val="8"/>
                <w:color w:val="auto"/>
              </w:rPr>
            </w:pPr>
          </w:p>
        </w:tc>
      </w:tr>
      <w:tr>
        <w:trPr>
          <w:trHeight w:val="99"/>
        </w:trPr>
        <w:tc>
          <w:tcPr>
            <w:tcW w:w="5900" w:type="dxa"/>
            <w:vAlign w:val="bottom"/>
            <w:tcBorders>
              <w:bottom w:val="single" w:sz="8" w:color="auto"/>
            </w:tcBorders>
            <w:gridSpan w:val="2"/>
            <w:shd w:val="clear" w:color="auto" w:fill="CCEEFF"/>
          </w:tcPr>
          <w:p>
            <w:pPr>
              <w:spacing w:after="0" w:line="99" w:lineRule="exact"/>
              <w:rPr>
                <w:sz w:val="20"/>
                <w:szCs w:val="20"/>
                <w:color w:val="auto"/>
              </w:rPr>
            </w:pPr>
            <w:r>
              <w:rPr>
                <w:rFonts w:ascii="Arial" w:cs="Arial" w:eastAsia="Arial" w:hAnsi="Arial"/>
                <w:sz w:val="9"/>
                <w:szCs w:val="9"/>
                <w:color w:val="auto"/>
              </w:rPr>
              <w:t>8.625% Senior Notes due 2014</w:t>
            </w:r>
          </w:p>
        </w:tc>
        <w:tc>
          <w:tcPr>
            <w:tcW w:w="51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88</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7"/>
        </w:trPr>
        <w:tc>
          <w:tcPr>
            <w:tcW w:w="2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60" w:type="dxa"/>
            <w:vAlign w:val="bottom"/>
            <w:tcBorders>
              <w:bottom w:val="single" w:sz="8" w:color="auto"/>
            </w:tcBorders>
            <w:gridSpan w:val="2"/>
          </w:tcPr>
          <w:p>
            <w:pPr>
              <w:jc w:val="right"/>
              <w:ind w:right="20"/>
              <w:spacing w:after="0" w:line="98" w:lineRule="exact"/>
              <w:rPr>
                <w:sz w:val="20"/>
                <w:szCs w:val="20"/>
                <w:color w:val="auto"/>
              </w:rPr>
            </w:pPr>
            <w:r>
              <w:rPr>
                <w:rFonts w:ascii="Arial" w:cs="Arial" w:eastAsia="Arial" w:hAnsi="Arial"/>
                <w:sz w:val="9"/>
                <w:szCs w:val="9"/>
                <w:color w:val="auto"/>
              </w:rPr>
              <w:t>1,275</w:t>
            </w:r>
          </w:p>
        </w:tc>
        <w:tc>
          <w:tcPr>
            <w:tcW w:w="40" w:type="dxa"/>
            <w:vAlign w:val="bottom"/>
          </w:tcPr>
          <w:p>
            <w:pPr>
              <w:spacing w:after="0"/>
              <w:rPr>
                <w:sz w:val="8"/>
                <w:szCs w:val="8"/>
                <w:color w:val="auto"/>
              </w:rPr>
            </w:pPr>
          </w:p>
        </w:tc>
      </w:tr>
    </w:tbl>
    <w:p>
      <w:pPr>
        <w:spacing w:after="0" w:line="57"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premium paid in excess of the carrying value to repurchase the $1.275 billion of debt was approximately $67 million.</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Schlumberger maintains a €3.0 billion Euro Medium Term Note program. This program provides for the issuance of various types of debt instruments such as fixed or floating rate notes in Euro, US dollar or other currencies.</w:t>
      </w:r>
    </w:p>
    <w:p>
      <w:pPr>
        <w:spacing w:after="0" w:line="60" w:lineRule="exact"/>
        <w:rPr>
          <w:sz w:val="20"/>
          <w:szCs w:val="20"/>
          <w:color w:val="auto"/>
        </w:rPr>
      </w:pPr>
    </w:p>
    <w:p>
      <w:pPr>
        <w:ind w:left="800" w:right="60"/>
        <w:spacing w:after="0" w:line="256" w:lineRule="auto"/>
        <w:rPr>
          <w:sz w:val="20"/>
          <w:szCs w:val="20"/>
          <w:color w:val="auto"/>
        </w:rPr>
      </w:pPr>
      <w:r>
        <w:rPr>
          <w:rFonts w:ascii="Arial" w:cs="Arial" w:eastAsia="Arial" w:hAnsi="Arial"/>
          <w:sz w:val="12"/>
          <w:szCs w:val="12"/>
          <w:color w:val="auto"/>
        </w:rPr>
        <w:t>During the fourth quarter of 2010, Schlumberger issued €1.0 billion 2.75% Guaranteed Notes due under this program. Schlumberger entered into agreements to swap these euro notes for US dollars on the date of issue until maturity, effectively making this a US denominated debt on which Schlumberger will pay interest in US dollars at a rate of 2.56%. During the first quarter of 2009, Schlumberger issued €1.0 billion 4.50% Guaranteed Notes due 2014 under this program. Schlumberger entered into agreements to swap these euro notes for US dollars on the date of issue until maturity, effectively making this a US dollar denominated debt on which Schlumberger will pay interest in US dollars at a rate of 4.95%.</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During the third quarter of 2009, Schlumberger issued $450 million of 3.00% Guaranteed Notes due 2013.</w:t>
      </w:r>
    </w:p>
    <w:p>
      <w:pPr>
        <w:spacing w:after="0" w:line="60" w:lineRule="exact"/>
        <w:rPr>
          <w:sz w:val="20"/>
          <w:szCs w:val="20"/>
          <w:color w:val="auto"/>
        </w:rPr>
      </w:pPr>
    </w:p>
    <w:p>
      <w:pPr>
        <w:ind w:left="780" w:right="200" w:hanging="333"/>
        <w:spacing w:after="0" w:line="396" w:lineRule="auto"/>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On April 17, 2008, the Schlumberger Board of Directors approved an $8 billion share repurchase program for shares of Schlumberger common stock, to be acquired in the open market before December 31, 2011. On July 21, 2011, the Schlumberger Board of Directors approved an extension of this repurchase program to December 31, 2013. Schlumberger had repurchased $6.15 billion of shares under this program as of December 31, 2011.</w:t>
      </w:r>
    </w:p>
    <w:p>
      <w:pPr>
        <w:ind w:left="800"/>
        <w:spacing w:after="0"/>
        <w:rPr>
          <w:sz w:val="20"/>
          <w:szCs w:val="20"/>
          <w:color w:val="auto"/>
        </w:rPr>
      </w:pPr>
      <w:r>
        <w:rPr>
          <w:rFonts w:ascii="Arial" w:cs="Arial" w:eastAsia="Arial" w:hAnsi="Arial"/>
          <w:sz w:val="12"/>
          <w:szCs w:val="12"/>
          <w:color w:val="auto"/>
        </w:rPr>
        <w:t>The following table summarizes the activity under this share repurchase program during 2011, 2010 and 2009: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960" w:type="dxa"/>
            <w:vAlign w:val="bottom"/>
            <w:gridSpan w:val="6"/>
          </w:tcPr>
          <w:p>
            <w:pPr>
              <w:jc w:val="right"/>
              <w:ind w:right="60"/>
              <w:spacing w:after="0"/>
              <w:rPr>
                <w:sz w:val="20"/>
                <w:szCs w:val="20"/>
                <w:color w:val="auto"/>
              </w:rPr>
            </w:pPr>
            <w:r>
              <w:rPr>
                <w:rFonts w:ascii="Arial" w:cs="Arial" w:eastAsia="Arial" w:hAnsi="Arial"/>
                <w:sz w:val="9"/>
                <w:szCs w:val="9"/>
                <w:b w:val="1"/>
                <w:bCs w:val="1"/>
                <w:color w:val="auto"/>
                <w:w w:val="91"/>
              </w:rPr>
              <w:t>(Stated in thousands except per share amounts)</w:t>
            </w:r>
          </w:p>
        </w:tc>
      </w:tr>
      <w:tr>
        <w:trPr>
          <w:trHeight w:val="190"/>
        </w:trPr>
        <w:tc>
          <w:tcPr>
            <w:tcW w:w="8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center"/>
              <w:ind w:right="680"/>
              <w:spacing w:after="0"/>
              <w:rPr>
                <w:sz w:val="20"/>
                <w:szCs w:val="20"/>
                <w:color w:val="auto"/>
              </w:rPr>
            </w:pPr>
            <w:r>
              <w:rPr>
                <w:rFonts w:ascii="Arial" w:cs="Arial" w:eastAsia="Arial" w:hAnsi="Arial"/>
                <w:sz w:val="9"/>
                <w:szCs w:val="9"/>
                <w:b w:val="1"/>
                <w:bCs w:val="1"/>
                <w:color w:val="auto"/>
                <w:w w:val="89"/>
              </w:rPr>
              <w:t>Total cost</w:t>
            </w:r>
          </w:p>
        </w:tc>
        <w:tc>
          <w:tcPr>
            <w:tcW w:w="102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Total number</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9"/>
              </w:rPr>
              <w:t>Average</w:t>
            </w:r>
          </w:p>
        </w:tc>
      </w:tr>
      <w:tr>
        <w:trPr>
          <w:trHeight w:val="99"/>
        </w:trPr>
        <w:tc>
          <w:tcPr>
            <w:tcW w:w="8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tcPr>
          <w:p>
            <w:pPr>
              <w:jc w:val="center"/>
              <w:ind w:right="680"/>
              <w:spacing w:after="0" w:line="99" w:lineRule="exact"/>
              <w:rPr>
                <w:sz w:val="20"/>
                <w:szCs w:val="20"/>
                <w:color w:val="auto"/>
              </w:rPr>
            </w:pPr>
            <w:r>
              <w:rPr>
                <w:rFonts w:ascii="Arial" w:cs="Arial" w:eastAsia="Arial" w:hAnsi="Arial"/>
                <w:sz w:val="9"/>
                <w:szCs w:val="9"/>
                <w:b w:val="1"/>
                <w:bCs w:val="1"/>
                <w:color w:val="auto"/>
                <w:w w:val="84"/>
              </w:rPr>
              <w:t>of shares</w:t>
            </w:r>
          </w:p>
        </w:tc>
        <w:tc>
          <w:tcPr>
            <w:tcW w:w="1020" w:type="dxa"/>
            <w:vAlign w:val="bottom"/>
            <w:gridSpan w:val="2"/>
          </w:tcPr>
          <w:p>
            <w:pPr>
              <w:jc w:val="center"/>
              <w:ind w:right="320"/>
              <w:spacing w:after="0" w:line="99" w:lineRule="exact"/>
              <w:rPr>
                <w:sz w:val="20"/>
                <w:szCs w:val="20"/>
                <w:color w:val="auto"/>
              </w:rPr>
            </w:pPr>
            <w:r>
              <w:rPr>
                <w:rFonts w:ascii="Arial" w:cs="Arial" w:eastAsia="Arial" w:hAnsi="Arial"/>
                <w:sz w:val="9"/>
                <w:szCs w:val="9"/>
                <w:b w:val="1"/>
                <w:bCs w:val="1"/>
                <w:color w:val="auto"/>
                <w:w w:val="84"/>
              </w:rPr>
              <w:t>of shares</w:t>
            </w: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89"/>
              </w:rPr>
              <w:t>price paid</w:t>
            </w:r>
          </w:p>
        </w:tc>
      </w:tr>
      <w:tr>
        <w:trPr>
          <w:trHeight w:val="108"/>
        </w:trPr>
        <w:tc>
          <w:tcPr>
            <w:tcW w:w="8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2"/>
          </w:tcPr>
          <w:p>
            <w:pPr>
              <w:jc w:val="center"/>
              <w:ind w:right="660"/>
              <w:spacing w:after="0"/>
              <w:rPr>
                <w:sz w:val="20"/>
                <w:szCs w:val="20"/>
                <w:color w:val="auto"/>
              </w:rPr>
            </w:pPr>
            <w:r>
              <w:rPr>
                <w:rFonts w:ascii="Arial" w:cs="Arial" w:eastAsia="Arial" w:hAnsi="Arial"/>
                <w:sz w:val="9"/>
                <w:szCs w:val="9"/>
                <w:b w:val="1"/>
                <w:bCs w:val="1"/>
                <w:color w:val="auto"/>
                <w:w w:val="87"/>
              </w:rPr>
              <w:t>purchased</w:t>
            </w:r>
          </w:p>
        </w:tc>
        <w:tc>
          <w:tcPr>
            <w:tcW w:w="102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7"/>
              </w:rPr>
              <w:t>purchased</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8"/>
              </w:rPr>
              <w:t>per share</w:t>
            </w:r>
          </w:p>
        </w:tc>
      </w:tr>
      <w:tr>
        <w:trPr>
          <w:trHeight w:val="88"/>
        </w:trPr>
        <w:tc>
          <w:tcPr>
            <w:tcW w:w="8360" w:type="dxa"/>
            <w:vAlign w:val="bottom"/>
            <w:tcBorders>
              <w:top w:val="single" w:sz="8" w:color="CCEEFF"/>
            </w:tcBorders>
            <w:shd w:val="clear" w:color="auto" w:fill="CCEEFF"/>
          </w:tcPr>
          <w:p>
            <w:pPr>
              <w:jc w:val="right"/>
              <w:ind w:right="8157"/>
              <w:spacing w:after="0" w:line="88" w:lineRule="exact"/>
              <w:rPr>
                <w:sz w:val="20"/>
                <w:szCs w:val="20"/>
                <w:color w:val="auto"/>
              </w:rPr>
            </w:pPr>
            <w:r>
              <w:rPr>
                <w:rFonts w:ascii="Arial" w:cs="Arial" w:eastAsia="Arial" w:hAnsi="Arial"/>
                <w:sz w:val="8"/>
                <w:szCs w:val="8"/>
                <w:color w:val="auto"/>
                <w:w w:val="78"/>
              </w:rPr>
              <w:t>2011</w:t>
            </w:r>
          </w:p>
        </w:tc>
        <w:tc>
          <w:tcPr>
            <w:tcW w:w="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2,997,688</w:t>
            </w:r>
          </w:p>
        </w:tc>
        <w:tc>
          <w:tcPr>
            <w:tcW w:w="62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36,940.4</w:t>
            </w:r>
          </w:p>
        </w:tc>
        <w:tc>
          <w:tcPr>
            <w:tcW w:w="3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81.15</w:t>
            </w:r>
          </w:p>
        </w:tc>
        <w:tc>
          <w:tcPr>
            <w:tcW w:w="60" w:type="dxa"/>
            <w:vAlign w:val="bottom"/>
            <w:tcBorders>
              <w:top w:val="single" w:sz="8" w:color="CCEEFF"/>
            </w:tcBorders>
            <w:shd w:val="clear" w:color="auto" w:fill="CCEEFF"/>
          </w:tcPr>
          <w:p>
            <w:pPr>
              <w:spacing w:after="0"/>
              <w:rPr>
                <w:sz w:val="7"/>
                <w:szCs w:val="7"/>
                <w:color w:val="auto"/>
              </w:rPr>
            </w:pPr>
          </w:p>
        </w:tc>
      </w:tr>
      <w:tr>
        <w:trPr>
          <w:trHeight w:val="99"/>
        </w:trPr>
        <w:tc>
          <w:tcPr>
            <w:tcW w:w="8360" w:type="dxa"/>
            <w:vAlign w:val="bottom"/>
          </w:tcPr>
          <w:p>
            <w:pPr>
              <w:jc w:val="right"/>
              <w:ind w:right="8137"/>
              <w:spacing w:after="0" w:line="99" w:lineRule="exact"/>
              <w:rPr>
                <w:sz w:val="20"/>
                <w:szCs w:val="20"/>
                <w:color w:val="auto"/>
              </w:rPr>
            </w:pPr>
            <w:r>
              <w:rPr>
                <w:rFonts w:ascii="Arial" w:cs="Arial" w:eastAsia="Arial" w:hAnsi="Arial"/>
                <w:sz w:val="9"/>
                <w:szCs w:val="9"/>
                <w:color w:val="auto"/>
                <w:w w:val="79"/>
              </w:rPr>
              <w:t>2010</w:t>
            </w:r>
          </w:p>
        </w:tc>
        <w:tc>
          <w:tcPr>
            <w:tcW w:w="6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620"/>
              <w:spacing w:after="0" w:line="99" w:lineRule="exact"/>
              <w:rPr>
                <w:sz w:val="20"/>
                <w:szCs w:val="20"/>
                <w:color w:val="auto"/>
              </w:rPr>
            </w:pPr>
            <w:r>
              <w:rPr>
                <w:rFonts w:ascii="Arial" w:cs="Arial" w:eastAsia="Arial" w:hAnsi="Arial"/>
                <w:sz w:val="9"/>
                <w:szCs w:val="9"/>
                <w:color w:val="auto"/>
              </w:rPr>
              <w:t>1,716,675</w:t>
            </w:r>
          </w:p>
        </w:tc>
        <w:tc>
          <w:tcPr>
            <w:tcW w:w="102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26,624.8</w:t>
            </w:r>
          </w:p>
        </w:tc>
        <w:tc>
          <w:tcPr>
            <w:tcW w:w="38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99" w:lineRule="exact"/>
              <w:rPr>
                <w:sz w:val="20"/>
                <w:szCs w:val="20"/>
                <w:color w:val="auto"/>
              </w:rPr>
            </w:pPr>
            <w:r>
              <w:rPr>
                <w:rFonts w:ascii="Arial" w:cs="Arial" w:eastAsia="Arial" w:hAnsi="Arial"/>
                <w:sz w:val="9"/>
                <w:szCs w:val="9"/>
                <w:color w:val="auto"/>
              </w:rPr>
              <w:t>64.48</w:t>
            </w:r>
          </w:p>
        </w:tc>
        <w:tc>
          <w:tcPr>
            <w:tcW w:w="60" w:type="dxa"/>
            <w:vAlign w:val="bottom"/>
          </w:tcPr>
          <w:p>
            <w:pPr>
              <w:spacing w:after="0"/>
              <w:rPr>
                <w:sz w:val="8"/>
                <w:szCs w:val="8"/>
                <w:color w:val="auto"/>
              </w:rPr>
            </w:pPr>
          </w:p>
        </w:tc>
      </w:tr>
      <w:tr>
        <w:trPr>
          <w:trHeight w:val="99"/>
        </w:trPr>
        <w:tc>
          <w:tcPr>
            <w:tcW w:w="8360" w:type="dxa"/>
            <w:vAlign w:val="bottom"/>
            <w:shd w:val="clear" w:color="auto" w:fill="CCEEFF"/>
          </w:tcPr>
          <w:p>
            <w:pPr>
              <w:jc w:val="right"/>
              <w:ind w:right="8137"/>
              <w:spacing w:after="0" w:line="99" w:lineRule="exact"/>
              <w:rPr>
                <w:sz w:val="20"/>
                <w:szCs w:val="20"/>
                <w:color w:val="auto"/>
              </w:rPr>
            </w:pPr>
            <w:r>
              <w:rPr>
                <w:rFonts w:ascii="Arial" w:cs="Arial" w:eastAsia="Arial" w:hAnsi="Arial"/>
                <w:sz w:val="9"/>
                <w:szCs w:val="9"/>
                <w:color w:val="auto"/>
                <w:w w:val="79"/>
              </w:rPr>
              <w:t>2009</w:t>
            </w:r>
          </w:p>
        </w:tc>
        <w:tc>
          <w:tcPr>
            <w:tcW w:w="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620"/>
              <w:spacing w:after="0" w:line="99" w:lineRule="exact"/>
              <w:rPr>
                <w:sz w:val="20"/>
                <w:szCs w:val="20"/>
                <w:color w:val="auto"/>
              </w:rPr>
            </w:pPr>
            <w:r>
              <w:rPr>
                <w:rFonts w:ascii="Arial" w:cs="Arial" w:eastAsia="Arial" w:hAnsi="Arial"/>
                <w:sz w:val="9"/>
                <w:szCs w:val="9"/>
                <w:color w:val="auto"/>
              </w:rPr>
              <w:t>500,097</w:t>
            </w:r>
          </w:p>
        </w:tc>
        <w:tc>
          <w:tcPr>
            <w:tcW w:w="102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7,825.0</w:t>
            </w:r>
          </w:p>
        </w:tc>
        <w:tc>
          <w:tcPr>
            <w:tcW w:w="3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63.91</w:t>
            </w:r>
          </w:p>
        </w:tc>
        <w:tc>
          <w:tcPr>
            <w:tcW w:w="60" w:type="dxa"/>
            <w:vAlign w:val="bottom"/>
            <w:shd w:val="clear" w:color="auto" w:fill="CCEEFF"/>
          </w:tcPr>
          <w:p>
            <w:pPr>
              <w:spacing w:after="0"/>
              <w:rPr>
                <w:sz w:val="8"/>
                <w:szCs w:val="8"/>
                <w:color w:val="auto"/>
              </w:rPr>
            </w:pPr>
          </w:p>
        </w:tc>
      </w:tr>
    </w:tbl>
    <w:p>
      <w:pPr>
        <w:spacing w:after="0" w:line="4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Cash flow provided by operations was $6.2 billion in 2011, $5.5 billion in 2010 and $5.3 billion in 2009.</w:t>
      </w:r>
    </w:p>
    <w:p>
      <w:pPr>
        <w:spacing w:after="0" w:line="60" w:lineRule="exact"/>
        <w:rPr>
          <w:sz w:val="20"/>
          <w:szCs w:val="20"/>
          <w:color w:val="auto"/>
        </w:rPr>
      </w:pPr>
    </w:p>
    <w:p>
      <w:pPr>
        <w:ind w:left="800" w:right="60"/>
        <w:spacing w:after="0" w:line="268" w:lineRule="auto"/>
        <w:rPr>
          <w:sz w:val="20"/>
          <w:szCs w:val="20"/>
          <w:color w:val="auto"/>
        </w:rPr>
      </w:pPr>
      <w:r>
        <w:rPr>
          <w:rFonts w:ascii="Arial" w:cs="Arial" w:eastAsia="Arial" w:hAnsi="Arial"/>
          <w:sz w:val="12"/>
          <w:szCs w:val="12"/>
          <w:color w:val="auto"/>
        </w:rPr>
        <w:t>At times in recent periods, Schlumberger has experienced delays in payments from certain of its customers. Schlumberger operates in approximately 85 countries. At December 31, 2011, only four of those countries individually accounted for greater than 5% of Schlumberger’s accounts receivable balance of which only one, the United States, represented greater than 10%.</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Dividends paid during 2011, 2010 and 2009 were $1.30 billion, $1.04 billion and $1.01 billion, respectively.</w:t>
      </w:r>
    </w:p>
    <w:p>
      <w:pPr>
        <w:spacing w:after="0" w:line="60" w:lineRule="exact"/>
        <w:rPr>
          <w:sz w:val="20"/>
          <w:szCs w:val="20"/>
          <w:color w:val="auto"/>
        </w:rPr>
      </w:pPr>
    </w:p>
    <w:p>
      <w:pPr>
        <w:ind w:left="800" w:right="3900"/>
        <w:spacing w:after="0" w:line="510" w:lineRule="auto"/>
        <w:rPr>
          <w:sz w:val="20"/>
          <w:szCs w:val="20"/>
          <w:color w:val="auto"/>
        </w:rPr>
      </w:pPr>
      <w:r>
        <w:rPr>
          <w:rFonts w:ascii="Arial" w:cs="Arial" w:eastAsia="Arial" w:hAnsi="Arial"/>
          <w:sz w:val="9"/>
          <w:szCs w:val="9"/>
          <w:color w:val="auto"/>
        </w:rPr>
        <w:t>On January 19, 2012, Schlumberger announced that its Board of Directors had approved an increase in the quarterly dividend of 10%, to $0.275. On January 21, 2011, Schlumberger announced that its Board of Directors had approved an increase in the quarterly dividend of 19%, to $0.25.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9"/>
          <w:szCs w:val="9"/>
          <w:color w:val="auto"/>
        </w:rPr>
        <w:t>26</w:t>
      </w:r>
    </w:p>
    <w:p>
      <w:pPr>
        <w:sectPr>
          <w:pgSz w:w="11900" w:h="16838" w:orient="portrait"/>
          <w:cols w:equalWidth="0" w:num="1">
            <w:col w:w="11480"/>
          </w:cols>
          <w:pgMar w:left="220" w:top="354" w:right="199" w:bottom="1440" w:gutter="0" w:footer="0" w:header="0"/>
        </w:sectPr>
      </w:pPr>
    </w:p>
    <w:bookmarkStart w:id="26" w:name="page27"/>
    <w:bookmarkEnd w:id="26"/>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8"/>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Capital expenditures were $4.0 billion in 2011, $2.9 billion in 2010 and $2.4 billion in 2009. Capital expenditures are expected to approach $4.5 billion for the full year 2012.</w:t>
      </w:r>
    </w:p>
    <w:p>
      <w:pPr>
        <w:spacing w:after="0" w:line="60" w:lineRule="exact"/>
        <w:rPr>
          <w:sz w:val="20"/>
          <w:szCs w:val="20"/>
          <w:color w:val="auto"/>
        </w:rPr>
      </w:pPr>
    </w:p>
    <w:p>
      <w:pPr>
        <w:ind w:left="788" w:hanging="333"/>
        <w:spacing w:after="0" w:line="268" w:lineRule="auto"/>
        <w:rPr>
          <w:sz w:val="20"/>
          <w:szCs w:val="20"/>
          <w:color w:val="auto"/>
        </w:rPr>
      </w:pPr>
      <w:r>
        <w:rPr>
          <w:rFonts w:ascii="Arial" w:cs="Arial" w:eastAsia="Arial" w:hAnsi="Arial"/>
          <w:sz w:val="12"/>
          <w:szCs w:val="12"/>
          <w:color w:val="auto"/>
        </w:rPr>
        <w:t>—During 2011, 2010 and 2009 Schlumberger made contributions of $601 million, $868 million and $1.1 billion, respectively, to its postretirement benefit plans. The US pension plans were 87% funded at December 31, 2011 based on the projected benefit obligation. This compares to 95% funded at December 31, 2010.</w:t>
      </w:r>
    </w:p>
    <w:p>
      <w:pPr>
        <w:spacing w:after="0" w:line="34" w:lineRule="exact"/>
        <w:rPr>
          <w:sz w:val="20"/>
          <w:szCs w:val="20"/>
          <w:color w:val="auto"/>
        </w:rPr>
      </w:pPr>
    </w:p>
    <w:p>
      <w:pPr>
        <w:ind w:left="808" w:right="1020"/>
        <w:spacing w:after="0" w:line="375" w:lineRule="auto"/>
        <w:rPr>
          <w:sz w:val="20"/>
          <w:szCs w:val="20"/>
          <w:color w:val="auto"/>
        </w:rPr>
      </w:pPr>
      <w:r>
        <w:rPr>
          <w:rFonts w:ascii="Arial" w:cs="Arial" w:eastAsia="Arial" w:hAnsi="Arial"/>
          <w:sz w:val="11"/>
          <w:szCs w:val="11"/>
          <w:color w:val="auto"/>
        </w:rPr>
        <w:t>Schlumberger’s international defined benefit pension plans are a combined 88% funded at December 31, 2011 based on the projected benefit obligation. This compares to 92% funded at December 31, 2010. Schlumberger currently anticipates contributing approximately $600 million to its postretirement benefit plans in 2012, subject to market and business conditions.</w:t>
      </w:r>
    </w:p>
    <w:p>
      <w:pPr>
        <w:spacing w:after="0" w:line="1" w:lineRule="exact"/>
        <w:rPr>
          <w:sz w:val="20"/>
          <w:szCs w:val="20"/>
          <w:color w:val="auto"/>
        </w:rPr>
      </w:pPr>
    </w:p>
    <w:p>
      <w:pPr>
        <w:ind w:left="788" w:right="380" w:hanging="333"/>
        <w:spacing w:after="0" w:line="268" w:lineRule="auto"/>
        <w:rPr>
          <w:sz w:val="20"/>
          <w:szCs w:val="20"/>
          <w:color w:val="auto"/>
        </w:rPr>
      </w:pPr>
      <w:r>
        <w:rPr>
          <w:rFonts w:ascii="Arial" w:cs="Arial" w:eastAsia="Arial" w:hAnsi="Arial"/>
          <w:sz w:val="12"/>
          <w:szCs w:val="12"/>
          <w:color w:val="auto"/>
        </w:rPr>
        <w:t>—There were $321 million outstanding Series B debentures at December 31, 2009. During 2010, the remaining $320 million of the 2.125% Series B Convertible Debentures due June 1, 2023 were converted by holders into 8.0 million shares of Schlumberger common stock and the remaining $1 million of outstanding Series B debentures were redeemed for cash.</w:t>
      </w:r>
    </w:p>
    <w:p>
      <w:pPr>
        <w:spacing w:after="0" w:line="88" w:lineRule="exact"/>
        <w:rPr>
          <w:sz w:val="20"/>
          <w:szCs w:val="20"/>
          <w:color w:val="auto"/>
        </w:rPr>
      </w:pPr>
    </w:p>
    <w:p>
      <w:pPr>
        <w:jc w:val="both"/>
        <w:ind w:left="808" w:right="240"/>
        <w:spacing w:after="0" w:line="259" w:lineRule="auto"/>
        <w:rPr>
          <w:sz w:val="20"/>
          <w:szCs w:val="20"/>
          <w:color w:val="auto"/>
        </w:rPr>
      </w:pPr>
      <w:r>
        <w:rPr>
          <w:rFonts w:ascii="Arial" w:cs="Arial" w:eastAsia="Arial" w:hAnsi="Arial"/>
          <w:sz w:val="12"/>
          <w:szCs w:val="12"/>
          <w:color w:val="auto"/>
        </w:rPr>
        <w:t>As of December 31, 2011, Schlumberger had approximately $4.8 billion of cash and short-term investments on hand. Schlumberger had separate committed debt facility agreements aggregating $4.1 billion with commercial banks, of which $2.8 billion was available and unused as of December 31, 2011. This included $3.5 billion of committed facilities which support commercial paper borrowings in the United States and Europe. Schlumberger believes that these amounts are sufficient to meet future business requirements for at least the next 12 months.</w:t>
      </w:r>
    </w:p>
    <w:p>
      <w:pPr>
        <w:spacing w:after="0" w:line="94" w:lineRule="exact"/>
        <w:rPr>
          <w:sz w:val="20"/>
          <w:szCs w:val="20"/>
          <w:color w:val="auto"/>
        </w:rPr>
      </w:pPr>
    </w:p>
    <w:p>
      <w:pPr>
        <w:ind w:left="808"/>
        <w:spacing w:after="0"/>
        <w:rPr>
          <w:sz w:val="20"/>
          <w:szCs w:val="20"/>
          <w:color w:val="auto"/>
        </w:rPr>
      </w:pPr>
      <w:r>
        <w:rPr>
          <w:rFonts w:ascii="Arial" w:cs="Arial" w:eastAsia="Arial" w:hAnsi="Arial"/>
          <w:sz w:val="12"/>
          <w:szCs w:val="12"/>
          <w:color w:val="auto"/>
        </w:rPr>
        <w:t>Schlumberger had $0.9 billion of commercial paper outstanding as of December 31, 2011.</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u w:val="single" w:color="auto"/>
          <w:color w:val="auto"/>
        </w:rPr>
        <w:t>Summary of Major Contractual Obligations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90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ind w:left="140"/>
              <w:spacing w:after="0"/>
              <w:rPr>
                <w:sz w:val="20"/>
                <w:szCs w:val="20"/>
                <w:color w:val="auto"/>
              </w:rPr>
            </w:pPr>
            <w:r>
              <w:rPr>
                <w:rFonts w:ascii="Arial" w:cs="Arial" w:eastAsia="Arial" w:hAnsi="Arial"/>
                <w:sz w:val="9"/>
                <w:szCs w:val="9"/>
                <w:b w:val="1"/>
                <w:bCs w:val="1"/>
                <w:color w:val="auto"/>
                <w:w w:val="94"/>
              </w:rPr>
              <w:t>(Stated in millions)</w:t>
            </w: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9"/>
                <w:szCs w:val="9"/>
                <w:b w:val="1"/>
                <w:bCs w:val="1"/>
                <w:color w:val="auto"/>
                <w:w w:val="94"/>
              </w:rPr>
              <w:t>Payment Period</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734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Contractual Obligations</w:t>
            </w: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gridSpan w:val="2"/>
          </w:tcPr>
          <w:p>
            <w:pPr>
              <w:jc w:val="center"/>
              <w:ind w:right="80"/>
              <w:spacing w:after="0" w:line="79" w:lineRule="exact"/>
              <w:rPr>
                <w:sz w:val="20"/>
                <w:szCs w:val="20"/>
                <w:color w:val="auto"/>
              </w:rPr>
            </w:pPr>
            <w:r>
              <w:rPr>
                <w:rFonts w:ascii="Arial" w:cs="Arial" w:eastAsia="Arial" w:hAnsi="Arial"/>
                <w:sz w:val="9"/>
                <w:szCs w:val="9"/>
                <w:b w:val="1"/>
                <w:bCs w:val="1"/>
                <w:color w:val="auto"/>
                <w:w w:val="87"/>
              </w:rPr>
              <w:t>2013 –</w:t>
            </w: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gridSpan w:val="2"/>
          </w:tcPr>
          <w:p>
            <w:pPr>
              <w:jc w:val="center"/>
              <w:ind w:right="200"/>
              <w:spacing w:after="0" w:line="79" w:lineRule="exact"/>
              <w:rPr>
                <w:sz w:val="20"/>
                <w:szCs w:val="20"/>
                <w:color w:val="auto"/>
              </w:rPr>
            </w:pPr>
            <w:r>
              <w:rPr>
                <w:rFonts w:ascii="Arial" w:cs="Arial" w:eastAsia="Arial" w:hAnsi="Arial"/>
                <w:sz w:val="9"/>
                <w:szCs w:val="9"/>
                <w:b w:val="1"/>
                <w:bCs w:val="1"/>
                <w:color w:val="auto"/>
                <w:w w:val="94"/>
              </w:rPr>
              <w:t>2015 –</w:t>
            </w: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73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jc w:val="right"/>
              <w:spacing w:after="0" w:line="100" w:lineRule="exact"/>
              <w:rPr>
                <w:sz w:val="20"/>
                <w:szCs w:val="20"/>
                <w:color w:val="auto"/>
              </w:rPr>
            </w:pPr>
            <w:r>
              <w:rPr>
                <w:rFonts w:ascii="Arial" w:cs="Arial" w:eastAsia="Arial" w:hAnsi="Arial"/>
                <w:sz w:val="9"/>
                <w:szCs w:val="9"/>
                <w:b w:val="1"/>
                <w:bCs w:val="1"/>
                <w:color w:val="auto"/>
                <w:w w:val="83"/>
              </w:rPr>
              <w:t>Total</w:t>
            </w:r>
          </w:p>
        </w:tc>
        <w:tc>
          <w:tcPr>
            <w:tcW w:w="880" w:type="dxa"/>
            <w:vAlign w:val="bottom"/>
            <w:gridSpan w:val="2"/>
          </w:tcPr>
          <w:p>
            <w:pPr>
              <w:jc w:val="right"/>
              <w:spacing w:after="0" w:line="100" w:lineRule="exact"/>
              <w:rPr>
                <w:sz w:val="20"/>
                <w:szCs w:val="20"/>
                <w:color w:val="auto"/>
              </w:rPr>
            </w:pPr>
            <w:r>
              <w:rPr>
                <w:rFonts w:ascii="Arial" w:cs="Arial" w:eastAsia="Arial" w:hAnsi="Arial"/>
                <w:sz w:val="9"/>
                <w:szCs w:val="9"/>
                <w:b w:val="1"/>
                <w:bCs w:val="1"/>
                <w:color w:val="auto"/>
              </w:rPr>
              <w:t>2012</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jc w:val="right"/>
              <w:ind w:right="16"/>
              <w:spacing w:after="0" w:line="100" w:lineRule="exact"/>
              <w:rPr>
                <w:sz w:val="20"/>
                <w:szCs w:val="20"/>
                <w:color w:val="auto"/>
              </w:rPr>
            </w:pPr>
            <w:r>
              <w:rPr>
                <w:rFonts w:ascii="Arial" w:cs="Arial" w:eastAsia="Arial" w:hAnsi="Arial"/>
                <w:sz w:val="9"/>
                <w:szCs w:val="9"/>
                <w:b w:val="1"/>
                <w:bCs w:val="1"/>
                <w:color w:val="auto"/>
                <w:w w:val="99"/>
              </w:rPr>
              <w:t>2014</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ind w:right="36"/>
              <w:spacing w:after="0" w:line="100" w:lineRule="exact"/>
              <w:rPr>
                <w:sz w:val="20"/>
                <w:szCs w:val="20"/>
                <w:color w:val="auto"/>
              </w:rPr>
            </w:pPr>
            <w:r>
              <w:rPr>
                <w:rFonts w:ascii="Arial" w:cs="Arial" w:eastAsia="Arial" w:hAnsi="Arial"/>
                <w:sz w:val="9"/>
                <w:szCs w:val="9"/>
                <w:b w:val="1"/>
                <w:bCs w:val="1"/>
                <w:color w:val="auto"/>
                <w:w w:val="99"/>
              </w:rPr>
              <w:t>2016</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gridSpan w:val="3"/>
          </w:tcPr>
          <w:p>
            <w:pPr>
              <w:spacing w:after="0" w:line="100" w:lineRule="exact"/>
              <w:rPr>
                <w:sz w:val="20"/>
                <w:szCs w:val="20"/>
                <w:color w:val="auto"/>
              </w:rPr>
            </w:pPr>
            <w:r>
              <w:rPr>
                <w:rFonts w:ascii="Arial" w:cs="Arial" w:eastAsia="Arial" w:hAnsi="Arial"/>
                <w:sz w:val="9"/>
                <w:szCs w:val="9"/>
                <w:b w:val="1"/>
                <w:bCs w:val="1"/>
                <w:color w:val="auto"/>
              </w:rPr>
              <w:t>After 2016</w:t>
            </w:r>
          </w:p>
        </w:tc>
        <w:tc>
          <w:tcPr>
            <w:tcW w:w="0" w:type="dxa"/>
            <w:vAlign w:val="bottom"/>
          </w:tcPr>
          <w:p>
            <w:pPr>
              <w:spacing w:after="0"/>
              <w:rPr>
                <w:sz w:val="1"/>
                <w:szCs w:val="1"/>
                <w:color w:val="auto"/>
              </w:rPr>
            </w:pPr>
          </w:p>
        </w:tc>
      </w:tr>
      <w:tr>
        <w:trPr>
          <w:trHeight w:val="77"/>
        </w:trPr>
        <w:tc>
          <w:tcPr>
            <w:tcW w:w="900" w:type="dxa"/>
            <w:vAlign w:val="bottom"/>
            <w:tcBorders>
              <w:top w:val="single" w:sz="8" w:color="auto"/>
            </w:tcBorders>
            <w:shd w:val="clear" w:color="auto" w:fill="CCEEFF"/>
          </w:tcPr>
          <w:p>
            <w:pPr>
              <w:spacing w:after="0" w:line="78" w:lineRule="exact"/>
              <w:rPr>
                <w:sz w:val="20"/>
                <w:szCs w:val="20"/>
                <w:color w:val="auto"/>
              </w:rPr>
            </w:pPr>
            <w:r>
              <w:rPr>
                <w:rFonts w:ascii="Arial" w:cs="Arial" w:eastAsia="Arial" w:hAnsi="Arial"/>
                <w:sz w:val="6"/>
                <w:szCs w:val="6"/>
                <w:color w:val="auto"/>
              </w:rPr>
              <w:t xml:space="preserve">Debt </w:t>
            </w:r>
            <w:r>
              <w:rPr>
                <w:rFonts w:ascii="Arial" w:cs="Arial" w:eastAsia="Arial" w:hAnsi="Arial"/>
                <w:sz w:val="8"/>
                <w:szCs w:val="8"/>
                <w:color w:val="auto"/>
                <w:vertAlign w:val="superscript"/>
              </w:rPr>
              <w:t>(1)</w:t>
            </w:r>
          </w:p>
        </w:tc>
        <w:tc>
          <w:tcPr>
            <w:tcW w:w="64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9,933</w:t>
            </w:r>
          </w:p>
        </w:tc>
        <w:tc>
          <w:tcPr>
            <w:tcW w:w="620" w:type="dxa"/>
            <w:vAlign w:val="bottom"/>
            <w:tcBorders>
              <w:top w:val="single" w:sz="8" w:color="CCEEFF"/>
              <w:left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w w:val="97"/>
              </w:rPr>
              <w:t>$1,377</w:t>
            </w: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w w:val="88"/>
              </w:rPr>
              <w:t>$</w:t>
            </w:r>
          </w:p>
        </w:tc>
        <w:tc>
          <w:tcPr>
            <w:tcW w:w="28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2,773</w:t>
            </w:r>
          </w:p>
        </w:tc>
        <w:tc>
          <w:tcPr>
            <w:tcW w:w="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3,089</w:t>
            </w:r>
          </w:p>
        </w:tc>
        <w:tc>
          <w:tcPr>
            <w:tcW w:w="1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line="78" w:lineRule="exact"/>
              <w:rPr>
                <w:sz w:val="20"/>
                <w:szCs w:val="20"/>
                <w:color w:val="auto"/>
              </w:rPr>
            </w:pPr>
            <w:r>
              <w:rPr>
                <w:rFonts w:ascii="Arial" w:cs="Arial" w:eastAsia="Arial" w:hAnsi="Arial"/>
                <w:sz w:val="8"/>
                <w:szCs w:val="8"/>
                <w:color w:val="auto"/>
              </w:rPr>
              <w:t>$</w:t>
            </w:r>
          </w:p>
        </w:tc>
        <w:tc>
          <w:tcPr>
            <w:tcW w:w="30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2,694</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7340" w:type="dxa"/>
            <w:vAlign w:val="bottom"/>
            <w:gridSpan w:val="2"/>
          </w:tcPr>
          <w:p>
            <w:pPr>
              <w:spacing w:after="0" w:line="99" w:lineRule="exact"/>
              <w:rPr>
                <w:sz w:val="20"/>
                <w:szCs w:val="20"/>
                <w:color w:val="auto"/>
              </w:rPr>
            </w:pPr>
            <w:r>
              <w:rPr>
                <w:rFonts w:ascii="Arial" w:cs="Arial" w:eastAsia="Arial" w:hAnsi="Arial"/>
                <w:sz w:val="9"/>
                <w:szCs w:val="9"/>
                <w:color w:val="auto"/>
              </w:rPr>
              <w:t>Operating Leases</w:t>
            </w:r>
          </w:p>
        </w:tc>
        <w:tc>
          <w:tcPr>
            <w:tcW w:w="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1,429</w:t>
            </w:r>
          </w:p>
        </w:tc>
        <w:tc>
          <w:tcPr>
            <w:tcW w:w="880" w:type="dxa"/>
            <w:vAlign w:val="bottom"/>
            <w:gridSpan w:val="2"/>
          </w:tcPr>
          <w:p>
            <w:pPr>
              <w:jc w:val="right"/>
              <w:spacing w:after="0" w:line="99" w:lineRule="exact"/>
              <w:rPr>
                <w:sz w:val="20"/>
                <w:szCs w:val="20"/>
                <w:color w:val="auto"/>
              </w:rPr>
            </w:pPr>
            <w:r>
              <w:rPr>
                <w:rFonts w:ascii="Arial" w:cs="Arial" w:eastAsia="Arial" w:hAnsi="Arial"/>
                <w:sz w:val="9"/>
                <w:szCs w:val="9"/>
                <w:color w:val="auto"/>
              </w:rPr>
              <w:t>313</w:t>
            </w: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420</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255</w:t>
            </w: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441</w:t>
            </w:r>
          </w:p>
        </w:tc>
        <w:tc>
          <w:tcPr>
            <w:tcW w:w="0" w:type="dxa"/>
            <w:vAlign w:val="bottom"/>
          </w:tcPr>
          <w:p>
            <w:pPr>
              <w:spacing w:after="0"/>
              <w:rPr>
                <w:sz w:val="1"/>
                <w:szCs w:val="1"/>
                <w:color w:val="auto"/>
              </w:rPr>
            </w:pPr>
          </w:p>
        </w:tc>
      </w:tr>
      <w:tr>
        <w:trPr>
          <w:trHeight w:val="99"/>
        </w:trPr>
        <w:tc>
          <w:tcPr>
            <w:tcW w:w="7340" w:type="dxa"/>
            <w:vAlign w:val="bottom"/>
            <w:gridSpan w:val="2"/>
            <w:shd w:val="clear" w:color="auto" w:fill="CCEEFF"/>
          </w:tcPr>
          <w:p>
            <w:pPr>
              <w:spacing w:after="0" w:line="99" w:lineRule="exact"/>
              <w:rPr>
                <w:sz w:val="20"/>
                <w:szCs w:val="20"/>
                <w:color w:val="auto"/>
              </w:rPr>
            </w:pPr>
            <w:r>
              <w:rPr>
                <w:rFonts w:ascii="Arial" w:cs="Arial" w:eastAsia="Arial" w:hAnsi="Arial"/>
                <w:sz w:val="7"/>
                <w:szCs w:val="7"/>
                <w:color w:val="auto"/>
              </w:rPr>
              <w:t xml:space="preserve">Purchase Obligations </w:t>
            </w:r>
            <w:r>
              <w:rPr>
                <w:rFonts w:ascii="Arial" w:cs="Arial" w:eastAsia="Arial" w:hAnsi="Arial"/>
                <w:sz w:val="11"/>
                <w:szCs w:val="11"/>
                <w:color w:val="auto"/>
                <w:vertAlign w:val="superscript"/>
              </w:rPr>
              <w:t>(2)</w:t>
            </w: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3,707</w:t>
            </w:r>
          </w:p>
        </w:tc>
        <w:tc>
          <w:tcPr>
            <w:tcW w:w="880" w:type="dxa"/>
            <w:vAlign w:val="bottom"/>
            <w:tcBorders>
              <w:left w:val="single" w:sz="8" w:color="CCEEFF"/>
            </w:tcBorders>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2,647</w:t>
            </w: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386</w:t>
            </w: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298</w:t>
            </w: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376</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w w:val="87"/>
              </w:rPr>
              <w:t>15,069</w:t>
            </w:r>
          </w:p>
        </w:tc>
        <w:tc>
          <w:tcPr>
            <w:tcW w:w="620" w:type="dxa"/>
            <w:vAlign w:val="bottom"/>
          </w:tcPr>
          <w:p>
            <w:pPr>
              <w:spacing w:after="0"/>
              <w:rPr>
                <w:sz w:val="8"/>
                <w:szCs w:val="8"/>
                <w:color w:val="auto"/>
              </w:rPr>
            </w:pPr>
          </w:p>
        </w:tc>
        <w:tc>
          <w:tcPr>
            <w:tcW w:w="260" w:type="dxa"/>
            <w:vAlign w:val="bottom"/>
          </w:tcPr>
          <w:p>
            <w:pPr>
              <w:jc w:val="right"/>
              <w:spacing w:after="0" w:line="98" w:lineRule="exact"/>
              <w:rPr>
                <w:sz w:val="20"/>
                <w:szCs w:val="20"/>
                <w:color w:val="auto"/>
              </w:rPr>
            </w:pPr>
            <w:r>
              <w:rPr>
                <w:rFonts w:ascii="Arial" w:cs="Arial" w:eastAsia="Arial" w:hAnsi="Arial"/>
                <w:sz w:val="9"/>
                <w:szCs w:val="9"/>
                <w:u w:val="single" w:color="auto"/>
                <w:color w:val="auto"/>
                <w:w w:val="87"/>
              </w:rPr>
              <w:t>$</w:t>
            </w:r>
            <w:r>
              <w:rPr>
                <w:rFonts w:ascii="Arial" w:cs="Arial" w:eastAsia="Arial" w:hAnsi="Arial"/>
                <w:sz w:val="9"/>
                <w:szCs w:val="9"/>
                <w:color w:val="auto"/>
                <w:w w:val="87"/>
              </w:rPr>
              <w:t>4,337</w:t>
            </w:r>
          </w:p>
        </w:tc>
        <w:tc>
          <w:tcPr>
            <w:tcW w:w="60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3,579</w:t>
            </w:r>
          </w:p>
        </w:tc>
        <w:tc>
          <w:tcPr>
            <w:tcW w:w="62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3,642</w:t>
            </w:r>
          </w:p>
        </w:tc>
        <w:tc>
          <w:tcPr>
            <w:tcW w:w="580" w:type="dxa"/>
            <w:vAlign w:val="bottom"/>
            <w:gridSpan w:val="2"/>
          </w:tcPr>
          <w:p>
            <w:pPr>
              <w:ind w:left="460"/>
              <w:spacing w:after="0" w:line="98" w:lineRule="exact"/>
              <w:rPr>
                <w:sz w:val="20"/>
                <w:szCs w:val="20"/>
                <w:color w:val="auto"/>
              </w:rPr>
            </w:pPr>
            <w:r>
              <w:rPr>
                <w:rFonts w:ascii="Arial" w:cs="Arial" w:eastAsia="Arial" w:hAnsi="Arial"/>
                <w:sz w:val="9"/>
                <w:szCs w:val="9"/>
                <w:color w:val="auto"/>
              </w:rPr>
              <w:t>$</w:t>
            </w:r>
          </w:p>
        </w:tc>
        <w:tc>
          <w:tcPr>
            <w:tcW w:w="3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3,511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8" w:hanging="228"/>
        <w:spacing w:after="0" w:line="226" w:lineRule="auto"/>
        <w:tabs>
          <w:tab w:leader="none" w:pos="228" w:val="left"/>
        </w:tabs>
        <w:numPr>
          <w:ilvl w:val="0"/>
          <w:numId w:val="17"/>
        </w:numPr>
        <w:rPr>
          <w:rFonts w:ascii="Arial" w:cs="Arial" w:eastAsia="Arial" w:hAnsi="Arial"/>
          <w:sz w:val="15"/>
          <w:szCs w:val="15"/>
          <w:color w:val="auto"/>
          <w:vertAlign w:val="superscript"/>
        </w:rPr>
      </w:pPr>
      <w:r>
        <w:rPr>
          <w:rFonts w:ascii="Arial" w:cs="Arial" w:eastAsia="Arial" w:hAnsi="Arial"/>
          <w:sz w:val="9"/>
          <w:szCs w:val="9"/>
          <w:color w:val="auto"/>
        </w:rPr>
        <w:t>Excludes future payments for interest.</w:t>
      </w:r>
    </w:p>
    <w:p>
      <w:pPr>
        <w:ind w:left="228" w:right="20" w:hanging="228"/>
        <w:spacing w:after="0" w:line="194" w:lineRule="auto"/>
        <w:tabs>
          <w:tab w:leader="none" w:pos="228" w:val="left"/>
        </w:tabs>
        <w:numPr>
          <w:ilvl w:val="0"/>
          <w:numId w:val="17"/>
        </w:numPr>
        <w:rPr>
          <w:rFonts w:ascii="Arial" w:cs="Arial" w:eastAsia="Arial" w:hAnsi="Arial"/>
          <w:sz w:val="14"/>
          <w:szCs w:val="14"/>
          <w:color w:val="auto"/>
          <w:vertAlign w:val="superscript"/>
        </w:rPr>
      </w:pPr>
      <w:r>
        <w:rPr>
          <w:rFonts w:ascii="Arial" w:cs="Arial" w:eastAsia="Arial" w:hAnsi="Arial"/>
          <w:sz w:val="8"/>
          <w:szCs w:val="8"/>
          <w:color w:val="auto"/>
        </w:rPr>
        <w:t>Represents an estimate of contractual obligations in the ordinary course of business. Although these contractual obligations are considered enforceable and legally binding, the terms generally allow Schlumberger the option to reschedule and adjust its requirements based on business needs prior to the delivery of goods.</w:t>
      </w:r>
    </w:p>
    <w:p>
      <w:pPr>
        <w:spacing w:after="0" w:line="41" w:lineRule="exact"/>
        <w:rPr>
          <w:sz w:val="20"/>
          <w:szCs w:val="20"/>
          <w:color w:val="auto"/>
        </w:rPr>
      </w:pPr>
    </w:p>
    <w:p>
      <w:pPr>
        <w:ind w:left="228"/>
        <w:spacing w:after="0"/>
        <w:rPr>
          <w:sz w:val="20"/>
          <w:szCs w:val="20"/>
          <w:color w:val="auto"/>
        </w:rPr>
      </w:pPr>
      <w:r>
        <w:rPr>
          <w:rFonts w:ascii="Arial" w:cs="Arial" w:eastAsia="Arial" w:hAnsi="Arial"/>
          <w:sz w:val="12"/>
          <w:szCs w:val="12"/>
          <w:color w:val="auto"/>
        </w:rPr>
        <w:t xml:space="preserve">Refer to Note 18 </w:t>
      </w:r>
      <w:r>
        <w:rPr>
          <w:rFonts w:ascii="Arial" w:cs="Arial" w:eastAsia="Arial" w:hAnsi="Arial"/>
          <w:sz w:val="12"/>
          <w:szCs w:val="12"/>
          <w:i w:val="1"/>
          <w:iCs w:val="1"/>
          <w:color w:val="auto"/>
        </w:rPr>
        <w:t>Pension and Other Benefit Plans</w:t>
      </w:r>
      <w:r>
        <w:rPr>
          <w:rFonts w:ascii="Arial" w:cs="Arial" w:eastAsia="Arial" w:hAnsi="Arial"/>
          <w:sz w:val="12"/>
          <w:szCs w:val="12"/>
          <w:color w:val="auto"/>
        </w:rPr>
        <w:t xml:space="preserve"> of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 xml:space="preserve"> for details regarding Schlumberger’s pension and other postretirement benefit obligations.</w:t>
      </w:r>
    </w:p>
    <w:p>
      <w:pPr>
        <w:spacing w:after="0" w:line="10" w:lineRule="exact"/>
        <w:rPr>
          <w:sz w:val="20"/>
          <w:szCs w:val="20"/>
          <w:color w:val="auto"/>
        </w:rPr>
      </w:pPr>
    </w:p>
    <w:p>
      <w:pPr>
        <w:ind w:left="8" w:right="220" w:firstLine="230"/>
        <w:spacing w:after="0" w:line="250" w:lineRule="auto"/>
        <w:rPr>
          <w:sz w:val="20"/>
          <w:szCs w:val="20"/>
          <w:color w:val="auto"/>
        </w:rPr>
      </w:pPr>
      <w:r>
        <w:rPr>
          <w:rFonts w:ascii="Arial" w:cs="Arial" w:eastAsia="Arial" w:hAnsi="Arial"/>
          <w:sz w:val="12"/>
          <w:szCs w:val="12"/>
          <w:color w:val="auto"/>
        </w:rPr>
        <w:t xml:space="preserve">As discussed in Note 14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of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 xml:space="preserve">, included in the Schlumberger </w:t>
      </w:r>
      <w:r>
        <w:rPr>
          <w:rFonts w:ascii="Arial" w:cs="Arial" w:eastAsia="Arial" w:hAnsi="Arial"/>
          <w:sz w:val="12"/>
          <w:szCs w:val="12"/>
          <w:i w:val="1"/>
          <w:iCs w:val="1"/>
          <w:color w:val="auto"/>
        </w:rPr>
        <w:t>Consolidated Balance Sheet</w:t>
      </w:r>
      <w:r>
        <w:rPr>
          <w:rFonts w:ascii="Arial" w:cs="Arial" w:eastAsia="Arial" w:hAnsi="Arial"/>
          <w:sz w:val="12"/>
          <w:szCs w:val="12"/>
          <w:color w:val="auto"/>
        </w:rPr>
        <w:t xml:space="preserve"> at December 31, 2011 is approximately $1.35 billion of liabilities associated with uncertain tax positions in the over 100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1" w:lineRule="exact"/>
        <w:rPr>
          <w:sz w:val="20"/>
          <w:szCs w:val="20"/>
          <w:color w:val="auto"/>
        </w:rPr>
      </w:pPr>
    </w:p>
    <w:p>
      <w:pPr>
        <w:ind w:left="8" w:right="80" w:firstLine="230"/>
        <w:spacing w:after="0" w:line="261" w:lineRule="auto"/>
        <w:rPr>
          <w:sz w:val="20"/>
          <w:szCs w:val="20"/>
          <w:color w:val="auto"/>
        </w:rPr>
      </w:pPr>
      <w:r>
        <w:rPr>
          <w:rFonts w:ascii="Arial" w:cs="Arial" w:eastAsia="Arial" w:hAnsi="Arial"/>
          <w:sz w:val="12"/>
          <w:szCs w:val="12"/>
          <w:color w:val="auto"/>
        </w:rPr>
        <w:t>Schlumberger has outstanding letters of credit/guarantees which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82"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27</w:t>
      </w:r>
    </w:p>
    <w:p>
      <w:pPr>
        <w:sectPr>
          <w:pgSz w:w="11900" w:h="16838" w:orient="portrait"/>
          <w:cols w:equalWidth="0" w:num="1">
            <w:col w:w="11488"/>
          </w:cols>
          <w:pgMar w:left="212" w:top="354" w:right="199"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Critical Accounting Policies and Estimates</w:t>
      </w:r>
    </w:p>
    <w:p>
      <w:pPr>
        <w:spacing w:after="0" w:line="60" w:lineRule="exact"/>
        <w:rPr>
          <w:sz w:val="20"/>
          <w:szCs w:val="20"/>
          <w:color w:val="auto"/>
        </w:rPr>
      </w:pPr>
    </w:p>
    <w:p>
      <w:pPr>
        <w:ind w:right="100" w:firstLine="230"/>
        <w:spacing w:after="0" w:line="337" w:lineRule="auto"/>
        <w:rPr>
          <w:sz w:val="20"/>
          <w:szCs w:val="20"/>
          <w:color w:val="auto"/>
        </w:rPr>
      </w:pPr>
      <w:r>
        <w:rPr>
          <w:rFonts w:ascii="Arial" w:cs="Arial" w:eastAsia="Arial" w:hAnsi="Arial"/>
          <w:sz w:val="9"/>
          <w:szCs w:val="9"/>
          <w:color w:val="auto"/>
        </w:rPr>
        <w:t xml:space="preserve">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 A summary of all of Schlumberger’s significant accounting policies is included in Note 2 to the </w:t>
      </w:r>
      <w:r>
        <w:rPr>
          <w:rFonts w:ascii="Arial" w:cs="Arial" w:eastAsia="Arial" w:hAnsi="Arial"/>
          <w:sz w:val="9"/>
          <w:szCs w:val="9"/>
          <w:i w:val="1"/>
          <w:iCs w:val="1"/>
          <w:color w:val="auto"/>
        </w:rPr>
        <w:t>Consolidated Financial Statements</w:t>
      </w:r>
      <w:r>
        <w:rPr>
          <w:rFonts w:ascii="Arial" w:cs="Arial" w:eastAsia="Arial" w:hAnsi="Arial"/>
          <w:sz w:val="9"/>
          <w:szCs w:val="9"/>
          <w:color w:val="auto"/>
        </w:rPr>
        <w:t>.</w:t>
      </w:r>
    </w:p>
    <w:p>
      <w:pPr>
        <w:spacing w:after="0" w:line="1" w:lineRule="exact"/>
        <w:rPr>
          <w:sz w:val="20"/>
          <w:szCs w:val="20"/>
          <w:color w:val="auto"/>
        </w:rPr>
      </w:pPr>
    </w:p>
    <w:p>
      <w:pPr>
        <w:ind w:right="100" w:firstLine="230"/>
        <w:spacing w:after="0" w:line="261" w:lineRule="auto"/>
        <w:rPr>
          <w:sz w:val="20"/>
          <w:szCs w:val="20"/>
          <w:color w:val="auto"/>
        </w:rPr>
      </w:pPr>
      <w:r>
        <w:rPr>
          <w:rFonts w:ascii="Arial" w:cs="Arial" w:eastAsia="Arial" w:hAnsi="Arial"/>
          <w:sz w:val="12"/>
          <w:szCs w:val="12"/>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Multiclient Seismic Data</w:t>
      </w:r>
    </w:p>
    <w:p>
      <w:pPr>
        <w:spacing w:after="0" w:line="60" w:lineRule="exact"/>
        <w:rPr>
          <w:sz w:val="20"/>
          <w:szCs w:val="20"/>
          <w:color w:val="auto"/>
        </w:rPr>
      </w:pPr>
    </w:p>
    <w:p>
      <w:pPr>
        <w:ind w:firstLine="230"/>
        <w:spacing w:after="0" w:line="253" w:lineRule="auto"/>
        <w:rPr>
          <w:sz w:val="20"/>
          <w:szCs w:val="20"/>
          <w:color w:val="auto"/>
        </w:rPr>
      </w:pPr>
      <w:r>
        <w:rPr>
          <w:rFonts w:ascii="Arial" w:cs="Arial" w:eastAsia="Arial" w:hAnsi="Arial"/>
          <w:sz w:val="12"/>
          <w:szCs w:val="12"/>
          <w:color w:val="auto"/>
        </w:rPr>
        <w:t xml:space="preserve">The WesternGeco business capitalizes the costs associated with obtaining multiclient seismic data. The carrying value of the multiclient seismic data library at December 31, 2011 and 2010 was $425 million and $394 million, respectively. Such costs are charged to </w:t>
      </w:r>
      <w:r>
        <w:rPr>
          <w:rFonts w:ascii="Arial" w:cs="Arial" w:eastAsia="Arial" w:hAnsi="Arial"/>
          <w:sz w:val="12"/>
          <w:szCs w:val="12"/>
          <w:i w:val="1"/>
          <w:iCs w:val="1"/>
          <w:color w:val="auto"/>
        </w:rPr>
        <w:t>Cost of revenue</w:t>
      </w:r>
      <w:r>
        <w:rPr>
          <w:rFonts w:ascii="Arial" w:cs="Arial" w:eastAsia="Arial" w:hAnsi="Arial"/>
          <w:sz w:val="12"/>
          <w:szCs w:val="12"/>
          <w:color w:val="auto"/>
        </w:rPr>
        <w:t xml:space="preserve"> based on the percentage of the total costs to the estimated total revenue that Schlumberger expects to receive from the sales of such data. However, under no circumstances will an individual survey carry a net book value greater than a 4-year, straight-line amortized value.</w:t>
      </w:r>
    </w:p>
    <w:p>
      <w:pPr>
        <w:ind w:right="80" w:firstLine="230"/>
        <w:spacing w:after="0" w:line="357" w:lineRule="auto"/>
        <w:rPr>
          <w:sz w:val="20"/>
          <w:szCs w:val="20"/>
          <w:color w:val="auto"/>
        </w:rPr>
      </w:pPr>
      <w:r>
        <w:rPr>
          <w:rFonts w:ascii="Arial" w:cs="Arial" w:eastAsia="Arial" w:hAnsi="Arial"/>
          <w:sz w:val="9"/>
          <w:szCs w:val="9"/>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future cash flows are analyzed primarily based on two pools of surveys: United States and non-United States. The United States and non-United States pools were determined to be the most appropriate level at which to perform the impairment review based upon a number of factors including (i) various macroeconomic factors that influence the ability to successfully market surveys and (ii) the focus of the sales force and related costs. Certain larger surveys, which are typically prefunded by customers, are analyzed for impairment on a survey by survey basis.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Allowance for Doubtful Accounts</w:t>
      </w:r>
    </w:p>
    <w:p>
      <w:pPr>
        <w:spacing w:after="0" w:line="60" w:lineRule="exact"/>
        <w:rPr>
          <w:sz w:val="20"/>
          <w:szCs w:val="20"/>
          <w:color w:val="auto"/>
        </w:rPr>
      </w:pPr>
    </w:p>
    <w:p>
      <w:pPr>
        <w:ind w:right="120" w:firstLine="230"/>
        <w:spacing w:after="0" w:line="259" w:lineRule="auto"/>
        <w:rPr>
          <w:sz w:val="20"/>
          <w:szCs w:val="20"/>
          <w:color w:val="auto"/>
        </w:rPr>
      </w:pPr>
      <w:r>
        <w:rPr>
          <w:rFonts w:ascii="Arial" w:cs="Arial" w:eastAsia="Arial" w:hAnsi="Arial"/>
          <w:sz w:val="12"/>
          <w:szCs w:val="12"/>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Depending on how such potential issues are resolved, or if the financial condition of Schlumberger customers were to deteriorate resulting in an impairment of their ability to make payments, adjustments to the allowance may be required.</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Goodwill, Intangible Assets and Long-Lived Assets</w:t>
      </w:r>
    </w:p>
    <w:p>
      <w:pPr>
        <w:spacing w:after="0" w:line="60" w:lineRule="exact"/>
        <w:rPr>
          <w:sz w:val="20"/>
          <w:szCs w:val="20"/>
          <w:color w:val="auto"/>
        </w:rPr>
      </w:pPr>
    </w:p>
    <w:p>
      <w:pPr>
        <w:ind w:right="80" w:firstLine="230"/>
        <w:spacing w:after="0" w:line="254" w:lineRule="auto"/>
        <w:rPr>
          <w:sz w:val="20"/>
          <w:szCs w:val="20"/>
          <w:color w:val="auto"/>
        </w:rPr>
      </w:pPr>
      <w:r>
        <w:rPr>
          <w:rFonts w:ascii="Arial" w:cs="Arial" w:eastAsia="Arial" w:hAnsi="Arial"/>
          <w:sz w:val="12"/>
          <w:szCs w:val="12"/>
          <w:color w:val="auto"/>
        </w:rPr>
        <w:t>Schlumberger records the excess of purchase price over the fair value of the tangible and identifiable intangible assets acquired as goodwill. The goodwill relating to each of Schlumberger’s reporting units is tested for impairment annually as well as when an event, or change in circumstances, indicates an impairment may have occurred.</w:t>
      </w:r>
    </w:p>
    <w:p>
      <w:pPr>
        <w:ind w:right="40" w:firstLine="230"/>
        <w:spacing w:after="0" w:line="253" w:lineRule="auto"/>
        <w:rPr>
          <w:sz w:val="20"/>
          <w:szCs w:val="20"/>
          <w:color w:val="auto"/>
        </w:rPr>
      </w:pPr>
      <w:r>
        <w:rPr>
          <w:rFonts w:ascii="Arial" w:cs="Arial" w:eastAsia="Arial" w:hAnsi="Arial"/>
          <w:sz w:val="12"/>
          <w:szCs w:val="12"/>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of its reporting units is greater than its carrying amount. If, after assessing the totality of events or circumstances, Schlumberger determines it is more likely than not that the fair value of a reporting unit is greater than its carrying amount, then there is no need to perform any further testing. However, if Schlumberger concludes otherwise, then it is required to perform the first step of a two-step impairment test by calculating the fair value of the reporting unit and comparing the fair value with the carrying amount of the reporting unit. If the fair value of the reporting unit is less than its carrying value, an impairment loss is recorded to the extent that the implied fair value of the goodwill of the reporting unit is less than its carrying value.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28</w:t>
      </w:r>
    </w:p>
    <w:p>
      <w:pPr>
        <w:sectPr>
          <w:pgSz w:w="11900" w:h="16838" w:orient="portrait"/>
          <w:cols w:equalWidth="0" w:num="1">
            <w:col w:w="11460"/>
          </w:cols>
          <w:pgMar w:left="220" w:top="354" w:right="219"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Schlumberger has the option to bypass the qualitative assessment for any reporting unit in any period and proceed directly to performing the first step of the two-step goodwill impairment test.</w:t>
      </w:r>
    </w:p>
    <w:p>
      <w:pPr>
        <w:spacing w:after="0" w:line="10" w:lineRule="exact"/>
        <w:rPr>
          <w:sz w:val="20"/>
          <w:szCs w:val="20"/>
          <w:color w:val="auto"/>
        </w:rPr>
      </w:pPr>
    </w:p>
    <w:p>
      <w:pPr>
        <w:jc w:val="both"/>
        <w:ind w:right="60" w:firstLine="230"/>
        <w:spacing w:after="0" w:line="250" w:lineRule="auto"/>
        <w:rPr>
          <w:sz w:val="20"/>
          <w:szCs w:val="20"/>
          <w:color w:val="auto"/>
        </w:rPr>
      </w:pPr>
      <w:r>
        <w:rPr>
          <w:rFonts w:ascii="Arial" w:cs="Arial" w:eastAsia="Arial" w:hAnsi="Arial"/>
          <w:sz w:val="12"/>
          <w:szCs w:val="12"/>
          <w:color w:val="auto"/>
        </w:rPr>
        <w:t>For purposes of performing the impairment test for goodwill, Schlumberger’s four reporting units are the three Groups comprising Oilfield Services: Reservoir Characterization, Drilling and Reservoir Production, as well as the Distribution business segment. Schlumberger elected to perform the qualitative assessment described above for purposes of its annual goodwill impairment test. Based on this assessment, Schlumberger concluded that it was more likely than not that the fair value of each of its reporting units was greater than its carrying amount. Accordingly, no further testing was required.</w:t>
      </w:r>
    </w:p>
    <w:p>
      <w:pPr>
        <w:spacing w:after="0" w:line="1" w:lineRule="exact"/>
        <w:rPr>
          <w:sz w:val="20"/>
          <w:szCs w:val="20"/>
          <w:color w:val="auto"/>
        </w:rPr>
      </w:pPr>
    </w:p>
    <w:p>
      <w:pPr>
        <w:ind w:right="60" w:firstLine="230"/>
        <w:spacing w:after="0" w:line="281" w:lineRule="auto"/>
        <w:rPr>
          <w:sz w:val="20"/>
          <w:szCs w:val="20"/>
          <w:color w:val="auto"/>
        </w:rPr>
      </w:pPr>
      <w:r>
        <w:rPr>
          <w:rFonts w:ascii="Arial" w:cs="Arial" w:eastAsia="Arial" w:hAnsi="Arial"/>
          <w:sz w:val="11"/>
          <w:szCs w:val="11"/>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 Schlumberger evaluates the remaining useful life of its intangible assets on a periodic basis to determine whether events and circumstances warrant a revision to the remaining estimated amortization period.</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60" w:lineRule="exact"/>
        <w:rPr>
          <w:sz w:val="20"/>
          <w:szCs w:val="20"/>
          <w:color w:val="auto"/>
        </w:rPr>
      </w:pPr>
    </w:p>
    <w:p>
      <w:pPr>
        <w:ind w:firstLine="230"/>
        <w:spacing w:after="0" w:line="368" w:lineRule="auto"/>
        <w:rPr>
          <w:sz w:val="20"/>
          <w:szCs w:val="20"/>
          <w:color w:val="auto"/>
        </w:rPr>
      </w:pPr>
      <w:r>
        <w:rPr>
          <w:rFonts w:ascii="Arial" w:cs="Arial" w:eastAsia="Arial" w:hAnsi="Arial"/>
          <w:sz w:val="9"/>
          <w:szCs w:val="9"/>
          <w:color w:val="auto"/>
        </w:rPr>
        <w:t>Schlumberger conducts business in more than 100 tax jurisdictions, a number of which have tax laws that are not fully defined and are evolving. Schlumberger’s tax filings are subject to regular audits by the tax authorities.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period in which such resolution occurs.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Pension and Postretirement Benefits</w:t>
      </w:r>
    </w:p>
    <w:p>
      <w:pPr>
        <w:spacing w:after="0" w:line="60" w:lineRule="exact"/>
        <w:rPr>
          <w:sz w:val="20"/>
          <w:szCs w:val="20"/>
          <w:color w:val="auto"/>
        </w:rPr>
      </w:pPr>
    </w:p>
    <w:p>
      <w:pPr>
        <w:jc w:val="both"/>
        <w:ind w:right="240" w:firstLine="230"/>
        <w:spacing w:after="0" w:line="253" w:lineRule="auto"/>
        <w:rPr>
          <w:sz w:val="20"/>
          <w:szCs w:val="20"/>
          <w:color w:val="auto"/>
        </w:rPr>
      </w:pPr>
      <w:r>
        <w:rPr>
          <w:rFonts w:ascii="Arial" w:cs="Arial" w:eastAsia="Arial" w:hAnsi="Arial"/>
          <w:sz w:val="12"/>
          <w:szCs w:val="12"/>
          <w:color w:val="auto"/>
        </w:rPr>
        <w:t xml:space="preserve">Schlumberger’s pension and postretirement benefit obligations are described in detail in Note 18 to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 The obligations and related costs are calculated using actuarial concepts, which include critical assumptions related to the discount rate, expected rate of return on plan assets and medical cost trend rates. These assumptions are important elements of expense and/or liability measurement and are updated on an annual basis, or upon the occurrence of significant events.</w:t>
      </w:r>
    </w:p>
    <w:p>
      <w:pPr>
        <w:ind w:right="140" w:firstLine="230"/>
        <w:spacing w:after="0" w:line="261" w:lineRule="auto"/>
        <w:rPr>
          <w:sz w:val="20"/>
          <w:szCs w:val="20"/>
          <w:color w:val="auto"/>
        </w:rPr>
      </w:pPr>
      <w:r>
        <w:rPr>
          <w:rFonts w:ascii="Arial" w:cs="Arial" w:eastAsia="Arial" w:hAnsi="Arial"/>
          <w:sz w:val="12"/>
          <w:szCs w:val="12"/>
          <w:color w:val="auto"/>
        </w:rPr>
        <w:t>The discount rate Schlumberger uses reflects the prevailing market rate of a portfolio of high-quality debt instruments with maturities matching the expected timing of the payment of the benefit obligations. The following summarizes the discount rates utilized by Schlumberger for its various pension and postretirement benefit plans:</w:t>
      </w:r>
    </w:p>
    <w:p>
      <w:pPr>
        <w:spacing w:after="0" w:line="38" w:lineRule="exact"/>
        <w:rPr>
          <w:sz w:val="20"/>
          <w:szCs w:val="20"/>
          <w:color w:val="auto"/>
        </w:rPr>
      </w:pPr>
    </w:p>
    <w:p>
      <w:pPr>
        <w:ind w:left="900" w:hanging="449"/>
        <w:spacing w:after="0"/>
        <w:tabs>
          <w:tab w:leader="none" w:pos="9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discount rate utilized to determine the liability for Schlumberger’s United States pension plans and postretirement medical plans was 5.00% at December 31, 2011 and 5.50% at December 31, 2010.</w:t>
      </w:r>
    </w:p>
    <w:p>
      <w:pPr>
        <w:spacing w:after="0" w:line="71" w:lineRule="exact"/>
        <w:rPr>
          <w:rFonts w:ascii="Arial" w:cs="Arial" w:eastAsia="Arial" w:hAnsi="Arial"/>
          <w:sz w:val="11"/>
          <w:szCs w:val="11"/>
          <w:color w:val="auto"/>
        </w:rPr>
      </w:pPr>
    </w:p>
    <w:p>
      <w:pPr>
        <w:ind w:left="900" w:hanging="449"/>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weighted-average discount rate utilized to determine the liability for Schlumberger’s international pension plans was 4.95% at December 31, 2011 and 5.47% at December 31, 2010.</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weighted-average discount rate utilized to determine expense for Schlumberger’s United States pension plans and postretirement medical plans decreased from 6.00% in 2010 to 5.50% in 2011.</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weighted-average discount rate utilized to determine expense for Schlumberger’s international pension plans decreased from 5.89% in 2010 to 5.47% in 2011.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9"/>
          <w:szCs w:val="9"/>
          <w:color w:val="auto"/>
        </w:rPr>
        <w:t>29</w:t>
      </w:r>
    </w:p>
    <w:p>
      <w:pPr>
        <w:sectPr>
          <w:pgSz w:w="11900" w:h="16838" w:orient="portrait"/>
          <w:cols w:equalWidth="0" w:num="1">
            <w:col w:w="11460"/>
          </w:cols>
          <w:pgMar w:left="220" w:top="354" w:right="219"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 higher discount rate decreases the present value of benefit obligations and decreases expense.</w:t>
      </w:r>
    </w:p>
    <w:p>
      <w:pPr>
        <w:spacing w:after="0" w:line="10" w:lineRule="exact"/>
        <w:rPr>
          <w:sz w:val="20"/>
          <w:szCs w:val="20"/>
          <w:color w:val="auto"/>
        </w:rPr>
      </w:pPr>
    </w:p>
    <w:p>
      <w:pPr>
        <w:ind w:firstLine="230"/>
        <w:spacing w:after="0" w:line="250" w:lineRule="auto"/>
        <w:rPr>
          <w:sz w:val="20"/>
          <w:szCs w:val="20"/>
          <w:color w:val="auto"/>
        </w:rPr>
      </w:pPr>
      <w:r>
        <w:rPr>
          <w:rFonts w:ascii="Arial" w:cs="Arial" w:eastAsia="Arial" w:hAnsi="Arial"/>
          <w:sz w:val="12"/>
          <w:szCs w:val="12"/>
          <w:color w:val="auto"/>
        </w:rPr>
        <w:t>The expected rate of return for our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expectations regarding future rates of return for the investment portfolio, with consideration given to the distribution of investments by asset class and historical rates of return for each individual asset class. The expected rate of return on plan assets for the United States pension plans was 7.50% in 2011 and 8.50% in 2010. The weighted average expected rate of return on plan assets for the international plans was 7.50% in 2011 and 8.00% in 2010. A lower expected rate of return would increase pension expense.</w:t>
      </w:r>
    </w:p>
    <w:p>
      <w:pPr>
        <w:spacing w:after="0" w:line="1" w:lineRule="exact"/>
        <w:rPr>
          <w:sz w:val="20"/>
          <w:szCs w:val="20"/>
          <w:color w:val="auto"/>
        </w:rPr>
      </w:pPr>
    </w:p>
    <w:p>
      <w:pPr>
        <w:ind w:right="120" w:firstLine="230"/>
        <w:spacing w:after="0" w:line="250" w:lineRule="auto"/>
        <w:rPr>
          <w:sz w:val="20"/>
          <w:szCs w:val="20"/>
          <w:color w:val="auto"/>
        </w:rPr>
      </w:pPr>
      <w:r>
        <w:rPr>
          <w:rFonts w:ascii="Arial" w:cs="Arial" w:eastAsia="Arial" w:hAnsi="Arial"/>
          <w:sz w:val="12"/>
          <w:szCs w:val="12"/>
          <w:color w:val="auto"/>
        </w:rPr>
        <w:t>Schlumberger’s medical cost trend rate assumptions are developed based on historical cost data, the near-term outlook and an assessment of likely long-term trends. The overall medical cost trend rate assumption utilized to determine both the 2011 postretirement medical expense as well as the postretirement medical liability as of December 31, 2011 was 8% graded to 5% over the next six years.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illustrates the sensitivity to changes in certain assumptions, holding all other assumptions constant, for the United States and international pension plans: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4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b w:val="1"/>
                <w:bCs w:val="1"/>
                <w:color w:val="auto"/>
              </w:rPr>
              <w:t>(Stated in millions)</w:t>
            </w:r>
          </w:p>
        </w:tc>
      </w:tr>
      <w:tr>
        <w:trPr>
          <w:trHeight w:val="190"/>
        </w:trPr>
        <w:tc>
          <w:tcPr>
            <w:tcW w:w="84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Effect on 2011</w:t>
            </w:r>
          </w:p>
        </w:tc>
        <w:tc>
          <w:tcPr>
            <w:tcW w:w="1040" w:type="dxa"/>
            <w:vAlign w:val="bottom"/>
          </w:tcPr>
          <w:p>
            <w:pPr>
              <w:jc w:val="right"/>
              <w:spacing w:after="0"/>
              <w:rPr>
                <w:sz w:val="20"/>
                <w:szCs w:val="20"/>
                <w:color w:val="auto"/>
              </w:rPr>
            </w:pPr>
            <w:r>
              <w:rPr>
                <w:rFonts w:ascii="Arial" w:cs="Arial" w:eastAsia="Arial" w:hAnsi="Arial"/>
                <w:sz w:val="9"/>
                <w:szCs w:val="9"/>
                <w:b w:val="1"/>
                <w:bCs w:val="1"/>
                <w:color w:val="auto"/>
              </w:rPr>
              <w:t>Effect on</w:t>
            </w:r>
          </w:p>
        </w:tc>
      </w:tr>
      <w:tr>
        <w:trPr>
          <w:trHeight w:val="99"/>
        </w:trPr>
        <w:tc>
          <w:tcPr>
            <w:tcW w:w="8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36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Pretax Pension</w:t>
            </w:r>
          </w:p>
        </w:tc>
        <w:tc>
          <w:tcPr>
            <w:tcW w:w="10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Dec. 31, 2011</w:t>
            </w:r>
          </w:p>
        </w:tc>
      </w:tr>
      <w:tr>
        <w:trPr>
          <w:trHeight w:val="108"/>
        </w:trPr>
        <w:tc>
          <w:tcPr>
            <w:tcW w:w="9080" w:type="dxa"/>
            <w:vAlign w:val="bottom"/>
            <w:gridSpan w:val="2"/>
          </w:tcPr>
          <w:p>
            <w:pPr>
              <w:spacing w:after="0"/>
              <w:rPr>
                <w:sz w:val="20"/>
                <w:szCs w:val="20"/>
                <w:color w:val="auto"/>
              </w:rPr>
            </w:pPr>
            <w:r>
              <w:rPr>
                <w:rFonts w:ascii="Arial" w:cs="Arial" w:eastAsia="Arial" w:hAnsi="Arial"/>
                <w:sz w:val="9"/>
                <w:szCs w:val="9"/>
                <w:b w:val="1"/>
                <w:bCs w:val="1"/>
                <w:color w:val="auto"/>
              </w:rPr>
              <w:t>Change in Assumption</w:t>
            </w:r>
          </w:p>
        </w:tc>
        <w:tc>
          <w:tcPr>
            <w:tcW w:w="136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Expense</w:t>
            </w:r>
          </w:p>
        </w:tc>
        <w:tc>
          <w:tcPr>
            <w:tcW w:w="1040" w:type="dxa"/>
            <w:vAlign w:val="bottom"/>
          </w:tcPr>
          <w:p>
            <w:pPr>
              <w:jc w:val="right"/>
              <w:spacing w:after="0"/>
              <w:rPr>
                <w:sz w:val="20"/>
                <w:szCs w:val="20"/>
                <w:color w:val="auto"/>
              </w:rPr>
            </w:pPr>
            <w:r>
              <w:rPr>
                <w:rFonts w:ascii="Arial" w:cs="Arial" w:eastAsia="Arial" w:hAnsi="Arial"/>
                <w:sz w:val="9"/>
                <w:szCs w:val="9"/>
                <w:b w:val="1"/>
                <w:bCs w:val="1"/>
                <w:color w:val="auto"/>
              </w:rPr>
              <w:t>Liability</w:t>
            </w: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8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7"/>
        </w:trPr>
        <w:tc>
          <w:tcPr>
            <w:tcW w:w="9080" w:type="dxa"/>
            <w:vAlign w:val="bottom"/>
            <w:gridSpan w:val="2"/>
            <w:shd w:val="clear" w:color="auto" w:fill="CCEEFF"/>
          </w:tcPr>
          <w:p>
            <w:pPr>
              <w:spacing w:after="0" w:line="78" w:lineRule="exact"/>
              <w:rPr>
                <w:sz w:val="20"/>
                <w:szCs w:val="20"/>
                <w:color w:val="auto"/>
              </w:rPr>
            </w:pPr>
            <w:r>
              <w:rPr>
                <w:rFonts w:ascii="Arial" w:cs="Arial" w:eastAsia="Arial" w:hAnsi="Arial"/>
                <w:sz w:val="8"/>
                <w:szCs w:val="8"/>
                <w:color w:val="auto"/>
              </w:rPr>
              <w:t>25 basis point decrease in discount rate</w:t>
            </w:r>
          </w:p>
        </w:tc>
        <w:tc>
          <w:tcPr>
            <w:tcW w:w="1140" w:type="dxa"/>
            <w:vAlign w:val="bottom"/>
            <w:shd w:val="clear" w:color="auto" w:fill="CCEEFF"/>
          </w:tcPr>
          <w:p>
            <w:pPr>
              <w:jc w:val="right"/>
              <w:spacing w:after="0" w:line="78" w:lineRule="exact"/>
              <w:rPr>
                <w:sz w:val="20"/>
                <w:szCs w:val="20"/>
                <w:color w:val="auto"/>
              </w:rPr>
            </w:pPr>
            <w:r>
              <w:rPr>
                <w:rFonts w:ascii="Arial" w:cs="Arial" w:eastAsia="Arial" w:hAnsi="Arial"/>
                <w:sz w:val="8"/>
                <w:szCs w:val="8"/>
                <w:color w:val="auto"/>
              </w:rPr>
              <w:t>+$32</w:t>
            </w:r>
          </w:p>
        </w:tc>
        <w:tc>
          <w:tcPr>
            <w:tcW w:w="220" w:type="dxa"/>
            <w:vAlign w:val="bottom"/>
            <w:shd w:val="clear" w:color="auto" w:fill="CCEEFF"/>
          </w:tcPr>
          <w:p>
            <w:pPr>
              <w:spacing w:after="0"/>
              <w:rPr>
                <w:sz w:val="6"/>
                <w:szCs w:val="6"/>
                <w:color w:val="auto"/>
              </w:rPr>
            </w:pPr>
          </w:p>
        </w:tc>
        <w:tc>
          <w:tcPr>
            <w:tcW w:w="1040" w:type="dxa"/>
            <w:vAlign w:val="bottom"/>
            <w:shd w:val="clear" w:color="auto" w:fill="CCEEFF"/>
          </w:tcPr>
          <w:p>
            <w:pPr>
              <w:jc w:val="right"/>
              <w:spacing w:after="0" w:line="78" w:lineRule="exact"/>
              <w:rPr>
                <w:sz w:val="20"/>
                <w:szCs w:val="20"/>
                <w:color w:val="auto"/>
              </w:rPr>
            </w:pPr>
            <w:r>
              <w:rPr>
                <w:rFonts w:ascii="Arial" w:cs="Arial" w:eastAsia="Arial" w:hAnsi="Arial"/>
                <w:sz w:val="8"/>
                <w:szCs w:val="8"/>
                <w:color w:val="auto"/>
              </w:rPr>
              <w:t>+$299</w:t>
            </w:r>
          </w:p>
        </w:tc>
      </w:tr>
      <w:tr>
        <w:trPr>
          <w:trHeight w:val="99"/>
        </w:trPr>
        <w:tc>
          <w:tcPr>
            <w:tcW w:w="9080" w:type="dxa"/>
            <w:vAlign w:val="bottom"/>
            <w:gridSpan w:val="2"/>
          </w:tcPr>
          <w:p>
            <w:pPr>
              <w:spacing w:after="0" w:line="99" w:lineRule="exact"/>
              <w:rPr>
                <w:sz w:val="20"/>
                <w:szCs w:val="20"/>
                <w:color w:val="auto"/>
              </w:rPr>
            </w:pPr>
            <w:r>
              <w:rPr>
                <w:rFonts w:ascii="Arial" w:cs="Arial" w:eastAsia="Arial" w:hAnsi="Arial"/>
                <w:sz w:val="9"/>
                <w:szCs w:val="9"/>
                <w:color w:val="auto"/>
              </w:rPr>
              <w:t>25 basis point increase in discount rate</w:t>
            </w:r>
          </w:p>
        </w:tc>
        <w:tc>
          <w:tcPr>
            <w:tcW w:w="136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-$28</w:t>
            </w:r>
          </w:p>
        </w:tc>
        <w:tc>
          <w:tcPr>
            <w:tcW w:w="1040" w:type="dxa"/>
            <w:vAlign w:val="bottom"/>
          </w:tcPr>
          <w:p>
            <w:pPr>
              <w:jc w:val="right"/>
              <w:spacing w:after="0" w:line="99" w:lineRule="exact"/>
              <w:rPr>
                <w:sz w:val="20"/>
                <w:szCs w:val="20"/>
                <w:color w:val="auto"/>
              </w:rPr>
            </w:pPr>
            <w:r>
              <w:rPr>
                <w:rFonts w:ascii="Arial" w:cs="Arial" w:eastAsia="Arial" w:hAnsi="Arial"/>
                <w:sz w:val="9"/>
                <w:szCs w:val="9"/>
                <w:color w:val="auto"/>
              </w:rPr>
              <w:t>- $283</w:t>
            </w:r>
          </w:p>
        </w:tc>
      </w:tr>
      <w:tr>
        <w:trPr>
          <w:trHeight w:val="99"/>
        </w:trPr>
        <w:tc>
          <w:tcPr>
            <w:tcW w:w="90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25 basis point decrease in expected return on plan assets</w:t>
            </w:r>
          </w:p>
        </w:tc>
        <w:tc>
          <w:tcPr>
            <w:tcW w:w="13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+$15</w:t>
            </w:r>
          </w:p>
        </w:tc>
        <w:tc>
          <w:tcPr>
            <w:tcW w:w="10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r>
      <w:tr>
        <w:trPr>
          <w:trHeight w:val="114"/>
        </w:trPr>
        <w:tc>
          <w:tcPr>
            <w:tcW w:w="9080" w:type="dxa"/>
            <w:vAlign w:val="bottom"/>
            <w:gridSpan w:val="2"/>
          </w:tcPr>
          <w:p>
            <w:pPr>
              <w:spacing w:after="0"/>
              <w:rPr>
                <w:sz w:val="20"/>
                <w:szCs w:val="20"/>
                <w:color w:val="auto"/>
              </w:rPr>
            </w:pPr>
            <w:r>
              <w:rPr>
                <w:rFonts w:ascii="Arial" w:cs="Arial" w:eastAsia="Arial" w:hAnsi="Arial"/>
                <w:sz w:val="9"/>
                <w:szCs w:val="9"/>
                <w:color w:val="auto"/>
              </w:rPr>
              <w:t>25 basis point increase in expected return on plan assets</w:t>
            </w:r>
          </w:p>
        </w:tc>
        <w:tc>
          <w:tcPr>
            <w:tcW w:w="1360" w:type="dxa"/>
            <w:vAlign w:val="bottom"/>
            <w:gridSpan w:val="2"/>
          </w:tcPr>
          <w:p>
            <w:pPr>
              <w:jc w:val="right"/>
              <w:ind w:right="220"/>
              <w:spacing w:after="0"/>
              <w:rPr>
                <w:sz w:val="20"/>
                <w:szCs w:val="20"/>
                <w:color w:val="auto"/>
              </w:rPr>
            </w:pPr>
            <w:r>
              <w:rPr>
                <w:rFonts w:ascii="Arial" w:cs="Arial" w:eastAsia="Arial" w:hAnsi="Arial"/>
                <w:sz w:val="9"/>
                <w:szCs w:val="9"/>
                <w:color w:val="auto"/>
              </w:rPr>
              <w:t>-$15</w:t>
            </w:r>
          </w:p>
        </w:tc>
        <w:tc>
          <w:tcPr>
            <w:tcW w:w="1040" w:type="dxa"/>
            <w:vAlign w:val="bottom"/>
          </w:tcPr>
          <w:p>
            <w:pPr>
              <w:jc w:val="right"/>
              <w:spacing w:after="0"/>
              <w:rPr>
                <w:sz w:val="20"/>
                <w:szCs w:val="20"/>
                <w:color w:val="auto"/>
              </w:rPr>
            </w:pPr>
            <w:r>
              <w:rPr>
                <w:rFonts w:ascii="Arial" w:cs="Arial" w:eastAsia="Arial" w:hAnsi="Arial"/>
                <w:sz w:val="9"/>
                <w:szCs w:val="9"/>
                <w:color w:val="auto"/>
              </w:rPr>
              <w:t>–</w:t>
            </w:r>
          </w:p>
        </w:tc>
      </w:tr>
    </w:tbl>
    <w:p>
      <w:pPr>
        <w:spacing w:after="0" w:line="8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illustrates the sensitivity to changes in certain assumptions, holding all other assumptions constant, for Schlumberger’s United States postretirement medical plans: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b w:val="1"/>
                <w:bCs w:val="1"/>
                <w:color w:val="auto"/>
              </w:rPr>
              <w:t>(Stated in millions)</w:t>
            </w:r>
          </w:p>
        </w:tc>
      </w:tr>
      <w:tr>
        <w:trPr>
          <w:trHeight w:val="190"/>
        </w:trPr>
        <w:tc>
          <w:tcPr>
            <w:tcW w:w="8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Effect on 2011</w:t>
            </w:r>
          </w:p>
        </w:tc>
        <w:tc>
          <w:tcPr>
            <w:tcW w:w="1040" w:type="dxa"/>
            <w:vAlign w:val="bottom"/>
          </w:tcPr>
          <w:p>
            <w:pPr>
              <w:jc w:val="right"/>
              <w:spacing w:after="0"/>
              <w:rPr>
                <w:sz w:val="20"/>
                <w:szCs w:val="20"/>
                <w:color w:val="auto"/>
              </w:rPr>
            </w:pPr>
            <w:r>
              <w:rPr>
                <w:rFonts w:ascii="Arial" w:cs="Arial" w:eastAsia="Arial" w:hAnsi="Arial"/>
                <w:sz w:val="9"/>
                <w:szCs w:val="9"/>
                <w:b w:val="1"/>
                <w:bCs w:val="1"/>
                <w:color w:val="auto"/>
              </w:rPr>
              <w:t>Effect on</w:t>
            </w:r>
          </w:p>
        </w:tc>
      </w:tr>
      <w:tr>
        <w:trPr>
          <w:trHeight w:val="99"/>
        </w:trPr>
        <w:tc>
          <w:tcPr>
            <w:tcW w:w="8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94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Pretax Postretirement</w:t>
            </w:r>
          </w:p>
        </w:tc>
        <w:tc>
          <w:tcPr>
            <w:tcW w:w="10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Dec. 31, 2011</w:t>
            </w:r>
          </w:p>
        </w:tc>
      </w:tr>
      <w:tr>
        <w:trPr>
          <w:trHeight w:val="108"/>
        </w:trPr>
        <w:tc>
          <w:tcPr>
            <w:tcW w:w="3940" w:type="dxa"/>
            <w:vAlign w:val="bottom"/>
            <w:gridSpan w:val="2"/>
          </w:tcPr>
          <w:p>
            <w:pPr>
              <w:spacing w:after="0"/>
              <w:rPr>
                <w:sz w:val="20"/>
                <w:szCs w:val="20"/>
                <w:color w:val="auto"/>
              </w:rPr>
            </w:pPr>
            <w:r>
              <w:rPr>
                <w:rFonts w:ascii="Arial" w:cs="Arial" w:eastAsia="Arial" w:hAnsi="Arial"/>
                <w:sz w:val="9"/>
                <w:szCs w:val="9"/>
                <w:b w:val="1"/>
                <w:bCs w:val="1"/>
                <w:color w:val="auto"/>
              </w:rPr>
              <w:t>Change in Assumption</w:t>
            </w:r>
          </w:p>
        </w:tc>
        <w:tc>
          <w:tcPr>
            <w:tcW w:w="4560" w:type="dxa"/>
            <w:vAlign w:val="bottom"/>
          </w:tcPr>
          <w:p>
            <w:pPr>
              <w:spacing w:after="0"/>
              <w:rPr>
                <w:sz w:val="9"/>
                <w:szCs w:val="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Medical Expense</w:t>
            </w:r>
          </w:p>
        </w:tc>
        <w:tc>
          <w:tcPr>
            <w:tcW w:w="1040" w:type="dxa"/>
            <w:vAlign w:val="bottom"/>
          </w:tcPr>
          <w:p>
            <w:pPr>
              <w:jc w:val="right"/>
              <w:spacing w:after="0"/>
              <w:rPr>
                <w:sz w:val="20"/>
                <w:szCs w:val="20"/>
                <w:color w:val="auto"/>
              </w:rPr>
            </w:pPr>
            <w:r>
              <w:rPr>
                <w:rFonts w:ascii="Arial" w:cs="Arial" w:eastAsia="Arial" w:hAnsi="Arial"/>
                <w:sz w:val="9"/>
                <w:szCs w:val="9"/>
                <w:b w:val="1"/>
                <w:bCs w:val="1"/>
                <w:color w:val="auto"/>
              </w:rPr>
              <w:t>Liability</w:t>
            </w: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7"/>
        </w:trPr>
        <w:tc>
          <w:tcPr>
            <w:tcW w:w="3940" w:type="dxa"/>
            <w:vAlign w:val="bottom"/>
            <w:gridSpan w:val="2"/>
            <w:shd w:val="clear" w:color="auto" w:fill="CCEEFF"/>
          </w:tcPr>
          <w:p>
            <w:pPr>
              <w:spacing w:after="0" w:line="78" w:lineRule="exact"/>
              <w:rPr>
                <w:sz w:val="20"/>
                <w:szCs w:val="20"/>
                <w:color w:val="auto"/>
              </w:rPr>
            </w:pPr>
            <w:r>
              <w:rPr>
                <w:rFonts w:ascii="Arial" w:cs="Arial" w:eastAsia="Arial" w:hAnsi="Arial"/>
                <w:sz w:val="8"/>
                <w:szCs w:val="8"/>
                <w:color w:val="auto"/>
              </w:rPr>
              <w:t>25 basis point decrease in discount rate</w:t>
            </w:r>
          </w:p>
        </w:tc>
        <w:tc>
          <w:tcPr>
            <w:tcW w:w="4560" w:type="dxa"/>
            <w:vAlign w:val="bottom"/>
            <w:shd w:val="clear" w:color="auto" w:fill="CCEEFF"/>
          </w:tcPr>
          <w:p>
            <w:pPr>
              <w:spacing w:after="0"/>
              <w:rPr>
                <w:sz w:val="6"/>
                <w:szCs w:val="6"/>
                <w:color w:val="auto"/>
              </w:rPr>
            </w:pPr>
          </w:p>
        </w:tc>
        <w:tc>
          <w:tcPr>
            <w:tcW w:w="1720" w:type="dxa"/>
            <w:vAlign w:val="bottom"/>
            <w:shd w:val="clear" w:color="auto" w:fill="CCEEFF"/>
          </w:tcPr>
          <w:p>
            <w:pPr>
              <w:jc w:val="right"/>
              <w:spacing w:after="0" w:line="78" w:lineRule="exact"/>
              <w:rPr>
                <w:sz w:val="20"/>
                <w:szCs w:val="20"/>
                <w:color w:val="auto"/>
              </w:rPr>
            </w:pPr>
            <w:r>
              <w:rPr>
                <w:rFonts w:ascii="Arial" w:cs="Arial" w:eastAsia="Arial" w:hAnsi="Arial"/>
                <w:sz w:val="8"/>
                <w:szCs w:val="8"/>
                <w:color w:val="auto"/>
              </w:rPr>
              <w:t>+ $4</w:t>
            </w:r>
          </w:p>
        </w:tc>
        <w:tc>
          <w:tcPr>
            <w:tcW w:w="220" w:type="dxa"/>
            <w:vAlign w:val="bottom"/>
            <w:shd w:val="clear" w:color="auto" w:fill="CCEEFF"/>
          </w:tcPr>
          <w:p>
            <w:pPr>
              <w:spacing w:after="0"/>
              <w:rPr>
                <w:sz w:val="6"/>
                <w:szCs w:val="6"/>
                <w:color w:val="auto"/>
              </w:rPr>
            </w:pPr>
          </w:p>
        </w:tc>
        <w:tc>
          <w:tcPr>
            <w:tcW w:w="1040" w:type="dxa"/>
            <w:vAlign w:val="bottom"/>
            <w:shd w:val="clear" w:color="auto" w:fill="CCEEFF"/>
          </w:tcPr>
          <w:p>
            <w:pPr>
              <w:jc w:val="right"/>
              <w:spacing w:after="0" w:line="78" w:lineRule="exact"/>
              <w:rPr>
                <w:sz w:val="20"/>
                <w:szCs w:val="20"/>
                <w:color w:val="auto"/>
              </w:rPr>
            </w:pPr>
            <w:r>
              <w:rPr>
                <w:rFonts w:ascii="Arial" w:cs="Arial" w:eastAsia="Arial" w:hAnsi="Arial"/>
                <w:sz w:val="8"/>
                <w:szCs w:val="8"/>
                <w:color w:val="auto"/>
              </w:rPr>
              <w:t>+ $44</w:t>
            </w:r>
          </w:p>
        </w:tc>
      </w:tr>
      <w:tr>
        <w:trPr>
          <w:trHeight w:val="99"/>
        </w:trPr>
        <w:tc>
          <w:tcPr>
            <w:tcW w:w="3940" w:type="dxa"/>
            <w:vAlign w:val="bottom"/>
            <w:gridSpan w:val="2"/>
          </w:tcPr>
          <w:p>
            <w:pPr>
              <w:spacing w:after="0" w:line="99" w:lineRule="exact"/>
              <w:rPr>
                <w:sz w:val="20"/>
                <w:szCs w:val="20"/>
                <w:color w:val="auto"/>
              </w:rPr>
            </w:pPr>
            <w:r>
              <w:rPr>
                <w:rFonts w:ascii="Arial" w:cs="Arial" w:eastAsia="Arial" w:hAnsi="Arial"/>
                <w:sz w:val="9"/>
                <w:szCs w:val="9"/>
                <w:color w:val="auto"/>
              </w:rPr>
              <w:t>25 basis point increase in discount rate</w:t>
            </w:r>
          </w:p>
        </w:tc>
        <w:tc>
          <w:tcPr>
            <w:tcW w:w="6500" w:type="dxa"/>
            <w:vAlign w:val="bottom"/>
            <w:gridSpan w:val="3"/>
          </w:tcPr>
          <w:p>
            <w:pPr>
              <w:jc w:val="right"/>
              <w:ind w:right="220"/>
              <w:spacing w:after="0" w:line="99" w:lineRule="exact"/>
              <w:rPr>
                <w:sz w:val="20"/>
                <w:szCs w:val="20"/>
                <w:color w:val="auto"/>
              </w:rPr>
            </w:pPr>
            <w:r>
              <w:rPr>
                <w:rFonts w:ascii="Arial" w:cs="Arial" w:eastAsia="Arial" w:hAnsi="Arial"/>
                <w:sz w:val="9"/>
                <w:szCs w:val="9"/>
                <w:color w:val="auto"/>
              </w:rPr>
              <w:t>- $4</w:t>
            </w:r>
          </w:p>
        </w:tc>
        <w:tc>
          <w:tcPr>
            <w:tcW w:w="1040" w:type="dxa"/>
            <w:vAlign w:val="bottom"/>
          </w:tcPr>
          <w:p>
            <w:pPr>
              <w:jc w:val="right"/>
              <w:spacing w:after="0" w:line="99" w:lineRule="exact"/>
              <w:rPr>
                <w:sz w:val="20"/>
                <w:szCs w:val="20"/>
                <w:color w:val="auto"/>
              </w:rPr>
            </w:pPr>
            <w:r>
              <w:rPr>
                <w:rFonts w:ascii="Arial" w:cs="Arial" w:eastAsia="Arial" w:hAnsi="Arial"/>
                <w:sz w:val="9"/>
                <w:szCs w:val="9"/>
                <w:color w:val="auto"/>
              </w:rPr>
              <w:t>- $41</w:t>
            </w:r>
          </w:p>
        </w:tc>
      </w:tr>
      <w:tr>
        <w:trPr>
          <w:trHeight w:val="99"/>
        </w:trPr>
        <w:tc>
          <w:tcPr>
            <w:tcW w:w="394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100 basis point decrease per annum in medical cost trend rate</w:t>
            </w:r>
          </w:p>
        </w:tc>
        <w:tc>
          <w:tcPr>
            <w:tcW w:w="6500" w:type="dxa"/>
            <w:vAlign w:val="bottom"/>
            <w:gridSpan w:val="3"/>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 $24</w:t>
            </w:r>
          </w:p>
        </w:tc>
        <w:tc>
          <w:tcPr>
            <w:tcW w:w="10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 $160</w:t>
            </w:r>
          </w:p>
        </w:tc>
      </w:tr>
      <w:tr>
        <w:trPr>
          <w:trHeight w:val="114"/>
        </w:trPr>
        <w:tc>
          <w:tcPr>
            <w:tcW w:w="3940" w:type="dxa"/>
            <w:vAlign w:val="bottom"/>
            <w:gridSpan w:val="2"/>
          </w:tcPr>
          <w:p>
            <w:pPr>
              <w:spacing w:after="0"/>
              <w:rPr>
                <w:sz w:val="20"/>
                <w:szCs w:val="20"/>
                <w:color w:val="auto"/>
              </w:rPr>
            </w:pPr>
            <w:r>
              <w:rPr>
                <w:rFonts w:ascii="Arial" w:cs="Arial" w:eastAsia="Arial" w:hAnsi="Arial"/>
                <w:sz w:val="9"/>
                <w:szCs w:val="9"/>
                <w:color w:val="auto"/>
              </w:rPr>
              <w:t>100 basis point increase per annum in medical cost trend rate</w:t>
            </w:r>
          </w:p>
        </w:tc>
        <w:tc>
          <w:tcPr>
            <w:tcW w:w="6500" w:type="dxa"/>
            <w:vAlign w:val="bottom"/>
            <w:gridSpan w:val="3"/>
          </w:tcPr>
          <w:p>
            <w:pPr>
              <w:jc w:val="right"/>
              <w:ind w:right="220"/>
              <w:spacing w:after="0"/>
              <w:rPr>
                <w:sz w:val="20"/>
                <w:szCs w:val="20"/>
                <w:color w:val="auto"/>
              </w:rPr>
            </w:pPr>
            <w:r>
              <w:rPr>
                <w:rFonts w:ascii="Arial" w:cs="Arial" w:eastAsia="Arial" w:hAnsi="Arial"/>
                <w:sz w:val="9"/>
                <w:szCs w:val="9"/>
                <w:color w:val="auto"/>
              </w:rPr>
              <w:t>+ $28</w:t>
            </w:r>
          </w:p>
        </w:tc>
        <w:tc>
          <w:tcPr>
            <w:tcW w:w="1040" w:type="dxa"/>
            <w:vAlign w:val="bottom"/>
          </w:tcPr>
          <w:p>
            <w:pPr>
              <w:jc w:val="right"/>
              <w:spacing w:after="0"/>
              <w:rPr>
                <w:sz w:val="20"/>
                <w:szCs w:val="20"/>
                <w:color w:val="auto"/>
              </w:rPr>
            </w:pPr>
            <w:r>
              <w:rPr>
                <w:rFonts w:ascii="Arial" w:cs="Arial" w:eastAsia="Arial" w:hAnsi="Arial"/>
                <w:sz w:val="9"/>
                <w:szCs w:val="9"/>
                <w:color w:val="auto"/>
              </w:rPr>
              <w:t>+ $196</w:t>
            </w:r>
          </w:p>
        </w:tc>
      </w:tr>
      <w:tr>
        <w:trPr>
          <w:trHeight w:val="191"/>
        </w:trPr>
        <w:tc>
          <w:tcPr>
            <w:tcW w:w="8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560" w:type="dxa"/>
            <w:vAlign w:val="bottom"/>
          </w:tcPr>
          <w:p>
            <w:pPr>
              <w:jc w:val="right"/>
              <w:ind w:right="2675"/>
              <w:spacing w:after="0"/>
              <w:rPr>
                <w:sz w:val="20"/>
                <w:szCs w:val="20"/>
                <w:color w:val="auto"/>
              </w:rPr>
            </w:pPr>
            <w:r>
              <w:rPr>
                <w:rFonts w:ascii="Arial" w:cs="Arial" w:eastAsia="Arial" w:hAnsi="Arial"/>
                <w:sz w:val="9"/>
                <w:szCs w:val="9"/>
                <w:color w:val="auto"/>
              </w:rPr>
              <w:t>30</w:t>
            </w: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ectPr>
          <w:pgSz w:w="11900" w:h="16838" w:orient="portrait"/>
          <w:cols w:equalWidth="0" w:num="1">
            <w:col w:w="11480"/>
          </w:cols>
          <w:pgMar w:left="220" w:top="354" w:right="199"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7A.</w:t>
      </w:r>
      <w:r>
        <w:rPr>
          <w:sz w:val="20"/>
          <w:szCs w:val="20"/>
          <w:color w:val="auto"/>
        </w:rPr>
        <w:tab/>
      </w:r>
      <w:r>
        <w:rPr>
          <w:rFonts w:ascii="Arial" w:cs="Arial" w:eastAsia="Arial" w:hAnsi="Arial"/>
          <w:sz w:val="9"/>
          <w:szCs w:val="9"/>
          <w:b w:val="1"/>
          <w:bCs w:val="1"/>
          <w:u w:val="single" w:color="auto"/>
          <w:color w:val="auto"/>
        </w:rPr>
        <w:t>Quantitative and Qualitative Disclosures About Market Risk.</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Schlumberger is subject to market risks primarily associated with changes in foreign currency exchange rates, commodity prices and interest rates.</w:t>
      </w:r>
    </w:p>
    <w:p>
      <w:pPr>
        <w:spacing w:after="0" w:line="10" w:lineRule="exact"/>
        <w:rPr>
          <w:sz w:val="20"/>
          <w:szCs w:val="20"/>
          <w:color w:val="auto"/>
        </w:rPr>
      </w:pPr>
    </w:p>
    <w:p>
      <w:pPr>
        <w:ind w:right="180" w:firstLine="230"/>
        <w:spacing w:after="0" w:line="250" w:lineRule="auto"/>
        <w:rPr>
          <w:sz w:val="20"/>
          <w:szCs w:val="20"/>
          <w:color w:val="auto"/>
        </w:rPr>
      </w:pPr>
      <w:r>
        <w:rPr>
          <w:rFonts w:ascii="Arial" w:cs="Arial" w:eastAsia="Arial" w:hAnsi="Arial"/>
          <w:sz w:val="12"/>
          <w:szCs w:val="12"/>
          <w:color w:val="auto"/>
        </w:rPr>
        <w:t>As a multinational company, Schlumberger conducts business in approximately 85 countries. Schlumberger’s functional currency is primarily the US dollar, which is consistent with the oil and gas industry. Approximately 75% of Schlumberger’s revenue in 2011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1" w:lineRule="exact"/>
        <w:rPr>
          <w:sz w:val="20"/>
          <w:szCs w:val="20"/>
          <w:color w:val="auto"/>
        </w:rPr>
      </w:pPr>
    </w:p>
    <w:p>
      <w:pPr>
        <w:jc w:val="both"/>
        <w:ind w:right="440" w:firstLine="230"/>
        <w:spacing w:after="0" w:line="250" w:lineRule="auto"/>
        <w:rPr>
          <w:sz w:val="20"/>
          <w:szCs w:val="20"/>
          <w:color w:val="auto"/>
        </w:rPr>
      </w:pPr>
      <w:r>
        <w:rPr>
          <w:rFonts w:ascii="Arial" w:cs="Arial" w:eastAsia="Arial" w:hAnsi="Arial"/>
          <w:sz w:val="12"/>
          <w:szCs w:val="12"/>
          <w:color w:val="auto"/>
        </w:rPr>
        <w:t>A 5% increase or decrease in the average exchange rates of all the foreign currencies in 2011 would have changed revenue by approximately 1%. If the 2011 average exchange rates of the US dollar against all foreign currencies had strengthened by 5%, Schlumberger’s income from continuing operations would have increased by approximately 2%. Conversely, a 5% weakening of the US dollar average exchange rates would have decreased income from continuing operations by approximately 2%.</w:t>
      </w:r>
    </w:p>
    <w:p>
      <w:pPr>
        <w:spacing w:after="0" w:line="1" w:lineRule="exact"/>
        <w:rPr>
          <w:sz w:val="20"/>
          <w:szCs w:val="20"/>
          <w:color w:val="auto"/>
        </w:rPr>
      </w:pPr>
    </w:p>
    <w:p>
      <w:pPr>
        <w:ind w:right="20" w:firstLine="230"/>
        <w:spacing w:after="0" w:line="273" w:lineRule="auto"/>
        <w:rPr>
          <w:sz w:val="20"/>
          <w:szCs w:val="20"/>
          <w:color w:val="auto"/>
        </w:rPr>
      </w:pPr>
      <w:r>
        <w:rPr>
          <w:rFonts w:ascii="Arial" w:cs="Arial" w:eastAsia="Arial" w:hAnsi="Arial"/>
          <w:sz w:val="11"/>
          <w:szCs w:val="11"/>
          <w:color w:val="auto"/>
        </w:rPr>
        <w:t>Schlumberger maintains a foreign-currency risk management strategy that uses derivative instruments to protect its interests from unanticipated fluctuations in earnings and cash flows caused by volatility in currency exchange rates. Foreign currency forward contracts and foreign currency options provide a hedge against currency fluctuations either on monetary assets/liabilities denominated in other than a functional currency or on expenses.</w:t>
      </w:r>
    </w:p>
    <w:p>
      <w:pPr>
        <w:ind w:left="220" w:right="20"/>
        <w:spacing w:after="0" w:line="334" w:lineRule="auto"/>
        <w:rPr>
          <w:sz w:val="20"/>
          <w:szCs w:val="20"/>
          <w:color w:val="auto"/>
        </w:rPr>
      </w:pPr>
      <w:r>
        <w:rPr>
          <w:rFonts w:ascii="Arial" w:cs="Arial" w:eastAsia="Arial" w:hAnsi="Arial"/>
          <w:sz w:val="9"/>
          <w:szCs w:val="9"/>
          <w:color w:val="auto"/>
        </w:rPr>
        <w:t>At December 31, 2011, contracts were outstanding for the US dollar equivalent of $6.9 billion in various foreign currencies of which $3.9 billion relate to hedges of debt balances denominated in currencies other than the functional currency. Schlumberger is subject to the risk of market price fluctuations of certain commodities, such as metals and fuel. Schlumberger utilizes forward contracts to manage a small percentage of the price risk associated with forecasted metal</w:t>
      </w:r>
    </w:p>
    <w:p>
      <w:pPr>
        <w:spacing w:after="0"/>
        <w:rPr>
          <w:sz w:val="20"/>
          <w:szCs w:val="20"/>
          <w:color w:val="auto"/>
        </w:rPr>
      </w:pPr>
      <w:r>
        <w:rPr>
          <w:rFonts w:ascii="Arial" w:cs="Arial" w:eastAsia="Arial" w:hAnsi="Arial"/>
          <w:sz w:val="12"/>
          <w:szCs w:val="12"/>
          <w:color w:val="auto"/>
        </w:rPr>
        <w:t>purchases. As of December 31, 2011, $27 million of commodity forward contracts were outstanding.</w:t>
      </w:r>
    </w:p>
    <w:p>
      <w:pPr>
        <w:spacing w:after="0" w:line="6" w:lineRule="exact"/>
        <w:rPr>
          <w:sz w:val="20"/>
          <w:szCs w:val="20"/>
          <w:color w:val="auto"/>
        </w:rPr>
      </w:pPr>
    </w:p>
    <w:p>
      <w:pPr>
        <w:ind w:right="40" w:firstLine="230"/>
        <w:spacing w:after="0" w:line="273" w:lineRule="auto"/>
        <w:rPr>
          <w:sz w:val="20"/>
          <w:szCs w:val="20"/>
          <w:color w:val="auto"/>
        </w:rPr>
      </w:pPr>
      <w:r>
        <w:rPr>
          <w:rFonts w:ascii="Arial" w:cs="Arial" w:eastAsia="Arial" w:hAnsi="Arial"/>
          <w:sz w:val="11"/>
          <w:szCs w:val="11"/>
          <w:color w:val="auto"/>
        </w:rPr>
        <w:t>Schlumberger is subject to interest rate risk on its debt and its investment portfolio. Schlumberger maintains an interest rate risk management strategy that uses a mix of variable and fixed rate debt combined with its investment portfolio and interest rate swaps to mitigate the exposure to changes in interest rates. At December 31, 2011, Schlumberger had fixed rate debt aggregating approximately $8.0 billion and variable rate debt aggregating approximately $1.9 billion. Schlumberger has entered into interest rate swaps relating to $0.5 billion of its fixed rate debt as of December 31, 2011 whereby Schlumberger will receive interest at a fixed rate and pay interest at a variable rate.</w:t>
      </w:r>
    </w:p>
    <w:p>
      <w:pPr>
        <w:spacing w:after="0" w:line="1" w:lineRule="exact"/>
        <w:rPr>
          <w:sz w:val="20"/>
          <w:szCs w:val="20"/>
          <w:color w:val="auto"/>
        </w:rPr>
      </w:pPr>
    </w:p>
    <w:p>
      <w:pPr>
        <w:ind w:right="20" w:firstLine="230"/>
        <w:spacing w:after="0" w:line="250" w:lineRule="auto"/>
        <w:rPr>
          <w:sz w:val="20"/>
          <w:szCs w:val="20"/>
          <w:color w:val="auto"/>
        </w:rPr>
      </w:pPr>
      <w:r>
        <w:rPr>
          <w:rFonts w:ascii="Arial" w:cs="Arial" w:eastAsia="Arial" w:hAnsi="Arial"/>
          <w:sz w:val="12"/>
          <w:szCs w:val="12"/>
          <w:color w:val="auto"/>
        </w:rPr>
        <w:t xml:space="preserve">Schlumberger’s exposure to interest rate risk associated with its debt is also partially mitigated by its investment portfolio. Both </w:t>
      </w:r>
      <w:r>
        <w:rPr>
          <w:rFonts w:ascii="Arial" w:cs="Arial" w:eastAsia="Arial" w:hAnsi="Arial"/>
          <w:sz w:val="12"/>
          <w:szCs w:val="12"/>
          <w:i w:val="1"/>
          <w:iCs w:val="1"/>
          <w:color w:val="auto"/>
        </w:rPr>
        <w:t>Short-term investments</w:t>
      </w:r>
      <w:r>
        <w:rPr>
          <w:rFonts w:ascii="Arial" w:cs="Arial" w:eastAsia="Arial" w:hAnsi="Arial"/>
          <w:sz w:val="12"/>
          <w:szCs w:val="12"/>
          <w:color w:val="auto"/>
        </w:rPr>
        <w:t xml:space="preserve"> and </w:t>
      </w:r>
      <w:r>
        <w:rPr>
          <w:rFonts w:ascii="Arial" w:cs="Arial" w:eastAsia="Arial" w:hAnsi="Arial"/>
          <w:sz w:val="12"/>
          <w:szCs w:val="12"/>
          <w:i w:val="1"/>
          <w:iCs w:val="1"/>
          <w:color w:val="auto"/>
        </w:rPr>
        <w:t>Fixed income investments</w:t>
      </w:r>
      <w:r>
        <w:rPr>
          <w:rFonts w:ascii="Arial" w:cs="Arial" w:eastAsia="Arial" w:hAnsi="Arial"/>
          <w:sz w:val="12"/>
          <w:szCs w:val="12"/>
          <w:color w:val="auto"/>
        </w:rPr>
        <w:t xml:space="preserve">, </w:t>
      </w:r>
      <w:r>
        <w:rPr>
          <w:rFonts w:ascii="Arial" w:cs="Arial" w:eastAsia="Arial" w:hAnsi="Arial"/>
          <w:sz w:val="12"/>
          <w:szCs w:val="12"/>
          <w:i w:val="1"/>
          <w:iCs w:val="1"/>
          <w:color w:val="auto"/>
        </w:rPr>
        <w:t>held to maturity</w:t>
      </w:r>
      <w:r>
        <w:rPr>
          <w:rFonts w:ascii="Arial" w:cs="Arial" w:eastAsia="Arial" w:hAnsi="Arial"/>
          <w:sz w:val="12"/>
          <w:szCs w:val="12"/>
          <w:color w:val="auto"/>
        </w:rPr>
        <w:t>, which totaled approximately $3.4 billion at December 31, 2011, are comprised primarily of money market funds, eurodollar time deposits, certificates of deposit, commercial paper, euro notes and Eurobonds and are substantially all denominated in US dollars. The average return on investment was 1.1% in 2011.</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represents carrying amounts of Schlumberger’s debt at December 31, 2011 by year of maturity: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5"/>
          </w:tcPr>
          <w:p>
            <w:pPr>
              <w:jc w:val="right"/>
              <w:ind w:right="80"/>
              <w:spacing w:after="0"/>
              <w:rPr>
                <w:sz w:val="20"/>
                <w:szCs w:val="20"/>
                <w:color w:val="auto"/>
              </w:rPr>
            </w:pPr>
            <w:r>
              <w:rPr>
                <w:rFonts w:ascii="Arial" w:cs="Arial" w:eastAsia="Arial" w:hAnsi="Arial"/>
                <w:sz w:val="9"/>
                <w:szCs w:val="9"/>
                <w:b w:val="1"/>
                <w:bCs w:val="1"/>
                <w:color w:val="auto"/>
              </w:rPr>
              <w:t>(Stated in millions)</w:t>
            </w:r>
          </w:p>
        </w:tc>
      </w:tr>
      <w:tr>
        <w:trPr>
          <w:trHeight w:val="163"/>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9"/>
                <w:szCs w:val="9"/>
                <w:b w:val="1"/>
                <w:bCs w:val="1"/>
                <w:color w:val="auto"/>
                <w:w w:val="91"/>
              </w:rPr>
              <w:t>Expected Maturity Dates</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88"/>
        </w:trPr>
        <w:tc>
          <w:tcPr>
            <w:tcW w:w="20" w:type="dxa"/>
            <w:vAlign w:val="bottom"/>
          </w:tcPr>
          <w:p>
            <w:pPr>
              <w:spacing w:after="0"/>
              <w:rPr>
                <w:sz w:val="7"/>
                <w:szCs w:val="7"/>
                <w:color w:val="auto"/>
              </w:rPr>
            </w:pPr>
          </w:p>
        </w:tc>
        <w:tc>
          <w:tcPr>
            <w:tcW w:w="6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jc w:val="right"/>
              <w:spacing w:after="0" w:line="88" w:lineRule="exact"/>
              <w:rPr>
                <w:sz w:val="20"/>
                <w:szCs w:val="20"/>
                <w:color w:val="auto"/>
              </w:rPr>
            </w:pPr>
            <w:r>
              <w:rPr>
                <w:rFonts w:ascii="Arial" w:cs="Arial" w:eastAsia="Arial" w:hAnsi="Arial"/>
                <w:sz w:val="9"/>
                <w:szCs w:val="9"/>
                <w:b w:val="1"/>
                <w:bCs w:val="1"/>
                <w:color w:val="auto"/>
              </w:rPr>
              <w:t>2012</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jc w:val="right"/>
              <w:spacing w:after="0" w:line="88" w:lineRule="exact"/>
              <w:rPr>
                <w:sz w:val="20"/>
                <w:szCs w:val="20"/>
                <w:color w:val="auto"/>
              </w:rPr>
            </w:pPr>
            <w:r>
              <w:rPr>
                <w:rFonts w:ascii="Arial" w:cs="Arial" w:eastAsia="Arial" w:hAnsi="Arial"/>
                <w:sz w:val="9"/>
                <w:szCs w:val="9"/>
                <w:b w:val="1"/>
                <w:bCs w:val="1"/>
                <w:color w:val="auto"/>
              </w:rPr>
              <w:t>2013</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gridSpan w:val="2"/>
          </w:tcPr>
          <w:p>
            <w:pPr>
              <w:jc w:val="right"/>
              <w:ind w:right="20"/>
              <w:spacing w:after="0" w:line="88" w:lineRule="exact"/>
              <w:rPr>
                <w:sz w:val="20"/>
                <w:szCs w:val="20"/>
                <w:color w:val="auto"/>
              </w:rPr>
            </w:pPr>
            <w:r>
              <w:rPr>
                <w:rFonts w:ascii="Arial" w:cs="Arial" w:eastAsia="Arial" w:hAnsi="Arial"/>
                <w:sz w:val="9"/>
                <w:szCs w:val="9"/>
                <w:b w:val="1"/>
                <w:bCs w:val="1"/>
                <w:color w:val="auto"/>
              </w:rPr>
              <w:t>2014</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jc w:val="right"/>
              <w:spacing w:after="0" w:line="88" w:lineRule="exact"/>
              <w:rPr>
                <w:sz w:val="20"/>
                <w:szCs w:val="20"/>
                <w:color w:val="auto"/>
              </w:rPr>
            </w:pPr>
            <w:r>
              <w:rPr>
                <w:rFonts w:ascii="Arial" w:cs="Arial" w:eastAsia="Arial" w:hAnsi="Arial"/>
                <w:sz w:val="9"/>
                <w:szCs w:val="9"/>
                <w:b w:val="1"/>
                <w:bCs w:val="1"/>
                <w:color w:val="auto"/>
              </w:rPr>
              <w:t>2015</w:t>
            </w: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9"/>
                <w:szCs w:val="9"/>
                <w:b w:val="1"/>
                <w:bCs w:val="1"/>
                <w:color w:val="auto"/>
              </w:rPr>
              <w:t>2016</w:t>
            </w: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2021</w:t>
            </w:r>
          </w:p>
        </w:tc>
        <w:tc>
          <w:tcPr>
            <w:tcW w:w="140" w:type="dxa"/>
            <w:vAlign w:val="bottom"/>
          </w:tcPr>
          <w:p>
            <w:pPr>
              <w:spacing w:after="0"/>
              <w:rPr>
                <w:sz w:val="7"/>
                <w:szCs w:val="7"/>
                <w:color w:val="auto"/>
              </w:rPr>
            </w:pPr>
          </w:p>
        </w:tc>
        <w:tc>
          <w:tcPr>
            <w:tcW w:w="280" w:type="dxa"/>
            <w:vAlign w:val="bottom"/>
          </w:tcPr>
          <w:p>
            <w:pPr>
              <w:jc w:val="right"/>
              <w:spacing w:after="0" w:line="88" w:lineRule="exact"/>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7"/>
                <w:szCs w:val="7"/>
                <w:color w:val="auto"/>
              </w:rPr>
            </w:pPr>
          </w:p>
        </w:tc>
      </w:tr>
      <w:tr>
        <w:trPr>
          <w:trHeight w:val="79"/>
        </w:trPr>
        <w:tc>
          <w:tcPr>
            <w:tcW w:w="6880" w:type="dxa"/>
            <w:vAlign w:val="bottom"/>
            <w:tcBorders>
              <w:top w:val="single" w:sz="8" w:color="CCEEFF"/>
            </w:tcBorders>
            <w:gridSpan w:val="2"/>
            <w:shd w:val="clear" w:color="auto" w:fill="CCEEFF"/>
          </w:tcPr>
          <w:p>
            <w:pPr>
              <w:spacing w:after="0" w:line="79" w:lineRule="exact"/>
              <w:rPr>
                <w:sz w:val="20"/>
                <w:szCs w:val="20"/>
                <w:color w:val="auto"/>
              </w:rPr>
            </w:pPr>
            <w:r>
              <w:rPr>
                <w:rFonts w:ascii="Arial" w:cs="Arial" w:eastAsia="Arial" w:hAnsi="Arial"/>
                <w:sz w:val="9"/>
                <w:szCs w:val="9"/>
                <w:b w:val="1"/>
                <w:bCs w:val="1"/>
                <w:color w:val="auto"/>
              </w:rPr>
              <w:t>Fixed rate debt</w:t>
            </w:r>
          </w:p>
        </w:tc>
        <w:tc>
          <w:tcPr>
            <w:tcW w:w="10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99"/>
        </w:trPr>
        <w:tc>
          <w:tcPr>
            <w:tcW w:w="6880" w:type="dxa"/>
            <w:vAlign w:val="bottom"/>
            <w:gridSpan w:val="2"/>
          </w:tcPr>
          <w:p>
            <w:pPr>
              <w:spacing w:after="0" w:line="99" w:lineRule="exact"/>
              <w:rPr>
                <w:sz w:val="20"/>
                <w:szCs w:val="20"/>
                <w:color w:val="auto"/>
              </w:rPr>
            </w:pPr>
            <w:r>
              <w:rPr>
                <w:rFonts w:ascii="Arial" w:cs="Arial" w:eastAsia="Arial" w:hAnsi="Arial"/>
                <w:sz w:val="9"/>
                <w:szCs w:val="9"/>
                <w:color w:val="auto"/>
              </w:rPr>
              <w:t>5.25% Guaranteed Notes</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gridSpan w:val="2"/>
          </w:tcPr>
          <w:p>
            <w:pPr>
              <w:jc w:val="right"/>
              <w:ind w:right="15"/>
              <w:spacing w:after="0" w:line="99"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649</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jc w:val="right"/>
              <w:ind w:right="35"/>
              <w:spacing w:after="0" w:line="99" w:lineRule="exact"/>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649</w:t>
            </w:r>
          </w:p>
        </w:tc>
        <w:tc>
          <w:tcPr>
            <w:tcW w:w="80" w:type="dxa"/>
            <w:vAlign w:val="bottom"/>
          </w:tcPr>
          <w:p>
            <w:pPr>
              <w:spacing w:after="0"/>
              <w:rPr>
                <w:sz w:val="8"/>
                <w:szCs w:val="8"/>
                <w:color w:val="auto"/>
              </w:rPr>
            </w:pPr>
          </w:p>
        </w:tc>
      </w:tr>
      <w:tr>
        <w:trPr>
          <w:trHeight w:val="99"/>
        </w:trPr>
        <w:tc>
          <w:tcPr>
            <w:tcW w:w="68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3.00% Guaranteed Notes</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458</w:t>
            </w: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458</w:t>
            </w:r>
          </w:p>
        </w:tc>
        <w:tc>
          <w:tcPr>
            <w:tcW w:w="80" w:type="dxa"/>
            <w:vAlign w:val="bottom"/>
            <w:shd w:val="clear" w:color="auto" w:fill="CCEEFF"/>
          </w:tcPr>
          <w:p>
            <w:pPr>
              <w:spacing w:after="0"/>
              <w:rPr>
                <w:sz w:val="8"/>
                <w:szCs w:val="8"/>
                <w:color w:val="auto"/>
              </w:rPr>
            </w:pPr>
          </w:p>
        </w:tc>
      </w:tr>
      <w:tr>
        <w:trPr>
          <w:trHeight w:val="99"/>
        </w:trPr>
        <w:tc>
          <w:tcPr>
            <w:tcW w:w="6880" w:type="dxa"/>
            <w:vAlign w:val="bottom"/>
            <w:gridSpan w:val="2"/>
          </w:tcPr>
          <w:p>
            <w:pPr>
              <w:spacing w:after="0" w:line="99" w:lineRule="exact"/>
              <w:rPr>
                <w:sz w:val="20"/>
                <w:szCs w:val="20"/>
                <w:color w:val="auto"/>
              </w:rPr>
            </w:pPr>
            <w:r>
              <w:rPr>
                <w:rFonts w:ascii="Arial" w:cs="Arial" w:eastAsia="Arial" w:hAnsi="Arial"/>
                <w:sz w:val="9"/>
                <w:szCs w:val="9"/>
                <w:color w:val="auto"/>
              </w:rPr>
              <w:t>2.75% Guaranteed Notes</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gridSpan w:val="2"/>
          </w:tcPr>
          <w:p>
            <w:pPr>
              <w:jc w:val="right"/>
              <w:ind w:right="57"/>
              <w:spacing w:after="0" w:line="99" w:lineRule="exact"/>
              <w:rPr>
                <w:sz w:val="20"/>
                <w:szCs w:val="20"/>
                <w:color w:val="auto"/>
              </w:rPr>
            </w:pPr>
            <w:r>
              <w:rPr>
                <w:rFonts w:ascii="Arial" w:cs="Arial" w:eastAsia="Arial" w:hAnsi="Arial"/>
                <w:sz w:val="9"/>
                <w:szCs w:val="9"/>
                <w:color w:val="auto"/>
              </w:rPr>
              <w:t>$</w:t>
            </w:r>
          </w:p>
        </w:tc>
        <w:tc>
          <w:tcPr>
            <w:tcW w:w="30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1,290</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1,290</w:t>
            </w:r>
          </w:p>
        </w:tc>
        <w:tc>
          <w:tcPr>
            <w:tcW w:w="80" w:type="dxa"/>
            <w:vAlign w:val="bottom"/>
          </w:tcPr>
          <w:p>
            <w:pPr>
              <w:spacing w:after="0"/>
              <w:rPr>
                <w:sz w:val="8"/>
                <w:szCs w:val="8"/>
                <w:color w:val="auto"/>
              </w:rPr>
            </w:pPr>
          </w:p>
        </w:tc>
      </w:tr>
      <w:tr>
        <w:trPr>
          <w:trHeight w:val="99"/>
        </w:trPr>
        <w:tc>
          <w:tcPr>
            <w:tcW w:w="68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4.50% Guaranteed Notes</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57"/>
              <w:spacing w:after="0" w:line="99"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1,297</w:t>
            </w: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1,297</w:t>
            </w:r>
          </w:p>
        </w:tc>
        <w:tc>
          <w:tcPr>
            <w:tcW w:w="80" w:type="dxa"/>
            <w:vAlign w:val="bottom"/>
            <w:shd w:val="clear" w:color="auto" w:fill="CCEEFF"/>
          </w:tcPr>
          <w:p>
            <w:pPr>
              <w:spacing w:after="0"/>
              <w:rPr>
                <w:sz w:val="8"/>
                <w:szCs w:val="8"/>
                <w:color w:val="auto"/>
              </w:rPr>
            </w:pPr>
          </w:p>
        </w:tc>
      </w:tr>
      <w:tr>
        <w:trPr>
          <w:trHeight w:val="99"/>
        </w:trPr>
        <w:tc>
          <w:tcPr>
            <w:tcW w:w="6880" w:type="dxa"/>
            <w:vAlign w:val="bottom"/>
            <w:gridSpan w:val="2"/>
          </w:tcPr>
          <w:p>
            <w:pPr>
              <w:spacing w:after="0" w:line="99" w:lineRule="exact"/>
              <w:rPr>
                <w:sz w:val="20"/>
                <w:szCs w:val="20"/>
                <w:color w:val="auto"/>
              </w:rPr>
            </w:pPr>
            <w:r>
              <w:rPr>
                <w:rFonts w:ascii="Arial" w:cs="Arial" w:eastAsia="Arial" w:hAnsi="Arial"/>
                <w:sz w:val="9"/>
                <w:szCs w:val="9"/>
                <w:color w:val="auto"/>
              </w:rPr>
              <w:t>2.650% Senior Notes</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gridSpan w:val="2"/>
          </w:tcPr>
          <w:p>
            <w:pPr>
              <w:jc w:val="right"/>
              <w:ind w:right="57"/>
              <w:spacing w:after="0" w:line="99"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498</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498</w:t>
            </w:r>
          </w:p>
        </w:tc>
        <w:tc>
          <w:tcPr>
            <w:tcW w:w="80" w:type="dxa"/>
            <w:vAlign w:val="bottom"/>
          </w:tcPr>
          <w:p>
            <w:pPr>
              <w:spacing w:after="0"/>
              <w:rPr>
                <w:sz w:val="8"/>
                <w:szCs w:val="8"/>
                <w:color w:val="auto"/>
              </w:rPr>
            </w:pPr>
          </w:p>
        </w:tc>
      </w:tr>
      <w:tr>
        <w:trPr>
          <w:trHeight w:val="99"/>
        </w:trPr>
        <w:tc>
          <w:tcPr>
            <w:tcW w:w="68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1.950% Senior Notes</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1,099</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1,099</w:t>
            </w:r>
          </w:p>
        </w:tc>
        <w:tc>
          <w:tcPr>
            <w:tcW w:w="80" w:type="dxa"/>
            <w:vAlign w:val="bottom"/>
            <w:shd w:val="clear" w:color="auto" w:fill="CCEEFF"/>
          </w:tcPr>
          <w:p>
            <w:pPr>
              <w:spacing w:after="0"/>
              <w:rPr>
                <w:sz w:val="8"/>
                <w:szCs w:val="8"/>
                <w:color w:val="auto"/>
              </w:rPr>
            </w:pPr>
          </w:p>
        </w:tc>
      </w:tr>
      <w:tr>
        <w:trPr>
          <w:trHeight w:val="99"/>
        </w:trPr>
        <w:tc>
          <w:tcPr>
            <w:tcW w:w="6880" w:type="dxa"/>
            <w:vAlign w:val="bottom"/>
            <w:gridSpan w:val="2"/>
          </w:tcPr>
          <w:p>
            <w:pPr>
              <w:spacing w:after="0" w:line="99" w:lineRule="exact"/>
              <w:rPr>
                <w:sz w:val="20"/>
                <w:szCs w:val="20"/>
                <w:color w:val="auto"/>
              </w:rPr>
            </w:pPr>
            <w:r>
              <w:rPr>
                <w:rFonts w:ascii="Arial" w:cs="Arial" w:eastAsia="Arial" w:hAnsi="Arial"/>
                <w:sz w:val="9"/>
                <w:szCs w:val="9"/>
                <w:color w:val="auto"/>
              </w:rPr>
              <w:t>3.300% Senior Notes</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gridSpan w:val="2"/>
          </w:tcPr>
          <w:p>
            <w:pPr>
              <w:jc w:val="right"/>
              <w:ind w:right="35"/>
              <w:spacing w:after="0" w:line="99"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1,595</w:t>
            </w:r>
          </w:p>
        </w:tc>
        <w:tc>
          <w:tcPr>
            <w:tcW w:w="14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1,595</w:t>
            </w:r>
          </w:p>
        </w:tc>
        <w:tc>
          <w:tcPr>
            <w:tcW w:w="80" w:type="dxa"/>
            <w:vAlign w:val="bottom"/>
          </w:tcPr>
          <w:p>
            <w:pPr>
              <w:spacing w:after="0"/>
              <w:rPr>
                <w:sz w:val="8"/>
                <w:szCs w:val="8"/>
                <w:color w:val="auto"/>
              </w:rPr>
            </w:pPr>
          </w:p>
        </w:tc>
      </w:tr>
      <w:tr>
        <w:trPr>
          <w:trHeight w:val="99"/>
        </w:trPr>
        <w:tc>
          <w:tcPr>
            <w:tcW w:w="68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4.200% Senior Notes</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1,099</w:t>
            </w: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1,099</w:t>
            </w:r>
          </w:p>
        </w:tc>
        <w:tc>
          <w:tcPr>
            <w:tcW w:w="80" w:type="dxa"/>
            <w:vAlign w:val="bottom"/>
            <w:shd w:val="clear" w:color="auto" w:fill="CCEEFF"/>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686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b w:val="1"/>
                <w:bCs w:val="1"/>
                <w:color w:val="auto"/>
              </w:rPr>
              <w:t>Total fixed rate debt</w:t>
            </w:r>
          </w:p>
        </w:tc>
        <w:tc>
          <w:tcPr>
            <w:tcW w:w="100" w:type="dxa"/>
            <w:vAlign w:val="bottom"/>
            <w:tcBorders>
              <w:top w:val="single" w:sz="8" w:color="auto"/>
            </w:tcBorders>
          </w:tcPr>
          <w:p>
            <w:pPr>
              <w:jc w:val="right"/>
              <w:ind w:right="37"/>
              <w:spacing w:after="0"/>
              <w:rPr>
                <w:sz w:val="20"/>
                <w:szCs w:val="20"/>
                <w:color w:val="auto"/>
              </w:rPr>
            </w:pPr>
            <w:r>
              <w:rPr>
                <w:rFonts w:ascii="Arial" w:cs="Arial" w:eastAsia="Arial" w:hAnsi="Arial"/>
                <w:sz w:val="5"/>
                <w:szCs w:val="5"/>
                <w:b w:val="1"/>
                <w:bCs w:val="1"/>
                <w:color w:val="auto"/>
                <w:w w:val="70"/>
              </w:rPr>
              <w:t>$</w:t>
            </w: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8"/>
                <w:szCs w:val="8"/>
                <w:color w:val="auto"/>
              </w:rPr>
            </w:pPr>
          </w:p>
        </w:tc>
        <w:tc>
          <w:tcPr>
            <w:tcW w:w="120" w:type="dxa"/>
            <w:vAlign w:val="bottom"/>
            <w:tcBorders>
              <w:top w:val="single" w:sz="8" w:color="auto"/>
            </w:tcBorders>
          </w:tcPr>
          <w:p>
            <w:pPr>
              <w:jc w:val="right"/>
              <w:ind w:right="15"/>
              <w:spacing w:after="0" w:line="98" w:lineRule="exact"/>
              <w:rPr>
                <w:sz w:val="20"/>
                <w:szCs w:val="20"/>
                <w:color w:val="auto"/>
              </w:rPr>
            </w:pPr>
            <w:r>
              <w:rPr>
                <w:rFonts w:ascii="Arial" w:cs="Arial" w:eastAsia="Arial" w:hAnsi="Arial"/>
                <w:sz w:val="9"/>
                <w:szCs w:val="9"/>
                <w:b w:val="1"/>
                <w:bCs w:val="1"/>
                <w:color w:val="auto"/>
                <w:w w:val="78"/>
              </w:rPr>
              <w:t>$</w:t>
            </w: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1,107</w:t>
            </w:r>
          </w:p>
        </w:tc>
        <w:tc>
          <w:tcPr>
            <w:tcW w:w="280" w:type="dxa"/>
            <w:vAlign w:val="bottom"/>
          </w:tcPr>
          <w:p>
            <w:pPr>
              <w:spacing w:after="0"/>
              <w:rPr>
                <w:sz w:val="8"/>
                <w:szCs w:val="8"/>
                <w:color w:val="auto"/>
              </w:rPr>
            </w:pPr>
          </w:p>
        </w:tc>
        <w:tc>
          <w:tcPr>
            <w:tcW w:w="120" w:type="dxa"/>
            <w:vAlign w:val="bottom"/>
            <w:tcBorders>
              <w:top w:val="single" w:sz="8" w:color="auto"/>
            </w:tcBorders>
          </w:tcPr>
          <w:p>
            <w:pPr>
              <w:jc w:val="right"/>
              <w:ind w:right="57"/>
              <w:spacing w:after="0"/>
              <w:rPr>
                <w:sz w:val="20"/>
                <w:szCs w:val="20"/>
                <w:color w:val="auto"/>
              </w:rPr>
            </w:pPr>
            <w:r>
              <w:rPr>
                <w:rFonts w:ascii="Arial" w:cs="Arial" w:eastAsia="Arial" w:hAnsi="Arial"/>
                <w:sz w:val="5"/>
                <w:szCs w:val="5"/>
                <w:b w:val="1"/>
                <w:bCs w:val="1"/>
                <w:color w:val="auto"/>
                <w:w w:val="70"/>
              </w:rPr>
              <w:t>$</w:t>
            </w: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1,290</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top w:val="single" w:sz="8" w:color="auto"/>
            </w:tcBorders>
          </w:tcPr>
          <w:p>
            <w:pPr>
              <w:jc w:val="right"/>
              <w:ind w:right="57"/>
              <w:spacing w:after="0"/>
              <w:rPr>
                <w:sz w:val="20"/>
                <w:szCs w:val="20"/>
                <w:color w:val="auto"/>
              </w:rPr>
            </w:pPr>
            <w:r>
              <w:rPr>
                <w:rFonts w:ascii="Arial" w:cs="Arial" w:eastAsia="Arial" w:hAnsi="Arial"/>
                <w:sz w:val="5"/>
                <w:szCs w:val="5"/>
                <w:b w:val="1"/>
                <w:bCs w:val="1"/>
                <w:color w:val="auto"/>
                <w:w w:val="70"/>
              </w:rPr>
              <w:t>$</w:t>
            </w:r>
          </w:p>
        </w:tc>
        <w:tc>
          <w:tcPr>
            <w:tcW w:w="2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1,297</w:t>
            </w:r>
          </w:p>
        </w:tc>
        <w:tc>
          <w:tcPr>
            <w:tcW w:w="300" w:type="dxa"/>
            <w:vAlign w:val="bottom"/>
          </w:tcPr>
          <w:p>
            <w:pPr>
              <w:spacing w:after="0"/>
              <w:rPr>
                <w:sz w:val="8"/>
                <w:szCs w:val="8"/>
                <w:color w:val="auto"/>
              </w:rPr>
            </w:pPr>
          </w:p>
        </w:tc>
        <w:tc>
          <w:tcPr>
            <w:tcW w:w="120" w:type="dxa"/>
            <w:vAlign w:val="bottom"/>
            <w:tcBorders>
              <w:top w:val="single" w:sz="8" w:color="auto"/>
            </w:tcBorders>
          </w:tcPr>
          <w:p>
            <w:pPr>
              <w:jc w:val="right"/>
              <w:ind w:right="57"/>
              <w:spacing w:after="0"/>
              <w:rPr>
                <w:sz w:val="20"/>
                <w:szCs w:val="20"/>
                <w:color w:val="auto"/>
              </w:rPr>
            </w:pPr>
            <w:r>
              <w:rPr>
                <w:rFonts w:ascii="Arial" w:cs="Arial" w:eastAsia="Arial" w:hAnsi="Arial"/>
                <w:sz w:val="5"/>
                <w:szCs w:val="5"/>
                <w:b w:val="1"/>
                <w:bCs w:val="1"/>
                <w:color w:val="auto"/>
                <w:w w:val="70"/>
              </w:rPr>
              <w:t>$</w:t>
            </w: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1,597</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jc w:val="right"/>
              <w:ind w:right="35"/>
              <w:spacing w:after="0" w:line="98" w:lineRule="exact"/>
              <w:rPr>
                <w:sz w:val="20"/>
                <w:szCs w:val="20"/>
                <w:color w:val="auto"/>
              </w:rPr>
            </w:pPr>
            <w:r>
              <w:rPr>
                <w:rFonts w:ascii="Arial" w:cs="Arial" w:eastAsia="Arial" w:hAnsi="Arial"/>
                <w:sz w:val="9"/>
                <w:szCs w:val="9"/>
                <w:b w:val="1"/>
                <w:bCs w:val="1"/>
                <w:color w:val="auto"/>
                <w:w w:val="78"/>
              </w:rPr>
              <w:t>$</w:t>
            </w: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2,694</w:t>
            </w:r>
          </w:p>
        </w:tc>
        <w:tc>
          <w:tcPr>
            <w:tcW w:w="280" w:type="dxa"/>
            <w:vAlign w:val="bottom"/>
          </w:tcPr>
          <w:p>
            <w:pPr>
              <w:spacing w:after="0"/>
              <w:rPr>
                <w:sz w:val="8"/>
                <w:szCs w:val="8"/>
                <w:color w:val="auto"/>
              </w:rPr>
            </w:pPr>
          </w:p>
        </w:tc>
        <w:tc>
          <w:tcPr>
            <w:tcW w:w="140" w:type="dxa"/>
            <w:vAlign w:val="bottom"/>
            <w:tcBorders>
              <w:top w:val="single" w:sz="8" w:color="auto"/>
            </w:tcBorders>
          </w:tcPr>
          <w:p>
            <w:pPr>
              <w:jc w:val="right"/>
              <w:ind w:right="35"/>
              <w:spacing w:after="0" w:line="98" w:lineRule="exact"/>
              <w:rPr>
                <w:sz w:val="20"/>
                <w:szCs w:val="20"/>
                <w:color w:val="auto"/>
              </w:rPr>
            </w:pPr>
            <w:r>
              <w:rPr>
                <w:rFonts w:ascii="Arial" w:cs="Arial" w:eastAsia="Arial" w:hAnsi="Arial"/>
                <w:sz w:val="9"/>
                <w:szCs w:val="9"/>
                <w:b w:val="1"/>
                <w:bCs w:val="1"/>
                <w:color w:val="auto"/>
                <w:w w:val="78"/>
              </w:rPr>
              <w:t>$</w:t>
            </w: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7,985</w:t>
            </w:r>
          </w:p>
        </w:tc>
        <w:tc>
          <w:tcPr>
            <w:tcW w:w="80" w:type="dxa"/>
            <w:vAlign w:val="bottom"/>
          </w:tcPr>
          <w:p>
            <w:pPr>
              <w:spacing w:after="0"/>
              <w:rPr>
                <w:sz w:val="8"/>
                <w:szCs w:val="8"/>
                <w:color w:val="auto"/>
              </w:rPr>
            </w:pPr>
          </w:p>
        </w:tc>
      </w:tr>
      <w:tr>
        <w:trPr>
          <w:trHeight w:val="99"/>
        </w:trPr>
        <w:tc>
          <w:tcPr>
            <w:tcW w:w="68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b w:val="1"/>
                <w:bCs w:val="1"/>
                <w:color w:val="auto"/>
              </w:rPr>
              <w:t>Variable rate debt</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1,377</w:t>
            </w: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62</w:t>
            </w: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b w:val="1"/>
                <w:bCs w:val="1"/>
                <w:color w:val="auto"/>
              </w:rPr>
              <w:t>314</w:t>
            </w: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b w:val="1"/>
                <w:bCs w:val="1"/>
                <w:color w:val="auto"/>
              </w:rPr>
              <w:t>195</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1,948</w:t>
            </w:r>
          </w:p>
        </w:tc>
        <w:tc>
          <w:tcPr>
            <w:tcW w:w="80" w:type="dxa"/>
            <w:vAlign w:val="bottom"/>
            <w:shd w:val="clear" w:color="auto" w:fill="CCEEFF"/>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686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b w:val="1"/>
                <w:bCs w:val="1"/>
                <w:color w:val="auto"/>
              </w:rPr>
              <w:t>Total</w:t>
            </w: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5"/>
                <w:szCs w:val="5"/>
                <w:b w:val="1"/>
                <w:bCs w:val="1"/>
                <w:color w:val="auto"/>
                <w:w w:val="70"/>
              </w:rPr>
              <w:t>$</w:t>
            </w: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1,377</w:t>
            </w:r>
          </w:p>
        </w:tc>
        <w:tc>
          <w:tcPr>
            <w:tcW w:w="28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9"/>
                <w:szCs w:val="9"/>
                <w:b w:val="1"/>
                <w:bCs w:val="1"/>
                <w:color w:val="auto"/>
                <w:w w:val="78"/>
              </w:rPr>
              <w:t>$</w:t>
            </w: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1,169</w:t>
            </w:r>
          </w:p>
        </w:tc>
        <w:tc>
          <w:tcPr>
            <w:tcW w:w="28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b w:val="1"/>
                <w:bCs w:val="1"/>
                <w:color w:val="auto"/>
                <w:w w:val="70"/>
              </w:rPr>
              <w:t>$</w:t>
            </w: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1,604</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b w:val="1"/>
                <w:bCs w:val="1"/>
                <w:color w:val="auto"/>
                <w:w w:val="70"/>
              </w:rPr>
              <w:t>$</w:t>
            </w:r>
          </w:p>
        </w:tc>
        <w:tc>
          <w:tcPr>
            <w:tcW w:w="2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1,297</w:t>
            </w:r>
          </w:p>
        </w:tc>
        <w:tc>
          <w:tcPr>
            <w:tcW w:w="30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b w:val="1"/>
                <w:bCs w:val="1"/>
                <w:color w:val="auto"/>
                <w:w w:val="70"/>
              </w:rPr>
              <w:t>$</w:t>
            </w: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1,792</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9"/>
                <w:szCs w:val="9"/>
                <w:b w:val="1"/>
                <w:bCs w:val="1"/>
                <w:color w:val="auto"/>
                <w:w w:val="78"/>
              </w:rPr>
              <w:t>$</w:t>
            </w: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2,694</w:t>
            </w:r>
          </w:p>
        </w:tc>
        <w:tc>
          <w:tcPr>
            <w:tcW w:w="280" w:type="dxa"/>
            <w:vAlign w:val="bottom"/>
          </w:tcPr>
          <w:p>
            <w:pPr>
              <w:spacing w:after="0"/>
              <w:rPr>
                <w:sz w:val="8"/>
                <w:szCs w:val="8"/>
                <w:color w:val="auto"/>
              </w:rPr>
            </w:pPr>
          </w:p>
        </w:tc>
        <w:tc>
          <w:tcPr>
            <w:tcW w:w="14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9"/>
                <w:szCs w:val="9"/>
                <w:b w:val="1"/>
                <w:bCs w:val="1"/>
                <w:color w:val="auto"/>
                <w:w w:val="78"/>
              </w:rPr>
              <w:t>$</w:t>
            </w: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9,933</w:t>
            </w:r>
          </w:p>
        </w:tc>
        <w:tc>
          <w:tcPr>
            <w:tcW w:w="80" w:type="dxa"/>
            <w:vAlign w:val="bottom"/>
          </w:tcPr>
          <w:p>
            <w:pPr>
              <w:spacing w:after="0"/>
              <w:rPr>
                <w:sz w:val="8"/>
                <w:szCs w:val="8"/>
                <w:color w:val="auto"/>
              </w:rPr>
            </w:pPr>
          </w:p>
        </w:tc>
      </w:tr>
    </w:tbl>
    <w:p>
      <w:pPr>
        <w:spacing w:after="0" w:line="57"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fair market value of the outstanding fixed rate debt was approximately $8.4 billion as of December 31, 2011. The weighted average interest rate on the variable rate debt as of December 31, 2011 was approximately 2.80%.</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Schlumberger does not enter into derivatives for speculative purposes.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9"/>
          <w:szCs w:val="9"/>
          <w:color w:val="auto"/>
        </w:rPr>
        <w:t>31</w:t>
      </w:r>
    </w:p>
    <w:p>
      <w:pPr>
        <w:sectPr>
          <w:pgSz w:w="11900" w:h="16838" w:orient="portrait"/>
          <w:cols w:equalWidth="0" w:num="1">
            <w:col w:w="11480"/>
          </w:cols>
          <w:pgMar w:left="220" w:top="354" w:right="199"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Forward-looking Statements</w:t>
      </w:r>
    </w:p>
    <w:p>
      <w:pPr>
        <w:spacing w:after="0" w:line="60" w:lineRule="exact"/>
        <w:rPr>
          <w:sz w:val="20"/>
          <w:szCs w:val="20"/>
          <w:color w:val="auto"/>
        </w:rPr>
      </w:pPr>
    </w:p>
    <w:p>
      <w:pPr>
        <w:ind w:firstLine="230"/>
        <w:spacing w:after="0" w:line="278" w:lineRule="auto"/>
        <w:rPr>
          <w:sz w:val="20"/>
          <w:szCs w:val="20"/>
          <w:color w:val="auto"/>
        </w:rPr>
      </w:pPr>
      <w:r>
        <w:rPr>
          <w:rFonts w:ascii="Arial" w:cs="Arial" w:eastAsia="Arial" w:hAnsi="Arial"/>
          <w:sz w:val="11"/>
          <w:szCs w:val="11"/>
          <w:color w:val="auto"/>
        </w:rPr>
        <w:t>This Form 10-K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current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the ability to respond to increased activity levels; changes in government regulations and regulatory requirements, including those related to offshore oil and gas exploration, radioactive sources, explosives, chemicals, hydraulic fracturing services and climate-related initiatives; continuing operational delays or program reductions as a result of the lifted drilling moratorium in the Gulf of Mexico; inability of technology to meet new challenges in exploration; and other risks and uncertainties detailed in the Risk Factors section of this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9"/>
          <w:szCs w:val="9"/>
          <w:color w:val="auto"/>
        </w:rPr>
        <w:t>32</w:t>
      </w:r>
    </w:p>
    <w:p>
      <w:pPr>
        <w:sectPr>
          <w:pgSz w:w="11900" w:h="16838" w:orient="portrait"/>
          <w:cols w:equalWidth="0" w:num="1">
            <w:col w:w="11400"/>
          </w:cols>
          <w:pgMar w:left="220" w:top="354" w:right="279" w:bottom="1440" w:gutter="0" w:footer="0" w:header="0"/>
        </w:sectPr>
      </w:pPr>
    </w:p>
    <w:bookmarkStart w:id="32" w:name="page33"/>
    <w:bookmarkEnd w:id="32"/>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194"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Item 8.</w:t>
            </w:r>
          </w:p>
        </w:tc>
        <w:tc>
          <w:tcPr>
            <w:tcW w:w="3100" w:type="dxa"/>
            <w:vAlign w:val="bottom"/>
            <w:gridSpan w:val="2"/>
          </w:tcPr>
          <w:p>
            <w:pPr>
              <w:spacing w:after="0"/>
              <w:rPr>
                <w:sz w:val="20"/>
                <w:szCs w:val="20"/>
                <w:color w:val="auto"/>
              </w:rPr>
            </w:pPr>
            <w:r>
              <w:rPr>
                <w:rFonts w:ascii="Arial" w:cs="Arial" w:eastAsia="Arial" w:hAnsi="Arial"/>
                <w:sz w:val="12"/>
                <w:szCs w:val="12"/>
                <w:b w:val="1"/>
                <w:bCs w:val="1"/>
                <w:color w:val="auto"/>
              </w:rPr>
              <w:t>Financial Statements and Supplementary Data.</w:t>
            </w:r>
          </w:p>
        </w:tc>
        <w:tc>
          <w:tcPr>
            <w:tcW w:w="5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36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700" w:type="dxa"/>
            <w:vAlign w:val="bottom"/>
            <w:gridSpan w:val="2"/>
          </w:tcPr>
          <w:p>
            <w:pPr>
              <w:jc w:val="center"/>
              <w:ind w:right="2235"/>
              <w:spacing w:after="0"/>
              <w:rPr>
                <w:sz w:val="20"/>
                <w:szCs w:val="20"/>
                <w:color w:val="auto"/>
              </w:rPr>
            </w:pPr>
            <w:r>
              <w:rPr>
                <w:rFonts w:ascii="Arial" w:cs="Arial" w:eastAsia="Arial" w:hAnsi="Arial"/>
                <w:sz w:val="9"/>
                <w:szCs w:val="9"/>
                <w:color w:val="auto"/>
                <w:w w:val="98"/>
              </w:rPr>
              <w:t>SCHLUMBERGER LIMITED AND SUBSIDIARIES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700" w:type="dxa"/>
            <w:vAlign w:val="bottom"/>
            <w:gridSpan w:val="2"/>
          </w:tcPr>
          <w:p>
            <w:pPr>
              <w:jc w:val="center"/>
              <w:ind w:right="2235"/>
              <w:spacing w:after="0"/>
              <w:rPr>
                <w:sz w:val="20"/>
                <w:szCs w:val="20"/>
                <w:color w:val="auto"/>
              </w:rPr>
            </w:pPr>
            <w:r>
              <w:rPr>
                <w:rFonts w:ascii="Arial" w:cs="Arial" w:eastAsia="Arial" w:hAnsi="Arial"/>
                <w:sz w:val="9"/>
                <w:szCs w:val="9"/>
                <w:color w:val="auto"/>
                <w:w w:val="95"/>
              </w:rPr>
              <w:t>CONSOLIDATED STATEMENT OF INCOME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860" w:type="dxa"/>
            <w:vAlign w:val="bottom"/>
            <w:gridSpan w:val="10"/>
          </w:tcPr>
          <w:p>
            <w:pPr>
              <w:ind w:left="20"/>
              <w:spacing w:after="0"/>
              <w:rPr>
                <w:sz w:val="20"/>
                <w:szCs w:val="20"/>
                <w:color w:val="auto"/>
              </w:rPr>
            </w:pPr>
            <w:r>
              <w:rPr>
                <w:rFonts w:ascii="Arial" w:cs="Arial" w:eastAsia="Arial" w:hAnsi="Arial"/>
                <w:sz w:val="9"/>
                <w:szCs w:val="9"/>
                <w:b w:val="1"/>
                <w:bCs w:val="1"/>
                <w:color w:val="auto"/>
                <w:w w:val="92"/>
              </w:rPr>
              <w:t>(Stated in millions, except per share amounts)</w:t>
            </w:r>
          </w:p>
        </w:tc>
        <w:tc>
          <w:tcPr>
            <w:tcW w:w="0" w:type="dxa"/>
            <w:vAlign w:val="bottom"/>
          </w:tcPr>
          <w:p>
            <w:pPr>
              <w:spacing w:after="0"/>
              <w:rPr>
                <w:sz w:val="1"/>
                <w:szCs w:val="1"/>
                <w:color w:val="auto"/>
              </w:rPr>
            </w:pPr>
          </w:p>
        </w:tc>
      </w:tr>
      <w:tr>
        <w:trPr>
          <w:trHeight w:val="163"/>
        </w:trPr>
        <w:tc>
          <w:tcPr>
            <w:tcW w:w="4020" w:type="dxa"/>
            <w:vAlign w:val="bottom"/>
            <w:gridSpan w:val="5"/>
          </w:tcPr>
          <w:p>
            <w:pPr>
              <w:spacing w:after="0"/>
              <w:rPr>
                <w:sz w:val="20"/>
                <w:szCs w:val="20"/>
                <w:color w:val="auto"/>
              </w:rPr>
            </w:pPr>
            <w:r>
              <w:rPr>
                <w:rFonts w:ascii="Arial" w:cs="Arial" w:eastAsia="Arial" w:hAnsi="Arial"/>
                <w:sz w:val="9"/>
                <w:szCs w:val="9"/>
                <w:b w:val="1"/>
                <w:bCs w:val="1"/>
                <w:color w:val="auto"/>
              </w:rPr>
              <w:t>Year Ended December 31,</w:t>
            </w: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rPr>
              <w:t>2011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2010</w:t>
            </w: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920" w:type="dxa"/>
            <w:vAlign w:val="bottom"/>
            <w:tcBorders>
              <w:top w:val="single" w:sz="8" w:color="CCEEFF"/>
            </w:tcBorders>
            <w:gridSpan w:val="3"/>
            <w:shd w:val="clear" w:color="auto" w:fill="CCEEFF"/>
          </w:tcPr>
          <w:p>
            <w:pPr>
              <w:spacing w:after="0" w:line="79" w:lineRule="exact"/>
              <w:rPr>
                <w:sz w:val="20"/>
                <w:szCs w:val="20"/>
                <w:color w:val="auto"/>
              </w:rPr>
            </w:pPr>
            <w:r>
              <w:rPr>
                <w:rFonts w:ascii="Arial" w:cs="Arial" w:eastAsia="Arial" w:hAnsi="Arial"/>
                <w:sz w:val="9"/>
                <w:szCs w:val="9"/>
                <w:i w:val="1"/>
                <w:iCs w:val="1"/>
                <w:color w:val="auto"/>
              </w:rPr>
              <w:t>Revenue</w:t>
            </w:r>
          </w:p>
        </w:tc>
        <w:tc>
          <w:tcPr>
            <w:tcW w:w="23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56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00" w:type="dxa"/>
            <w:vAlign w:val="bottom"/>
            <w:gridSpan w:val="2"/>
          </w:tcPr>
          <w:p>
            <w:pPr>
              <w:ind w:left="260"/>
              <w:spacing w:after="0" w:line="99" w:lineRule="exact"/>
              <w:rPr>
                <w:sz w:val="20"/>
                <w:szCs w:val="20"/>
                <w:color w:val="auto"/>
              </w:rPr>
            </w:pPr>
            <w:r>
              <w:rPr>
                <w:rFonts w:ascii="Arial" w:cs="Arial" w:eastAsia="Arial" w:hAnsi="Arial"/>
                <w:sz w:val="9"/>
                <w:szCs w:val="9"/>
                <w:color w:val="auto"/>
                <w:w w:val="96"/>
              </w:rPr>
              <w:t>Oilfield Services</w:t>
            </w:r>
          </w:p>
        </w:tc>
        <w:tc>
          <w:tcPr>
            <w:tcW w:w="2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700" w:type="dxa"/>
            <w:vAlign w:val="bottom"/>
            <w:gridSpan w:val="2"/>
          </w:tcPr>
          <w:p>
            <w:pPr>
              <w:ind w:left="5600"/>
              <w:spacing w:after="0" w:line="99" w:lineRule="exact"/>
              <w:rPr>
                <w:sz w:val="20"/>
                <w:szCs w:val="20"/>
                <w:color w:val="auto"/>
              </w:rPr>
            </w:pPr>
            <w:r>
              <w:rPr>
                <w:rFonts w:ascii="Arial" w:cs="Arial" w:eastAsia="Arial" w:hAnsi="Arial"/>
                <w:sz w:val="9"/>
                <w:szCs w:val="9"/>
                <w:b w:val="1"/>
                <w:bCs w:val="1"/>
                <w:color w:val="auto"/>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36,959</w:t>
            </w:r>
          </w:p>
        </w:tc>
        <w:tc>
          <w:tcPr>
            <w:tcW w:w="140" w:type="dxa"/>
            <w:vAlign w:val="bottom"/>
          </w:tcPr>
          <w:p>
            <w:pPr>
              <w:spacing w:after="0"/>
              <w:rPr>
                <w:sz w:val="8"/>
                <w:szCs w:val="8"/>
                <w:color w:val="auto"/>
              </w:rPr>
            </w:pPr>
          </w:p>
        </w:tc>
        <w:tc>
          <w:tcPr>
            <w:tcW w:w="2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26,673</w:t>
            </w:r>
          </w:p>
        </w:tc>
        <w:tc>
          <w:tcPr>
            <w:tcW w:w="120" w:type="dxa"/>
            <w:vAlign w:val="bottom"/>
          </w:tcPr>
          <w:p>
            <w:pPr>
              <w:jc w:val="right"/>
              <w:ind w:right="15"/>
              <w:spacing w:after="0" w:line="99"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22,702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00" w:type="dxa"/>
            <w:vAlign w:val="bottom"/>
            <w:tcBorders>
              <w:bottom w:val="single" w:sz="8" w:color="auto"/>
            </w:tcBorders>
            <w:gridSpan w:val="2"/>
            <w:shd w:val="clear" w:color="auto" w:fill="CCEEFF"/>
          </w:tcPr>
          <w:p>
            <w:pPr>
              <w:ind w:left="260"/>
              <w:spacing w:after="0" w:line="99" w:lineRule="exact"/>
              <w:rPr>
                <w:sz w:val="20"/>
                <w:szCs w:val="20"/>
                <w:color w:val="auto"/>
              </w:rPr>
            </w:pPr>
            <w:r>
              <w:rPr>
                <w:rFonts w:ascii="Arial" w:cs="Arial" w:eastAsia="Arial" w:hAnsi="Arial"/>
                <w:sz w:val="9"/>
                <w:szCs w:val="9"/>
                <w:color w:val="auto"/>
              </w:rPr>
              <w:t>Distribution</w:t>
            </w:r>
          </w:p>
        </w:tc>
        <w:tc>
          <w:tcPr>
            <w:tcW w:w="236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56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2,581</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774</w:t>
            </w:r>
          </w:p>
        </w:tc>
        <w:tc>
          <w:tcPr>
            <w:tcW w:w="2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39,540</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27,447</w:t>
            </w:r>
          </w:p>
        </w:tc>
        <w:tc>
          <w:tcPr>
            <w:tcW w:w="12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22,702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20" w:type="dxa"/>
            <w:vAlign w:val="bottom"/>
            <w:gridSpan w:val="5"/>
            <w:shd w:val="clear" w:color="auto" w:fill="CCEEFF"/>
          </w:tcPr>
          <w:p>
            <w:pPr>
              <w:spacing w:after="0" w:line="99" w:lineRule="exact"/>
              <w:rPr>
                <w:sz w:val="20"/>
                <w:szCs w:val="20"/>
                <w:color w:val="auto"/>
              </w:rPr>
            </w:pPr>
            <w:r>
              <w:rPr>
                <w:rFonts w:ascii="Arial" w:cs="Arial" w:eastAsia="Arial" w:hAnsi="Arial"/>
                <w:sz w:val="9"/>
                <w:szCs w:val="9"/>
                <w:i w:val="1"/>
                <w:iCs w:val="1"/>
                <w:color w:val="auto"/>
              </w:rPr>
              <w:t>Interest and other income, net</w:t>
            </w: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129</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214</w:t>
            </w: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273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20" w:type="dxa"/>
            <w:vAlign w:val="bottom"/>
            <w:gridSpan w:val="5"/>
          </w:tcPr>
          <w:p>
            <w:pPr>
              <w:spacing w:after="0" w:line="99" w:lineRule="exact"/>
              <w:rPr>
                <w:sz w:val="20"/>
                <w:szCs w:val="20"/>
                <w:color w:val="auto"/>
              </w:rPr>
            </w:pPr>
            <w:r>
              <w:rPr>
                <w:rFonts w:ascii="Arial" w:cs="Arial" w:eastAsia="Arial" w:hAnsi="Arial"/>
                <w:sz w:val="9"/>
                <w:szCs w:val="9"/>
                <w:i w:val="1"/>
                <w:iCs w:val="1"/>
                <w:color w:val="auto"/>
              </w:rPr>
              <w:t>Gain on investment in M-I SWACO</w:t>
            </w: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jc w:val="right"/>
              <w:ind w:right="140"/>
              <w:spacing w:after="0" w:line="99" w:lineRule="exact"/>
              <w:rPr>
                <w:sz w:val="20"/>
                <w:szCs w:val="20"/>
                <w:color w:val="auto"/>
              </w:rPr>
            </w:pPr>
            <w:r>
              <w:rPr>
                <w:rFonts w:ascii="Arial" w:cs="Arial" w:eastAsia="Arial" w:hAnsi="Arial"/>
                <w:sz w:val="9"/>
                <w:szCs w:val="9"/>
                <w:b w:val="1"/>
                <w:bCs w:val="1"/>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1,270</w:t>
            </w:r>
          </w:p>
        </w:tc>
        <w:tc>
          <w:tcPr>
            <w:tcW w:w="120" w:type="dxa"/>
            <w:vAlign w:val="bottom"/>
          </w:tcPr>
          <w:p>
            <w:pPr>
              <w:spacing w:after="0"/>
              <w:rPr>
                <w:sz w:val="8"/>
                <w:szCs w:val="8"/>
                <w:color w:val="auto"/>
              </w:rPr>
            </w:pPr>
          </w:p>
        </w:tc>
        <w:tc>
          <w:tcPr>
            <w:tcW w:w="38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920" w:type="dxa"/>
            <w:vAlign w:val="bottom"/>
            <w:gridSpan w:val="3"/>
            <w:shd w:val="clear" w:color="auto" w:fill="CCEEFF"/>
          </w:tcPr>
          <w:p>
            <w:pPr>
              <w:spacing w:after="0" w:line="99" w:lineRule="exact"/>
              <w:rPr>
                <w:sz w:val="20"/>
                <w:szCs w:val="20"/>
                <w:color w:val="auto"/>
              </w:rPr>
            </w:pPr>
            <w:r>
              <w:rPr>
                <w:rFonts w:ascii="Arial" w:cs="Arial" w:eastAsia="Arial" w:hAnsi="Arial"/>
                <w:sz w:val="9"/>
                <w:szCs w:val="9"/>
                <w:i w:val="1"/>
                <w:iCs w:val="1"/>
                <w:color w:val="auto"/>
              </w:rPr>
              <w:t>Expenses</w:t>
            </w:r>
          </w:p>
        </w:tc>
        <w:tc>
          <w:tcPr>
            <w:tcW w:w="23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00" w:type="dxa"/>
            <w:vAlign w:val="bottom"/>
            <w:gridSpan w:val="2"/>
          </w:tcPr>
          <w:p>
            <w:pPr>
              <w:ind w:left="260"/>
              <w:spacing w:after="0" w:line="99" w:lineRule="exact"/>
              <w:rPr>
                <w:sz w:val="20"/>
                <w:szCs w:val="20"/>
                <w:color w:val="auto"/>
              </w:rPr>
            </w:pPr>
            <w:r>
              <w:rPr>
                <w:rFonts w:ascii="Arial" w:cs="Arial" w:eastAsia="Arial" w:hAnsi="Arial"/>
                <w:sz w:val="9"/>
                <w:szCs w:val="9"/>
                <w:color w:val="auto"/>
                <w:w w:val="97"/>
              </w:rPr>
              <w:t>Cost of revenue</w:t>
            </w:r>
          </w:p>
        </w:tc>
        <w:tc>
          <w:tcPr>
            <w:tcW w:w="2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680" w:type="dxa"/>
            <w:vAlign w:val="bottom"/>
            <w:gridSpan w:val="3"/>
            <w:shd w:val="clear" w:color="auto" w:fill="CCEEFF"/>
          </w:tcPr>
          <w:p>
            <w:pPr>
              <w:ind w:left="220"/>
              <w:spacing w:after="0" w:line="99" w:lineRule="exact"/>
              <w:rPr>
                <w:sz w:val="20"/>
                <w:szCs w:val="20"/>
                <w:color w:val="auto"/>
              </w:rPr>
            </w:pPr>
            <w:r>
              <w:rPr>
                <w:rFonts w:ascii="Arial" w:cs="Arial" w:eastAsia="Arial" w:hAnsi="Arial"/>
                <w:sz w:val="9"/>
                <w:szCs w:val="9"/>
                <w:color w:val="auto"/>
              </w:rPr>
              <w:t>Oilfield Services</w:t>
            </w: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28,940</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21,098</w:t>
            </w: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17,519</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80" w:type="dxa"/>
            <w:vAlign w:val="bottom"/>
            <w:gridSpan w:val="3"/>
          </w:tcPr>
          <w:p>
            <w:pPr>
              <w:ind w:left="220"/>
              <w:spacing w:after="0" w:line="99" w:lineRule="exact"/>
              <w:rPr>
                <w:sz w:val="20"/>
                <w:szCs w:val="20"/>
                <w:color w:val="auto"/>
              </w:rPr>
            </w:pPr>
            <w:r>
              <w:rPr>
                <w:rFonts w:ascii="Arial" w:cs="Arial" w:eastAsia="Arial" w:hAnsi="Arial"/>
                <w:sz w:val="9"/>
                <w:szCs w:val="9"/>
                <w:color w:val="auto"/>
              </w:rPr>
              <w:t>Distribution</w:t>
            </w: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2,478</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745</w:t>
            </w:r>
          </w:p>
        </w:tc>
        <w:tc>
          <w:tcPr>
            <w:tcW w:w="120" w:type="dxa"/>
            <w:vAlign w:val="bottom"/>
          </w:tcPr>
          <w:p>
            <w:pPr>
              <w:spacing w:after="0"/>
              <w:rPr>
                <w:sz w:val="8"/>
                <w:szCs w:val="8"/>
                <w:color w:val="auto"/>
              </w:rPr>
            </w:pPr>
          </w:p>
        </w:tc>
        <w:tc>
          <w:tcPr>
            <w:tcW w:w="38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gridSpan w:val="4"/>
            <w:shd w:val="clear" w:color="auto" w:fill="CCEEFF"/>
          </w:tcPr>
          <w:p>
            <w:pPr>
              <w:ind w:left="260"/>
              <w:spacing w:after="0" w:line="99" w:lineRule="exact"/>
              <w:rPr>
                <w:sz w:val="20"/>
                <w:szCs w:val="20"/>
                <w:color w:val="auto"/>
              </w:rPr>
            </w:pPr>
            <w:r>
              <w:rPr>
                <w:rFonts w:ascii="Arial" w:cs="Arial" w:eastAsia="Arial" w:hAnsi="Arial"/>
                <w:sz w:val="9"/>
                <w:szCs w:val="9"/>
                <w:color w:val="auto"/>
              </w:rPr>
              <w:t>Research &amp; engineering</w:t>
            </w: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1,073</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919</w:t>
            </w: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802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gridSpan w:val="4"/>
          </w:tcPr>
          <w:p>
            <w:pPr>
              <w:ind w:left="260"/>
              <w:spacing w:after="0" w:line="99" w:lineRule="exact"/>
              <w:rPr>
                <w:sz w:val="20"/>
                <w:szCs w:val="20"/>
                <w:color w:val="auto"/>
              </w:rPr>
            </w:pPr>
            <w:r>
              <w:rPr>
                <w:rFonts w:ascii="Arial" w:cs="Arial" w:eastAsia="Arial" w:hAnsi="Arial"/>
                <w:sz w:val="9"/>
                <w:szCs w:val="9"/>
                <w:color w:val="auto"/>
              </w:rPr>
              <w:t>General &amp; administrative</w:t>
            </w: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427</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311</w:t>
            </w:r>
          </w:p>
        </w:tc>
        <w:tc>
          <w:tcPr>
            <w:tcW w:w="12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261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gridSpan w:val="4"/>
            <w:shd w:val="clear" w:color="auto" w:fill="CCEEFF"/>
          </w:tcPr>
          <w:p>
            <w:pPr>
              <w:ind w:left="260"/>
              <w:spacing w:after="0" w:line="99" w:lineRule="exact"/>
              <w:rPr>
                <w:sz w:val="20"/>
                <w:szCs w:val="20"/>
                <w:color w:val="auto"/>
              </w:rPr>
            </w:pPr>
            <w:r>
              <w:rPr>
                <w:rFonts w:ascii="Arial" w:cs="Arial" w:eastAsia="Arial" w:hAnsi="Arial"/>
                <w:sz w:val="9"/>
                <w:szCs w:val="9"/>
                <w:color w:val="auto"/>
              </w:rPr>
              <w:t>Merger &amp; integration</w:t>
            </w: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9"/>
                <w:szCs w:val="9"/>
                <w:b w:val="1"/>
                <w:bCs w:val="1"/>
                <w:color w:val="auto"/>
              </w:rPr>
              <w:t>115</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164</w:t>
            </w:r>
          </w:p>
        </w:tc>
        <w:tc>
          <w:tcPr>
            <w:tcW w:w="12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gridSpan w:val="4"/>
          </w:tcPr>
          <w:p>
            <w:pPr>
              <w:ind w:left="260"/>
              <w:spacing w:after="0" w:line="99" w:lineRule="exact"/>
              <w:rPr>
                <w:sz w:val="20"/>
                <w:szCs w:val="20"/>
                <w:color w:val="auto"/>
              </w:rPr>
            </w:pPr>
            <w:r>
              <w:rPr>
                <w:rFonts w:ascii="Arial" w:cs="Arial" w:eastAsia="Arial" w:hAnsi="Arial"/>
                <w:sz w:val="9"/>
                <w:szCs w:val="9"/>
                <w:color w:val="auto"/>
              </w:rPr>
              <w:t>Restructuring &amp; other</w:t>
            </w: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jc w:val="right"/>
              <w:ind w:right="140"/>
              <w:spacing w:after="0" w:line="99" w:lineRule="exact"/>
              <w:rPr>
                <w:sz w:val="20"/>
                <w:szCs w:val="20"/>
                <w:color w:val="auto"/>
              </w:rPr>
            </w:pPr>
            <w:r>
              <w:rPr>
                <w:rFonts w:ascii="Arial" w:cs="Arial" w:eastAsia="Arial" w:hAnsi="Arial"/>
                <w:sz w:val="9"/>
                <w:szCs w:val="9"/>
                <w:b w:val="1"/>
                <w:bCs w:val="1"/>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331</w:t>
            </w:r>
          </w:p>
        </w:tc>
        <w:tc>
          <w:tcPr>
            <w:tcW w:w="12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238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00" w:type="dxa"/>
            <w:vAlign w:val="bottom"/>
            <w:tcBorders>
              <w:bottom w:val="single" w:sz="8" w:color="auto"/>
            </w:tcBorders>
            <w:gridSpan w:val="2"/>
            <w:shd w:val="clear" w:color="auto" w:fill="CCEEFF"/>
          </w:tcPr>
          <w:p>
            <w:pPr>
              <w:ind w:left="260"/>
              <w:spacing w:after="0" w:line="99" w:lineRule="exact"/>
              <w:rPr>
                <w:sz w:val="20"/>
                <w:szCs w:val="20"/>
                <w:color w:val="auto"/>
              </w:rPr>
            </w:pPr>
            <w:r>
              <w:rPr>
                <w:rFonts w:ascii="Arial" w:cs="Arial" w:eastAsia="Arial" w:hAnsi="Arial"/>
                <w:sz w:val="9"/>
                <w:szCs w:val="9"/>
                <w:color w:val="auto"/>
              </w:rPr>
              <w:t>Interest</w:t>
            </w:r>
          </w:p>
        </w:tc>
        <w:tc>
          <w:tcPr>
            <w:tcW w:w="236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56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298</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207</w:t>
            </w:r>
          </w:p>
        </w:tc>
        <w:tc>
          <w:tcPr>
            <w:tcW w:w="2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221</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20" w:type="dxa"/>
            <w:vAlign w:val="bottom"/>
            <w:gridSpan w:val="5"/>
          </w:tcPr>
          <w:p>
            <w:pPr>
              <w:spacing w:after="0" w:line="98" w:lineRule="exact"/>
              <w:rPr>
                <w:sz w:val="20"/>
                <w:szCs w:val="20"/>
                <w:color w:val="auto"/>
              </w:rPr>
            </w:pPr>
            <w:r>
              <w:rPr>
                <w:rFonts w:ascii="Arial" w:cs="Arial" w:eastAsia="Arial" w:hAnsi="Arial"/>
                <w:sz w:val="9"/>
                <w:szCs w:val="9"/>
                <w:i w:val="1"/>
                <w:iCs w:val="1"/>
                <w:color w:val="auto"/>
              </w:rPr>
              <w:t>Income from continuing operations before taxes</w:t>
            </w: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6,338</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5,156</w:t>
            </w:r>
          </w:p>
        </w:tc>
        <w:tc>
          <w:tcPr>
            <w:tcW w:w="12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3,934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00" w:type="dxa"/>
            <w:vAlign w:val="bottom"/>
            <w:tcBorders>
              <w:bottom w:val="single" w:sz="8" w:color="auto"/>
            </w:tcBorders>
            <w:gridSpan w:val="2"/>
            <w:shd w:val="clear" w:color="auto" w:fill="CCEEFF"/>
          </w:tcPr>
          <w:p>
            <w:pPr>
              <w:ind w:left="260"/>
              <w:spacing w:after="0" w:line="99" w:lineRule="exact"/>
              <w:rPr>
                <w:sz w:val="20"/>
                <w:szCs w:val="20"/>
                <w:color w:val="auto"/>
              </w:rPr>
            </w:pPr>
            <w:r>
              <w:rPr>
                <w:rFonts w:ascii="Arial" w:cs="Arial" w:eastAsia="Arial" w:hAnsi="Arial"/>
                <w:sz w:val="9"/>
                <w:szCs w:val="9"/>
                <w:color w:val="auto"/>
                <w:w w:val="90"/>
              </w:rPr>
              <w:t>Taxes on income</w:t>
            </w:r>
          </w:p>
        </w:tc>
        <w:tc>
          <w:tcPr>
            <w:tcW w:w="236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56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1,545</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890</w:t>
            </w:r>
          </w:p>
        </w:tc>
        <w:tc>
          <w:tcPr>
            <w:tcW w:w="2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770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20" w:type="dxa"/>
            <w:vAlign w:val="bottom"/>
            <w:gridSpan w:val="5"/>
          </w:tcPr>
          <w:p>
            <w:pPr>
              <w:spacing w:after="0" w:line="98" w:lineRule="exact"/>
              <w:rPr>
                <w:sz w:val="20"/>
                <w:szCs w:val="20"/>
                <w:color w:val="auto"/>
              </w:rPr>
            </w:pPr>
            <w:r>
              <w:rPr>
                <w:rFonts w:ascii="Arial" w:cs="Arial" w:eastAsia="Arial" w:hAnsi="Arial"/>
                <w:sz w:val="9"/>
                <w:szCs w:val="9"/>
                <w:i w:val="1"/>
                <w:iCs w:val="1"/>
                <w:color w:val="auto"/>
              </w:rPr>
              <w:t>Income from continuing operations</w:t>
            </w: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4,793</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4,266</w:t>
            </w:r>
          </w:p>
        </w:tc>
        <w:tc>
          <w:tcPr>
            <w:tcW w:w="12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3,164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20" w:type="dxa"/>
            <w:vAlign w:val="bottom"/>
            <w:gridSpan w:val="5"/>
            <w:shd w:val="clear" w:color="auto" w:fill="CCEEFF"/>
          </w:tcPr>
          <w:p>
            <w:pPr>
              <w:spacing w:after="0" w:line="99" w:lineRule="exact"/>
              <w:rPr>
                <w:sz w:val="20"/>
                <w:szCs w:val="20"/>
                <w:color w:val="auto"/>
              </w:rPr>
            </w:pPr>
            <w:r>
              <w:rPr>
                <w:rFonts w:ascii="Arial" w:cs="Arial" w:eastAsia="Arial" w:hAnsi="Arial"/>
                <w:sz w:val="9"/>
                <w:szCs w:val="9"/>
                <w:i w:val="1"/>
                <w:iCs w:val="1"/>
                <w:color w:val="auto"/>
              </w:rPr>
              <w:t>Income (loss) from discontinued operations</w:t>
            </w: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220</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20" w:type="dxa"/>
            <w:vAlign w:val="bottom"/>
            <w:gridSpan w:val="3"/>
          </w:tcPr>
          <w:p>
            <w:pPr>
              <w:spacing w:after="0" w:line="98" w:lineRule="exact"/>
              <w:rPr>
                <w:sz w:val="20"/>
                <w:szCs w:val="20"/>
                <w:color w:val="auto"/>
              </w:rPr>
            </w:pPr>
            <w:r>
              <w:rPr>
                <w:rFonts w:ascii="Arial" w:cs="Arial" w:eastAsia="Arial" w:hAnsi="Arial"/>
                <w:sz w:val="9"/>
                <w:szCs w:val="9"/>
                <w:i w:val="1"/>
                <w:iCs w:val="1"/>
                <w:color w:val="auto"/>
              </w:rPr>
              <w:t>Net income</w:t>
            </w:r>
          </w:p>
        </w:tc>
        <w:tc>
          <w:tcPr>
            <w:tcW w:w="2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5,013</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4,266</w:t>
            </w:r>
          </w:p>
        </w:tc>
        <w:tc>
          <w:tcPr>
            <w:tcW w:w="12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3,142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gridSpan w:val="4"/>
            <w:shd w:val="clear" w:color="auto" w:fill="CCEEFF"/>
          </w:tcPr>
          <w:p>
            <w:pPr>
              <w:ind w:left="260"/>
              <w:spacing w:after="0" w:line="99" w:lineRule="exact"/>
              <w:rPr>
                <w:sz w:val="20"/>
                <w:szCs w:val="20"/>
                <w:color w:val="auto"/>
              </w:rPr>
            </w:pPr>
            <w:r>
              <w:rPr>
                <w:rFonts w:ascii="Arial" w:cs="Arial" w:eastAsia="Arial" w:hAnsi="Arial"/>
                <w:sz w:val="9"/>
                <w:szCs w:val="9"/>
                <w:color w:val="auto"/>
              </w:rPr>
              <w:t>Net income (loss) attributable to noncontrolling interests</w:t>
            </w: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16</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94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020" w:type="dxa"/>
            <w:vAlign w:val="bottom"/>
            <w:gridSpan w:val="5"/>
          </w:tcPr>
          <w:p>
            <w:pPr>
              <w:spacing w:after="0" w:line="98" w:lineRule="exact"/>
              <w:rPr>
                <w:sz w:val="20"/>
                <w:szCs w:val="20"/>
                <w:color w:val="auto"/>
              </w:rPr>
            </w:pPr>
            <w:r>
              <w:rPr>
                <w:rFonts w:ascii="Arial" w:cs="Arial" w:eastAsia="Arial" w:hAnsi="Arial"/>
                <w:sz w:val="9"/>
                <w:szCs w:val="9"/>
                <w:i w:val="1"/>
                <w:iCs w:val="1"/>
                <w:color w:val="auto"/>
              </w:rPr>
              <w:t>Net income attributable to Schlumberger</w:t>
            </w:r>
          </w:p>
        </w:tc>
        <w:tc>
          <w:tcPr>
            <w:tcW w:w="5700" w:type="dxa"/>
            <w:vAlign w:val="bottom"/>
            <w:gridSpan w:val="2"/>
          </w:tcPr>
          <w:p>
            <w:pPr>
              <w:ind w:left="5600"/>
              <w:spacing w:after="0" w:line="98" w:lineRule="exact"/>
              <w:rPr>
                <w:sz w:val="20"/>
                <w:szCs w:val="20"/>
                <w:color w:val="auto"/>
              </w:rPr>
            </w:pPr>
            <w:r>
              <w:rPr>
                <w:rFonts w:ascii="Arial" w:cs="Arial" w:eastAsia="Arial" w:hAnsi="Arial"/>
                <w:sz w:val="9"/>
                <w:szCs w:val="9"/>
                <w:b w:val="1"/>
                <w:bCs w:val="1"/>
                <w:color w:val="auto"/>
              </w:rPr>
              <w:t>$</w:t>
            </w: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4,997</w:t>
            </w:r>
          </w:p>
        </w:tc>
        <w:tc>
          <w:tcPr>
            <w:tcW w:w="14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4,267</w:t>
            </w:r>
          </w:p>
        </w:tc>
        <w:tc>
          <w:tcPr>
            <w:tcW w:w="120" w:type="dxa"/>
            <w:vAlign w:val="bottom"/>
          </w:tcPr>
          <w:p>
            <w:pPr>
              <w:jc w:val="right"/>
              <w:ind w:right="15"/>
              <w:spacing w:after="0" w:line="98"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3,134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4000" w:type="dxa"/>
            <w:vAlign w:val="bottom"/>
            <w:gridSpan w:val="4"/>
            <w:shd w:val="clear" w:color="auto" w:fill="CCEEFF"/>
          </w:tcPr>
          <w:p>
            <w:pPr>
              <w:spacing w:after="0" w:line="99" w:lineRule="exact"/>
              <w:rPr>
                <w:sz w:val="20"/>
                <w:szCs w:val="20"/>
                <w:color w:val="auto"/>
              </w:rPr>
            </w:pPr>
            <w:r>
              <w:rPr>
                <w:rFonts w:ascii="Arial" w:cs="Arial" w:eastAsia="Arial" w:hAnsi="Arial"/>
                <w:sz w:val="9"/>
                <w:szCs w:val="9"/>
                <w:b w:val="1"/>
                <w:bCs w:val="1"/>
                <w:color w:val="auto"/>
              </w:rPr>
              <w:t>Schlumberger amounts attributable to:</w:t>
            </w: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gridSpan w:val="4"/>
          </w:tcPr>
          <w:p>
            <w:pPr>
              <w:ind w:left="260"/>
              <w:spacing w:after="0" w:line="99" w:lineRule="exact"/>
              <w:rPr>
                <w:sz w:val="20"/>
                <w:szCs w:val="20"/>
                <w:color w:val="auto"/>
              </w:rPr>
            </w:pPr>
            <w:r>
              <w:rPr>
                <w:rFonts w:ascii="Arial" w:cs="Arial" w:eastAsia="Arial" w:hAnsi="Arial"/>
                <w:sz w:val="9"/>
                <w:szCs w:val="9"/>
                <w:color w:val="auto"/>
              </w:rPr>
              <w:t>Income from continuing operations</w:t>
            </w:r>
          </w:p>
        </w:tc>
        <w:tc>
          <w:tcPr>
            <w:tcW w:w="5700" w:type="dxa"/>
            <w:vAlign w:val="bottom"/>
            <w:gridSpan w:val="2"/>
          </w:tcPr>
          <w:p>
            <w:pPr>
              <w:ind w:left="5600"/>
              <w:spacing w:after="0" w:line="99" w:lineRule="exact"/>
              <w:rPr>
                <w:sz w:val="20"/>
                <w:szCs w:val="20"/>
                <w:color w:val="auto"/>
              </w:rPr>
            </w:pPr>
            <w:r>
              <w:rPr>
                <w:rFonts w:ascii="Arial" w:cs="Arial" w:eastAsia="Arial" w:hAnsi="Arial"/>
                <w:sz w:val="9"/>
                <w:szCs w:val="9"/>
                <w:b w:val="1"/>
                <w:bCs w:val="1"/>
                <w:color w:val="auto"/>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4,777</w:t>
            </w:r>
          </w:p>
        </w:tc>
        <w:tc>
          <w:tcPr>
            <w:tcW w:w="140" w:type="dxa"/>
            <w:vAlign w:val="bottom"/>
          </w:tcPr>
          <w:p>
            <w:pPr>
              <w:spacing w:after="0"/>
              <w:rPr>
                <w:sz w:val="8"/>
                <w:szCs w:val="8"/>
                <w:color w:val="auto"/>
              </w:rPr>
            </w:pPr>
          </w:p>
        </w:tc>
        <w:tc>
          <w:tcPr>
            <w:tcW w:w="2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4,267</w:t>
            </w:r>
          </w:p>
        </w:tc>
        <w:tc>
          <w:tcPr>
            <w:tcW w:w="120" w:type="dxa"/>
            <w:vAlign w:val="bottom"/>
          </w:tcPr>
          <w:p>
            <w:pPr>
              <w:jc w:val="right"/>
              <w:ind w:right="15"/>
              <w:spacing w:after="0" w:line="99"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3,156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gridSpan w:val="4"/>
            <w:shd w:val="clear" w:color="auto" w:fill="CCEEFF"/>
          </w:tcPr>
          <w:p>
            <w:pPr>
              <w:ind w:left="260"/>
              <w:spacing w:after="0" w:line="99" w:lineRule="exact"/>
              <w:rPr>
                <w:sz w:val="20"/>
                <w:szCs w:val="20"/>
                <w:color w:val="auto"/>
              </w:rPr>
            </w:pPr>
            <w:r>
              <w:rPr>
                <w:rFonts w:ascii="Arial" w:cs="Arial" w:eastAsia="Arial" w:hAnsi="Arial"/>
                <w:sz w:val="9"/>
                <w:szCs w:val="9"/>
                <w:color w:val="auto"/>
              </w:rPr>
              <w:t>Income (loss) from discontinued operations</w:t>
            </w: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220</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7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900" w:type="dxa"/>
            <w:vAlign w:val="bottom"/>
            <w:gridSpan w:val="2"/>
          </w:tcPr>
          <w:p>
            <w:pPr>
              <w:ind w:left="260"/>
              <w:spacing w:after="0" w:line="98" w:lineRule="exact"/>
              <w:rPr>
                <w:sz w:val="20"/>
                <w:szCs w:val="20"/>
                <w:color w:val="auto"/>
              </w:rPr>
            </w:pPr>
            <w:r>
              <w:rPr>
                <w:rFonts w:ascii="Arial" w:cs="Arial" w:eastAsia="Arial" w:hAnsi="Arial"/>
                <w:sz w:val="9"/>
                <w:szCs w:val="9"/>
                <w:color w:val="auto"/>
              </w:rPr>
              <w:t>Net income</w:t>
            </w:r>
          </w:p>
        </w:tc>
        <w:tc>
          <w:tcPr>
            <w:tcW w:w="2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700" w:type="dxa"/>
            <w:vAlign w:val="bottom"/>
            <w:gridSpan w:val="2"/>
          </w:tcPr>
          <w:p>
            <w:pPr>
              <w:ind w:left="5600"/>
              <w:spacing w:after="0" w:line="98" w:lineRule="exact"/>
              <w:rPr>
                <w:sz w:val="20"/>
                <w:szCs w:val="20"/>
                <w:color w:val="auto"/>
              </w:rPr>
            </w:pPr>
            <w:r>
              <w:rPr>
                <w:rFonts w:ascii="Arial" w:cs="Arial" w:eastAsia="Arial" w:hAnsi="Arial"/>
                <w:sz w:val="9"/>
                <w:szCs w:val="9"/>
                <w:b w:val="1"/>
                <w:bCs w:val="1"/>
                <w:color w:val="auto"/>
              </w:rPr>
              <w:t>$</w:t>
            </w: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4,997</w:t>
            </w:r>
          </w:p>
        </w:tc>
        <w:tc>
          <w:tcPr>
            <w:tcW w:w="14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4,267</w:t>
            </w:r>
          </w:p>
        </w:tc>
        <w:tc>
          <w:tcPr>
            <w:tcW w:w="120" w:type="dxa"/>
            <w:vAlign w:val="bottom"/>
          </w:tcPr>
          <w:p>
            <w:pPr>
              <w:jc w:val="right"/>
              <w:ind w:right="15"/>
              <w:spacing w:after="0" w:line="98"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3,134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4000" w:type="dxa"/>
            <w:vAlign w:val="bottom"/>
            <w:gridSpan w:val="4"/>
            <w:shd w:val="clear" w:color="auto" w:fill="CCEEFF"/>
          </w:tcPr>
          <w:p>
            <w:pPr>
              <w:spacing w:after="0" w:line="99" w:lineRule="exact"/>
              <w:rPr>
                <w:sz w:val="20"/>
                <w:szCs w:val="20"/>
                <w:color w:val="auto"/>
              </w:rPr>
            </w:pPr>
            <w:r>
              <w:rPr>
                <w:rFonts w:ascii="Arial" w:cs="Arial" w:eastAsia="Arial" w:hAnsi="Arial"/>
                <w:sz w:val="9"/>
                <w:szCs w:val="9"/>
                <w:b w:val="1"/>
                <w:bCs w:val="1"/>
                <w:color w:val="auto"/>
              </w:rPr>
              <w:t>Basic earnings per share of Schlumberger:</w:t>
            </w: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gridSpan w:val="4"/>
          </w:tcPr>
          <w:p>
            <w:pPr>
              <w:ind w:left="260"/>
              <w:spacing w:after="0" w:line="99" w:lineRule="exact"/>
              <w:rPr>
                <w:sz w:val="20"/>
                <w:szCs w:val="20"/>
                <w:color w:val="auto"/>
              </w:rPr>
            </w:pPr>
            <w:r>
              <w:rPr>
                <w:rFonts w:ascii="Arial" w:cs="Arial" w:eastAsia="Arial" w:hAnsi="Arial"/>
                <w:sz w:val="9"/>
                <w:szCs w:val="9"/>
                <w:color w:val="auto"/>
              </w:rPr>
              <w:t>Income from continuing operations</w:t>
            </w:r>
          </w:p>
        </w:tc>
        <w:tc>
          <w:tcPr>
            <w:tcW w:w="5700" w:type="dxa"/>
            <w:vAlign w:val="bottom"/>
            <w:gridSpan w:val="2"/>
          </w:tcPr>
          <w:p>
            <w:pPr>
              <w:ind w:left="5600"/>
              <w:spacing w:after="0" w:line="99" w:lineRule="exact"/>
              <w:rPr>
                <w:sz w:val="20"/>
                <w:szCs w:val="20"/>
                <w:color w:val="auto"/>
              </w:rPr>
            </w:pPr>
            <w:r>
              <w:rPr>
                <w:rFonts w:ascii="Arial" w:cs="Arial" w:eastAsia="Arial" w:hAnsi="Arial"/>
                <w:sz w:val="9"/>
                <w:szCs w:val="9"/>
                <w:b w:val="1"/>
                <w:bCs w:val="1"/>
                <w:color w:val="auto"/>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3.54</w:t>
            </w:r>
          </w:p>
        </w:tc>
        <w:tc>
          <w:tcPr>
            <w:tcW w:w="140" w:type="dxa"/>
            <w:vAlign w:val="bottom"/>
          </w:tcPr>
          <w:p>
            <w:pPr>
              <w:spacing w:after="0"/>
              <w:rPr>
                <w:sz w:val="8"/>
                <w:szCs w:val="8"/>
                <w:color w:val="auto"/>
              </w:rPr>
            </w:pPr>
          </w:p>
        </w:tc>
        <w:tc>
          <w:tcPr>
            <w:tcW w:w="2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3.41</w:t>
            </w:r>
          </w:p>
        </w:tc>
        <w:tc>
          <w:tcPr>
            <w:tcW w:w="120" w:type="dxa"/>
            <w:vAlign w:val="bottom"/>
          </w:tcPr>
          <w:p>
            <w:pPr>
              <w:jc w:val="right"/>
              <w:ind w:right="15"/>
              <w:spacing w:after="0" w:line="99"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2.63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gridSpan w:val="4"/>
            <w:shd w:val="clear" w:color="auto" w:fill="CCEEFF"/>
          </w:tcPr>
          <w:p>
            <w:pPr>
              <w:ind w:left="260"/>
              <w:spacing w:after="0" w:line="99" w:lineRule="exact"/>
              <w:rPr>
                <w:sz w:val="20"/>
                <w:szCs w:val="20"/>
                <w:color w:val="auto"/>
              </w:rPr>
            </w:pPr>
            <w:r>
              <w:rPr>
                <w:rFonts w:ascii="Arial" w:cs="Arial" w:eastAsia="Arial" w:hAnsi="Arial"/>
                <w:sz w:val="9"/>
                <w:szCs w:val="9"/>
                <w:color w:val="auto"/>
              </w:rPr>
              <w:t>Income (loss) from discontinued operations</w:t>
            </w: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0.16</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7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900" w:type="dxa"/>
            <w:vAlign w:val="bottom"/>
            <w:gridSpan w:val="2"/>
          </w:tcPr>
          <w:p>
            <w:pPr>
              <w:ind w:left="260"/>
              <w:spacing w:after="0" w:line="97" w:lineRule="exact"/>
              <w:rPr>
                <w:sz w:val="20"/>
                <w:szCs w:val="20"/>
                <w:color w:val="auto"/>
              </w:rPr>
            </w:pPr>
            <w:r>
              <w:rPr>
                <w:rFonts w:ascii="Arial" w:cs="Arial" w:eastAsia="Arial" w:hAnsi="Arial"/>
                <w:sz w:val="7"/>
                <w:szCs w:val="7"/>
                <w:color w:val="auto"/>
              </w:rPr>
              <w:t xml:space="preserve">Net income </w:t>
            </w:r>
            <w:r>
              <w:rPr>
                <w:rFonts w:ascii="Arial" w:cs="Arial" w:eastAsia="Arial" w:hAnsi="Arial"/>
                <w:sz w:val="11"/>
                <w:szCs w:val="11"/>
                <w:color w:val="auto"/>
                <w:vertAlign w:val="superscript"/>
              </w:rPr>
              <w:t>(1)</w:t>
            </w:r>
          </w:p>
        </w:tc>
        <w:tc>
          <w:tcPr>
            <w:tcW w:w="2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700" w:type="dxa"/>
            <w:vAlign w:val="bottom"/>
            <w:gridSpan w:val="2"/>
          </w:tcPr>
          <w:p>
            <w:pPr>
              <w:ind w:left="5600"/>
              <w:spacing w:after="0" w:line="98" w:lineRule="exact"/>
              <w:rPr>
                <w:sz w:val="20"/>
                <w:szCs w:val="20"/>
                <w:color w:val="auto"/>
              </w:rPr>
            </w:pPr>
            <w:r>
              <w:rPr>
                <w:rFonts w:ascii="Arial" w:cs="Arial" w:eastAsia="Arial" w:hAnsi="Arial"/>
                <w:sz w:val="9"/>
                <w:szCs w:val="9"/>
                <w:b w:val="1"/>
                <w:bCs w:val="1"/>
                <w:color w:val="auto"/>
              </w:rPr>
              <w:t>$</w:t>
            </w: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3.70</w:t>
            </w:r>
          </w:p>
        </w:tc>
        <w:tc>
          <w:tcPr>
            <w:tcW w:w="14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3.41</w:t>
            </w:r>
          </w:p>
        </w:tc>
        <w:tc>
          <w:tcPr>
            <w:tcW w:w="120" w:type="dxa"/>
            <w:vAlign w:val="bottom"/>
          </w:tcPr>
          <w:p>
            <w:pPr>
              <w:jc w:val="right"/>
              <w:ind w:right="15"/>
              <w:spacing w:after="0" w:line="98"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2.62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4000" w:type="dxa"/>
            <w:vAlign w:val="bottom"/>
            <w:gridSpan w:val="4"/>
            <w:shd w:val="clear" w:color="auto" w:fill="CCEEFF"/>
          </w:tcPr>
          <w:p>
            <w:pPr>
              <w:spacing w:after="0" w:line="99" w:lineRule="exact"/>
              <w:rPr>
                <w:sz w:val="20"/>
                <w:szCs w:val="20"/>
                <w:color w:val="auto"/>
              </w:rPr>
            </w:pPr>
            <w:r>
              <w:rPr>
                <w:rFonts w:ascii="Arial" w:cs="Arial" w:eastAsia="Arial" w:hAnsi="Arial"/>
                <w:sz w:val="9"/>
                <w:szCs w:val="9"/>
                <w:b w:val="1"/>
                <w:bCs w:val="1"/>
                <w:color w:val="auto"/>
              </w:rPr>
              <w:t>Diluted earnings per share of Schlumberger:</w:t>
            </w: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gridSpan w:val="4"/>
          </w:tcPr>
          <w:p>
            <w:pPr>
              <w:ind w:left="260"/>
              <w:spacing w:after="0" w:line="99" w:lineRule="exact"/>
              <w:rPr>
                <w:sz w:val="20"/>
                <w:szCs w:val="20"/>
                <w:color w:val="auto"/>
              </w:rPr>
            </w:pPr>
            <w:r>
              <w:rPr>
                <w:rFonts w:ascii="Arial" w:cs="Arial" w:eastAsia="Arial" w:hAnsi="Arial"/>
                <w:sz w:val="9"/>
                <w:szCs w:val="9"/>
                <w:color w:val="auto"/>
              </w:rPr>
              <w:t>Income from continuing operations</w:t>
            </w:r>
          </w:p>
        </w:tc>
        <w:tc>
          <w:tcPr>
            <w:tcW w:w="5700" w:type="dxa"/>
            <w:vAlign w:val="bottom"/>
            <w:gridSpan w:val="2"/>
          </w:tcPr>
          <w:p>
            <w:pPr>
              <w:ind w:left="5600"/>
              <w:spacing w:after="0" w:line="99" w:lineRule="exact"/>
              <w:rPr>
                <w:sz w:val="20"/>
                <w:szCs w:val="20"/>
                <w:color w:val="auto"/>
              </w:rPr>
            </w:pPr>
            <w:r>
              <w:rPr>
                <w:rFonts w:ascii="Arial" w:cs="Arial" w:eastAsia="Arial" w:hAnsi="Arial"/>
                <w:sz w:val="9"/>
                <w:szCs w:val="9"/>
                <w:b w:val="1"/>
                <w:bCs w:val="1"/>
                <w:color w:val="auto"/>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3.51</w:t>
            </w:r>
          </w:p>
        </w:tc>
        <w:tc>
          <w:tcPr>
            <w:tcW w:w="140" w:type="dxa"/>
            <w:vAlign w:val="bottom"/>
          </w:tcPr>
          <w:p>
            <w:pPr>
              <w:spacing w:after="0"/>
              <w:rPr>
                <w:sz w:val="8"/>
                <w:szCs w:val="8"/>
                <w:color w:val="auto"/>
              </w:rPr>
            </w:pPr>
          </w:p>
        </w:tc>
        <w:tc>
          <w:tcPr>
            <w:tcW w:w="2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3.38</w:t>
            </w:r>
          </w:p>
        </w:tc>
        <w:tc>
          <w:tcPr>
            <w:tcW w:w="120" w:type="dxa"/>
            <w:vAlign w:val="bottom"/>
          </w:tcPr>
          <w:p>
            <w:pPr>
              <w:jc w:val="right"/>
              <w:ind w:right="15"/>
              <w:spacing w:after="0" w:line="99"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2.61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gridSpan w:val="4"/>
            <w:shd w:val="clear" w:color="auto" w:fill="CCEEFF"/>
          </w:tcPr>
          <w:p>
            <w:pPr>
              <w:ind w:left="260"/>
              <w:spacing w:after="0" w:line="99" w:lineRule="exact"/>
              <w:rPr>
                <w:sz w:val="20"/>
                <w:szCs w:val="20"/>
                <w:color w:val="auto"/>
              </w:rPr>
            </w:pPr>
            <w:r>
              <w:rPr>
                <w:rFonts w:ascii="Arial" w:cs="Arial" w:eastAsia="Arial" w:hAnsi="Arial"/>
                <w:sz w:val="9"/>
                <w:szCs w:val="9"/>
                <w:color w:val="auto"/>
              </w:rPr>
              <w:t>Income (loss) from discontinued operations</w:t>
            </w: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0.16</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7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900" w:type="dxa"/>
            <w:vAlign w:val="bottom"/>
            <w:gridSpan w:val="2"/>
          </w:tcPr>
          <w:p>
            <w:pPr>
              <w:ind w:left="260"/>
              <w:spacing w:after="0" w:line="98" w:lineRule="exact"/>
              <w:rPr>
                <w:sz w:val="20"/>
                <w:szCs w:val="20"/>
                <w:color w:val="auto"/>
              </w:rPr>
            </w:pPr>
            <w:r>
              <w:rPr>
                <w:rFonts w:ascii="Arial" w:cs="Arial" w:eastAsia="Arial" w:hAnsi="Arial"/>
                <w:sz w:val="9"/>
                <w:szCs w:val="9"/>
                <w:color w:val="auto"/>
              </w:rPr>
              <w:t>Net income</w:t>
            </w:r>
          </w:p>
        </w:tc>
        <w:tc>
          <w:tcPr>
            <w:tcW w:w="2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700" w:type="dxa"/>
            <w:vAlign w:val="bottom"/>
            <w:gridSpan w:val="2"/>
          </w:tcPr>
          <w:p>
            <w:pPr>
              <w:ind w:left="5600"/>
              <w:spacing w:after="0" w:line="98" w:lineRule="exact"/>
              <w:rPr>
                <w:sz w:val="20"/>
                <w:szCs w:val="20"/>
                <w:color w:val="auto"/>
              </w:rPr>
            </w:pPr>
            <w:r>
              <w:rPr>
                <w:rFonts w:ascii="Arial" w:cs="Arial" w:eastAsia="Arial" w:hAnsi="Arial"/>
                <w:sz w:val="9"/>
                <w:szCs w:val="9"/>
                <w:b w:val="1"/>
                <w:bCs w:val="1"/>
                <w:color w:val="auto"/>
              </w:rPr>
              <w:t>$</w:t>
            </w: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3.67</w:t>
            </w:r>
          </w:p>
        </w:tc>
        <w:tc>
          <w:tcPr>
            <w:tcW w:w="14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3.38</w:t>
            </w:r>
          </w:p>
        </w:tc>
        <w:tc>
          <w:tcPr>
            <w:tcW w:w="120" w:type="dxa"/>
            <w:vAlign w:val="bottom"/>
          </w:tcPr>
          <w:p>
            <w:pPr>
              <w:jc w:val="right"/>
              <w:ind w:right="15"/>
              <w:spacing w:after="0" w:line="98"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2.59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020" w:type="dxa"/>
            <w:vAlign w:val="bottom"/>
            <w:gridSpan w:val="5"/>
            <w:shd w:val="clear" w:color="auto" w:fill="CCEEFF"/>
          </w:tcPr>
          <w:p>
            <w:pPr>
              <w:spacing w:after="0" w:line="99" w:lineRule="exact"/>
              <w:rPr>
                <w:sz w:val="20"/>
                <w:szCs w:val="20"/>
                <w:color w:val="auto"/>
              </w:rPr>
            </w:pPr>
            <w:r>
              <w:rPr>
                <w:rFonts w:ascii="Arial" w:cs="Arial" w:eastAsia="Arial" w:hAnsi="Arial"/>
                <w:sz w:val="9"/>
                <w:szCs w:val="9"/>
                <w:b w:val="1"/>
                <w:bCs w:val="1"/>
                <w:color w:val="auto"/>
              </w:rPr>
              <w:t>Average shares outstanding:</w:t>
            </w: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20" w:type="dxa"/>
            <w:vAlign w:val="bottom"/>
            <w:gridSpan w:val="3"/>
          </w:tcPr>
          <w:p>
            <w:pPr>
              <w:spacing w:after="0" w:line="99" w:lineRule="exact"/>
              <w:rPr>
                <w:sz w:val="20"/>
                <w:szCs w:val="20"/>
                <w:color w:val="auto"/>
              </w:rPr>
            </w:pPr>
            <w:r>
              <w:rPr>
                <w:rFonts w:ascii="Arial" w:cs="Arial" w:eastAsia="Arial" w:hAnsi="Arial"/>
                <w:sz w:val="9"/>
                <w:szCs w:val="9"/>
                <w:color w:val="auto"/>
              </w:rPr>
              <w:t>Basic</w:t>
            </w:r>
          </w:p>
        </w:tc>
        <w:tc>
          <w:tcPr>
            <w:tcW w:w="2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1,349</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1,250</w:t>
            </w:r>
          </w:p>
        </w:tc>
        <w:tc>
          <w:tcPr>
            <w:tcW w:w="12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1,198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20" w:type="dxa"/>
            <w:vAlign w:val="bottom"/>
            <w:gridSpan w:val="3"/>
            <w:shd w:val="clear" w:color="auto" w:fill="CCEEFF"/>
          </w:tcPr>
          <w:p>
            <w:pPr>
              <w:spacing w:after="0" w:line="99" w:lineRule="exact"/>
              <w:rPr>
                <w:sz w:val="20"/>
                <w:szCs w:val="20"/>
                <w:color w:val="auto"/>
              </w:rPr>
            </w:pPr>
            <w:r>
              <w:rPr>
                <w:rFonts w:ascii="Arial" w:cs="Arial" w:eastAsia="Arial" w:hAnsi="Arial"/>
                <w:sz w:val="9"/>
                <w:szCs w:val="9"/>
                <w:color w:val="auto"/>
              </w:rPr>
              <w:t>Assuming dilution</w:t>
            </w:r>
          </w:p>
        </w:tc>
        <w:tc>
          <w:tcPr>
            <w:tcW w:w="23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5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1,361</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1,263</w:t>
            </w: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1,214</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ind w:left="148" w:hanging="148"/>
        <w:spacing w:after="0" w:line="224" w:lineRule="auto"/>
        <w:tabs>
          <w:tab w:leader="none" w:pos="148" w:val="left"/>
        </w:tabs>
        <w:numPr>
          <w:ilvl w:val="0"/>
          <w:numId w:val="19"/>
        </w:numPr>
        <w:rPr>
          <w:rFonts w:ascii="Arial" w:cs="Arial" w:eastAsia="Arial" w:hAnsi="Arial"/>
          <w:sz w:val="15"/>
          <w:szCs w:val="15"/>
          <w:color w:val="auto"/>
          <w:vertAlign w:val="superscript"/>
        </w:rPr>
      </w:pPr>
      <w:r>
        <w:rPr>
          <w:rFonts w:ascii="Arial" w:cs="Arial" w:eastAsia="Arial" w:hAnsi="Arial"/>
          <w:sz w:val="9"/>
          <w:szCs w:val="9"/>
          <w:color w:val="auto"/>
        </w:rPr>
        <w:t>Amounts may not add due to rounding</w:t>
      </w:r>
    </w:p>
    <w:p>
      <w:pPr>
        <w:spacing w:after="0" w:line="93" w:lineRule="exact"/>
        <w:rPr>
          <w:sz w:val="20"/>
          <w:szCs w:val="20"/>
          <w:color w:val="auto"/>
        </w:rPr>
      </w:pPr>
    </w:p>
    <w:p>
      <w:pPr>
        <w:ind w:left="8"/>
        <w:spacing w:after="0"/>
        <w:rPr>
          <w:sz w:val="20"/>
          <w:szCs w:val="20"/>
          <w:color w:val="auto"/>
        </w:rPr>
      </w:pPr>
      <w:r>
        <w:rPr>
          <w:rFonts w:ascii="Arial" w:cs="Arial" w:eastAsia="Arial" w:hAnsi="Arial"/>
          <w:sz w:val="9"/>
          <w:szCs w:val="9"/>
          <w:color w:val="auto"/>
        </w:rPr>
        <w:t xml:space="preserve">See the </w:t>
      </w:r>
      <w:r>
        <w:rPr>
          <w:rFonts w:ascii="Arial" w:cs="Arial" w:eastAsia="Arial" w:hAnsi="Arial"/>
          <w:sz w:val="9"/>
          <w:szCs w:val="9"/>
          <w:i w:val="1"/>
          <w:iCs w:val="1"/>
          <w:color w:val="auto"/>
        </w:rPr>
        <w:t>Notes to Consolidated Financial Statements</w:t>
      </w:r>
    </w:p>
    <w:p>
      <w:pPr>
        <w:spacing w:after="0" w:line="95"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33</w:t>
      </w:r>
    </w:p>
    <w:p>
      <w:pPr>
        <w:sectPr>
          <w:pgSz w:w="11900" w:h="16838" w:orient="portrait"/>
          <w:cols w:equalWidth="0" w:num="1">
            <w:col w:w="11488"/>
          </w:cols>
          <w:pgMar w:left="212" w:top="354" w:right="199"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9"/>
          <w:szCs w:val="9"/>
          <w:color w:val="auto"/>
        </w:rPr>
        <w:t>SCHLUMBERGER LIMITED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9"/>
          <w:szCs w:val="9"/>
          <w:color w:val="auto"/>
        </w:rPr>
        <w:t>CONSOLIDATED STATEMENT OF COMPREHENSIVE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9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5"/>
          </w:tcPr>
          <w:p>
            <w:pPr>
              <w:jc w:val="right"/>
              <w:ind w:right="80"/>
              <w:spacing w:after="0"/>
              <w:rPr>
                <w:sz w:val="20"/>
                <w:szCs w:val="20"/>
                <w:color w:val="auto"/>
              </w:rPr>
            </w:pPr>
            <w:r>
              <w:rPr>
                <w:rFonts w:ascii="Arial" w:cs="Arial" w:eastAsia="Arial" w:hAnsi="Arial"/>
                <w:sz w:val="9"/>
                <w:szCs w:val="9"/>
                <w:b w:val="1"/>
                <w:bCs w:val="1"/>
                <w:color w:val="auto"/>
              </w:rPr>
              <w:t>(Stated in millions)</w:t>
            </w:r>
          </w:p>
        </w:tc>
      </w:tr>
      <w:tr>
        <w:trPr>
          <w:trHeight w:val="163"/>
        </w:trPr>
        <w:tc>
          <w:tcPr>
            <w:tcW w:w="9760" w:type="dxa"/>
            <w:vAlign w:val="bottom"/>
          </w:tcPr>
          <w:p>
            <w:pPr>
              <w:spacing w:after="0"/>
              <w:rPr>
                <w:sz w:val="20"/>
                <w:szCs w:val="20"/>
                <w:color w:val="auto"/>
              </w:rPr>
            </w:pPr>
            <w:r>
              <w:rPr>
                <w:rFonts w:ascii="Arial" w:cs="Arial" w:eastAsia="Arial" w:hAnsi="Arial"/>
                <w:sz w:val="9"/>
                <w:szCs w:val="9"/>
                <w:b w:val="1"/>
                <w:bCs w:val="1"/>
                <w:color w:val="auto"/>
              </w:rPr>
              <w:t>Year Ended December 31,</w:t>
            </w:r>
          </w:p>
        </w:tc>
        <w:tc>
          <w:tcPr>
            <w:tcW w:w="40" w:type="dxa"/>
            <w:vAlign w:val="bottom"/>
          </w:tcPr>
          <w:p>
            <w:pPr>
              <w:spacing w:after="0"/>
              <w:rPr>
                <w:sz w:val="14"/>
                <w:szCs w:val="14"/>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2011</w:t>
            </w:r>
          </w:p>
        </w:tc>
        <w:tc>
          <w:tcPr>
            <w:tcW w:w="50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2010</w:t>
            </w:r>
          </w:p>
        </w:tc>
        <w:tc>
          <w:tcPr>
            <w:tcW w:w="460" w:type="dxa"/>
            <w:vAlign w:val="bottom"/>
            <w:gridSpan w:val="2"/>
          </w:tcPr>
          <w:p>
            <w:pPr>
              <w:jc w:val="right"/>
              <w:spacing w:after="0"/>
              <w:rPr>
                <w:sz w:val="20"/>
                <w:szCs w:val="20"/>
                <w:color w:val="auto"/>
              </w:rPr>
            </w:pPr>
            <w:r>
              <w:rPr>
                <w:rFonts w:ascii="Arial" w:cs="Arial" w:eastAsia="Arial" w:hAnsi="Arial"/>
                <w:sz w:val="9"/>
                <w:szCs w:val="9"/>
                <w:b w:val="1"/>
                <w:bCs w:val="1"/>
                <w:color w:val="auto"/>
              </w:rPr>
              <w:t>2009</w:t>
            </w:r>
          </w:p>
        </w:tc>
        <w:tc>
          <w:tcPr>
            <w:tcW w:w="80" w:type="dxa"/>
            <w:vAlign w:val="bottom"/>
          </w:tcPr>
          <w:p>
            <w:pPr>
              <w:spacing w:after="0"/>
              <w:rPr>
                <w:sz w:val="14"/>
                <w:szCs w:val="14"/>
                <w:color w:val="auto"/>
              </w:rPr>
            </w:pPr>
          </w:p>
        </w:tc>
      </w:tr>
      <w:tr>
        <w:trPr>
          <w:trHeight w:val="88"/>
        </w:trPr>
        <w:tc>
          <w:tcPr>
            <w:tcW w:w="9760" w:type="dxa"/>
            <w:vAlign w:val="bottom"/>
            <w:tcBorders>
              <w:top w:val="single" w:sz="8" w:color="CCEEFF"/>
              <w:right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Net income</w:t>
            </w: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2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w w:val="97"/>
              </w:rPr>
              <w:t>5,013</w:t>
            </w:r>
          </w:p>
        </w:tc>
        <w:tc>
          <w:tcPr>
            <w:tcW w:w="4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86"/>
              </w:rPr>
              <w:t>$ 4,266</w:t>
            </w:r>
          </w:p>
        </w:tc>
        <w:tc>
          <w:tcPr>
            <w:tcW w:w="2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86"/>
              </w:rPr>
              <w:t>$ 3,142</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9760" w:type="dxa"/>
            <w:vAlign w:val="bottom"/>
          </w:tcPr>
          <w:p>
            <w:pPr>
              <w:spacing w:after="0" w:line="99" w:lineRule="exact"/>
              <w:rPr>
                <w:sz w:val="20"/>
                <w:szCs w:val="20"/>
                <w:color w:val="auto"/>
              </w:rPr>
            </w:pPr>
            <w:r>
              <w:rPr>
                <w:rFonts w:ascii="Arial" w:cs="Arial" w:eastAsia="Arial" w:hAnsi="Arial"/>
                <w:sz w:val="9"/>
                <w:szCs w:val="9"/>
                <w:color w:val="auto"/>
              </w:rPr>
              <w:t>Currency translation adjustments</w:t>
            </w: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9760" w:type="dxa"/>
            <w:vAlign w:val="bottom"/>
            <w:tcBorders>
              <w:right w:val="single" w:sz="8" w:color="CCEEFF"/>
            </w:tcBorders>
            <w:shd w:val="clear" w:color="auto" w:fill="CCEEFF"/>
          </w:tcPr>
          <w:p>
            <w:pPr>
              <w:ind w:left="280"/>
              <w:spacing w:after="0" w:line="99" w:lineRule="exact"/>
              <w:rPr>
                <w:sz w:val="20"/>
                <w:szCs w:val="20"/>
                <w:color w:val="auto"/>
              </w:rPr>
            </w:pPr>
            <w:r>
              <w:rPr>
                <w:rFonts w:ascii="Arial" w:cs="Arial" w:eastAsia="Arial" w:hAnsi="Arial"/>
                <w:sz w:val="9"/>
                <w:szCs w:val="9"/>
                <w:color w:val="auto"/>
              </w:rPr>
              <w:t>Unrealized net change arising during the period</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360"/>
              <w:spacing w:after="0" w:line="99" w:lineRule="exact"/>
              <w:rPr>
                <w:sz w:val="20"/>
                <w:szCs w:val="20"/>
                <w:color w:val="auto"/>
              </w:rPr>
            </w:pPr>
            <w:r>
              <w:rPr>
                <w:rFonts w:ascii="Arial" w:cs="Arial" w:eastAsia="Arial" w:hAnsi="Arial"/>
                <w:sz w:val="9"/>
                <w:szCs w:val="9"/>
                <w:color w:val="auto"/>
              </w:rPr>
              <w:t>(82)</w:t>
            </w: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(26)</w:t>
            </w:r>
          </w:p>
        </w:tc>
        <w:tc>
          <w:tcPr>
            <w:tcW w:w="4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18</w:t>
            </w:r>
          </w:p>
        </w:tc>
        <w:tc>
          <w:tcPr>
            <w:tcW w:w="80" w:type="dxa"/>
            <w:vAlign w:val="bottom"/>
            <w:shd w:val="clear" w:color="auto" w:fill="CCEEFF"/>
          </w:tcPr>
          <w:p>
            <w:pPr>
              <w:spacing w:after="0"/>
              <w:rPr>
                <w:sz w:val="8"/>
                <w:szCs w:val="8"/>
                <w:color w:val="auto"/>
              </w:rPr>
            </w:pPr>
          </w:p>
        </w:tc>
      </w:tr>
      <w:tr>
        <w:trPr>
          <w:trHeight w:val="99"/>
        </w:trPr>
        <w:tc>
          <w:tcPr>
            <w:tcW w:w="9760" w:type="dxa"/>
            <w:vAlign w:val="bottom"/>
          </w:tcPr>
          <w:p>
            <w:pPr>
              <w:spacing w:after="0" w:line="99" w:lineRule="exact"/>
              <w:rPr>
                <w:sz w:val="20"/>
                <w:szCs w:val="20"/>
                <w:color w:val="auto"/>
              </w:rPr>
            </w:pPr>
            <w:r>
              <w:rPr>
                <w:rFonts w:ascii="Arial" w:cs="Arial" w:eastAsia="Arial" w:hAnsi="Arial"/>
                <w:sz w:val="9"/>
                <w:szCs w:val="9"/>
                <w:color w:val="auto"/>
              </w:rPr>
              <w:t>Derivatives</w:t>
            </w: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9760" w:type="dxa"/>
            <w:vAlign w:val="bottom"/>
            <w:tcBorders>
              <w:right w:val="single" w:sz="8" w:color="CCEEFF"/>
            </w:tcBorders>
            <w:shd w:val="clear" w:color="auto" w:fill="CCEEFF"/>
          </w:tcPr>
          <w:p>
            <w:pPr>
              <w:ind w:left="280"/>
              <w:spacing w:after="0" w:line="99" w:lineRule="exact"/>
              <w:rPr>
                <w:sz w:val="20"/>
                <w:szCs w:val="20"/>
                <w:color w:val="auto"/>
              </w:rPr>
            </w:pPr>
            <w:r>
              <w:rPr>
                <w:rFonts w:ascii="Arial" w:cs="Arial" w:eastAsia="Arial" w:hAnsi="Arial"/>
                <w:sz w:val="9"/>
                <w:szCs w:val="9"/>
                <w:color w:val="auto"/>
              </w:rPr>
              <w:t>Net derivatives (loss) gain on hedge transactions</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360"/>
              <w:spacing w:after="0" w:line="99" w:lineRule="exact"/>
              <w:rPr>
                <w:sz w:val="20"/>
                <w:szCs w:val="20"/>
                <w:color w:val="auto"/>
              </w:rPr>
            </w:pPr>
            <w:r>
              <w:rPr>
                <w:rFonts w:ascii="Arial" w:cs="Arial" w:eastAsia="Arial" w:hAnsi="Arial"/>
                <w:sz w:val="9"/>
                <w:szCs w:val="9"/>
                <w:b w:val="1"/>
                <w:bCs w:val="1"/>
                <w:color w:val="auto"/>
              </w:rPr>
              <w:t>(79)</w:t>
            </w: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(269)</w:t>
            </w:r>
          </w:p>
        </w:tc>
        <w:tc>
          <w:tcPr>
            <w:tcW w:w="4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223</w:t>
            </w:r>
          </w:p>
        </w:tc>
        <w:tc>
          <w:tcPr>
            <w:tcW w:w="80" w:type="dxa"/>
            <w:vAlign w:val="bottom"/>
            <w:shd w:val="clear" w:color="auto" w:fill="CCEEFF"/>
          </w:tcPr>
          <w:p>
            <w:pPr>
              <w:spacing w:after="0"/>
              <w:rPr>
                <w:sz w:val="8"/>
                <w:szCs w:val="8"/>
                <w:color w:val="auto"/>
              </w:rPr>
            </w:pPr>
          </w:p>
        </w:tc>
      </w:tr>
      <w:tr>
        <w:trPr>
          <w:trHeight w:val="99"/>
        </w:trPr>
        <w:tc>
          <w:tcPr>
            <w:tcW w:w="9760" w:type="dxa"/>
            <w:vAlign w:val="bottom"/>
          </w:tcPr>
          <w:p>
            <w:pPr>
              <w:ind w:left="280"/>
              <w:spacing w:after="0" w:line="99" w:lineRule="exact"/>
              <w:rPr>
                <w:sz w:val="20"/>
                <w:szCs w:val="20"/>
                <w:color w:val="auto"/>
              </w:rPr>
            </w:pPr>
            <w:r>
              <w:rPr>
                <w:rFonts w:ascii="Arial" w:cs="Arial" w:eastAsia="Arial" w:hAnsi="Arial"/>
                <w:sz w:val="9"/>
                <w:szCs w:val="9"/>
                <w:color w:val="auto"/>
              </w:rPr>
              <w:t>Reclassification to net income of net realized (loss) gain</w:t>
            </w:r>
          </w:p>
        </w:tc>
        <w:tc>
          <w:tcPr>
            <w:tcW w:w="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8</w:t>
            </w:r>
          </w:p>
        </w:tc>
        <w:tc>
          <w:tcPr>
            <w:tcW w:w="40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274</w:t>
            </w:r>
          </w:p>
        </w:tc>
        <w:tc>
          <w:tcPr>
            <w:tcW w:w="540" w:type="dxa"/>
            <w:vAlign w:val="bottom"/>
            <w:gridSpan w:val="3"/>
          </w:tcPr>
          <w:p>
            <w:pPr>
              <w:jc w:val="right"/>
              <w:ind w:right="40"/>
              <w:spacing w:after="0" w:line="99" w:lineRule="exact"/>
              <w:rPr>
                <w:sz w:val="20"/>
                <w:szCs w:val="20"/>
                <w:color w:val="auto"/>
              </w:rPr>
            </w:pPr>
            <w:r>
              <w:rPr>
                <w:rFonts w:ascii="Arial" w:cs="Arial" w:eastAsia="Arial" w:hAnsi="Arial"/>
                <w:sz w:val="9"/>
                <w:szCs w:val="9"/>
                <w:color w:val="auto"/>
              </w:rPr>
              <w:t>(80)</w:t>
            </w:r>
          </w:p>
        </w:tc>
      </w:tr>
      <w:tr>
        <w:trPr>
          <w:trHeight w:val="99"/>
        </w:trPr>
        <w:tc>
          <w:tcPr>
            <w:tcW w:w="976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color w:val="auto"/>
              </w:rPr>
              <w:t>Pension and other postretirement benefit plans</w:t>
            </w: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9760" w:type="dxa"/>
            <w:vAlign w:val="bottom"/>
          </w:tcPr>
          <w:p>
            <w:pPr>
              <w:ind w:left="280"/>
              <w:spacing w:after="0" w:line="99" w:lineRule="exact"/>
              <w:rPr>
                <w:sz w:val="20"/>
                <w:szCs w:val="20"/>
                <w:color w:val="auto"/>
              </w:rPr>
            </w:pPr>
            <w:r>
              <w:rPr>
                <w:rFonts w:ascii="Arial" w:cs="Arial" w:eastAsia="Arial" w:hAnsi="Arial"/>
                <w:sz w:val="9"/>
                <w:szCs w:val="9"/>
                <w:color w:val="auto"/>
              </w:rPr>
              <w:t>Actuarial loss</w:t>
            </w: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9760" w:type="dxa"/>
            <w:vAlign w:val="bottom"/>
            <w:tcBorders>
              <w:right w:val="single" w:sz="8" w:color="CCEEFF"/>
            </w:tcBorders>
            <w:shd w:val="clear" w:color="auto" w:fill="CCEEFF"/>
          </w:tcPr>
          <w:p>
            <w:pPr>
              <w:ind w:left="560"/>
              <w:spacing w:after="0" w:line="99" w:lineRule="exact"/>
              <w:rPr>
                <w:sz w:val="20"/>
                <w:szCs w:val="20"/>
                <w:color w:val="auto"/>
              </w:rPr>
            </w:pPr>
            <w:r>
              <w:rPr>
                <w:rFonts w:ascii="Arial" w:cs="Arial" w:eastAsia="Arial" w:hAnsi="Arial"/>
                <w:sz w:val="9"/>
                <w:szCs w:val="9"/>
                <w:color w:val="auto"/>
              </w:rPr>
              <w:t>Actuarial loss arising during the period</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360"/>
              <w:spacing w:after="0" w:line="99" w:lineRule="exact"/>
              <w:rPr>
                <w:sz w:val="20"/>
                <w:szCs w:val="20"/>
                <w:color w:val="auto"/>
              </w:rPr>
            </w:pPr>
            <w:r>
              <w:rPr>
                <w:rFonts w:ascii="Arial" w:cs="Arial" w:eastAsia="Arial" w:hAnsi="Arial"/>
                <w:sz w:val="9"/>
                <w:szCs w:val="9"/>
                <w:b w:val="1"/>
                <w:bCs w:val="1"/>
                <w:color w:val="auto"/>
                <w:w w:val="91"/>
              </w:rPr>
              <w:t>(1,008)</w:t>
            </w: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(117)</w:t>
            </w:r>
          </w:p>
        </w:tc>
        <w:tc>
          <w:tcPr>
            <w:tcW w:w="540" w:type="dxa"/>
            <w:vAlign w:val="bottom"/>
            <w:gridSpan w:val="3"/>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(237)</w:t>
            </w:r>
          </w:p>
        </w:tc>
      </w:tr>
      <w:tr>
        <w:trPr>
          <w:trHeight w:val="99"/>
        </w:trPr>
        <w:tc>
          <w:tcPr>
            <w:tcW w:w="9760" w:type="dxa"/>
            <w:vAlign w:val="bottom"/>
          </w:tcPr>
          <w:p>
            <w:pPr>
              <w:ind w:left="560"/>
              <w:spacing w:after="0" w:line="99" w:lineRule="exact"/>
              <w:rPr>
                <w:sz w:val="20"/>
                <w:szCs w:val="20"/>
                <w:color w:val="auto"/>
              </w:rPr>
            </w:pPr>
            <w:r>
              <w:rPr>
                <w:rFonts w:ascii="Arial" w:cs="Arial" w:eastAsia="Arial" w:hAnsi="Arial"/>
                <w:sz w:val="9"/>
                <w:szCs w:val="9"/>
                <w:color w:val="auto"/>
              </w:rPr>
              <w:t>Amortization to net income of net actuarial loss</w:t>
            </w:r>
          </w:p>
        </w:tc>
        <w:tc>
          <w:tcPr>
            <w:tcW w:w="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121</w:t>
            </w:r>
          </w:p>
        </w:tc>
        <w:tc>
          <w:tcPr>
            <w:tcW w:w="40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90</w:t>
            </w:r>
          </w:p>
        </w:tc>
        <w:tc>
          <w:tcPr>
            <w:tcW w:w="460" w:type="dxa"/>
            <w:vAlign w:val="bottom"/>
            <w:gridSpan w:val="2"/>
          </w:tcPr>
          <w:p>
            <w:pPr>
              <w:jc w:val="right"/>
              <w:spacing w:after="0" w:line="99" w:lineRule="exact"/>
              <w:rPr>
                <w:sz w:val="20"/>
                <w:szCs w:val="20"/>
                <w:color w:val="auto"/>
              </w:rPr>
            </w:pPr>
            <w:r>
              <w:rPr>
                <w:rFonts w:ascii="Arial" w:cs="Arial" w:eastAsia="Arial" w:hAnsi="Arial"/>
                <w:sz w:val="9"/>
                <w:szCs w:val="9"/>
                <w:color w:val="auto"/>
              </w:rPr>
              <w:t>32</w:t>
            </w:r>
          </w:p>
        </w:tc>
        <w:tc>
          <w:tcPr>
            <w:tcW w:w="80" w:type="dxa"/>
            <w:vAlign w:val="bottom"/>
          </w:tcPr>
          <w:p>
            <w:pPr>
              <w:spacing w:after="0"/>
              <w:rPr>
                <w:sz w:val="8"/>
                <w:szCs w:val="8"/>
                <w:color w:val="auto"/>
              </w:rPr>
            </w:pPr>
          </w:p>
        </w:tc>
      </w:tr>
      <w:tr>
        <w:trPr>
          <w:trHeight w:val="99"/>
        </w:trPr>
        <w:tc>
          <w:tcPr>
            <w:tcW w:w="9760" w:type="dxa"/>
            <w:vAlign w:val="bottom"/>
            <w:tcBorders>
              <w:right w:val="single" w:sz="8" w:color="CCEEFF"/>
            </w:tcBorders>
            <w:shd w:val="clear" w:color="auto" w:fill="CCEEFF"/>
          </w:tcPr>
          <w:p>
            <w:pPr>
              <w:ind w:left="280"/>
              <w:spacing w:after="0" w:line="99" w:lineRule="exact"/>
              <w:rPr>
                <w:sz w:val="20"/>
                <w:szCs w:val="20"/>
                <w:color w:val="auto"/>
              </w:rPr>
            </w:pPr>
            <w:r>
              <w:rPr>
                <w:rFonts w:ascii="Arial" w:cs="Arial" w:eastAsia="Arial" w:hAnsi="Arial"/>
                <w:sz w:val="9"/>
                <w:szCs w:val="9"/>
                <w:color w:val="auto"/>
              </w:rPr>
              <w:t>Prior service cost</w:t>
            </w: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9760" w:type="dxa"/>
            <w:vAlign w:val="bottom"/>
          </w:tcPr>
          <w:p>
            <w:pPr>
              <w:ind w:left="560"/>
              <w:spacing w:after="0" w:line="99" w:lineRule="exact"/>
              <w:rPr>
                <w:sz w:val="20"/>
                <w:szCs w:val="20"/>
                <w:color w:val="auto"/>
              </w:rPr>
            </w:pPr>
            <w:r>
              <w:rPr>
                <w:rFonts w:ascii="Arial" w:cs="Arial" w:eastAsia="Arial" w:hAnsi="Arial"/>
                <w:sz w:val="9"/>
                <w:szCs w:val="9"/>
                <w:color w:val="auto"/>
              </w:rPr>
              <w:t>Prior service cost (gain) arising during the period</w:t>
            </w:r>
          </w:p>
        </w:tc>
        <w:tc>
          <w:tcPr>
            <w:tcW w:w="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w:t>
            </w:r>
          </w:p>
        </w:tc>
        <w:tc>
          <w:tcPr>
            <w:tcW w:w="40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(162)</w:t>
            </w:r>
          </w:p>
        </w:tc>
        <w:tc>
          <w:tcPr>
            <w:tcW w:w="460" w:type="dxa"/>
            <w:vAlign w:val="bottom"/>
            <w:gridSpan w:val="2"/>
          </w:tcPr>
          <w:p>
            <w:pPr>
              <w:jc w:val="right"/>
              <w:spacing w:after="0" w:line="99" w:lineRule="exact"/>
              <w:rPr>
                <w:sz w:val="20"/>
                <w:szCs w:val="20"/>
                <w:color w:val="auto"/>
              </w:rPr>
            </w:pPr>
            <w:r>
              <w:rPr>
                <w:rFonts w:ascii="Arial" w:cs="Arial" w:eastAsia="Arial" w:hAnsi="Arial"/>
                <w:sz w:val="9"/>
                <w:szCs w:val="9"/>
                <w:color w:val="auto"/>
              </w:rPr>
              <w:t>27</w:t>
            </w:r>
          </w:p>
        </w:tc>
        <w:tc>
          <w:tcPr>
            <w:tcW w:w="80" w:type="dxa"/>
            <w:vAlign w:val="bottom"/>
          </w:tcPr>
          <w:p>
            <w:pPr>
              <w:spacing w:after="0"/>
              <w:rPr>
                <w:sz w:val="8"/>
                <w:szCs w:val="8"/>
                <w:color w:val="auto"/>
              </w:rPr>
            </w:pPr>
          </w:p>
        </w:tc>
      </w:tr>
      <w:tr>
        <w:trPr>
          <w:trHeight w:val="99"/>
        </w:trPr>
        <w:tc>
          <w:tcPr>
            <w:tcW w:w="9760" w:type="dxa"/>
            <w:vAlign w:val="bottom"/>
            <w:tcBorders>
              <w:right w:val="single" w:sz="8" w:color="CCEEFF"/>
            </w:tcBorders>
            <w:shd w:val="clear" w:color="auto" w:fill="CCEEFF"/>
          </w:tcPr>
          <w:p>
            <w:pPr>
              <w:ind w:left="560"/>
              <w:spacing w:after="0" w:line="99" w:lineRule="exact"/>
              <w:rPr>
                <w:sz w:val="20"/>
                <w:szCs w:val="20"/>
                <w:color w:val="auto"/>
              </w:rPr>
            </w:pPr>
            <w:r>
              <w:rPr>
                <w:rFonts w:ascii="Arial" w:cs="Arial" w:eastAsia="Arial" w:hAnsi="Arial"/>
                <w:sz w:val="9"/>
                <w:szCs w:val="9"/>
                <w:color w:val="auto"/>
              </w:rPr>
              <w:t>Curtailment</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0"/>
              <w:spacing w:after="0" w:line="99" w:lineRule="exact"/>
              <w:rPr>
                <w:sz w:val="20"/>
                <w:szCs w:val="20"/>
                <w:color w:val="auto"/>
              </w:rPr>
            </w:pPr>
            <w:r>
              <w:rPr>
                <w:rFonts w:ascii="Arial" w:cs="Arial" w:eastAsia="Arial" w:hAnsi="Arial"/>
                <w:sz w:val="9"/>
                <w:szCs w:val="9"/>
                <w:b w:val="1"/>
                <w:bCs w:val="1"/>
                <w:color w:val="auto"/>
              </w:rPr>
              <w:t>–</w:t>
            </w: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96</w:t>
            </w:r>
          </w:p>
        </w:tc>
        <w:tc>
          <w:tcPr>
            <w:tcW w:w="80" w:type="dxa"/>
            <w:vAlign w:val="bottom"/>
            <w:shd w:val="clear" w:color="auto" w:fill="CCEEFF"/>
          </w:tcPr>
          <w:p>
            <w:pPr>
              <w:spacing w:after="0"/>
              <w:rPr>
                <w:sz w:val="8"/>
                <w:szCs w:val="8"/>
                <w:color w:val="auto"/>
              </w:rPr>
            </w:pPr>
          </w:p>
        </w:tc>
      </w:tr>
      <w:tr>
        <w:trPr>
          <w:trHeight w:val="99"/>
        </w:trPr>
        <w:tc>
          <w:tcPr>
            <w:tcW w:w="9760" w:type="dxa"/>
            <w:vAlign w:val="bottom"/>
          </w:tcPr>
          <w:p>
            <w:pPr>
              <w:ind w:left="560"/>
              <w:spacing w:after="0" w:line="99" w:lineRule="exact"/>
              <w:rPr>
                <w:sz w:val="20"/>
                <w:szCs w:val="20"/>
                <w:color w:val="auto"/>
              </w:rPr>
            </w:pPr>
            <w:r>
              <w:rPr>
                <w:rFonts w:ascii="Arial" w:cs="Arial" w:eastAsia="Arial" w:hAnsi="Arial"/>
                <w:sz w:val="9"/>
                <w:szCs w:val="9"/>
                <w:color w:val="auto"/>
              </w:rPr>
              <w:t>Amortization to net income of net prior service cost</w:t>
            </w:r>
          </w:p>
        </w:tc>
        <w:tc>
          <w:tcPr>
            <w:tcW w:w="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133</w:t>
            </w:r>
          </w:p>
        </w:tc>
        <w:tc>
          <w:tcPr>
            <w:tcW w:w="40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96</w:t>
            </w:r>
          </w:p>
        </w:tc>
        <w:tc>
          <w:tcPr>
            <w:tcW w:w="460" w:type="dxa"/>
            <w:vAlign w:val="bottom"/>
            <w:gridSpan w:val="2"/>
          </w:tcPr>
          <w:p>
            <w:pPr>
              <w:jc w:val="right"/>
              <w:spacing w:after="0" w:line="99" w:lineRule="exact"/>
              <w:rPr>
                <w:sz w:val="20"/>
                <w:szCs w:val="20"/>
                <w:color w:val="auto"/>
              </w:rPr>
            </w:pPr>
            <w:r>
              <w:rPr>
                <w:rFonts w:ascii="Arial" w:cs="Arial" w:eastAsia="Arial" w:hAnsi="Arial"/>
                <w:sz w:val="9"/>
                <w:szCs w:val="9"/>
                <w:color w:val="auto"/>
              </w:rPr>
              <w:t>97</w:t>
            </w:r>
          </w:p>
        </w:tc>
        <w:tc>
          <w:tcPr>
            <w:tcW w:w="80" w:type="dxa"/>
            <w:vAlign w:val="bottom"/>
          </w:tcPr>
          <w:p>
            <w:pPr>
              <w:spacing w:after="0"/>
              <w:rPr>
                <w:sz w:val="8"/>
                <w:szCs w:val="8"/>
                <w:color w:val="auto"/>
              </w:rPr>
            </w:pPr>
          </w:p>
        </w:tc>
      </w:tr>
      <w:tr>
        <w:trPr>
          <w:trHeight w:val="99"/>
        </w:trPr>
        <w:tc>
          <w:tcPr>
            <w:tcW w:w="9760" w:type="dxa"/>
            <w:vAlign w:val="bottom"/>
            <w:tcBorders>
              <w:right w:val="single" w:sz="8" w:color="CCEEFF"/>
            </w:tcBorders>
            <w:shd w:val="clear" w:color="auto" w:fill="CCEEFF"/>
          </w:tcPr>
          <w:p>
            <w:pPr>
              <w:ind w:left="280"/>
              <w:spacing w:after="0" w:line="99" w:lineRule="exact"/>
              <w:rPr>
                <w:sz w:val="20"/>
                <w:szCs w:val="20"/>
                <w:color w:val="auto"/>
              </w:rPr>
            </w:pPr>
            <w:r>
              <w:rPr>
                <w:rFonts w:ascii="Arial" w:cs="Arial" w:eastAsia="Arial" w:hAnsi="Arial"/>
                <w:sz w:val="9"/>
                <w:szCs w:val="9"/>
                <w:color w:val="auto"/>
              </w:rPr>
              <w:t>Income taxes on pension and other postretirement benefit plans</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0"/>
              <w:spacing w:after="0" w:line="99" w:lineRule="exact"/>
              <w:rPr>
                <w:sz w:val="20"/>
                <w:szCs w:val="20"/>
                <w:color w:val="auto"/>
              </w:rPr>
            </w:pPr>
            <w:r>
              <w:rPr>
                <w:rFonts w:ascii="Arial" w:cs="Arial" w:eastAsia="Arial" w:hAnsi="Arial"/>
                <w:sz w:val="9"/>
                <w:szCs w:val="9"/>
                <w:b w:val="1"/>
                <w:bCs w:val="1"/>
                <w:color w:val="auto"/>
              </w:rPr>
              <w:t>117</w:t>
            </w: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20</w:t>
            </w:r>
          </w:p>
        </w:tc>
        <w:tc>
          <w:tcPr>
            <w:tcW w:w="4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52</w:t>
            </w:r>
          </w:p>
        </w:tc>
        <w:tc>
          <w:tcPr>
            <w:tcW w:w="80" w:type="dxa"/>
            <w:vAlign w:val="bottom"/>
            <w:shd w:val="clear" w:color="auto" w:fill="CCEEFF"/>
          </w:tcPr>
          <w:p>
            <w:pPr>
              <w:spacing w:after="0"/>
              <w:rPr>
                <w:sz w:val="8"/>
                <w:szCs w:val="8"/>
                <w:color w:val="auto"/>
              </w:rPr>
            </w:pPr>
          </w:p>
        </w:tc>
      </w:tr>
      <w:tr>
        <w:trPr>
          <w:trHeight w:val="97"/>
        </w:trPr>
        <w:tc>
          <w:tcPr>
            <w:tcW w:w="976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rPr>
              <w:t>Comprehensive income</w:t>
            </w:r>
          </w:p>
        </w:tc>
        <w:tc>
          <w:tcPr>
            <w:tcW w:w="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w w:val="97"/>
              </w:rPr>
              <w:t>4,224</w:t>
            </w:r>
          </w:p>
        </w:tc>
        <w:tc>
          <w:tcPr>
            <w:tcW w:w="400" w:type="dxa"/>
            <w:vAlign w:val="bottom"/>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4,172</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3,370</w:t>
            </w:r>
          </w:p>
        </w:tc>
        <w:tc>
          <w:tcPr>
            <w:tcW w:w="80" w:type="dxa"/>
            <w:vAlign w:val="bottom"/>
          </w:tcPr>
          <w:p>
            <w:pPr>
              <w:spacing w:after="0"/>
              <w:rPr>
                <w:sz w:val="8"/>
                <w:szCs w:val="8"/>
                <w:color w:val="auto"/>
              </w:rPr>
            </w:pPr>
          </w:p>
        </w:tc>
      </w:tr>
      <w:tr>
        <w:trPr>
          <w:trHeight w:val="99"/>
        </w:trPr>
        <w:tc>
          <w:tcPr>
            <w:tcW w:w="9760" w:type="dxa"/>
            <w:vAlign w:val="bottom"/>
            <w:tcBorders>
              <w:right w:val="single" w:sz="8" w:color="CCEEFF"/>
            </w:tcBorders>
            <w:shd w:val="clear" w:color="auto" w:fill="CCEEFF"/>
          </w:tcPr>
          <w:p>
            <w:pPr>
              <w:ind w:left="280"/>
              <w:spacing w:after="0" w:line="99" w:lineRule="exact"/>
              <w:rPr>
                <w:sz w:val="20"/>
                <w:szCs w:val="20"/>
                <w:color w:val="auto"/>
              </w:rPr>
            </w:pPr>
            <w:r>
              <w:rPr>
                <w:rFonts w:ascii="Arial" w:cs="Arial" w:eastAsia="Arial" w:hAnsi="Arial"/>
                <w:sz w:val="9"/>
                <w:szCs w:val="9"/>
                <w:color w:val="auto"/>
              </w:rPr>
              <w:t>Comprehensive income (loss) attributable to noncontrolling interests</w:t>
            </w: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16</w:t>
            </w:r>
          </w:p>
        </w:tc>
        <w:tc>
          <w:tcPr>
            <w:tcW w:w="4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w:t>
            </w:r>
          </w:p>
        </w:tc>
        <w:tc>
          <w:tcPr>
            <w:tcW w:w="4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9</w:t>
            </w:r>
          </w:p>
        </w:tc>
        <w:tc>
          <w:tcPr>
            <w:tcW w:w="80" w:type="dxa"/>
            <w:vAlign w:val="bottom"/>
            <w:shd w:val="clear" w:color="auto" w:fill="CCEEFF"/>
          </w:tcPr>
          <w:p>
            <w:pPr>
              <w:spacing w:after="0"/>
              <w:rPr>
                <w:sz w:val="8"/>
                <w:szCs w:val="8"/>
                <w:color w:val="auto"/>
              </w:rPr>
            </w:pPr>
          </w:p>
        </w:tc>
      </w:tr>
      <w:tr>
        <w:trPr>
          <w:trHeight w:val="20"/>
        </w:trPr>
        <w:tc>
          <w:tcPr>
            <w:tcW w:w="9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7"/>
        </w:trPr>
        <w:tc>
          <w:tcPr>
            <w:tcW w:w="9760" w:type="dxa"/>
            <w:vAlign w:val="bottom"/>
          </w:tcPr>
          <w:p>
            <w:pPr>
              <w:spacing w:after="0" w:line="98" w:lineRule="exact"/>
              <w:rPr>
                <w:sz w:val="20"/>
                <w:szCs w:val="20"/>
                <w:color w:val="auto"/>
              </w:rPr>
            </w:pPr>
            <w:r>
              <w:rPr>
                <w:rFonts w:ascii="Arial" w:cs="Arial" w:eastAsia="Arial" w:hAnsi="Arial"/>
                <w:sz w:val="9"/>
                <w:szCs w:val="9"/>
                <w:color w:val="auto"/>
              </w:rPr>
              <w:t>Comprehensive income attributable to Schlumberger</w:t>
            </w:r>
          </w:p>
        </w:tc>
        <w:tc>
          <w:tcPr>
            <w:tcW w:w="4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97"/>
              </w:rPr>
              <w:t>4,208</w:t>
            </w:r>
          </w:p>
        </w:tc>
        <w:tc>
          <w:tcPr>
            <w:tcW w:w="40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w w:val="86"/>
              </w:rPr>
              <w:t>$ 4,173</w:t>
            </w:r>
          </w:p>
        </w:tc>
        <w:tc>
          <w:tcPr>
            <w:tcW w:w="220" w:type="dxa"/>
            <w:vAlign w:val="bottom"/>
          </w:tcPr>
          <w:p>
            <w:pPr>
              <w:spacing w:after="0"/>
              <w:rPr>
                <w:sz w:val="8"/>
                <w:szCs w:val="8"/>
                <w:color w:val="auto"/>
              </w:rPr>
            </w:pPr>
          </w:p>
        </w:tc>
        <w:tc>
          <w:tcPr>
            <w:tcW w:w="460" w:type="dxa"/>
            <w:vAlign w:val="bottom"/>
            <w:gridSpan w:val="2"/>
          </w:tcPr>
          <w:p>
            <w:pPr>
              <w:jc w:val="right"/>
              <w:spacing w:after="0" w:line="98" w:lineRule="exact"/>
              <w:rPr>
                <w:sz w:val="20"/>
                <w:szCs w:val="20"/>
                <w:color w:val="auto"/>
              </w:rPr>
            </w:pPr>
            <w:r>
              <w:rPr>
                <w:rFonts w:ascii="Arial" w:cs="Arial" w:eastAsia="Arial" w:hAnsi="Arial"/>
                <w:sz w:val="9"/>
                <w:szCs w:val="9"/>
                <w:color w:val="auto"/>
              </w:rPr>
              <w:t>$ 3,361</w:t>
            </w:r>
          </w:p>
        </w:tc>
        <w:tc>
          <w:tcPr>
            <w:tcW w:w="80" w:type="dxa"/>
            <w:vAlign w:val="bottom"/>
          </w:tcPr>
          <w:p>
            <w:pPr>
              <w:spacing w:after="0"/>
              <w:rPr>
                <w:sz w:val="8"/>
                <w:szCs w:val="8"/>
                <w:color w:val="auto"/>
              </w:rPr>
            </w:pPr>
          </w:p>
        </w:tc>
      </w:tr>
      <w:tr>
        <w:trPr>
          <w:trHeight w:val="20"/>
        </w:trPr>
        <w:tc>
          <w:tcPr>
            <w:tcW w:w="976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See the </w:t>
      </w:r>
      <w:r>
        <w:rPr>
          <w:rFonts w:ascii="Arial" w:cs="Arial" w:eastAsia="Arial" w:hAnsi="Arial"/>
          <w:sz w:val="9"/>
          <w:szCs w:val="9"/>
          <w:i w:val="1"/>
          <w:iCs w:val="1"/>
          <w:color w:val="auto"/>
        </w:rPr>
        <w:t>Notes to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9"/>
          <w:szCs w:val="9"/>
          <w:color w:val="auto"/>
        </w:rPr>
        <w:t>34</w:t>
      </w:r>
    </w:p>
    <w:p>
      <w:pPr>
        <w:sectPr>
          <w:pgSz w:w="11900" w:h="16838" w:orient="portrait"/>
          <w:cols w:equalWidth="0" w:num="1">
            <w:col w:w="11480"/>
          </w:cols>
          <w:pgMar w:left="220" w:top="354" w:right="199"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9"/>
          <w:szCs w:val="9"/>
          <w:color w:val="auto"/>
        </w:rPr>
        <w:t>SCHLUMBERGER LIMITED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9"/>
          <w:szCs w:val="9"/>
          <w:color w:val="auto"/>
        </w:rPr>
        <w:t>CONSOLIDATED BALANCE SHEET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10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9"/>
                <w:szCs w:val="9"/>
                <w:b w:val="1"/>
                <w:bCs w:val="1"/>
                <w:color w:val="auto"/>
                <w:w w:val="91"/>
              </w:rPr>
              <w:t>(Stated in millions)</w:t>
            </w:r>
          </w:p>
        </w:tc>
      </w:tr>
      <w:tr>
        <w:trPr>
          <w:trHeight w:val="163"/>
        </w:trPr>
        <w:tc>
          <w:tcPr>
            <w:tcW w:w="10200" w:type="dxa"/>
            <w:vAlign w:val="bottom"/>
            <w:gridSpan w:val="2"/>
          </w:tcPr>
          <w:p>
            <w:pPr>
              <w:spacing w:after="0"/>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2011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rPr>
              <w:t>2010</w:t>
            </w:r>
          </w:p>
        </w:tc>
        <w:tc>
          <w:tcPr>
            <w:tcW w:w="80" w:type="dxa"/>
            <w:vAlign w:val="bottom"/>
          </w:tcPr>
          <w:p>
            <w:pPr>
              <w:spacing w:after="0"/>
              <w:rPr>
                <w:sz w:val="14"/>
                <w:szCs w:val="14"/>
                <w:color w:val="auto"/>
              </w:rPr>
            </w:pPr>
          </w:p>
        </w:tc>
      </w:tr>
      <w:tr>
        <w:trPr>
          <w:trHeight w:val="79"/>
        </w:trPr>
        <w:tc>
          <w:tcPr>
            <w:tcW w:w="10200" w:type="dxa"/>
            <w:vAlign w:val="bottom"/>
            <w:tcBorders>
              <w:top w:val="single" w:sz="8" w:color="CCEEFF"/>
            </w:tcBorders>
            <w:gridSpan w:val="2"/>
            <w:shd w:val="clear" w:color="auto" w:fill="CCEEFF"/>
          </w:tcPr>
          <w:p>
            <w:pPr>
              <w:spacing w:after="0" w:line="79" w:lineRule="exact"/>
              <w:rPr>
                <w:sz w:val="20"/>
                <w:szCs w:val="20"/>
                <w:color w:val="auto"/>
              </w:rPr>
            </w:pPr>
            <w:r>
              <w:rPr>
                <w:rFonts w:ascii="Arial" w:cs="Arial" w:eastAsia="Arial" w:hAnsi="Arial"/>
                <w:sz w:val="9"/>
                <w:szCs w:val="9"/>
                <w:b w:val="1"/>
                <w:bCs w:val="1"/>
                <w:i w:val="1"/>
                <w:iCs w:val="1"/>
                <w:color w:val="auto"/>
              </w:rPr>
              <w:t>ASSETS</w:t>
            </w:r>
          </w:p>
        </w:tc>
        <w:tc>
          <w:tcPr>
            <w:tcW w:w="10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99"/>
        </w:trPr>
        <w:tc>
          <w:tcPr>
            <w:tcW w:w="10200" w:type="dxa"/>
            <w:vAlign w:val="bottom"/>
            <w:gridSpan w:val="2"/>
          </w:tcPr>
          <w:p>
            <w:pPr>
              <w:spacing w:after="0" w:line="99" w:lineRule="exact"/>
              <w:rPr>
                <w:sz w:val="20"/>
                <w:szCs w:val="20"/>
                <w:color w:val="auto"/>
              </w:rPr>
            </w:pPr>
            <w:r>
              <w:rPr>
                <w:rFonts w:ascii="Arial" w:cs="Arial" w:eastAsia="Arial" w:hAnsi="Arial"/>
                <w:sz w:val="9"/>
                <w:szCs w:val="9"/>
                <w:i w:val="1"/>
                <w:iCs w:val="1"/>
                <w:color w:val="auto"/>
              </w:rPr>
              <w:t>Current Assets</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Cash</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78"/>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1,705</w:t>
            </w: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center"/>
              <w:ind w:left="275"/>
              <w:spacing w:after="0" w:line="99" w:lineRule="exact"/>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1,764</w:t>
            </w:r>
          </w:p>
        </w:tc>
        <w:tc>
          <w:tcPr>
            <w:tcW w:w="8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tcPr>
          <w:p>
            <w:pPr>
              <w:ind w:left="260"/>
              <w:spacing w:after="0" w:line="99" w:lineRule="exact"/>
              <w:rPr>
                <w:sz w:val="20"/>
                <w:szCs w:val="20"/>
                <w:color w:val="auto"/>
              </w:rPr>
            </w:pPr>
            <w:r>
              <w:rPr>
                <w:rFonts w:ascii="Arial" w:cs="Arial" w:eastAsia="Arial" w:hAnsi="Arial"/>
                <w:sz w:val="9"/>
                <w:szCs w:val="9"/>
                <w:color w:val="auto"/>
              </w:rPr>
              <w:t>Short-term investments</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3,122</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3,226</w:t>
            </w:r>
          </w:p>
        </w:tc>
        <w:tc>
          <w:tcPr>
            <w:tcW w:w="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Receivables less allowance for doubtful accounts (2011—$177; 2010—$185)</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9,500</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8,278</w:t>
            </w:r>
          </w:p>
        </w:tc>
        <w:tc>
          <w:tcPr>
            <w:tcW w:w="8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tcPr>
          <w:p>
            <w:pPr>
              <w:ind w:left="260"/>
              <w:spacing w:after="0" w:line="99" w:lineRule="exact"/>
              <w:rPr>
                <w:sz w:val="20"/>
                <w:szCs w:val="20"/>
                <w:color w:val="auto"/>
              </w:rPr>
            </w:pPr>
            <w:r>
              <w:rPr>
                <w:rFonts w:ascii="Arial" w:cs="Arial" w:eastAsia="Arial" w:hAnsi="Arial"/>
                <w:sz w:val="9"/>
                <w:szCs w:val="9"/>
                <w:color w:val="auto"/>
              </w:rPr>
              <w:t>Inventories</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4,700</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3,804</w:t>
            </w:r>
          </w:p>
        </w:tc>
        <w:tc>
          <w:tcPr>
            <w:tcW w:w="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Deferred taxes</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456</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51</w:t>
            </w:r>
          </w:p>
        </w:tc>
        <w:tc>
          <w:tcPr>
            <w:tcW w:w="8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tcBorders>
              <w:bottom w:val="single" w:sz="8" w:color="auto"/>
            </w:tcBorders>
          </w:tcPr>
          <w:p>
            <w:pPr>
              <w:ind w:left="260"/>
              <w:spacing w:after="0" w:line="99" w:lineRule="exact"/>
              <w:rPr>
                <w:sz w:val="20"/>
                <w:szCs w:val="20"/>
                <w:color w:val="auto"/>
              </w:rPr>
            </w:pPr>
            <w:r>
              <w:rPr>
                <w:rFonts w:ascii="Arial" w:cs="Arial" w:eastAsia="Arial" w:hAnsi="Arial"/>
                <w:sz w:val="9"/>
                <w:szCs w:val="9"/>
                <w:color w:val="auto"/>
              </w:rPr>
              <w:t>Other current assets</w:t>
            </w: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b w:val="1"/>
                <w:bCs w:val="1"/>
                <w:color w:val="auto"/>
              </w:rPr>
              <w:t>1,056</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975</w:t>
            </w:r>
          </w:p>
        </w:tc>
        <w:tc>
          <w:tcPr>
            <w:tcW w:w="80" w:type="dxa"/>
            <w:vAlign w:val="bottom"/>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10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20,539</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18,098</w:t>
            </w:r>
          </w:p>
        </w:tc>
        <w:tc>
          <w:tcPr>
            <w:tcW w:w="8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tcPr>
          <w:p>
            <w:pPr>
              <w:spacing w:after="0" w:line="99" w:lineRule="exact"/>
              <w:rPr>
                <w:sz w:val="20"/>
                <w:szCs w:val="20"/>
                <w:color w:val="auto"/>
              </w:rPr>
            </w:pPr>
            <w:r>
              <w:rPr>
                <w:rFonts w:ascii="Arial" w:cs="Arial" w:eastAsia="Arial" w:hAnsi="Arial"/>
                <w:sz w:val="9"/>
                <w:szCs w:val="9"/>
                <w:i w:val="1"/>
                <w:iCs w:val="1"/>
                <w:color w:val="auto"/>
              </w:rPr>
              <w:t>Fixed Income Investments, held to maturity</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256</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484</w:t>
            </w:r>
          </w:p>
        </w:tc>
        <w:tc>
          <w:tcPr>
            <w:tcW w:w="80" w:type="dxa"/>
            <w:vAlign w:val="bottom"/>
          </w:tcPr>
          <w:p>
            <w:pPr>
              <w:spacing w:after="0"/>
              <w:rPr>
                <w:sz w:val="8"/>
                <w:szCs w:val="8"/>
                <w:color w:val="auto"/>
              </w:rPr>
            </w:pPr>
          </w:p>
        </w:tc>
      </w:tr>
      <w:tr>
        <w:trPr>
          <w:trHeight w:val="99"/>
        </w:trPr>
        <w:tc>
          <w:tcPr>
            <w:tcW w:w="1020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i w:val="1"/>
                <w:iCs w:val="1"/>
                <w:color w:val="auto"/>
              </w:rPr>
              <w:t>Investments in Affiliated Companies</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1,266</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1,071</w:t>
            </w:r>
          </w:p>
        </w:tc>
        <w:tc>
          <w:tcPr>
            <w:tcW w:w="80" w:type="dxa"/>
            <w:vAlign w:val="bottom"/>
            <w:shd w:val="clear" w:color="auto" w:fill="CCEEFF"/>
          </w:tcPr>
          <w:p>
            <w:pPr>
              <w:spacing w:after="0"/>
              <w:rPr>
                <w:sz w:val="8"/>
                <w:szCs w:val="8"/>
                <w:color w:val="auto"/>
              </w:rPr>
            </w:pPr>
          </w:p>
        </w:tc>
      </w:tr>
      <w:tr>
        <w:trPr>
          <w:trHeight w:val="99"/>
        </w:trPr>
        <w:tc>
          <w:tcPr>
            <w:tcW w:w="10200" w:type="dxa"/>
            <w:vAlign w:val="bottom"/>
            <w:gridSpan w:val="2"/>
          </w:tcPr>
          <w:p>
            <w:pPr>
              <w:spacing w:after="0" w:line="99" w:lineRule="exact"/>
              <w:rPr>
                <w:sz w:val="20"/>
                <w:szCs w:val="20"/>
                <w:color w:val="auto"/>
              </w:rPr>
            </w:pPr>
            <w:r>
              <w:rPr>
                <w:rFonts w:ascii="Arial" w:cs="Arial" w:eastAsia="Arial" w:hAnsi="Arial"/>
                <w:sz w:val="9"/>
                <w:szCs w:val="9"/>
                <w:i w:val="1"/>
                <w:iCs w:val="1"/>
                <w:color w:val="auto"/>
              </w:rPr>
              <w:t>Fixed Assets less accumulated depreciation</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12,993</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12,071</w:t>
            </w:r>
          </w:p>
        </w:tc>
        <w:tc>
          <w:tcPr>
            <w:tcW w:w="80" w:type="dxa"/>
            <w:vAlign w:val="bottom"/>
          </w:tcPr>
          <w:p>
            <w:pPr>
              <w:spacing w:after="0"/>
              <w:rPr>
                <w:sz w:val="8"/>
                <w:szCs w:val="8"/>
                <w:color w:val="auto"/>
              </w:rPr>
            </w:pPr>
          </w:p>
        </w:tc>
      </w:tr>
      <w:tr>
        <w:trPr>
          <w:trHeight w:val="99"/>
        </w:trPr>
        <w:tc>
          <w:tcPr>
            <w:tcW w:w="1020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i w:val="1"/>
                <w:iCs w:val="1"/>
                <w:color w:val="auto"/>
              </w:rPr>
              <w:t>Multiclient Seismic Data</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425</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394</w:t>
            </w:r>
          </w:p>
        </w:tc>
        <w:tc>
          <w:tcPr>
            <w:tcW w:w="80" w:type="dxa"/>
            <w:vAlign w:val="bottom"/>
            <w:shd w:val="clear" w:color="auto" w:fill="CCEEFF"/>
          </w:tcPr>
          <w:p>
            <w:pPr>
              <w:spacing w:after="0"/>
              <w:rPr>
                <w:sz w:val="8"/>
                <w:szCs w:val="8"/>
                <w:color w:val="auto"/>
              </w:rPr>
            </w:pPr>
          </w:p>
        </w:tc>
      </w:tr>
      <w:tr>
        <w:trPr>
          <w:trHeight w:val="99"/>
        </w:trPr>
        <w:tc>
          <w:tcPr>
            <w:tcW w:w="10200" w:type="dxa"/>
            <w:vAlign w:val="bottom"/>
            <w:gridSpan w:val="2"/>
          </w:tcPr>
          <w:p>
            <w:pPr>
              <w:spacing w:after="0" w:line="99" w:lineRule="exact"/>
              <w:rPr>
                <w:sz w:val="20"/>
                <w:szCs w:val="20"/>
                <w:color w:val="auto"/>
              </w:rPr>
            </w:pPr>
            <w:r>
              <w:rPr>
                <w:rFonts w:ascii="Arial" w:cs="Arial" w:eastAsia="Arial" w:hAnsi="Arial"/>
                <w:sz w:val="9"/>
                <w:szCs w:val="9"/>
                <w:i w:val="1"/>
                <w:iCs w:val="1"/>
                <w:color w:val="auto"/>
              </w:rPr>
              <w:t>Goodwill</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14,154</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13,952</w:t>
            </w:r>
          </w:p>
        </w:tc>
        <w:tc>
          <w:tcPr>
            <w:tcW w:w="80" w:type="dxa"/>
            <w:vAlign w:val="bottom"/>
          </w:tcPr>
          <w:p>
            <w:pPr>
              <w:spacing w:after="0"/>
              <w:rPr>
                <w:sz w:val="8"/>
                <w:szCs w:val="8"/>
                <w:color w:val="auto"/>
              </w:rPr>
            </w:pPr>
          </w:p>
        </w:tc>
      </w:tr>
      <w:tr>
        <w:trPr>
          <w:trHeight w:val="99"/>
        </w:trPr>
        <w:tc>
          <w:tcPr>
            <w:tcW w:w="1020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i w:val="1"/>
                <w:iCs w:val="1"/>
                <w:color w:val="auto"/>
              </w:rPr>
              <w:t>Intangible Assets</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4,882</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5,162</w:t>
            </w:r>
          </w:p>
        </w:tc>
        <w:tc>
          <w:tcPr>
            <w:tcW w:w="80" w:type="dxa"/>
            <w:vAlign w:val="bottom"/>
            <w:shd w:val="clear" w:color="auto" w:fill="CCEEFF"/>
          </w:tcPr>
          <w:p>
            <w:pPr>
              <w:spacing w:after="0"/>
              <w:rPr>
                <w:sz w:val="8"/>
                <w:szCs w:val="8"/>
                <w:color w:val="auto"/>
              </w:rPr>
            </w:pPr>
          </w:p>
        </w:tc>
      </w:tr>
      <w:tr>
        <w:trPr>
          <w:trHeight w:val="99"/>
        </w:trPr>
        <w:tc>
          <w:tcPr>
            <w:tcW w:w="10200" w:type="dxa"/>
            <w:vAlign w:val="bottom"/>
            <w:gridSpan w:val="2"/>
          </w:tcPr>
          <w:p>
            <w:pPr>
              <w:spacing w:after="0" w:line="99" w:lineRule="exact"/>
              <w:rPr>
                <w:sz w:val="20"/>
                <w:szCs w:val="20"/>
                <w:color w:val="auto"/>
              </w:rPr>
            </w:pPr>
            <w:r>
              <w:rPr>
                <w:rFonts w:ascii="Arial" w:cs="Arial" w:eastAsia="Arial" w:hAnsi="Arial"/>
                <w:sz w:val="9"/>
                <w:szCs w:val="9"/>
                <w:i w:val="1"/>
                <w:iCs w:val="1"/>
                <w:color w:val="auto"/>
              </w:rPr>
              <w:t>Other Assets</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686</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535</w:t>
            </w:r>
          </w:p>
        </w:tc>
        <w:tc>
          <w:tcPr>
            <w:tcW w:w="80" w:type="dxa"/>
            <w:vAlign w:val="bottom"/>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101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78"/>
              </w:rPr>
              <w:t>$</w:t>
            </w:r>
          </w:p>
        </w:tc>
        <w:tc>
          <w:tcPr>
            <w:tcW w:w="30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55,201</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center"/>
              <w:spacing w:after="0" w:line="98" w:lineRule="exact"/>
              <w:rPr>
                <w:sz w:val="20"/>
                <w:szCs w:val="20"/>
                <w:color w:val="auto"/>
              </w:rPr>
            </w:pPr>
            <w:r>
              <w:rPr>
                <w:rFonts w:ascii="Arial" w:cs="Arial" w:eastAsia="Arial" w:hAnsi="Arial"/>
                <w:sz w:val="9"/>
                <w:szCs w:val="9"/>
                <w:color w:val="auto"/>
              </w:rPr>
              <w:t>$</w:t>
            </w:r>
          </w:p>
        </w:tc>
        <w:tc>
          <w:tcPr>
            <w:tcW w:w="30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51,767</w:t>
            </w:r>
          </w:p>
        </w:tc>
        <w:tc>
          <w:tcPr>
            <w:tcW w:w="80" w:type="dxa"/>
            <w:vAlign w:val="bottom"/>
            <w:shd w:val="clear" w:color="auto" w:fill="CCEEFF"/>
          </w:tcPr>
          <w:p>
            <w:pPr>
              <w:spacing w:after="0"/>
              <w:rPr>
                <w:sz w:val="8"/>
                <w:szCs w:val="8"/>
                <w:color w:val="auto"/>
              </w:rPr>
            </w:pPr>
          </w:p>
        </w:tc>
      </w:tr>
      <w:tr>
        <w:trPr>
          <w:trHeight w:val="97"/>
        </w:trPr>
        <w:tc>
          <w:tcPr>
            <w:tcW w:w="10200" w:type="dxa"/>
            <w:vAlign w:val="bottom"/>
            <w:gridSpan w:val="2"/>
          </w:tcPr>
          <w:p>
            <w:pPr>
              <w:spacing w:after="0" w:line="98" w:lineRule="exact"/>
              <w:rPr>
                <w:sz w:val="20"/>
                <w:szCs w:val="20"/>
                <w:color w:val="auto"/>
              </w:rPr>
            </w:pPr>
            <w:r>
              <w:rPr>
                <w:rFonts w:ascii="Arial" w:cs="Arial" w:eastAsia="Arial" w:hAnsi="Arial"/>
                <w:sz w:val="9"/>
                <w:szCs w:val="9"/>
                <w:b w:val="1"/>
                <w:bCs w:val="1"/>
                <w:i w:val="1"/>
                <w:iCs w:val="1"/>
                <w:color w:val="auto"/>
              </w:rPr>
              <w:t>LIABILITIES AND EQUITY</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1020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i w:val="1"/>
                <w:iCs w:val="1"/>
                <w:color w:val="auto"/>
              </w:rPr>
              <w:t>Current Liabilities</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tcPr>
          <w:p>
            <w:pPr>
              <w:ind w:left="260"/>
              <w:spacing w:after="0" w:line="99" w:lineRule="exact"/>
              <w:rPr>
                <w:sz w:val="20"/>
                <w:szCs w:val="20"/>
                <w:color w:val="auto"/>
              </w:rPr>
            </w:pPr>
            <w:r>
              <w:rPr>
                <w:rFonts w:ascii="Arial" w:cs="Arial" w:eastAsia="Arial" w:hAnsi="Arial"/>
                <w:sz w:val="9"/>
                <w:szCs w:val="9"/>
                <w:color w:val="auto"/>
              </w:rPr>
              <w:t>Accounts payable and accrued liabilities</w:t>
            </w:r>
          </w:p>
        </w:tc>
        <w:tc>
          <w:tcPr>
            <w:tcW w:w="10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7,579</w:t>
            </w:r>
          </w:p>
        </w:tc>
        <w:tc>
          <w:tcPr>
            <w:tcW w:w="40" w:type="dxa"/>
            <w:vAlign w:val="bottom"/>
          </w:tcPr>
          <w:p>
            <w:pPr>
              <w:spacing w:after="0"/>
              <w:rPr>
                <w:sz w:val="8"/>
                <w:szCs w:val="8"/>
                <w:color w:val="auto"/>
              </w:rPr>
            </w:pPr>
          </w:p>
        </w:tc>
        <w:tc>
          <w:tcPr>
            <w:tcW w:w="460" w:type="dxa"/>
            <w:vAlign w:val="bottom"/>
            <w:gridSpan w:val="2"/>
          </w:tcPr>
          <w:p>
            <w:pPr>
              <w:jc w:val="center"/>
              <w:ind w:left="275"/>
              <w:spacing w:after="0" w:line="99" w:lineRule="exact"/>
              <w:rPr>
                <w:sz w:val="20"/>
                <w:szCs w:val="20"/>
                <w:color w:val="auto"/>
              </w:rPr>
            </w:pPr>
            <w:r>
              <w:rPr>
                <w:rFonts w:ascii="Arial" w:cs="Arial" w:eastAsia="Arial" w:hAnsi="Arial"/>
                <w:sz w:val="9"/>
                <w:szCs w:val="9"/>
                <w:color w:val="auto"/>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6,488</w:t>
            </w:r>
          </w:p>
        </w:tc>
        <w:tc>
          <w:tcPr>
            <w:tcW w:w="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Estimated liability for taxes on income</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1,245</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1,493</w:t>
            </w:r>
          </w:p>
        </w:tc>
        <w:tc>
          <w:tcPr>
            <w:tcW w:w="8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tcPr>
          <w:p>
            <w:pPr>
              <w:ind w:left="260"/>
              <w:spacing w:after="0" w:line="99" w:lineRule="exact"/>
              <w:rPr>
                <w:sz w:val="20"/>
                <w:szCs w:val="20"/>
                <w:color w:val="auto"/>
              </w:rPr>
            </w:pPr>
            <w:r>
              <w:rPr>
                <w:rFonts w:ascii="Arial" w:cs="Arial" w:eastAsia="Arial" w:hAnsi="Arial"/>
                <w:sz w:val="9"/>
                <w:szCs w:val="9"/>
                <w:color w:val="auto"/>
              </w:rPr>
              <w:t>Long-term debt – current portion</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1,041</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2,214</w:t>
            </w:r>
          </w:p>
        </w:tc>
        <w:tc>
          <w:tcPr>
            <w:tcW w:w="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Short-term borrowings</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336</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381</w:t>
            </w:r>
          </w:p>
        </w:tc>
        <w:tc>
          <w:tcPr>
            <w:tcW w:w="8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tcPr>
          <w:p>
            <w:pPr>
              <w:ind w:left="260"/>
              <w:spacing w:after="0" w:line="99" w:lineRule="exact"/>
              <w:rPr>
                <w:sz w:val="20"/>
                <w:szCs w:val="20"/>
                <w:color w:val="auto"/>
              </w:rPr>
            </w:pPr>
            <w:r>
              <w:rPr>
                <w:rFonts w:ascii="Arial" w:cs="Arial" w:eastAsia="Arial" w:hAnsi="Arial"/>
                <w:sz w:val="9"/>
                <w:szCs w:val="9"/>
                <w:color w:val="auto"/>
              </w:rPr>
              <w:t>Dividends payable</w:t>
            </w: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b w:val="1"/>
                <w:bCs w:val="1"/>
                <w:color w:val="auto"/>
              </w:rPr>
              <w:t>337</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289</w:t>
            </w:r>
          </w:p>
        </w:tc>
        <w:tc>
          <w:tcPr>
            <w:tcW w:w="80" w:type="dxa"/>
            <w:vAlign w:val="bottom"/>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10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10,538</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10,865</w:t>
            </w:r>
          </w:p>
        </w:tc>
        <w:tc>
          <w:tcPr>
            <w:tcW w:w="8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tcPr>
          <w:p>
            <w:pPr>
              <w:spacing w:after="0" w:line="99" w:lineRule="exact"/>
              <w:rPr>
                <w:sz w:val="20"/>
                <w:szCs w:val="20"/>
                <w:color w:val="auto"/>
              </w:rPr>
            </w:pPr>
            <w:r>
              <w:rPr>
                <w:rFonts w:ascii="Arial" w:cs="Arial" w:eastAsia="Arial" w:hAnsi="Arial"/>
                <w:sz w:val="9"/>
                <w:szCs w:val="9"/>
                <w:i w:val="1"/>
                <w:iCs w:val="1"/>
                <w:color w:val="auto"/>
              </w:rPr>
              <w:t>Long-term Debt</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8,556</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5,517</w:t>
            </w:r>
          </w:p>
        </w:tc>
        <w:tc>
          <w:tcPr>
            <w:tcW w:w="80" w:type="dxa"/>
            <w:vAlign w:val="bottom"/>
          </w:tcPr>
          <w:p>
            <w:pPr>
              <w:spacing w:after="0"/>
              <w:rPr>
                <w:sz w:val="8"/>
                <w:szCs w:val="8"/>
                <w:color w:val="auto"/>
              </w:rPr>
            </w:pPr>
          </w:p>
        </w:tc>
      </w:tr>
      <w:tr>
        <w:trPr>
          <w:trHeight w:val="99"/>
        </w:trPr>
        <w:tc>
          <w:tcPr>
            <w:tcW w:w="1020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i w:val="1"/>
                <w:iCs w:val="1"/>
                <w:color w:val="auto"/>
              </w:rPr>
              <w:t>Postretirement Benefits</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1,732</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1,262</w:t>
            </w:r>
          </w:p>
        </w:tc>
        <w:tc>
          <w:tcPr>
            <w:tcW w:w="80" w:type="dxa"/>
            <w:vAlign w:val="bottom"/>
            <w:shd w:val="clear" w:color="auto" w:fill="CCEEFF"/>
          </w:tcPr>
          <w:p>
            <w:pPr>
              <w:spacing w:after="0"/>
              <w:rPr>
                <w:sz w:val="8"/>
                <w:szCs w:val="8"/>
                <w:color w:val="auto"/>
              </w:rPr>
            </w:pPr>
          </w:p>
        </w:tc>
      </w:tr>
      <w:tr>
        <w:trPr>
          <w:trHeight w:val="99"/>
        </w:trPr>
        <w:tc>
          <w:tcPr>
            <w:tcW w:w="10200" w:type="dxa"/>
            <w:vAlign w:val="bottom"/>
            <w:gridSpan w:val="2"/>
          </w:tcPr>
          <w:p>
            <w:pPr>
              <w:spacing w:after="0" w:line="99" w:lineRule="exact"/>
              <w:rPr>
                <w:sz w:val="20"/>
                <w:szCs w:val="20"/>
                <w:color w:val="auto"/>
              </w:rPr>
            </w:pPr>
            <w:r>
              <w:rPr>
                <w:rFonts w:ascii="Arial" w:cs="Arial" w:eastAsia="Arial" w:hAnsi="Arial"/>
                <w:sz w:val="9"/>
                <w:szCs w:val="9"/>
                <w:i w:val="1"/>
                <w:iCs w:val="1"/>
                <w:color w:val="auto"/>
              </w:rPr>
              <w:t>Deferred Taxes</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1,731</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1,636</w:t>
            </w:r>
          </w:p>
        </w:tc>
        <w:tc>
          <w:tcPr>
            <w:tcW w:w="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tcBorders>
              <w:bottom w:val="single" w:sz="8" w:color="auto"/>
            </w:tcBorders>
            <w:shd w:val="clear" w:color="auto" w:fill="CCEEFF"/>
          </w:tcPr>
          <w:p>
            <w:pPr>
              <w:spacing w:after="0" w:line="99" w:lineRule="exact"/>
              <w:rPr>
                <w:sz w:val="20"/>
                <w:szCs w:val="20"/>
                <w:color w:val="auto"/>
              </w:rPr>
            </w:pPr>
            <w:r>
              <w:rPr>
                <w:rFonts w:ascii="Arial" w:cs="Arial" w:eastAsia="Arial" w:hAnsi="Arial"/>
                <w:sz w:val="9"/>
                <w:szCs w:val="9"/>
                <w:i w:val="1"/>
                <w:iCs w:val="1"/>
                <w:color w:val="auto"/>
              </w:rPr>
              <w:t>Other Liabilities</w:t>
            </w:r>
          </w:p>
        </w:tc>
        <w:tc>
          <w:tcPr>
            <w:tcW w:w="1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1,252</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1,043</w:t>
            </w:r>
          </w:p>
        </w:tc>
        <w:tc>
          <w:tcPr>
            <w:tcW w:w="80" w:type="dxa"/>
            <w:vAlign w:val="bottom"/>
            <w:shd w:val="clear" w:color="auto" w:fill="CCEEFF"/>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10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23,809</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20,323</w:t>
            </w:r>
          </w:p>
        </w:tc>
        <w:tc>
          <w:tcPr>
            <w:tcW w:w="80" w:type="dxa"/>
            <w:vAlign w:val="bottom"/>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10180" w:type="dxa"/>
            <w:vAlign w:val="bottom"/>
            <w:shd w:val="clear" w:color="auto" w:fill="CCEEFF"/>
          </w:tcPr>
          <w:p>
            <w:pPr>
              <w:spacing w:after="0" w:line="98" w:lineRule="exact"/>
              <w:rPr>
                <w:sz w:val="20"/>
                <w:szCs w:val="20"/>
                <w:color w:val="auto"/>
              </w:rPr>
            </w:pPr>
            <w:r>
              <w:rPr>
                <w:rFonts w:ascii="Arial" w:cs="Arial" w:eastAsia="Arial" w:hAnsi="Arial"/>
                <w:sz w:val="9"/>
                <w:szCs w:val="9"/>
                <w:i w:val="1"/>
                <w:iCs w:val="1"/>
                <w:color w:val="auto"/>
              </w:rPr>
              <w:t>Equity</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tcPr>
          <w:p>
            <w:pPr>
              <w:ind w:left="260"/>
              <w:spacing w:after="0" w:line="99" w:lineRule="exact"/>
              <w:rPr>
                <w:sz w:val="20"/>
                <w:szCs w:val="20"/>
                <w:color w:val="auto"/>
              </w:rPr>
            </w:pPr>
            <w:r>
              <w:rPr>
                <w:rFonts w:ascii="Arial" w:cs="Arial" w:eastAsia="Arial" w:hAnsi="Arial"/>
                <w:sz w:val="9"/>
                <w:szCs w:val="9"/>
                <w:color w:val="auto"/>
              </w:rPr>
              <w:t>Common stock</w:t>
            </w:r>
          </w:p>
        </w:tc>
        <w:tc>
          <w:tcPr>
            <w:tcW w:w="10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9"/>
                <w:szCs w:val="9"/>
                <w:b w:val="1"/>
                <w:bCs w:val="1"/>
                <w:color w:val="auto"/>
              </w:rPr>
              <w:t>11,639</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11,920</w:t>
            </w:r>
          </w:p>
        </w:tc>
      </w:tr>
      <w:tr>
        <w:trPr>
          <w:trHeight w:val="99"/>
        </w:trPr>
        <w:tc>
          <w:tcPr>
            <w:tcW w:w="20" w:type="dxa"/>
            <w:vAlign w:val="bottom"/>
          </w:tcPr>
          <w:p>
            <w:pPr>
              <w:spacing w:after="0"/>
              <w:rPr>
                <w:sz w:val="8"/>
                <w:szCs w:val="8"/>
                <w:color w:val="auto"/>
              </w:rPr>
            </w:pPr>
          </w:p>
        </w:tc>
        <w:tc>
          <w:tcPr>
            <w:tcW w:w="1018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Treasury stock</w:t>
            </w:r>
          </w:p>
        </w:tc>
        <w:tc>
          <w:tcPr>
            <w:tcW w:w="1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b w:val="1"/>
                <w:bCs w:val="1"/>
                <w:color w:val="auto"/>
              </w:rPr>
              <w:t>(5,679)</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(3,136)</w:t>
            </w:r>
          </w:p>
        </w:tc>
      </w:tr>
      <w:tr>
        <w:trPr>
          <w:trHeight w:val="99"/>
        </w:trPr>
        <w:tc>
          <w:tcPr>
            <w:tcW w:w="20" w:type="dxa"/>
            <w:vAlign w:val="bottom"/>
          </w:tcPr>
          <w:p>
            <w:pPr>
              <w:spacing w:after="0"/>
              <w:rPr>
                <w:sz w:val="8"/>
                <w:szCs w:val="8"/>
                <w:color w:val="auto"/>
              </w:rPr>
            </w:pPr>
          </w:p>
        </w:tc>
        <w:tc>
          <w:tcPr>
            <w:tcW w:w="10180" w:type="dxa"/>
            <w:vAlign w:val="bottom"/>
          </w:tcPr>
          <w:p>
            <w:pPr>
              <w:ind w:left="260"/>
              <w:spacing w:after="0" w:line="99" w:lineRule="exact"/>
              <w:rPr>
                <w:sz w:val="20"/>
                <w:szCs w:val="20"/>
                <w:color w:val="auto"/>
              </w:rPr>
            </w:pPr>
            <w:r>
              <w:rPr>
                <w:rFonts w:ascii="Arial" w:cs="Arial" w:eastAsia="Arial" w:hAnsi="Arial"/>
                <w:sz w:val="9"/>
                <w:szCs w:val="9"/>
                <w:color w:val="auto"/>
              </w:rPr>
              <w:t>Retained earnings</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28,860</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25,210</w:t>
            </w:r>
          </w:p>
        </w:tc>
        <w:tc>
          <w:tcPr>
            <w:tcW w:w="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Accumulated other comprehensive loss</w:t>
            </w:r>
          </w:p>
        </w:tc>
        <w:tc>
          <w:tcPr>
            <w:tcW w:w="1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b w:val="1"/>
                <w:bCs w:val="1"/>
                <w:color w:val="auto"/>
              </w:rPr>
              <w:t>(3,557)</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(2,768)</w:t>
            </w:r>
          </w:p>
        </w:tc>
      </w:tr>
      <w:tr>
        <w:trPr>
          <w:trHeight w:val="97"/>
        </w:trPr>
        <w:tc>
          <w:tcPr>
            <w:tcW w:w="20" w:type="dxa"/>
            <w:vAlign w:val="bottom"/>
          </w:tcPr>
          <w:p>
            <w:pPr>
              <w:spacing w:after="0"/>
              <w:rPr>
                <w:sz w:val="8"/>
                <w:szCs w:val="8"/>
                <w:color w:val="auto"/>
              </w:rPr>
            </w:pPr>
          </w:p>
        </w:tc>
        <w:tc>
          <w:tcPr>
            <w:tcW w:w="10180" w:type="dxa"/>
            <w:vAlign w:val="bottom"/>
            <w:tcBorders>
              <w:top w:val="single" w:sz="8" w:color="auto"/>
            </w:tcBorders>
          </w:tcPr>
          <w:p>
            <w:pPr>
              <w:ind w:left="260"/>
              <w:spacing w:after="0" w:line="98" w:lineRule="exact"/>
              <w:rPr>
                <w:sz w:val="20"/>
                <w:szCs w:val="20"/>
                <w:color w:val="auto"/>
              </w:rPr>
            </w:pPr>
            <w:r>
              <w:rPr>
                <w:rFonts w:ascii="Arial" w:cs="Arial" w:eastAsia="Arial" w:hAnsi="Arial"/>
                <w:sz w:val="9"/>
                <w:szCs w:val="9"/>
                <w:color w:val="auto"/>
              </w:rPr>
              <w:t>Schlumberger stockholders’ equity</w:t>
            </w: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31,263</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31,226</w:t>
            </w:r>
          </w:p>
        </w:tc>
        <w:tc>
          <w:tcPr>
            <w:tcW w:w="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0180" w:type="dxa"/>
            <w:vAlign w:val="bottom"/>
            <w:tcBorders>
              <w:bottom w:val="single" w:sz="8" w:color="auto"/>
            </w:tcBorders>
            <w:shd w:val="clear" w:color="auto" w:fill="CCEEFF"/>
          </w:tcPr>
          <w:p>
            <w:pPr>
              <w:ind w:left="260"/>
              <w:spacing w:after="0" w:line="99" w:lineRule="exact"/>
              <w:rPr>
                <w:sz w:val="20"/>
                <w:szCs w:val="20"/>
                <w:color w:val="auto"/>
              </w:rPr>
            </w:pPr>
            <w:r>
              <w:rPr>
                <w:rFonts w:ascii="Arial" w:cs="Arial" w:eastAsia="Arial" w:hAnsi="Arial"/>
                <w:sz w:val="9"/>
                <w:szCs w:val="9"/>
                <w:color w:val="auto"/>
              </w:rPr>
              <w:t>Noncontrolling interests</w:t>
            </w:r>
          </w:p>
        </w:tc>
        <w:tc>
          <w:tcPr>
            <w:tcW w:w="1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129</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218</w:t>
            </w:r>
          </w:p>
        </w:tc>
        <w:tc>
          <w:tcPr>
            <w:tcW w:w="80" w:type="dxa"/>
            <w:vAlign w:val="bottom"/>
            <w:shd w:val="clear" w:color="auto" w:fill="CCEEFF"/>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10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31,392</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31,444</w:t>
            </w:r>
          </w:p>
        </w:tc>
        <w:tc>
          <w:tcPr>
            <w:tcW w:w="80" w:type="dxa"/>
            <w:vAlign w:val="bottom"/>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101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78"/>
              </w:rPr>
              <w:t>$</w:t>
            </w: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55,201</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center"/>
              <w:spacing w:after="0" w:line="98" w:lineRule="exact"/>
              <w:rPr>
                <w:sz w:val="20"/>
                <w:szCs w:val="20"/>
                <w:color w:val="auto"/>
              </w:rPr>
            </w:pPr>
            <w:r>
              <w:rPr>
                <w:rFonts w:ascii="Arial" w:cs="Arial" w:eastAsia="Arial" w:hAnsi="Arial"/>
                <w:sz w:val="9"/>
                <w:szCs w:val="9"/>
                <w:color w:val="auto"/>
              </w:rPr>
              <w:t>$</w:t>
            </w: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51,767</w:t>
            </w:r>
          </w:p>
        </w:tc>
        <w:tc>
          <w:tcPr>
            <w:tcW w:w="80" w:type="dxa"/>
            <w:vAlign w:val="bottom"/>
            <w:shd w:val="clear" w:color="auto" w:fill="CCEEFF"/>
          </w:tcPr>
          <w:p>
            <w:pPr>
              <w:spacing w:after="0"/>
              <w:rPr>
                <w:sz w:val="8"/>
                <w:szCs w:val="8"/>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See the </w:t>
      </w:r>
      <w:r>
        <w:rPr>
          <w:rFonts w:ascii="Arial" w:cs="Arial" w:eastAsia="Arial" w:hAnsi="Arial"/>
          <w:sz w:val="9"/>
          <w:szCs w:val="9"/>
          <w:i w:val="1"/>
          <w:iCs w:val="1"/>
          <w:color w:val="auto"/>
        </w:rPr>
        <w:t>Notes to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9"/>
          <w:szCs w:val="9"/>
          <w:color w:val="auto"/>
        </w:rPr>
        <w:t>35</w:t>
      </w:r>
    </w:p>
    <w:p>
      <w:pPr>
        <w:sectPr>
          <w:pgSz w:w="11900" w:h="16838" w:orient="portrait"/>
          <w:cols w:equalWidth="0" w:num="1">
            <w:col w:w="11480"/>
          </w:cols>
          <w:pgMar w:left="220" w:top="354" w:right="199"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left="4740"/>
        <w:spacing w:after="0"/>
        <w:rPr>
          <w:sz w:val="20"/>
          <w:szCs w:val="20"/>
          <w:color w:val="auto"/>
        </w:rPr>
      </w:pPr>
      <w:r>
        <w:rPr>
          <w:rFonts w:ascii="Arial" w:cs="Arial" w:eastAsia="Arial" w:hAnsi="Arial"/>
          <w:sz w:val="9"/>
          <w:szCs w:val="9"/>
          <w:color w:val="auto"/>
        </w:rPr>
        <w:t>SCHLUMBERGER LIMITED AND SUBSIDIARIES</w:t>
      </w:r>
    </w:p>
    <w:p>
      <w:pPr>
        <w:spacing w:after="0" w:line="50" w:lineRule="exact"/>
        <w:rPr>
          <w:sz w:val="20"/>
          <w:szCs w:val="20"/>
          <w:color w:val="auto"/>
        </w:rPr>
      </w:pPr>
    </w:p>
    <w:p>
      <w:pPr>
        <w:ind w:left="4760"/>
        <w:spacing w:after="0"/>
        <w:rPr>
          <w:sz w:val="20"/>
          <w:szCs w:val="20"/>
          <w:color w:val="auto"/>
        </w:rPr>
      </w:pPr>
      <w:r>
        <w:rPr>
          <w:rFonts w:ascii="Arial" w:cs="Arial" w:eastAsia="Arial" w:hAnsi="Arial"/>
          <w:sz w:val="9"/>
          <w:szCs w:val="9"/>
          <w:color w:val="auto"/>
        </w:rPr>
        <w:t>CONSOLIDATED STATEMENT OF CASH FLOWS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1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5"/>
          </w:tcPr>
          <w:p>
            <w:pPr>
              <w:jc w:val="right"/>
              <w:ind w:right="60"/>
              <w:spacing w:after="0"/>
              <w:rPr>
                <w:sz w:val="20"/>
                <w:szCs w:val="20"/>
                <w:color w:val="auto"/>
              </w:rPr>
            </w:pPr>
            <w:r>
              <w:rPr>
                <w:rFonts w:ascii="Arial" w:cs="Arial" w:eastAsia="Arial" w:hAnsi="Arial"/>
                <w:sz w:val="9"/>
                <w:szCs w:val="9"/>
                <w:b w:val="1"/>
                <w:bCs w:val="1"/>
                <w:color w:val="auto"/>
              </w:rPr>
              <w:t>(Stated in millions)</w:t>
            </w:r>
          </w:p>
        </w:tc>
        <w:tc>
          <w:tcPr>
            <w:tcW w:w="0" w:type="dxa"/>
            <w:vAlign w:val="bottom"/>
          </w:tcPr>
          <w:p>
            <w:pPr>
              <w:spacing w:after="0"/>
              <w:rPr>
                <w:sz w:val="1"/>
                <w:szCs w:val="1"/>
                <w:color w:val="auto"/>
              </w:rPr>
            </w:pPr>
          </w:p>
        </w:tc>
      </w:tr>
      <w:tr>
        <w:trPr>
          <w:trHeight w:val="163"/>
        </w:trPr>
        <w:tc>
          <w:tcPr>
            <w:tcW w:w="6480" w:type="dxa"/>
            <w:vAlign w:val="bottom"/>
            <w:gridSpan w:val="2"/>
          </w:tcPr>
          <w:p>
            <w:pPr>
              <w:spacing w:after="0"/>
              <w:rPr>
                <w:sz w:val="20"/>
                <w:szCs w:val="20"/>
                <w:color w:val="auto"/>
              </w:rPr>
            </w:pPr>
            <w:r>
              <w:rPr>
                <w:rFonts w:ascii="Arial" w:cs="Arial" w:eastAsia="Arial" w:hAnsi="Arial"/>
                <w:sz w:val="9"/>
                <w:szCs w:val="9"/>
                <w:b w:val="1"/>
                <w:bCs w:val="1"/>
                <w:color w:val="auto"/>
              </w:rPr>
              <w:t>Year Ended December 31,</w:t>
            </w:r>
          </w:p>
        </w:tc>
        <w:tc>
          <w:tcPr>
            <w:tcW w:w="3960" w:type="dxa"/>
            <w:vAlign w:val="bottom"/>
            <w:gridSpan w:val="3"/>
          </w:tcPr>
          <w:p>
            <w:pPr>
              <w:jc w:val="right"/>
              <w:ind w:right="400"/>
              <w:spacing w:after="0"/>
              <w:rPr>
                <w:sz w:val="20"/>
                <w:szCs w:val="20"/>
                <w:color w:val="auto"/>
              </w:rPr>
            </w:pPr>
            <w:r>
              <w:rPr>
                <w:rFonts w:ascii="Arial" w:cs="Arial" w:eastAsia="Arial" w:hAnsi="Arial"/>
                <w:sz w:val="9"/>
                <w:szCs w:val="9"/>
                <w:b w:val="1"/>
                <w:bCs w:val="1"/>
                <w:color w:val="auto"/>
              </w:rPr>
              <w:t>2011</w:t>
            </w:r>
          </w:p>
        </w:tc>
        <w:tc>
          <w:tcPr>
            <w:tcW w:w="50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2010</w:t>
            </w:r>
          </w:p>
        </w:tc>
        <w:tc>
          <w:tcPr>
            <w:tcW w:w="2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9"/>
                <w:szCs w:val="9"/>
                <w:b w:val="1"/>
                <w:bCs w:val="1"/>
                <w:color w:val="auto"/>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6480" w:type="dxa"/>
            <w:vAlign w:val="bottom"/>
            <w:tcBorders>
              <w:top w:val="single" w:sz="8" w:color="CCEEFF"/>
            </w:tcBorders>
            <w:gridSpan w:val="2"/>
            <w:shd w:val="clear" w:color="auto" w:fill="CCEEFF"/>
          </w:tcPr>
          <w:p>
            <w:pPr>
              <w:spacing w:after="0" w:line="79" w:lineRule="exact"/>
              <w:rPr>
                <w:sz w:val="20"/>
                <w:szCs w:val="20"/>
                <w:color w:val="auto"/>
              </w:rPr>
            </w:pPr>
            <w:r>
              <w:rPr>
                <w:rFonts w:ascii="Arial" w:cs="Arial" w:eastAsia="Arial" w:hAnsi="Arial"/>
                <w:sz w:val="9"/>
                <w:szCs w:val="9"/>
                <w:color w:val="auto"/>
              </w:rPr>
              <w:t>Cash flows from operating activities:</w:t>
            </w:r>
          </w:p>
        </w:tc>
        <w:tc>
          <w:tcPr>
            <w:tcW w:w="3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160"/>
              <w:spacing w:after="0" w:line="99" w:lineRule="exact"/>
              <w:rPr>
                <w:sz w:val="20"/>
                <w:szCs w:val="20"/>
                <w:color w:val="auto"/>
              </w:rPr>
            </w:pPr>
            <w:r>
              <w:rPr>
                <w:rFonts w:ascii="Arial" w:cs="Arial" w:eastAsia="Arial" w:hAnsi="Arial"/>
                <w:sz w:val="9"/>
                <w:szCs w:val="9"/>
                <w:color w:val="auto"/>
              </w:rPr>
              <w:t>Net Income</w:t>
            </w:r>
          </w:p>
        </w:tc>
        <w:tc>
          <w:tcPr>
            <w:tcW w:w="356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$ 5,013</w:t>
            </w:r>
          </w:p>
        </w:tc>
        <w:tc>
          <w:tcPr>
            <w:tcW w:w="40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w w:val="86"/>
              </w:rPr>
              <w:t>$ 4,266</w:t>
            </w: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3,142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160"/>
              <w:spacing w:after="0" w:line="99" w:lineRule="exact"/>
              <w:rPr>
                <w:sz w:val="20"/>
                <w:szCs w:val="20"/>
                <w:color w:val="auto"/>
              </w:rPr>
            </w:pPr>
            <w:r>
              <w:rPr>
                <w:rFonts w:ascii="Arial" w:cs="Arial" w:eastAsia="Arial" w:hAnsi="Arial"/>
                <w:sz w:val="9"/>
                <w:szCs w:val="9"/>
                <w:color w:val="auto"/>
              </w:rPr>
              <w:t>(Income) loss from discontinued operations</w:t>
            </w:r>
          </w:p>
        </w:tc>
        <w:tc>
          <w:tcPr>
            <w:tcW w:w="3960" w:type="dxa"/>
            <w:vAlign w:val="bottom"/>
            <w:gridSpan w:val="3"/>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(220)</w:t>
            </w: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22</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160"/>
              <w:spacing w:after="0" w:line="99" w:lineRule="exact"/>
              <w:rPr>
                <w:sz w:val="20"/>
                <w:szCs w:val="20"/>
                <w:color w:val="auto"/>
              </w:rPr>
            </w:pPr>
            <w:r>
              <w:rPr>
                <w:rFonts w:ascii="Arial" w:cs="Arial" w:eastAsia="Arial" w:hAnsi="Arial"/>
                <w:sz w:val="9"/>
                <w:szCs w:val="9"/>
                <w:color w:val="auto"/>
              </w:rPr>
              <w:t>Adjustments to reconcile net income to net cash provided by operating activities:</w:t>
            </w:r>
          </w:p>
        </w:tc>
        <w:tc>
          <w:tcPr>
            <w:tcW w:w="3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440"/>
              <w:spacing w:after="0" w:line="99" w:lineRule="exact"/>
              <w:rPr>
                <w:sz w:val="20"/>
                <w:szCs w:val="20"/>
                <w:color w:val="auto"/>
              </w:rPr>
            </w:pPr>
            <w:r>
              <w:rPr>
                <w:rFonts w:ascii="Arial" w:cs="Arial" w:eastAsia="Arial" w:hAnsi="Arial"/>
                <w:sz w:val="7"/>
                <w:szCs w:val="7"/>
                <w:color w:val="auto"/>
              </w:rPr>
              <w:t xml:space="preserve">Depreciation and amortization </w:t>
            </w:r>
            <w:r>
              <w:rPr>
                <w:rFonts w:ascii="Arial" w:cs="Arial" w:eastAsia="Arial" w:hAnsi="Arial"/>
                <w:sz w:val="11"/>
                <w:szCs w:val="11"/>
                <w:color w:val="auto"/>
                <w:vertAlign w:val="superscript"/>
              </w:rPr>
              <w:t>(1)</w:t>
            </w:r>
          </w:p>
        </w:tc>
        <w:tc>
          <w:tcPr>
            <w:tcW w:w="35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3,281</w:t>
            </w:r>
          </w:p>
        </w:tc>
        <w:tc>
          <w:tcPr>
            <w:tcW w:w="4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2,759</w:t>
            </w:r>
          </w:p>
        </w:tc>
        <w:tc>
          <w:tcPr>
            <w:tcW w:w="24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2,476</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440"/>
              <w:spacing w:after="0" w:line="99" w:lineRule="exact"/>
              <w:rPr>
                <w:sz w:val="20"/>
                <w:szCs w:val="20"/>
                <w:color w:val="auto"/>
              </w:rPr>
            </w:pPr>
            <w:r>
              <w:rPr>
                <w:rFonts w:ascii="Arial" w:cs="Arial" w:eastAsia="Arial" w:hAnsi="Arial"/>
                <w:sz w:val="9"/>
                <w:szCs w:val="9"/>
                <w:color w:val="auto"/>
              </w:rPr>
              <w:t>Gain on investment in M-I SWACO</w:t>
            </w:r>
          </w:p>
        </w:tc>
        <w:tc>
          <w:tcPr>
            <w:tcW w:w="3260" w:type="dxa"/>
            <w:vAlign w:val="bottom"/>
          </w:tcPr>
          <w:p>
            <w:pPr>
              <w:spacing w:after="0"/>
              <w:rPr>
                <w:sz w:val="8"/>
                <w:szCs w:val="8"/>
                <w:color w:val="auto"/>
              </w:rPr>
            </w:pPr>
          </w:p>
        </w:tc>
        <w:tc>
          <w:tcPr>
            <w:tcW w:w="700" w:type="dxa"/>
            <w:vAlign w:val="bottom"/>
            <w:gridSpan w:val="2"/>
          </w:tcPr>
          <w:p>
            <w:pPr>
              <w:jc w:val="right"/>
              <w:ind w:right="400"/>
              <w:spacing w:after="0" w:line="99" w:lineRule="exact"/>
              <w:rPr>
                <w:sz w:val="20"/>
                <w:szCs w:val="20"/>
                <w:color w:val="auto"/>
              </w:rPr>
            </w:pPr>
            <w:r>
              <w:rPr>
                <w:rFonts w:ascii="Arial" w:cs="Arial" w:eastAsia="Arial" w:hAnsi="Arial"/>
                <w:sz w:val="9"/>
                <w:szCs w:val="9"/>
                <w:b w:val="1"/>
                <w:bCs w:val="1"/>
                <w:color w:val="auto"/>
              </w:rPr>
              <w:t>–</w:t>
            </w: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w w:val="98"/>
              </w:rPr>
              <w:t>(1,270)</w:t>
            </w:r>
          </w:p>
        </w:tc>
        <w:tc>
          <w:tcPr>
            <w:tcW w:w="240" w:type="dxa"/>
            <w:vAlign w:val="bottom"/>
          </w:tcPr>
          <w:p>
            <w:pPr>
              <w:spacing w:after="0"/>
              <w:rPr>
                <w:sz w:val="8"/>
                <w:szCs w:val="8"/>
                <w:color w:val="auto"/>
              </w:rPr>
            </w:pPr>
          </w:p>
        </w:tc>
        <w:tc>
          <w:tcPr>
            <w:tcW w:w="3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440"/>
              <w:spacing w:after="0" w:line="99" w:lineRule="exact"/>
              <w:rPr>
                <w:sz w:val="20"/>
                <w:szCs w:val="20"/>
                <w:color w:val="auto"/>
              </w:rPr>
            </w:pPr>
            <w:r>
              <w:rPr>
                <w:rFonts w:ascii="Arial" w:cs="Arial" w:eastAsia="Arial" w:hAnsi="Arial"/>
                <w:sz w:val="9"/>
                <w:szCs w:val="9"/>
                <w:color w:val="auto"/>
              </w:rPr>
              <w:t>Earnings of companies carried at equity, less dividends received</w:t>
            </w:r>
          </w:p>
        </w:tc>
        <w:tc>
          <w:tcPr>
            <w:tcW w:w="3960" w:type="dxa"/>
            <w:vAlign w:val="bottom"/>
            <w:gridSpan w:val="3"/>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(64)</w:t>
            </w: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(85)</w:t>
            </w: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(103)</w:t>
            </w: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440"/>
              <w:spacing w:after="0" w:line="99" w:lineRule="exact"/>
              <w:rPr>
                <w:sz w:val="20"/>
                <w:szCs w:val="20"/>
                <w:color w:val="auto"/>
              </w:rPr>
            </w:pPr>
            <w:r>
              <w:rPr>
                <w:rFonts w:ascii="Arial" w:cs="Arial" w:eastAsia="Arial" w:hAnsi="Arial"/>
                <w:sz w:val="9"/>
                <w:szCs w:val="9"/>
                <w:color w:val="auto"/>
              </w:rPr>
              <w:t>Deferred income taxes</w:t>
            </w:r>
          </w:p>
        </w:tc>
        <w:tc>
          <w:tcPr>
            <w:tcW w:w="3960" w:type="dxa"/>
            <w:vAlign w:val="bottom"/>
            <w:gridSpan w:val="3"/>
          </w:tcPr>
          <w:p>
            <w:pPr>
              <w:jc w:val="right"/>
              <w:ind w:right="380"/>
              <w:spacing w:after="0" w:line="99" w:lineRule="exact"/>
              <w:rPr>
                <w:sz w:val="20"/>
                <w:szCs w:val="20"/>
                <w:color w:val="auto"/>
              </w:rPr>
            </w:pPr>
            <w:r>
              <w:rPr>
                <w:rFonts w:ascii="Arial" w:cs="Arial" w:eastAsia="Arial" w:hAnsi="Arial"/>
                <w:sz w:val="9"/>
                <w:szCs w:val="9"/>
                <w:b w:val="1"/>
                <w:bCs w:val="1"/>
                <w:color w:val="auto"/>
              </w:rPr>
              <w:t>(35)</w:t>
            </w: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(109)</w:t>
            </w:r>
          </w:p>
        </w:tc>
        <w:tc>
          <w:tcPr>
            <w:tcW w:w="2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373</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440"/>
              <w:spacing w:after="0" w:line="99" w:lineRule="exact"/>
              <w:rPr>
                <w:sz w:val="20"/>
                <w:szCs w:val="20"/>
                <w:color w:val="auto"/>
              </w:rPr>
            </w:pPr>
            <w:r>
              <w:rPr>
                <w:rFonts w:ascii="Arial" w:cs="Arial" w:eastAsia="Arial" w:hAnsi="Arial"/>
                <w:sz w:val="9"/>
                <w:szCs w:val="9"/>
                <w:color w:val="auto"/>
              </w:rPr>
              <w:t>Stock-based compensation expense</w:t>
            </w:r>
          </w:p>
        </w:tc>
        <w:tc>
          <w:tcPr>
            <w:tcW w:w="35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272</w:t>
            </w:r>
          </w:p>
        </w:tc>
        <w:tc>
          <w:tcPr>
            <w:tcW w:w="4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198</w:t>
            </w:r>
          </w:p>
        </w:tc>
        <w:tc>
          <w:tcPr>
            <w:tcW w:w="24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186</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440"/>
              <w:spacing w:after="0" w:line="99" w:lineRule="exact"/>
              <w:rPr>
                <w:sz w:val="20"/>
                <w:szCs w:val="20"/>
                <w:color w:val="auto"/>
              </w:rPr>
            </w:pPr>
            <w:r>
              <w:rPr>
                <w:rFonts w:ascii="Arial" w:cs="Arial" w:eastAsia="Arial" w:hAnsi="Arial"/>
                <w:sz w:val="9"/>
                <w:szCs w:val="9"/>
                <w:color w:val="auto"/>
              </w:rPr>
              <w:t>Pension and other postretirement benefits expense</w:t>
            </w:r>
          </w:p>
        </w:tc>
        <w:tc>
          <w:tcPr>
            <w:tcW w:w="356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365</w:t>
            </w:r>
          </w:p>
        </w:tc>
        <w:tc>
          <w:tcPr>
            <w:tcW w:w="40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299</w:t>
            </w:r>
          </w:p>
        </w:tc>
        <w:tc>
          <w:tcPr>
            <w:tcW w:w="2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306</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440"/>
              <w:spacing w:after="0" w:line="99" w:lineRule="exact"/>
              <w:rPr>
                <w:sz w:val="20"/>
                <w:szCs w:val="20"/>
                <w:color w:val="auto"/>
              </w:rPr>
            </w:pPr>
            <w:r>
              <w:rPr>
                <w:rFonts w:ascii="Arial" w:cs="Arial" w:eastAsia="Arial" w:hAnsi="Arial"/>
                <w:sz w:val="9"/>
                <w:szCs w:val="9"/>
                <w:color w:val="auto"/>
              </w:rPr>
              <w:t>Pension and other postretirement benefits curtailment charge</w:t>
            </w:r>
          </w:p>
        </w:tc>
        <w:tc>
          <w:tcPr>
            <w:tcW w:w="32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400"/>
              <w:spacing w:after="0" w:line="99" w:lineRule="exact"/>
              <w:rPr>
                <w:sz w:val="20"/>
                <w:szCs w:val="20"/>
                <w:color w:val="auto"/>
              </w:rPr>
            </w:pPr>
            <w:r>
              <w:rPr>
                <w:rFonts w:ascii="Arial" w:cs="Arial" w:eastAsia="Arial" w:hAnsi="Arial"/>
                <w:sz w:val="9"/>
                <w:szCs w:val="9"/>
                <w:b w:val="1"/>
                <w:bCs w:val="1"/>
                <w:color w:val="auto"/>
              </w:rPr>
              <w:t>–</w:t>
            </w: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136</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440"/>
              <w:spacing w:after="0" w:line="99" w:lineRule="exact"/>
              <w:rPr>
                <w:sz w:val="20"/>
                <w:szCs w:val="20"/>
                <w:color w:val="auto"/>
              </w:rPr>
            </w:pPr>
            <w:r>
              <w:rPr>
                <w:rFonts w:ascii="Arial" w:cs="Arial" w:eastAsia="Arial" w:hAnsi="Arial"/>
                <w:sz w:val="9"/>
                <w:szCs w:val="9"/>
                <w:color w:val="auto"/>
              </w:rPr>
              <w:t>Other non-cash items</w:t>
            </w:r>
          </w:p>
        </w:tc>
        <w:tc>
          <w:tcPr>
            <w:tcW w:w="356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203</w:t>
            </w:r>
          </w:p>
        </w:tc>
        <w:tc>
          <w:tcPr>
            <w:tcW w:w="40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327</w:t>
            </w:r>
          </w:p>
        </w:tc>
        <w:tc>
          <w:tcPr>
            <w:tcW w:w="2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162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440"/>
              <w:spacing w:after="0" w:line="99" w:lineRule="exact"/>
              <w:rPr>
                <w:sz w:val="20"/>
                <w:szCs w:val="20"/>
                <w:color w:val="auto"/>
              </w:rPr>
            </w:pPr>
            <w:r>
              <w:rPr>
                <w:rFonts w:ascii="Arial" w:cs="Arial" w:eastAsia="Arial" w:hAnsi="Arial"/>
                <w:sz w:val="9"/>
                <w:szCs w:val="9"/>
                <w:color w:val="auto"/>
              </w:rPr>
              <w:t>Pension and other postretirement benefits funding</w:t>
            </w:r>
          </w:p>
        </w:tc>
        <w:tc>
          <w:tcPr>
            <w:tcW w:w="3960" w:type="dxa"/>
            <w:vAlign w:val="bottom"/>
            <w:gridSpan w:val="3"/>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(601)</w:t>
            </w: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(868)</w:t>
            </w: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w w:val="83"/>
              </w:rPr>
              <w:t>(1,149)</w:t>
            </w: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160"/>
              <w:spacing w:after="0" w:line="99" w:lineRule="exact"/>
              <w:rPr>
                <w:sz w:val="20"/>
                <w:szCs w:val="20"/>
                <w:color w:val="auto"/>
              </w:rPr>
            </w:pPr>
            <w:r>
              <w:rPr>
                <w:rFonts w:ascii="Arial" w:cs="Arial" w:eastAsia="Arial" w:hAnsi="Arial"/>
                <w:sz w:val="7"/>
                <w:szCs w:val="7"/>
                <w:color w:val="auto"/>
              </w:rPr>
              <w:t xml:space="preserve">Change in operating assets and liabilities: </w:t>
            </w:r>
            <w:r>
              <w:rPr>
                <w:rFonts w:ascii="Arial" w:cs="Arial" w:eastAsia="Arial" w:hAnsi="Arial"/>
                <w:sz w:val="11"/>
                <w:szCs w:val="11"/>
                <w:color w:val="auto"/>
                <w:vertAlign w:val="superscript"/>
              </w:rPr>
              <w:t>(2)</w:t>
            </w:r>
          </w:p>
        </w:tc>
        <w:tc>
          <w:tcPr>
            <w:tcW w:w="3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440"/>
              <w:spacing w:after="0" w:line="99" w:lineRule="exact"/>
              <w:rPr>
                <w:sz w:val="20"/>
                <w:szCs w:val="20"/>
                <w:color w:val="auto"/>
              </w:rPr>
            </w:pPr>
            <w:r>
              <w:rPr>
                <w:rFonts w:ascii="Arial" w:cs="Arial" w:eastAsia="Arial" w:hAnsi="Arial"/>
                <w:sz w:val="9"/>
                <w:szCs w:val="9"/>
                <w:color w:val="auto"/>
              </w:rPr>
              <w:t>(Increase) decrease in receivables</w:t>
            </w:r>
          </w:p>
        </w:tc>
        <w:tc>
          <w:tcPr>
            <w:tcW w:w="3960" w:type="dxa"/>
            <w:vAlign w:val="bottom"/>
            <w:gridSpan w:val="3"/>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(1,310)</w:t>
            </w: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(289)</w:t>
            </w:r>
          </w:p>
        </w:tc>
        <w:tc>
          <w:tcPr>
            <w:tcW w:w="24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155</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440"/>
              <w:spacing w:after="0" w:line="99" w:lineRule="exact"/>
              <w:rPr>
                <w:sz w:val="20"/>
                <w:szCs w:val="20"/>
                <w:color w:val="auto"/>
              </w:rPr>
            </w:pPr>
            <w:r>
              <w:rPr>
                <w:rFonts w:ascii="Arial" w:cs="Arial" w:eastAsia="Arial" w:hAnsi="Arial"/>
                <w:sz w:val="9"/>
                <w:szCs w:val="9"/>
                <w:color w:val="auto"/>
              </w:rPr>
              <w:t>(Increase) decrease in inventories</w:t>
            </w:r>
          </w:p>
        </w:tc>
        <w:tc>
          <w:tcPr>
            <w:tcW w:w="3960" w:type="dxa"/>
            <w:vAlign w:val="bottom"/>
            <w:gridSpan w:val="3"/>
          </w:tcPr>
          <w:p>
            <w:pPr>
              <w:jc w:val="right"/>
              <w:ind w:right="380"/>
              <w:spacing w:after="0" w:line="99" w:lineRule="exact"/>
              <w:rPr>
                <w:sz w:val="20"/>
                <w:szCs w:val="20"/>
                <w:color w:val="auto"/>
              </w:rPr>
            </w:pPr>
            <w:r>
              <w:rPr>
                <w:rFonts w:ascii="Arial" w:cs="Arial" w:eastAsia="Arial" w:hAnsi="Arial"/>
                <w:sz w:val="9"/>
                <w:szCs w:val="9"/>
                <w:b w:val="1"/>
                <w:bCs w:val="1"/>
                <w:color w:val="auto"/>
              </w:rPr>
              <w:t>(991)</w:t>
            </w: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(67)</w:t>
            </w:r>
          </w:p>
        </w:tc>
        <w:tc>
          <w:tcPr>
            <w:tcW w:w="2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64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440"/>
              <w:spacing w:after="0" w:line="99" w:lineRule="exact"/>
              <w:rPr>
                <w:sz w:val="20"/>
                <w:szCs w:val="20"/>
                <w:color w:val="auto"/>
              </w:rPr>
            </w:pPr>
            <w:r>
              <w:rPr>
                <w:rFonts w:ascii="Arial" w:cs="Arial" w:eastAsia="Arial" w:hAnsi="Arial"/>
                <w:sz w:val="9"/>
                <w:szCs w:val="9"/>
                <w:color w:val="auto"/>
              </w:rPr>
              <w:t>(Increase) decrease in other current assets</w:t>
            </w:r>
          </w:p>
        </w:tc>
        <w:tc>
          <w:tcPr>
            <w:tcW w:w="3960" w:type="dxa"/>
            <w:vAlign w:val="bottom"/>
            <w:gridSpan w:val="3"/>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(99)</w:t>
            </w: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136</w:t>
            </w:r>
          </w:p>
        </w:tc>
        <w:tc>
          <w:tcPr>
            <w:tcW w:w="24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9</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440"/>
              <w:spacing w:after="0" w:line="99" w:lineRule="exact"/>
              <w:rPr>
                <w:sz w:val="20"/>
                <w:szCs w:val="20"/>
                <w:color w:val="auto"/>
              </w:rPr>
            </w:pPr>
            <w:r>
              <w:rPr>
                <w:rFonts w:ascii="Arial" w:cs="Arial" w:eastAsia="Arial" w:hAnsi="Arial"/>
                <w:sz w:val="9"/>
                <w:szCs w:val="9"/>
                <w:color w:val="auto"/>
              </w:rPr>
              <w:t>Increase (decrease) in accounts payable and accrued liabilities</w:t>
            </w:r>
          </w:p>
        </w:tc>
        <w:tc>
          <w:tcPr>
            <w:tcW w:w="356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708</w:t>
            </w:r>
          </w:p>
        </w:tc>
        <w:tc>
          <w:tcPr>
            <w:tcW w:w="40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(103)</w:t>
            </w:r>
          </w:p>
        </w:tc>
        <w:tc>
          <w:tcPr>
            <w:tcW w:w="240" w:type="dxa"/>
            <w:vAlign w:val="bottom"/>
          </w:tcPr>
          <w:p>
            <w:pPr>
              <w:spacing w:after="0"/>
              <w:rPr>
                <w:sz w:val="8"/>
                <w:szCs w:val="8"/>
                <w:color w:val="auto"/>
              </w:rPr>
            </w:pPr>
          </w:p>
        </w:tc>
        <w:tc>
          <w:tcPr>
            <w:tcW w:w="30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(293)</w:t>
            </w: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440"/>
              <w:spacing w:after="0" w:line="99" w:lineRule="exact"/>
              <w:rPr>
                <w:sz w:val="20"/>
                <w:szCs w:val="20"/>
                <w:color w:val="auto"/>
              </w:rPr>
            </w:pPr>
            <w:r>
              <w:rPr>
                <w:rFonts w:ascii="Arial" w:cs="Arial" w:eastAsia="Arial" w:hAnsi="Arial"/>
                <w:sz w:val="9"/>
                <w:szCs w:val="9"/>
                <w:color w:val="auto"/>
              </w:rPr>
              <w:t>(Decrease) increase in estimated liability for taxes on income</w:t>
            </w:r>
          </w:p>
        </w:tc>
        <w:tc>
          <w:tcPr>
            <w:tcW w:w="3960" w:type="dxa"/>
            <w:vAlign w:val="bottom"/>
            <w:gridSpan w:val="3"/>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(544)</w:t>
            </w: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480</w:t>
            </w: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(361)</w:t>
            </w: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440"/>
              <w:spacing w:after="0" w:line="99" w:lineRule="exact"/>
              <w:rPr>
                <w:sz w:val="20"/>
                <w:szCs w:val="20"/>
                <w:color w:val="auto"/>
              </w:rPr>
            </w:pPr>
            <w:r>
              <w:rPr>
                <w:rFonts w:ascii="Arial" w:cs="Arial" w:eastAsia="Arial" w:hAnsi="Arial"/>
                <w:sz w:val="9"/>
                <w:szCs w:val="9"/>
                <w:color w:val="auto"/>
              </w:rPr>
              <w:t>(Decrease) increase in other liabilities</w:t>
            </w:r>
          </w:p>
        </w:tc>
        <w:tc>
          <w:tcPr>
            <w:tcW w:w="356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168</w:t>
            </w:r>
          </w:p>
        </w:tc>
        <w:tc>
          <w:tcPr>
            <w:tcW w:w="40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(89)</w:t>
            </w:r>
          </w:p>
        </w:tc>
        <w:tc>
          <w:tcPr>
            <w:tcW w:w="2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43</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440"/>
              <w:spacing w:after="0" w:line="99" w:lineRule="exact"/>
              <w:rPr>
                <w:sz w:val="20"/>
                <w:szCs w:val="20"/>
                <w:color w:val="auto"/>
              </w:rPr>
            </w:pPr>
            <w:r>
              <w:rPr>
                <w:rFonts w:ascii="Arial" w:cs="Arial" w:eastAsia="Arial" w:hAnsi="Arial"/>
                <w:sz w:val="9"/>
                <w:szCs w:val="9"/>
                <w:color w:val="auto"/>
              </w:rPr>
              <w:t>Other – net</w:t>
            </w:r>
          </w:p>
        </w:tc>
        <w:tc>
          <w:tcPr>
            <w:tcW w:w="35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23</w:t>
            </w:r>
          </w:p>
        </w:tc>
        <w:tc>
          <w:tcPr>
            <w:tcW w:w="4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(91)</w:t>
            </w:r>
          </w:p>
        </w:tc>
        <w:tc>
          <w:tcPr>
            <w:tcW w:w="24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143</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480" w:type="dxa"/>
            <w:vAlign w:val="bottom"/>
            <w:tcBorders>
              <w:top w:val="single" w:sz="8" w:color="auto"/>
              <w:bottom w:val="single" w:sz="8" w:color="auto"/>
            </w:tcBorders>
            <w:gridSpan w:val="2"/>
          </w:tcPr>
          <w:p>
            <w:pPr>
              <w:spacing w:after="0" w:line="98" w:lineRule="exact"/>
              <w:rPr>
                <w:sz w:val="20"/>
                <w:szCs w:val="20"/>
                <w:color w:val="auto"/>
              </w:rPr>
            </w:pPr>
            <w:r>
              <w:rPr>
                <w:rFonts w:ascii="Arial" w:cs="Arial" w:eastAsia="Arial" w:hAnsi="Arial"/>
                <w:sz w:val="9"/>
                <w:szCs w:val="9"/>
                <w:color w:val="auto"/>
              </w:rPr>
              <w:t>NET CASH PROVIDED BY OPERATING ACTIVITIES</w:t>
            </w:r>
          </w:p>
        </w:tc>
        <w:tc>
          <w:tcPr>
            <w:tcW w:w="356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b w:val="1"/>
                <w:bCs w:val="1"/>
                <w:color w:val="auto"/>
              </w:rPr>
              <w:t>6,169</w:t>
            </w:r>
          </w:p>
        </w:tc>
        <w:tc>
          <w:tcPr>
            <w:tcW w:w="400" w:type="dxa"/>
            <w:vAlign w:val="bottom"/>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5,494</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7"/>
              </w:rPr>
              <w:t>5,311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4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Cash flows from investing activities:</w:t>
            </w:r>
          </w:p>
        </w:tc>
        <w:tc>
          <w:tcPr>
            <w:tcW w:w="32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160"/>
              <w:spacing w:after="0" w:line="99" w:lineRule="exact"/>
              <w:rPr>
                <w:sz w:val="20"/>
                <w:szCs w:val="20"/>
                <w:color w:val="auto"/>
              </w:rPr>
            </w:pPr>
            <w:r>
              <w:rPr>
                <w:rFonts w:ascii="Arial" w:cs="Arial" w:eastAsia="Arial" w:hAnsi="Arial"/>
                <w:sz w:val="9"/>
                <w:szCs w:val="9"/>
                <w:color w:val="auto"/>
              </w:rPr>
              <w:t>Capital expenditures</w:t>
            </w:r>
          </w:p>
        </w:tc>
        <w:tc>
          <w:tcPr>
            <w:tcW w:w="3960" w:type="dxa"/>
            <w:vAlign w:val="bottom"/>
            <w:gridSpan w:val="3"/>
          </w:tcPr>
          <w:p>
            <w:pPr>
              <w:jc w:val="right"/>
              <w:ind w:right="380"/>
              <w:spacing w:after="0" w:line="99" w:lineRule="exact"/>
              <w:rPr>
                <w:sz w:val="20"/>
                <w:szCs w:val="20"/>
                <w:color w:val="auto"/>
              </w:rPr>
            </w:pPr>
            <w:r>
              <w:rPr>
                <w:rFonts w:ascii="Arial" w:cs="Arial" w:eastAsia="Arial" w:hAnsi="Arial"/>
                <w:sz w:val="9"/>
                <w:szCs w:val="9"/>
                <w:b w:val="1"/>
                <w:bCs w:val="1"/>
                <w:color w:val="auto"/>
              </w:rPr>
              <w:t>(4,016)</w:t>
            </w: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w w:val="98"/>
              </w:rPr>
              <w:t>(2,914)</w:t>
            </w:r>
          </w:p>
        </w:tc>
        <w:tc>
          <w:tcPr>
            <w:tcW w:w="240" w:type="dxa"/>
            <w:vAlign w:val="bottom"/>
          </w:tcPr>
          <w:p>
            <w:pPr>
              <w:spacing w:after="0"/>
              <w:rPr>
                <w:sz w:val="8"/>
                <w:szCs w:val="8"/>
                <w:color w:val="auto"/>
              </w:rPr>
            </w:pPr>
          </w:p>
        </w:tc>
        <w:tc>
          <w:tcPr>
            <w:tcW w:w="30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w w:val="83"/>
              </w:rPr>
              <w:t>(2,395)</w:t>
            </w: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160"/>
              <w:spacing w:after="0" w:line="99" w:lineRule="exact"/>
              <w:rPr>
                <w:sz w:val="20"/>
                <w:szCs w:val="20"/>
                <w:color w:val="auto"/>
              </w:rPr>
            </w:pPr>
            <w:r>
              <w:rPr>
                <w:rFonts w:ascii="Arial" w:cs="Arial" w:eastAsia="Arial" w:hAnsi="Arial"/>
                <w:sz w:val="9"/>
                <w:szCs w:val="9"/>
                <w:color w:val="auto"/>
              </w:rPr>
              <w:t>Multiclient seismic data capitalized</w:t>
            </w:r>
          </w:p>
        </w:tc>
        <w:tc>
          <w:tcPr>
            <w:tcW w:w="3960" w:type="dxa"/>
            <w:vAlign w:val="bottom"/>
            <w:gridSpan w:val="3"/>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(289)</w:t>
            </w: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(326)</w:t>
            </w: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(230)</w:t>
            </w: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160"/>
              <w:spacing w:after="0" w:line="99" w:lineRule="exact"/>
              <w:rPr>
                <w:sz w:val="20"/>
                <w:szCs w:val="20"/>
                <w:color w:val="auto"/>
              </w:rPr>
            </w:pPr>
            <w:r>
              <w:rPr>
                <w:rFonts w:ascii="Arial" w:cs="Arial" w:eastAsia="Arial" w:hAnsi="Arial"/>
                <w:sz w:val="9"/>
                <w:szCs w:val="9"/>
                <w:color w:val="auto"/>
              </w:rPr>
              <w:t>Cash acquired in acquisition of Smith International, Inc.</w:t>
            </w:r>
          </w:p>
        </w:tc>
        <w:tc>
          <w:tcPr>
            <w:tcW w:w="3260" w:type="dxa"/>
            <w:vAlign w:val="bottom"/>
          </w:tcPr>
          <w:p>
            <w:pPr>
              <w:spacing w:after="0"/>
              <w:rPr>
                <w:sz w:val="8"/>
                <w:szCs w:val="8"/>
                <w:color w:val="auto"/>
              </w:rPr>
            </w:pPr>
          </w:p>
        </w:tc>
        <w:tc>
          <w:tcPr>
            <w:tcW w:w="700" w:type="dxa"/>
            <w:vAlign w:val="bottom"/>
            <w:gridSpan w:val="2"/>
          </w:tcPr>
          <w:p>
            <w:pPr>
              <w:jc w:val="right"/>
              <w:ind w:right="400"/>
              <w:spacing w:after="0" w:line="99" w:lineRule="exact"/>
              <w:rPr>
                <w:sz w:val="20"/>
                <w:szCs w:val="20"/>
                <w:color w:val="auto"/>
              </w:rPr>
            </w:pPr>
            <w:r>
              <w:rPr>
                <w:rFonts w:ascii="Arial" w:cs="Arial" w:eastAsia="Arial" w:hAnsi="Arial"/>
                <w:sz w:val="9"/>
                <w:szCs w:val="9"/>
                <w:b w:val="1"/>
                <w:bCs w:val="1"/>
                <w:color w:val="auto"/>
              </w:rPr>
              <w:t>–</w:t>
            </w: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399</w:t>
            </w:r>
          </w:p>
        </w:tc>
        <w:tc>
          <w:tcPr>
            <w:tcW w:w="240" w:type="dxa"/>
            <w:vAlign w:val="bottom"/>
          </w:tcPr>
          <w:p>
            <w:pPr>
              <w:spacing w:after="0"/>
              <w:rPr>
                <w:sz w:val="8"/>
                <w:szCs w:val="8"/>
                <w:color w:val="auto"/>
              </w:rPr>
            </w:pPr>
          </w:p>
        </w:tc>
        <w:tc>
          <w:tcPr>
            <w:tcW w:w="3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160"/>
              <w:spacing w:after="0" w:line="99" w:lineRule="exact"/>
              <w:rPr>
                <w:sz w:val="20"/>
                <w:szCs w:val="20"/>
                <w:color w:val="auto"/>
              </w:rPr>
            </w:pPr>
            <w:r>
              <w:rPr>
                <w:rFonts w:ascii="Arial" w:cs="Arial" w:eastAsia="Arial" w:hAnsi="Arial"/>
                <w:sz w:val="9"/>
                <w:szCs w:val="9"/>
                <w:color w:val="auto"/>
              </w:rPr>
              <w:t>Acquisition of Geoservices, net of cash acquired</w:t>
            </w:r>
          </w:p>
        </w:tc>
        <w:tc>
          <w:tcPr>
            <w:tcW w:w="32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400"/>
              <w:spacing w:after="0" w:line="99" w:lineRule="exact"/>
              <w:rPr>
                <w:sz w:val="20"/>
                <w:szCs w:val="20"/>
                <w:color w:val="auto"/>
              </w:rPr>
            </w:pPr>
            <w:r>
              <w:rPr>
                <w:rFonts w:ascii="Arial" w:cs="Arial" w:eastAsia="Arial" w:hAnsi="Arial"/>
                <w:sz w:val="9"/>
                <w:szCs w:val="9"/>
                <w:b w:val="1"/>
                <w:bCs w:val="1"/>
                <w:color w:val="auto"/>
              </w:rPr>
              <w:t>–</w:t>
            </w: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(889)</w:t>
            </w: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160"/>
              <w:spacing w:after="0" w:line="99" w:lineRule="exact"/>
              <w:rPr>
                <w:sz w:val="20"/>
                <w:szCs w:val="20"/>
                <w:color w:val="auto"/>
              </w:rPr>
            </w:pPr>
            <w:r>
              <w:rPr>
                <w:rFonts w:ascii="Arial" w:cs="Arial" w:eastAsia="Arial" w:hAnsi="Arial"/>
                <w:sz w:val="9"/>
                <w:szCs w:val="9"/>
                <w:color w:val="auto"/>
              </w:rPr>
              <w:t>Other business acquisitions and investments, net of cash acquired</w:t>
            </w:r>
          </w:p>
        </w:tc>
        <w:tc>
          <w:tcPr>
            <w:tcW w:w="3960" w:type="dxa"/>
            <w:vAlign w:val="bottom"/>
            <w:gridSpan w:val="3"/>
          </w:tcPr>
          <w:p>
            <w:pPr>
              <w:jc w:val="right"/>
              <w:ind w:right="380"/>
              <w:spacing w:after="0" w:line="99" w:lineRule="exact"/>
              <w:rPr>
                <w:sz w:val="20"/>
                <w:szCs w:val="20"/>
                <w:color w:val="auto"/>
              </w:rPr>
            </w:pPr>
            <w:r>
              <w:rPr>
                <w:rFonts w:ascii="Arial" w:cs="Arial" w:eastAsia="Arial" w:hAnsi="Arial"/>
                <w:sz w:val="9"/>
                <w:szCs w:val="9"/>
                <w:b w:val="1"/>
                <w:bCs w:val="1"/>
                <w:color w:val="auto"/>
              </w:rPr>
              <w:t>(186)</w:t>
            </w: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(212)</w:t>
            </w:r>
          </w:p>
        </w:tc>
        <w:tc>
          <w:tcPr>
            <w:tcW w:w="240" w:type="dxa"/>
            <w:vAlign w:val="bottom"/>
          </w:tcPr>
          <w:p>
            <w:pPr>
              <w:spacing w:after="0"/>
              <w:rPr>
                <w:sz w:val="8"/>
                <w:szCs w:val="8"/>
                <w:color w:val="auto"/>
              </w:rPr>
            </w:pPr>
          </w:p>
        </w:tc>
        <w:tc>
          <w:tcPr>
            <w:tcW w:w="30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(514)</w:t>
            </w: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160"/>
              <w:spacing w:after="0" w:line="99" w:lineRule="exact"/>
              <w:rPr>
                <w:sz w:val="20"/>
                <w:szCs w:val="20"/>
                <w:color w:val="auto"/>
              </w:rPr>
            </w:pPr>
            <w:r>
              <w:rPr>
                <w:rFonts w:ascii="Arial" w:cs="Arial" w:eastAsia="Arial" w:hAnsi="Arial"/>
                <w:sz w:val="9"/>
                <w:szCs w:val="9"/>
                <w:color w:val="auto"/>
              </w:rPr>
              <w:t>Sale (purchase) of investments, net</w:t>
            </w:r>
          </w:p>
        </w:tc>
        <w:tc>
          <w:tcPr>
            <w:tcW w:w="35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351</w:t>
            </w:r>
          </w:p>
        </w:tc>
        <w:tc>
          <w:tcPr>
            <w:tcW w:w="4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1,023</w:t>
            </w: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w w:val="83"/>
              </w:rPr>
              <w:t>(1,159)</w:t>
            </w: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160"/>
              <w:spacing w:after="0" w:line="99" w:lineRule="exact"/>
              <w:rPr>
                <w:sz w:val="20"/>
                <w:szCs w:val="20"/>
                <w:color w:val="auto"/>
              </w:rPr>
            </w:pPr>
            <w:r>
              <w:rPr>
                <w:rFonts w:ascii="Arial" w:cs="Arial" w:eastAsia="Arial" w:hAnsi="Arial"/>
                <w:sz w:val="9"/>
                <w:szCs w:val="9"/>
                <w:color w:val="auto"/>
              </w:rPr>
              <w:t>Other</w:t>
            </w:r>
          </w:p>
        </w:tc>
        <w:tc>
          <w:tcPr>
            <w:tcW w:w="356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230</w:t>
            </w:r>
          </w:p>
        </w:tc>
        <w:tc>
          <w:tcPr>
            <w:tcW w:w="40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(19)</w:t>
            </w:r>
          </w:p>
        </w:tc>
        <w:tc>
          <w:tcPr>
            <w:tcW w:w="2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228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36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NET CASH USED IN INVESTING ACTIVITIES</w:t>
            </w:r>
          </w:p>
        </w:tc>
        <w:tc>
          <w:tcPr>
            <w:tcW w:w="3960" w:type="dxa"/>
            <w:vAlign w:val="bottom"/>
            <w:gridSpan w:val="3"/>
            <w:shd w:val="clear" w:color="auto" w:fill="CCEEFF"/>
          </w:tcPr>
          <w:p>
            <w:pPr>
              <w:jc w:val="right"/>
              <w:ind w:right="380"/>
              <w:spacing w:after="0" w:line="98" w:lineRule="exact"/>
              <w:rPr>
                <w:sz w:val="20"/>
                <w:szCs w:val="20"/>
                <w:color w:val="auto"/>
              </w:rPr>
            </w:pPr>
            <w:r>
              <w:rPr>
                <w:rFonts w:ascii="Arial" w:cs="Arial" w:eastAsia="Arial" w:hAnsi="Arial"/>
                <w:sz w:val="9"/>
                <w:szCs w:val="9"/>
                <w:b w:val="1"/>
                <w:bCs w:val="1"/>
                <w:color w:val="auto"/>
              </w:rPr>
              <w:t>(3,910)</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(2,938)</w:t>
            </w: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83"/>
              </w:rPr>
              <w:t>(4,070)</w:t>
            </w:r>
          </w:p>
        </w:tc>
        <w:tc>
          <w:tcPr>
            <w:tcW w:w="0" w:type="dxa"/>
            <w:vAlign w:val="bottom"/>
          </w:tcPr>
          <w:p>
            <w:pPr>
              <w:spacing w:after="0"/>
              <w:rPr>
                <w:sz w:val="1"/>
                <w:szCs w:val="1"/>
                <w:color w:val="auto"/>
              </w:rPr>
            </w:pPr>
          </w:p>
        </w:tc>
      </w:tr>
      <w:tr>
        <w:trPr>
          <w:trHeight w:val="97"/>
        </w:trPr>
        <w:tc>
          <w:tcPr>
            <w:tcW w:w="6480" w:type="dxa"/>
            <w:vAlign w:val="bottom"/>
            <w:tcBorders>
              <w:top w:val="single" w:sz="8" w:color="auto"/>
            </w:tcBorders>
            <w:gridSpan w:val="2"/>
          </w:tcPr>
          <w:p>
            <w:pPr>
              <w:spacing w:after="0" w:line="98" w:lineRule="exact"/>
              <w:rPr>
                <w:sz w:val="20"/>
                <w:szCs w:val="20"/>
                <w:color w:val="auto"/>
              </w:rPr>
            </w:pPr>
            <w:r>
              <w:rPr>
                <w:rFonts w:ascii="Arial" w:cs="Arial" w:eastAsia="Arial" w:hAnsi="Arial"/>
                <w:sz w:val="9"/>
                <w:szCs w:val="9"/>
                <w:color w:val="auto"/>
              </w:rPr>
              <w:t>Cash flows from financing activities:</w:t>
            </w:r>
          </w:p>
        </w:tc>
        <w:tc>
          <w:tcPr>
            <w:tcW w:w="32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160"/>
              <w:spacing w:after="0" w:line="99" w:lineRule="exact"/>
              <w:rPr>
                <w:sz w:val="20"/>
                <w:szCs w:val="20"/>
                <w:color w:val="auto"/>
              </w:rPr>
            </w:pPr>
            <w:r>
              <w:rPr>
                <w:rFonts w:ascii="Arial" w:cs="Arial" w:eastAsia="Arial" w:hAnsi="Arial"/>
                <w:sz w:val="9"/>
                <w:szCs w:val="9"/>
                <w:color w:val="auto"/>
              </w:rPr>
              <w:t>Dividends paid</w:t>
            </w:r>
          </w:p>
        </w:tc>
        <w:tc>
          <w:tcPr>
            <w:tcW w:w="3960" w:type="dxa"/>
            <w:vAlign w:val="bottom"/>
            <w:gridSpan w:val="3"/>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(1,300)</w:t>
            </w: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w w:val="98"/>
              </w:rPr>
              <w:t>(1,040)</w:t>
            </w: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w w:val="83"/>
              </w:rPr>
              <w:t>(1,006)</w:t>
            </w: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160"/>
              <w:spacing w:after="0" w:line="99" w:lineRule="exact"/>
              <w:rPr>
                <w:sz w:val="20"/>
                <w:szCs w:val="20"/>
                <w:color w:val="auto"/>
              </w:rPr>
            </w:pPr>
            <w:r>
              <w:rPr>
                <w:rFonts w:ascii="Arial" w:cs="Arial" w:eastAsia="Arial" w:hAnsi="Arial"/>
                <w:sz w:val="9"/>
                <w:szCs w:val="9"/>
                <w:color w:val="auto"/>
              </w:rPr>
              <w:t>Proceeds from employee stock purchase plan</w:t>
            </w:r>
          </w:p>
        </w:tc>
        <w:tc>
          <w:tcPr>
            <w:tcW w:w="356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208</w:t>
            </w:r>
          </w:p>
        </w:tc>
        <w:tc>
          <w:tcPr>
            <w:tcW w:w="40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179</w:t>
            </w:r>
          </w:p>
        </w:tc>
        <w:tc>
          <w:tcPr>
            <w:tcW w:w="2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96</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160"/>
              <w:spacing w:after="0" w:line="99" w:lineRule="exact"/>
              <w:rPr>
                <w:sz w:val="20"/>
                <w:szCs w:val="20"/>
                <w:color w:val="auto"/>
              </w:rPr>
            </w:pPr>
            <w:r>
              <w:rPr>
                <w:rFonts w:ascii="Arial" w:cs="Arial" w:eastAsia="Arial" w:hAnsi="Arial"/>
                <w:sz w:val="9"/>
                <w:szCs w:val="9"/>
                <w:color w:val="auto"/>
              </w:rPr>
              <w:t>Proceeds from exercise of stock options</w:t>
            </w:r>
          </w:p>
        </w:tc>
        <w:tc>
          <w:tcPr>
            <w:tcW w:w="35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230</w:t>
            </w:r>
          </w:p>
        </w:tc>
        <w:tc>
          <w:tcPr>
            <w:tcW w:w="4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222</w:t>
            </w: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110</w:t>
            </w: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160"/>
              <w:spacing w:after="0" w:line="99" w:lineRule="exact"/>
              <w:rPr>
                <w:sz w:val="20"/>
                <w:szCs w:val="20"/>
                <w:color w:val="auto"/>
              </w:rPr>
            </w:pPr>
            <w:r>
              <w:rPr>
                <w:rFonts w:ascii="Arial" w:cs="Arial" w:eastAsia="Arial" w:hAnsi="Arial"/>
                <w:sz w:val="9"/>
                <w:szCs w:val="9"/>
                <w:color w:val="auto"/>
              </w:rPr>
              <w:t>Tax benefit on stock options</w:t>
            </w:r>
          </w:p>
        </w:tc>
        <w:tc>
          <w:tcPr>
            <w:tcW w:w="356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15</w:t>
            </w:r>
          </w:p>
        </w:tc>
        <w:tc>
          <w:tcPr>
            <w:tcW w:w="40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14</w:t>
            </w:r>
          </w:p>
        </w:tc>
        <w:tc>
          <w:tcPr>
            <w:tcW w:w="2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160"/>
              <w:spacing w:after="0" w:line="99" w:lineRule="exact"/>
              <w:rPr>
                <w:sz w:val="20"/>
                <w:szCs w:val="20"/>
                <w:color w:val="auto"/>
              </w:rPr>
            </w:pPr>
            <w:r>
              <w:rPr>
                <w:rFonts w:ascii="Arial" w:cs="Arial" w:eastAsia="Arial" w:hAnsi="Arial"/>
                <w:sz w:val="9"/>
                <w:szCs w:val="9"/>
                <w:color w:val="auto"/>
              </w:rPr>
              <w:t>Stock repurchase program</w:t>
            </w:r>
          </w:p>
        </w:tc>
        <w:tc>
          <w:tcPr>
            <w:tcW w:w="3960" w:type="dxa"/>
            <w:vAlign w:val="bottom"/>
            <w:gridSpan w:val="3"/>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(2,998)</w:t>
            </w: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w w:val="98"/>
              </w:rPr>
              <w:t>(1,717)</w:t>
            </w: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(500)</w:t>
            </w: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160"/>
              <w:spacing w:after="0" w:line="99" w:lineRule="exact"/>
              <w:rPr>
                <w:sz w:val="20"/>
                <w:szCs w:val="20"/>
                <w:color w:val="auto"/>
              </w:rPr>
            </w:pPr>
            <w:r>
              <w:rPr>
                <w:rFonts w:ascii="Arial" w:cs="Arial" w:eastAsia="Arial" w:hAnsi="Arial"/>
                <w:sz w:val="9"/>
                <w:szCs w:val="9"/>
                <w:color w:val="auto"/>
              </w:rPr>
              <w:t>Proceeds from issuance of long-term debt</w:t>
            </w:r>
          </w:p>
        </w:tc>
        <w:tc>
          <w:tcPr>
            <w:tcW w:w="356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6,884</w:t>
            </w:r>
          </w:p>
        </w:tc>
        <w:tc>
          <w:tcPr>
            <w:tcW w:w="40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2,815</w:t>
            </w:r>
          </w:p>
        </w:tc>
        <w:tc>
          <w:tcPr>
            <w:tcW w:w="2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1,973</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160"/>
              <w:spacing w:after="0" w:line="99" w:lineRule="exact"/>
              <w:rPr>
                <w:sz w:val="20"/>
                <w:szCs w:val="20"/>
                <w:color w:val="auto"/>
              </w:rPr>
            </w:pPr>
            <w:r>
              <w:rPr>
                <w:rFonts w:ascii="Arial" w:cs="Arial" w:eastAsia="Arial" w:hAnsi="Arial"/>
                <w:sz w:val="9"/>
                <w:szCs w:val="9"/>
                <w:color w:val="auto"/>
              </w:rPr>
              <w:t>Repayment of long-term debt</w:t>
            </w:r>
          </w:p>
        </w:tc>
        <w:tc>
          <w:tcPr>
            <w:tcW w:w="3960" w:type="dxa"/>
            <w:vAlign w:val="bottom"/>
            <w:gridSpan w:val="3"/>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(4,992)</w:t>
            </w: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w w:val="98"/>
              </w:rPr>
              <w:t>(1,814)</w:t>
            </w: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w w:val="83"/>
              </w:rPr>
              <w:t>(1,754)</w:t>
            </w: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6360" w:type="dxa"/>
            <w:vAlign w:val="bottom"/>
          </w:tcPr>
          <w:p>
            <w:pPr>
              <w:ind w:left="160"/>
              <w:spacing w:after="0" w:line="99" w:lineRule="exact"/>
              <w:rPr>
                <w:sz w:val="20"/>
                <w:szCs w:val="20"/>
                <w:color w:val="auto"/>
              </w:rPr>
            </w:pPr>
            <w:r>
              <w:rPr>
                <w:rFonts w:ascii="Arial" w:cs="Arial" w:eastAsia="Arial" w:hAnsi="Arial"/>
                <w:sz w:val="9"/>
                <w:szCs w:val="9"/>
                <w:color w:val="auto"/>
              </w:rPr>
              <w:t>Net decrease in short-term borrowings</w:t>
            </w:r>
          </w:p>
        </w:tc>
        <w:tc>
          <w:tcPr>
            <w:tcW w:w="3960" w:type="dxa"/>
            <w:vAlign w:val="bottom"/>
            <w:gridSpan w:val="3"/>
          </w:tcPr>
          <w:p>
            <w:pPr>
              <w:jc w:val="right"/>
              <w:ind w:right="380"/>
              <w:spacing w:after="0" w:line="99" w:lineRule="exact"/>
              <w:rPr>
                <w:sz w:val="20"/>
                <w:szCs w:val="20"/>
                <w:color w:val="auto"/>
              </w:rPr>
            </w:pPr>
            <w:r>
              <w:rPr>
                <w:rFonts w:ascii="Arial" w:cs="Arial" w:eastAsia="Arial" w:hAnsi="Arial"/>
                <w:sz w:val="9"/>
                <w:szCs w:val="9"/>
                <w:b w:val="1"/>
                <w:bCs w:val="1"/>
                <w:color w:val="auto"/>
              </w:rPr>
              <w:t>(119)</w:t>
            </w: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(68)</w:t>
            </w:r>
          </w:p>
        </w:tc>
        <w:tc>
          <w:tcPr>
            <w:tcW w:w="240" w:type="dxa"/>
            <w:vAlign w:val="bottom"/>
          </w:tcPr>
          <w:p>
            <w:pPr>
              <w:spacing w:after="0"/>
              <w:rPr>
                <w:sz w:val="8"/>
                <w:szCs w:val="8"/>
                <w:color w:val="auto"/>
              </w:rPr>
            </w:pPr>
          </w:p>
        </w:tc>
        <w:tc>
          <w:tcPr>
            <w:tcW w:w="30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(111)</w:t>
            </w:r>
          </w:p>
        </w:tc>
        <w:tc>
          <w:tcPr>
            <w:tcW w:w="0" w:type="dxa"/>
            <w:vAlign w:val="bottom"/>
          </w:tcPr>
          <w:p>
            <w:pPr>
              <w:spacing w:after="0"/>
              <w:rPr>
                <w:sz w:val="1"/>
                <w:szCs w:val="1"/>
                <w:color w:val="auto"/>
              </w:rPr>
            </w:pPr>
          </w:p>
        </w:tc>
      </w:tr>
      <w:tr>
        <w:trPr>
          <w:trHeight w:val="99"/>
        </w:trPr>
        <w:tc>
          <w:tcPr>
            <w:tcW w:w="120" w:type="dxa"/>
            <w:vAlign w:val="bottom"/>
            <w:shd w:val="clear" w:color="auto" w:fill="CCEEFF"/>
          </w:tcPr>
          <w:p>
            <w:pPr>
              <w:spacing w:after="0"/>
              <w:rPr>
                <w:sz w:val="8"/>
                <w:szCs w:val="8"/>
                <w:color w:val="auto"/>
              </w:rPr>
            </w:pPr>
          </w:p>
        </w:tc>
        <w:tc>
          <w:tcPr>
            <w:tcW w:w="6360" w:type="dxa"/>
            <w:vAlign w:val="bottom"/>
            <w:shd w:val="clear" w:color="auto" w:fill="CCEEFF"/>
          </w:tcPr>
          <w:p>
            <w:pPr>
              <w:ind w:left="160"/>
              <w:spacing w:after="0" w:line="99" w:lineRule="exact"/>
              <w:rPr>
                <w:sz w:val="20"/>
                <w:szCs w:val="20"/>
                <w:color w:val="auto"/>
              </w:rPr>
            </w:pPr>
            <w:r>
              <w:rPr>
                <w:rFonts w:ascii="Arial" w:cs="Arial" w:eastAsia="Arial" w:hAnsi="Arial"/>
                <w:sz w:val="9"/>
                <w:szCs w:val="9"/>
                <w:color w:val="auto"/>
              </w:rPr>
              <w:t>Other</w:t>
            </w:r>
          </w:p>
        </w:tc>
        <w:tc>
          <w:tcPr>
            <w:tcW w:w="3960" w:type="dxa"/>
            <w:vAlign w:val="bottom"/>
            <w:gridSpan w:val="3"/>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(628)</w:t>
            </w: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6480" w:type="dxa"/>
            <w:vAlign w:val="bottom"/>
            <w:gridSpan w:val="2"/>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gridSpan w:val="2"/>
          </w:tcPr>
          <w:p>
            <w:pPr>
              <w:spacing w:after="0" w:line="98" w:lineRule="exact"/>
              <w:rPr>
                <w:sz w:val="20"/>
                <w:szCs w:val="20"/>
                <w:color w:val="auto"/>
              </w:rPr>
            </w:pPr>
            <w:r>
              <w:rPr>
                <w:rFonts w:ascii="Arial" w:cs="Arial" w:eastAsia="Arial" w:hAnsi="Arial"/>
                <w:sz w:val="9"/>
                <w:szCs w:val="9"/>
                <w:color w:val="auto"/>
              </w:rPr>
              <w:t>NET CASH USED IN FINANCING ACTIVITIES</w:t>
            </w:r>
          </w:p>
        </w:tc>
        <w:tc>
          <w:tcPr>
            <w:tcW w:w="3560" w:type="dxa"/>
            <w:vAlign w:val="bottom"/>
            <w:gridSpan w:val="2"/>
          </w:tcPr>
          <w:p>
            <w:pPr>
              <w:jc w:val="right"/>
              <w:spacing w:after="0" w:line="98" w:lineRule="exact"/>
              <w:rPr>
                <w:sz w:val="20"/>
                <w:szCs w:val="20"/>
                <w:color w:val="auto"/>
              </w:rPr>
            </w:pPr>
            <w:r>
              <w:rPr>
                <w:rFonts w:ascii="Arial" w:cs="Arial" w:eastAsia="Arial" w:hAnsi="Arial"/>
                <w:sz w:val="9"/>
                <w:szCs w:val="9"/>
                <w:b w:val="1"/>
                <w:bCs w:val="1"/>
                <w:color w:val="auto"/>
              </w:rPr>
              <w:t>(2,700)</w:t>
            </w:r>
          </w:p>
        </w:tc>
        <w:tc>
          <w:tcPr>
            <w:tcW w:w="400" w:type="dxa"/>
            <w:vAlign w:val="bottom"/>
            <w:vMerge w:val="continue"/>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(1,409)</w:t>
            </w:r>
          </w:p>
        </w:tc>
        <w:tc>
          <w:tcPr>
            <w:tcW w:w="240" w:type="dxa"/>
            <w:vAlign w:val="bottom"/>
          </w:tcPr>
          <w:p>
            <w:pPr>
              <w:spacing w:after="0"/>
              <w:rPr>
                <w:sz w:val="8"/>
                <w:szCs w:val="8"/>
                <w:color w:val="auto"/>
              </w:rPr>
            </w:pPr>
          </w:p>
        </w:tc>
        <w:tc>
          <w:tcPr>
            <w:tcW w:w="30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w w:val="83"/>
              </w:rPr>
              <w:t>(1,188)</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36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Cash flow from discontinued operations – operating activities</w:t>
            </w:r>
          </w:p>
        </w:tc>
        <w:tc>
          <w:tcPr>
            <w:tcW w:w="32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(45)</w:t>
            </w:r>
          </w:p>
        </w:tc>
        <w:tc>
          <w:tcPr>
            <w:tcW w:w="0" w:type="dxa"/>
            <w:vAlign w:val="bottom"/>
          </w:tcPr>
          <w:p>
            <w:pPr>
              <w:spacing w:after="0"/>
              <w:rPr>
                <w:sz w:val="1"/>
                <w:szCs w:val="1"/>
                <w:color w:val="auto"/>
              </w:rPr>
            </w:pPr>
          </w:p>
        </w:tc>
      </w:tr>
      <w:tr>
        <w:trPr>
          <w:trHeight w:val="99"/>
        </w:trPr>
        <w:tc>
          <w:tcPr>
            <w:tcW w:w="6480" w:type="dxa"/>
            <w:vAlign w:val="bottom"/>
            <w:tcBorders>
              <w:bottom w:val="single" w:sz="8" w:color="auto"/>
            </w:tcBorders>
            <w:gridSpan w:val="2"/>
          </w:tcPr>
          <w:p>
            <w:pPr>
              <w:spacing w:after="0" w:line="99" w:lineRule="exact"/>
              <w:rPr>
                <w:sz w:val="20"/>
                <w:szCs w:val="20"/>
                <w:color w:val="auto"/>
              </w:rPr>
            </w:pPr>
            <w:r>
              <w:rPr>
                <w:rFonts w:ascii="Arial" w:cs="Arial" w:eastAsia="Arial" w:hAnsi="Arial"/>
                <w:sz w:val="9"/>
                <w:szCs w:val="9"/>
                <w:color w:val="auto"/>
              </w:rPr>
              <w:t>Cash flow from discontinued operations – investing activities</w:t>
            </w:r>
          </w:p>
        </w:tc>
        <w:tc>
          <w:tcPr>
            <w:tcW w:w="3560" w:type="dxa"/>
            <w:vAlign w:val="bottom"/>
            <w:tcBorders>
              <w:bottom w:val="single" w:sz="8" w:color="auto"/>
            </w:tcBorders>
            <w:gridSpan w:val="2"/>
          </w:tcPr>
          <w:p>
            <w:pPr>
              <w:jc w:val="right"/>
              <w:spacing w:after="0" w:line="99" w:lineRule="exact"/>
              <w:rPr>
                <w:sz w:val="20"/>
                <w:szCs w:val="20"/>
                <w:color w:val="auto"/>
              </w:rPr>
            </w:pPr>
            <w:r>
              <w:rPr>
                <w:rFonts w:ascii="Arial" w:cs="Arial" w:eastAsia="Arial" w:hAnsi="Arial"/>
                <w:sz w:val="9"/>
                <w:szCs w:val="9"/>
                <w:b w:val="1"/>
                <w:bCs w:val="1"/>
                <w:color w:val="auto"/>
              </w:rPr>
              <w:t>385</w:t>
            </w:r>
          </w:p>
        </w:tc>
        <w:tc>
          <w:tcPr>
            <w:tcW w:w="400" w:type="dxa"/>
            <w:vAlign w:val="bottom"/>
          </w:tcPr>
          <w:p>
            <w:pPr>
              <w:spacing w:after="0"/>
              <w:rPr>
                <w:sz w:val="8"/>
                <w:szCs w:val="8"/>
                <w:color w:val="auto"/>
              </w:rPr>
            </w:pPr>
          </w:p>
        </w:tc>
        <w:tc>
          <w:tcPr>
            <w:tcW w:w="2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4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Cash flow from discontinued operations</w:t>
            </w:r>
          </w:p>
        </w:tc>
        <w:tc>
          <w:tcPr>
            <w:tcW w:w="356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385</w:t>
            </w:r>
          </w:p>
        </w:tc>
        <w:tc>
          <w:tcPr>
            <w:tcW w:w="40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(45)</w:t>
            </w:r>
          </w:p>
        </w:tc>
        <w:tc>
          <w:tcPr>
            <w:tcW w:w="0" w:type="dxa"/>
            <w:vAlign w:val="bottom"/>
          </w:tcPr>
          <w:p>
            <w:pPr>
              <w:spacing w:after="0"/>
              <w:rPr>
                <w:sz w:val="1"/>
                <w:szCs w:val="1"/>
                <w:color w:val="auto"/>
              </w:rPr>
            </w:pPr>
          </w:p>
        </w:tc>
      </w:tr>
      <w:tr>
        <w:trPr>
          <w:trHeight w:val="97"/>
        </w:trPr>
        <w:tc>
          <w:tcPr>
            <w:tcW w:w="6480" w:type="dxa"/>
            <w:vAlign w:val="bottom"/>
            <w:tcBorders>
              <w:top w:val="single" w:sz="8" w:color="auto"/>
            </w:tcBorders>
            <w:gridSpan w:val="2"/>
          </w:tcPr>
          <w:p>
            <w:pPr>
              <w:spacing w:after="0" w:line="98" w:lineRule="exact"/>
              <w:rPr>
                <w:sz w:val="20"/>
                <w:szCs w:val="20"/>
                <w:color w:val="auto"/>
              </w:rPr>
            </w:pPr>
            <w:r>
              <w:rPr>
                <w:rFonts w:ascii="Arial" w:cs="Arial" w:eastAsia="Arial" w:hAnsi="Arial"/>
                <w:sz w:val="9"/>
                <w:szCs w:val="9"/>
                <w:color w:val="auto"/>
              </w:rPr>
              <w:t>Net (decrease) increase in cash before translation effect</w:t>
            </w:r>
          </w:p>
        </w:tc>
        <w:tc>
          <w:tcPr>
            <w:tcW w:w="356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b w:val="1"/>
                <w:bCs w:val="1"/>
                <w:color w:val="auto"/>
              </w:rPr>
              <w:t>(56)</w:t>
            </w:r>
          </w:p>
        </w:tc>
        <w:tc>
          <w:tcPr>
            <w:tcW w:w="400" w:type="dxa"/>
            <w:vAlign w:val="bottom"/>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1,147</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Translation effect on cash</w:t>
            </w:r>
          </w:p>
        </w:tc>
        <w:tc>
          <w:tcPr>
            <w:tcW w:w="3960" w:type="dxa"/>
            <w:vAlign w:val="bottom"/>
            <w:gridSpan w:val="3"/>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(3)</w:t>
            </w: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6480" w:type="dxa"/>
            <w:vAlign w:val="bottom"/>
            <w:tcBorders>
              <w:bottom w:val="single" w:sz="8" w:color="auto"/>
            </w:tcBorders>
            <w:gridSpan w:val="2"/>
          </w:tcPr>
          <w:p>
            <w:pPr>
              <w:spacing w:after="0" w:line="99" w:lineRule="exact"/>
              <w:rPr>
                <w:sz w:val="20"/>
                <w:szCs w:val="20"/>
                <w:color w:val="auto"/>
              </w:rPr>
            </w:pPr>
            <w:r>
              <w:rPr>
                <w:rFonts w:ascii="Arial" w:cs="Arial" w:eastAsia="Arial" w:hAnsi="Arial"/>
                <w:sz w:val="9"/>
                <w:szCs w:val="9"/>
                <w:color w:val="auto"/>
              </w:rPr>
              <w:t>Cash, beginning of year</w:t>
            </w:r>
          </w:p>
        </w:tc>
        <w:tc>
          <w:tcPr>
            <w:tcW w:w="3560" w:type="dxa"/>
            <w:vAlign w:val="bottom"/>
            <w:tcBorders>
              <w:bottom w:val="single" w:sz="8" w:color="auto"/>
            </w:tcBorders>
            <w:gridSpan w:val="2"/>
          </w:tcPr>
          <w:p>
            <w:pPr>
              <w:jc w:val="right"/>
              <w:spacing w:after="0" w:line="99" w:lineRule="exact"/>
              <w:rPr>
                <w:sz w:val="20"/>
                <w:szCs w:val="20"/>
                <w:color w:val="auto"/>
              </w:rPr>
            </w:pPr>
            <w:r>
              <w:rPr>
                <w:rFonts w:ascii="Arial" w:cs="Arial" w:eastAsia="Arial" w:hAnsi="Arial"/>
                <w:sz w:val="9"/>
                <w:szCs w:val="9"/>
                <w:b w:val="1"/>
                <w:bCs w:val="1"/>
                <w:color w:val="auto"/>
              </w:rPr>
              <w:t>1,764</w:t>
            </w:r>
          </w:p>
        </w:tc>
        <w:tc>
          <w:tcPr>
            <w:tcW w:w="400" w:type="dxa"/>
            <w:vAlign w:val="bottom"/>
          </w:tcPr>
          <w:p>
            <w:pPr>
              <w:spacing w:after="0"/>
              <w:rPr>
                <w:sz w:val="8"/>
                <w:szCs w:val="8"/>
                <w:color w:val="auto"/>
              </w:rPr>
            </w:pPr>
          </w:p>
        </w:tc>
        <w:tc>
          <w:tcPr>
            <w:tcW w:w="2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617</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609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4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Cash, end of year</w:t>
            </w:r>
          </w:p>
        </w:tc>
        <w:tc>
          <w:tcPr>
            <w:tcW w:w="356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$ 1,705</w:t>
            </w:r>
          </w:p>
        </w:tc>
        <w:tc>
          <w:tcPr>
            <w:tcW w:w="4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w w:val="86"/>
              </w:rPr>
              <w:t>$ 1,764</w:t>
            </w:r>
          </w:p>
        </w:tc>
        <w:tc>
          <w:tcPr>
            <w:tcW w:w="24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617</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20"/>
                <w:szCs w:val="20"/>
                <w:color w:val="auto"/>
              </w:rPr>
            </w:pPr>
            <w:r>
              <w:rPr>
                <w:rFonts w:ascii="Arial" w:cs="Arial" w:eastAsia="Arial" w:hAnsi="Arial"/>
                <w:sz w:val="9"/>
                <w:szCs w:val="9"/>
                <w:color w:val="auto"/>
                <w:w w:val="90"/>
              </w:rPr>
              <w:t>(1)</w:t>
            </w:r>
          </w:p>
        </w:tc>
        <w:tc>
          <w:tcPr>
            <w:tcW w:w="6360" w:type="dxa"/>
            <w:vAlign w:val="bottom"/>
          </w:tcPr>
          <w:p>
            <w:pPr>
              <w:ind w:left="20"/>
              <w:spacing w:after="0"/>
              <w:rPr>
                <w:sz w:val="20"/>
                <w:szCs w:val="20"/>
                <w:color w:val="auto"/>
              </w:rPr>
            </w:pPr>
            <w:r>
              <w:rPr>
                <w:rFonts w:ascii="Arial" w:cs="Arial" w:eastAsia="Arial" w:hAnsi="Arial"/>
                <w:sz w:val="9"/>
                <w:szCs w:val="9"/>
                <w:color w:val="auto"/>
              </w:rPr>
              <w:t>Includes multiclient seismic data costs.</w:t>
            </w:r>
          </w:p>
        </w:tc>
        <w:tc>
          <w:tcPr>
            <w:tcW w:w="32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20" w:type="dxa"/>
            <w:vAlign w:val="bottom"/>
          </w:tcPr>
          <w:p>
            <w:pPr>
              <w:spacing w:after="0"/>
              <w:rPr>
                <w:sz w:val="20"/>
                <w:szCs w:val="20"/>
                <w:color w:val="auto"/>
              </w:rPr>
            </w:pPr>
            <w:r>
              <w:rPr>
                <w:rFonts w:ascii="Arial" w:cs="Arial" w:eastAsia="Arial" w:hAnsi="Arial"/>
                <w:sz w:val="9"/>
                <w:szCs w:val="9"/>
                <w:color w:val="auto"/>
                <w:w w:val="90"/>
              </w:rPr>
              <w:t>(2)</w:t>
            </w:r>
          </w:p>
        </w:tc>
        <w:tc>
          <w:tcPr>
            <w:tcW w:w="6360" w:type="dxa"/>
            <w:vAlign w:val="bottom"/>
          </w:tcPr>
          <w:p>
            <w:pPr>
              <w:ind w:left="20"/>
              <w:spacing w:after="0"/>
              <w:rPr>
                <w:sz w:val="20"/>
                <w:szCs w:val="20"/>
                <w:color w:val="auto"/>
              </w:rPr>
            </w:pPr>
            <w:r>
              <w:rPr>
                <w:rFonts w:ascii="Arial" w:cs="Arial" w:eastAsia="Arial" w:hAnsi="Arial"/>
                <w:sz w:val="9"/>
                <w:szCs w:val="9"/>
                <w:color w:val="auto"/>
              </w:rPr>
              <w:t>Net of the effect of business acquisitions.</w:t>
            </w:r>
          </w:p>
        </w:tc>
        <w:tc>
          <w:tcPr>
            <w:tcW w:w="3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See the </w:t>
      </w:r>
      <w:r>
        <w:rPr>
          <w:rFonts w:ascii="Arial" w:cs="Arial" w:eastAsia="Arial" w:hAnsi="Arial"/>
          <w:sz w:val="9"/>
          <w:szCs w:val="9"/>
          <w:i w:val="1"/>
          <w:iCs w:val="1"/>
          <w:color w:val="auto"/>
        </w:rPr>
        <w:t>Notes to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9"/>
          <w:szCs w:val="9"/>
          <w:color w:val="auto"/>
        </w:rPr>
        <w:t>36</w:t>
      </w:r>
    </w:p>
    <w:p>
      <w:pPr>
        <w:sectPr>
          <w:pgSz w:w="11900" w:h="16838" w:orient="portrait"/>
          <w:cols w:equalWidth="0" w:num="1">
            <w:col w:w="11480"/>
          </w:cols>
          <w:pgMar w:left="220" w:top="354" w:right="199"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9"/>
          <w:szCs w:val="9"/>
          <w:color w:val="auto"/>
        </w:rPr>
        <w:t>SCHLUMBERGER LIMITED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9"/>
          <w:szCs w:val="9"/>
          <w:color w:val="auto"/>
        </w:rPr>
        <w:t>CONSOLIDATED STATEMENT OF STOCKHOLDERS’ EQUITY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8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9"/>
                <w:szCs w:val="9"/>
                <w:b w:val="1"/>
                <w:bCs w:val="1"/>
                <w:color w:val="auto"/>
              </w:rPr>
              <w:t>Accumulated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9"/>
                <w:szCs w:val="9"/>
                <w:b w:val="1"/>
                <w:bCs w:val="1"/>
                <w:color w:val="auto"/>
                <w:w w:val="94"/>
              </w:rPr>
              <w:t>(Stated in millions)</w:t>
            </w:r>
          </w:p>
        </w:tc>
        <w:tc>
          <w:tcPr>
            <w:tcW w:w="0" w:type="dxa"/>
            <w:vAlign w:val="bottom"/>
          </w:tcPr>
          <w:p>
            <w:pPr>
              <w:spacing w:after="0"/>
              <w:rPr>
                <w:sz w:val="1"/>
                <w:szCs w:val="1"/>
                <w:color w:val="auto"/>
              </w:rPr>
            </w:pPr>
          </w:p>
        </w:tc>
      </w:tr>
      <w:tr>
        <w:trPr>
          <w:trHeight w:val="107"/>
        </w:trPr>
        <w:tc>
          <w:tcPr>
            <w:tcW w:w="3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4"/>
          </w:tcPr>
          <w:p>
            <w:pPr>
              <w:jc w:val="right"/>
              <w:ind w:right="280"/>
              <w:spacing w:after="0" w:line="101" w:lineRule="exact"/>
              <w:rPr>
                <w:sz w:val="20"/>
                <w:szCs w:val="20"/>
                <w:color w:val="auto"/>
              </w:rPr>
            </w:pPr>
            <w:r>
              <w:rPr>
                <w:rFonts w:ascii="Arial" w:cs="Arial" w:eastAsia="Arial" w:hAnsi="Arial"/>
                <w:sz w:val="9"/>
                <w:szCs w:val="9"/>
                <w:b w:val="1"/>
                <w:bCs w:val="1"/>
                <w:color w:val="auto"/>
              </w:rPr>
              <w:t>Common Stock</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gridSpan w:val="2"/>
          </w:tcPr>
          <w:p>
            <w:pPr>
              <w:jc w:val="right"/>
              <w:ind w:right="260"/>
              <w:spacing w:after="0" w:line="54" w:lineRule="exact"/>
              <w:rPr>
                <w:sz w:val="20"/>
                <w:szCs w:val="20"/>
                <w:color w:val="auto"/>
              </w:rPr>
            </w:pPr>
            <w:r>
              <w:rPr>
                <w:rFonts w:ascii="Arial" w:cs="Arial" w:eastAsia="Arial" w:hAnsi="Arial"/>
                <w:sz w:val="6"/>
                <w:szCs w:val="6"/>
                <w:b w:val="1"/>
                <w:bCs w:val="1"/>
                <w:color w:val="auto"/>
              </w:rPr>
              <w:t>Other</w:t>
            </w: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3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In</w:t>
            </w:r>
          </w:p>
        </w:tc>
        <w:tc>
          <w:tcPr>
            <w:tcW w:w="240" w:type="dxa"/>
            <w:vAlign w:val="bottom"/>
          </w:tcPr>
          <w:p>
            <w:pPr>
              <w:spacing w:after="0"/>
              <w:rPr>
                <w:sz w:val="8"/>
                <w:szCs w:val="8"/>
                <w:color w:val="auto"/>
              </w:rPr>
            </w:pPr>
          </w:p>
        </w:tc>
        <w:tc>
          <w:tcPr>
            <w:tcW w:w="920" w:type="dxa"/>
            <w:vAlign w:val="bottom"/>
            <w:gridSpan w:val="3"/>
          </w:tcPr>
          <w:p>
            <w:pPr>
              <w:jc w:val="right"/>
              <w:ind w:right="540"/>
              <w:spacing w:after="0" w:line="99" w:lineRule="exact"/>
              <w:rPr>
                <w:sz w:val="20"/>
                <w:szCs w:val="20"/>
                <w:color w:val="auto"/>
              </w:rPr>
            </w:pPr>
            <w:r>
              <w:rPr>
                <w:rFonts w:ascii="Arial" w:cs="Arial" w:eastAsia="Arial" w:hAnsi="Arial"/>
                <w:sz w:val="9"/>
                <w:szCs w:val="9"/>
                <w:b w:val="1"/>
                <w:bCs w:val="1"/>
                <w:color w:val="auto"/>
                <w:w w:val="94"/>
              </w:rPr>
              <w:t>Retained</w:t>
            </w:r>
          </w:p>
        </w:tc>
        <w:tc>
          <w:tcPr>
            <w:tcW w:w="60" w:type="dxa"/>
            <w:vAlign w:val="bottom"/>
          </w:tcPr>
          <w:p>
            <w:pPr>
              <w:spacing w:after="0"/>
              <w:rPr>
                <w:sz w:val="8"/>
                <w:szCs w:val="8"/>
                <w:color w:val="auto"/>
              </w:rPr>
            </w:pPr>
          </w:p>
        </w:tc>
        <w:tc>
          <w:tcPr>
            <w:tcW w:w="920" w:type="dxa"/>
            <w:vAlign w:val="bottom"/>
            <w:gridSpan w:val="2"/>
          </w:tcPr>
          <w:p>
            <w:pPr>
              <w:jc w:val="right"/>
              <w:ind w:right="300"/>
              <w:spacing w:after="0" w:line="99" w:lineRule="exact"/>
              <w:rPr>
                <w:sz w:val="20"/>
                <w:szCs w:val="20"/>
                <w:color w:val="auto"/>
              </w:rPr>
            </w:pPr>
            <w:r>
              <w:rPr>
                <w:rFonts w:ascii="Arial" w:cs="Arial" w:eastAsia="Arial" w:hAnsi="Arial"/>
                <w:sz w:val="9"/>
                <w:szCs w:val="9"/>
                <w:b w:val="1"/>
                <w:bCs w:val="1"/>
                <w:color w:val="auto"/>
                <w:w w:val="88"/>
              </w:rPr>
              <w:t>Comprehensive</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80"/>
              <w:spacing w:after="0" w:line="99" w:lineRule="exact"/>
              <w:rPr>
                <w:sz w:val="20"/>
                <w:szCs w:val="20"/>
                <w:color w:val="auto"/>
              </w:rPr>
            </w:pPr>
            <w:r>
              <w:rPr>
                <w:rFonts w:ascii="Arial" w:cs="Arial" w:eastAsia="Arial" w:hAnsi="Arial"/>
                <w:sz w:val="9"/>
                <w:szCs w:val="9"/>
                <w:b w:val="1"/>
                <w:bCs w:val="1"/>
                <w:color w:val="auto"/>
                <w:w w:val="93"/>
              </w:rPr>
              <w:t>Noncontrolling</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83"/>
              </w:rPr>
              <w:t>Issued</w:t>
            </w:r>
          </w:p>
        </w:tc>
        <w:tc>
          <w:tcPr>
            <w:tcW w:w="340" w:type="dxa"/>
            <w:vAlign w:val="bottom"/>
          </w:tcPr>
          <w:p>
            <w:pPr>
              <w:spacing w:after="0"/>
              <w:rPr>
                <w:sz w:val="9"/>
                <w:szCs w:val="9"/>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9"/>
                <w:szCs w:val="9"/>
                <w:b w:val="1"/>
                <w:bCs w:val="1"/>
                <w:color w:val="auto"/>
                <w:w w:val="94"/>
              </w:rPr>
              <w:t>Treasury</w:t>
            </w:r>
          </w:p>
        </w:tc>
        <w:tc>
          <w:tcPr>
            <w:tcW w:w="240" w:type="dxa"/>
            <w:vAlign w:val="bottom"/>
          </w:tcPr>
          <w:p>
            <w:pPr>
              <w:spacing w:after="0"/>
              <w:rPr>
                <w:sz w:val="9"/>
                <w:szCs w:val="9"/>
                <w:color w:val="auto"/>
              </w:rPr>
            </w:pPr>
          </w:p>
        </w:tc>
        <w:tc>
          <w:tcPr>
            <w:tcW w:w="920" w:type="dxa"/>
            <w:vAlign w:val="bottom"/>
            <w:gridSpan w:val="3"/>
          </w:tcPr>
          <w:p>
            <w:pPr>
              <w:jc w:val="right"/>
              <w:ind w:right="540"/>
              <w:spacing w:after="0"/>
              <w:rPr>
                <w:sz w:val="20"/>
                <w:szCs w:val="20"/>
                <w:color w:val="auto"/>
              </w:rPr>
            </w:pPr>
            <w:r>
              <w:rPr>
                <w:rFonts w:ascii="Arial" w:cs="Arial" w:eastAsia="Arial" w:hAnsi="Arial"/>
                <w:sz w:val="9"/>
                <w:szCs w:val="9"/>
                <w:b w:val="1"/>
                <w:bCs w:val="1"/>
                <w:color w:val="auto"/>
                <w:w w:val="93"/>
              </w:rPr>
              <w:t>Earnings</w:t>
            </w:r>
          </w:p>
        </w:tc>
        <w:tc>
          <w:tcPr>
            <w:tcW w:w="60" w:type="dxa"/>
            <w:vAlign w:val="bottom"/>
          </w:tcPr>
          <w:p>
            <w:pPr>
              <w:spacing w:after="0"/>
              <w:rPr>
                <w:sz w:val="9"/>
                <w:szCs w:val="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Loss</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Interests</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8"/>
        </w:trPr>
        <w:tc>
          <w:tcPr>
            <w:tcW w:w="38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Balance, January 1, 2009</w:t>
            </w:r>
          </w:p>
        </w:tc>
        <w:tc>
          <w:tcPr>
            <w:tcW w:w="20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4,668</w:t>
            </w:r>
          </w:p>
        </w:tc>
        <w:tc>
          <w:tcPr>
            <w:tcW w:w="18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1"/>
              </w:rPr>
              <w:t>(4,796)</w:t>
            </w:r>
          </w:p>
        </w:tc>
        <w:tc>
          <w:tcPr>
            <w:tcW w:w="2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19,891</w:t>
            </w:r>
          </w:p>
        </w:tc>
        <w:tc>
          <w:tcPr>
            <w:tcW w:w="5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(2,901)</w:t>
            </w:r>
          </w:p>
        </w:tc>
        <w:tc>
          <w:tcPr>
            <w:tcW w:w="2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72</w:t>
            </w: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4"/>
              </w:rPr>
              <w:t>16,934</w:t>
            </w:r>
          </w:p>
        </w:tc>
        <w:tc>
          <w:tcPr>
            <w:tcW w:w="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880" w:type="dxa"/>
            <w:vAlign w:val="bottom"/>
          </w:tcPr>
          <w:p>
            <w:pPr>
              <w:ind w:left="280"/>
              <w:spacing w:after="0" w:line="99" w:lineRule="exact"/>
              <w:rPr>
                <w:sz w:val="20"/>
                <w:szCs w:val="20"/>
                <w:color w:val="auto"/>
              </w:rPr>
            </w:pPr>
            <w:r>
              <w:rPr>
                <w:rFonts w:ascii="Arial" w:cs="Arial" w:eastAsia="Arial" w:hAnsi="Arial"/>
                <w:sz w:val="9"/>
                <w:szCs w:val="9"/>
                <w:color w:val="auto"/>
              </w:rPr>
              <w:t>Net income</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520"/>
              <w:spacing w:after="0" w:line="99" w:lineRule="exact"/>
              <w:rPr>
                <w:sz w:val="20"/>
                <w:szCs w:val="20"/>
                <w:color w:val="auto"/>
              </w:rPr>
            </w:pPr>
            <w:r>
              <w:rPr>
                <w:rFonts w:ascii="Arial" w:cs="Arial" w:eastAsia="Arial" w:hAnsi="Arial"/>
                <w:sz w:val="9"/>
                <w:szCs w:val="9"/>
                <w:color w:val="auto"/>
              </w:rPr>
              <w:t>3,134</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9"/>
                <w:szCs w:val="9"/>
                <w:color w:val="auto"/>
              </w:rPr>
              <w:t>8</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3,142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Currency translation adjustments</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17</w:t>
            </w: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ind w:left="280"/>
              <w:spacing w:after="0" w:line="99" w:lineRule="exact"/>
              <w:rPr>
                <w:sz w:val="20"/>
                <w:szCs w:val="20"/>
                <w:color w:val="auto"/>
              </w:rPr>
            </w:pPr>
            <w:r>
              <w:rPr>
                <w:rFonts w:ascii="Arial" w:cs="Arial" w:eastAsia="Arial" w:hAnsi="Arial"/>
                <w:sz w:val="9"/>
                <w:szCs w:val="9"/>
                <w:color w:val="auto"/>
              </w:rPr>
              <w:t>Changes in fair value of derivatives</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143</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143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Pension and other postretirement benefit plans</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67</w:t>
            </w: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67</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Shares sold to optionees less shares exchanged</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140"/>
              <w:spacing w:after="0" w:line="99" w:lineRule="exact"/>
              <w:rPr>
                <w:sz w:val="20"/>
                <w:szCs w:val="20"/>
                <w:color w:val="auto"/>
              </w:rPr>
            </w:pPr>
            <w:r>
              <w:rPr>
                <w:rFonts w:ascii="Arial" w:cs="Arial" w:eastAsia="Arial" w:hAnsi="Arial"/>
                <w:sz w:val="9"/>
                <w:szCs w:val="9"/>
                <w:color w:val="auto"/>
              </w:rPr>
              <w:t>(22)</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132</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110</w:t>
            </w: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Shares granted to Directors</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Vesting of restricted stock</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140"/>
              <w:spacing w:after="0" w:line="99" w:lineRule="exact"/>
              <w:rPr>
                <w:sz w:val="20"/>
                <w:szCs w:val="20"/>
                <w:color w:val="auto"/>
              </w:rPr>
            </w:pPr>
            <w:r>
              <w:rPr>
                <w:rFonts w:ascii="Arial" w:cs="Arial" w:eastAsia="Arial" w:hAnsi="Arial"/>
                <w:sz w:val="9"/>
                <w:szCs w:val="9"/>
                <w:color w:val="auto"/>
              </w:rPr>
              <w:t>(20)</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20</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Shares issued under employee stock purchase plan</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25</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141</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166</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Stock repurchase program</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240"/>
              <w:spacing w:after="0" w:line="99" w:lineRule="exact"/>
              <w:rPr>
                <w:sz w:val="20"/>
                <w:szCs w:val="20"/>
                <w:color w:val="auto"/>
              </w:rPr>
            </w:pPr>
            <w:r>
              <w:rPr>
                <w:rFonts w:ascii="Arial" w:cs="Arial" w:eastAsia="Arial" w:hAnsi="Arial"/>
                <w:sz w:val="9"/>
                <w:szCs w:val="9"/>
                <w:color w:val="auto"/>
              </w:rPr>
              <w:t>(500)</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(500)</w:t>
            </w: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Stock-based compensation cost</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186</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186</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Tax benefit on stock options</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4</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Dividends declared ($0.84 per share)</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500"/>
              <w:spacing w:after="0" w:line="99" w:lineRule="exact"/>
              <w:rPr>
                <w:sz w:val="20"/>
                <w:szCs w:val="20"/>
                <w:color w:val="auto"/>
              </w:rPr>
            </w:pPr>
            <w:r>
              <w:rPr>
                <w:rFonts w:ascii="Arial" w:cs="Arial" w:eastAsia="Arial" w:hAnsi="Arial"/>
                <w:sz w:val="9"/>
                <w:szCs w:val="9"/>
                <w:color w:val="auto"/>
              </w:rPr>
              <w:t>(1,006)</w:t>
            </w: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(1,006)</w:t>
            </w: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Other</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140"/>
              <w:spacing w:after="0" w:line="99" w:lineRule="exact"/>
              <w:rPr>
                <w:sz w:val="20"/>
                <w:szCs w:val="20"/>
                <w:color w:val="auto"/>
              </w:rPr>
            </w:pPr>
            <w:r>
              <w:rPr>
                <w:rFonts w:ascii="Arial" w:cs="Arial" w:eastAsia="Arial" w:hAnsi="Arial"/>
                <w:sz w:val="9"/>
                <w:szCs w:val="9"/>
                <w:color w:val="auto"/>
              </w:rPr>
              <w:t>(64)</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9"/>
                <w:szCs w:val="9"/>
                <w:color w:val="auto"/>
              </w:rPr>
              <w:t>28</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(36)</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2009</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4,777</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(5,002)</w:t>
            </w: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520"/>
              <w:spacing w:after="0" w:line="98" w:lineRule="exact"/>
              <w:rPr>
                <w:sz w:val="20"/>
                <w:szCs w:val="20"/>
                <w:color w:val="auto"/>
              </w:rPr>
            </w:pPr>
            <w:r>
              <w:rPr>
                <w:rFonts w:ascii="Arial" w:cs="Arial" w:eastAsia="Arial" w:hAnsi="Arial"/>
                <w:sz w:val="9"/>
                <w:szCs w:val="9"/>
                <w:color w:val="auto"/>
              </w:rPr>
              <w:t>22,019</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(2,674)</w:t>
            </w: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109</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94"/>
              </w:rPr>
              <w:t>19,229</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ind w:left="280"/>
              <w:spacing w:after="0" w:line="99" w:lineRule="exact"/>
              <w:rPr>
                <w:sz w:val="20"/>
                <w:szCs w:val="20"/>
                <w:color w:val="auto"/>
              </w:rPr>
            </w:pPr>
            <w:r>
              <w:rPr>
                <w:rFonts w:ascii="Arial" w:cs="Arial" w:eastAsia="Arial" w:hAnsi="Arial"/>
                <w:sz w:val="9"/>
                <w:szCs w:val="9"/>
                <w:color w:val="auto"/>
              </w:rPr>
              <w:t>Net income</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520"/>
              <w:spacing w:after="0" w:line="99" w:lineRule="exact"/>
              <w:rPr>
                <w:sz w:val="20"/>
                <w:szCs w:val="20"/>
                <w:color w:val="auto"/>
              </w:rPr>
            </w:pPr>
            <w:r>
              <w:rPr>
                <w:rFonts w:ascii="Arial" w:cs="Arial" w:eastAsia="Arial" w:hAnsi="Arial"/>
                <w:sz w:val="9"/>
                <w:szCs w:val="9"/>
                <w:color w:val="auto"/>
              </w:rPr>
              <w:t>4,267</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(1)</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4,266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Currency translation adjustments</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(26)</w:t>
            </w: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(26)</w:t>
            </w:r>
          </w:p>
        </w:tc>
        <w:tc>
          <w:tcPr>
            <w:tcW w:w="0" w:type="dxa"/>
            <w:vAlign w:val="bottom"/>
          </w:tcPr>
          <w:p>
            <w:pPr>
              <w:spacing w:after="0"/>
              <w:rPr>
                <w:sz w:val="1"/>
                <w:szCs w:val="1"/>
                <w:color w:val="auto"/>
              </w:rPr>
            </w:pPr>
          </w:p>
        </w:tc>
      </w:tr>
      <w:tr>
        <w:trPr>
          <w:trHeight w:val="99"/>
        </w:trPr>
        <w:tc>
          <w:tcPr>
            <w:tcW w:w="3880" w:type="dxa"/>
            <w:vAlign w:val="bottom"/>
          </w:tcPr>
          <w:p>
            <w:pPr>
              <w:ind w:left="280"/>
              <w:spacing w:after="0" w:line="99" w:lineRule="exact"/>
              <w:rPr>
                <w:sz w:val="20"/>
                <w:szCs w:val="20"/>
                <w:color w:val="auto"/>
              </w:rPr>
            </w:pPr>
            <w:r>
              <w:rPr>
                <w:rFonts w:ascii="Arial" w:cs="Arial" w:eastAsia="Arial" w:hAnsi="Arial"/>
                <w:sz w:val="9"/>
                <w:szCs w:val="9"/>
                <w:color w:val="auto"/>
              </w:rPr>
              <w:t>Changes in fair value of derivatives</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5</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Pension and other postretirement benefit plans</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(73)</w:t>
            </w: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(73)</w:t>
            </w: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Shares sold to optionees less shares exchanged</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140"/>
              <w:spacing w:after="0" w:line="99" w:lineRule="exact"/>
              <w:rPr>
                <w:sz w:val="20"/>
                <w:szCs w:val="20"/>
                <w:color w:val="auto"/>
              </w:rPr>
            </w:pPr>
            <w:r>
              <w:rPr>
                <w:rFonts w:ascii="Arial" w:cs="Arial" w:eastAsia="Arial" w:hAnsi="Arial"/>
                <w:sz w:val="9"/>
                <w:szCs w:val="9"/>
                <w:color w:val="auto"/>
              </w:rPr>
              <w:t>(8)</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230</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222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Shares granted to Directors</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1</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Vesting of restricted stock</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140"/>
              <w:spacing w:after="0" w:line="99" w:lineRule="exact"/>
              <w:rPr>
                <w:sz w:val="20"/>
                <w:szCs w:val="20"/>
                <w:color w:val="auto"/>
              </w:rPr>
            </w:pPr>
            <w:r>
              <w:rPr>
                <w:rFonts w:ascii="Arial" w:cs="Arial" w:eastAsia="Arial" w:hAnsi="Arial"/>
                <w:sz w:val="9"/>
                <w:szCs w:val="9"/>
                <w:color w:val="auto"/>
              </w:rPr>
              <w:t>(11)</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11</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Shares issued under employee stock purchase plan</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49</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130</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179</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Stock repurchase program</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240"/>
              <w:spacing w:after="0" w:line="99" w:lineRule="exact"/>
              <w:rPr>
                <w:sz w:val="20"/>
                <w:szCs w:val="20"/>
                <w:color w:val="auto"/>
              </w:rPr>
            </w:pPr>
            <w:r>
              <w:rPr>
                <w:rFonts w:ascii="Arial" w:cs="Arial" w:eastAsia="Arial" w:hAnsi="Arial"/>
                <w:sz w:val="9"/>
                <w:szCs w:val="9"/>
                <w:color w:val="auto"/>
              </w:rPr>
              <w:t>(1,717)</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(1,717)</w:t>
            </w: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Stock-based compensation cost</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198</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198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Tax benefit on stock options</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14</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14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Shares issued on conversions of debentures</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17</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303</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320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Acquisition of Smith International, Inc.</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6,880</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2,948</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9"/>
                <w:szCs w:val="9"/>
                <w:color w:val="auto"/>
              </w:rPr>
              <w:t>111</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9,939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Acquisition of noncontrolling interests</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3</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Dividends declared ($0.84 per share)</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500"/>
              <w:spacing w:after="0" w:line="99" w:lineRule="exact"/>
              <w:rPr>
                <w:sz w:val="20"/>
                <w:szCs w:val="20"/>
                <w:color w:val="auto"/>
              </w:rPr>
            </w:pPr>
            <w:r>
              <w:rPr>
                <w:rFonts w:ascii="Arial" w:cs="Arial" w:eastAsia="Arial" w:hAnsi="Arial"/>
                <w:sz w:val="9"/>
                <w:szCs w:val="9"/>
                <w:color w:val="auto"/>
              </w:rPr>
              <w:t>(1,076)</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(1,076)</w:t>
            </w: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Other</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(40)</w:t>
            </w: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(41)</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880" w:type="dxa"/>
            <w:vAlign w:val="bottom"/>
          </w:tcPr>
          <w:p>
            <w:pPr>
              <w:spacing w:after="0" w:line="98" w:lineRule="exact"/>
              <w:rPr>
                <w:sz w:val="20"/>
                <w:szCs w:val="20"/>
                <w:color w:val="auto"/>
              </w:rPr>
            </w:pPr>
            <w:r>
              <w:rPr>
                <w:rFonts w:ascii="Arial" w:cs="Arial" w:eastAsia="Arial" w:hAnsi="Arial"/>
                <w:sz w:val="9"/>
                <w:szCs w:val="9"/>
                <w:color w:val="auto"/>
              </w:rPr>
              <w:t>Balance, December 31, 2010</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w w:val="87"/>
              </w:rPr>
              <w:t>11,920</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(3,136)</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520"/>
              <w:spacing w:after="0" w:line="98" w:lineRule="exact"/>
              <w:rPr>
                <w:sz w:val="20"/>
                <w:szCs w:val="20"/>
                <w:color w:val="auto"/>
              </w:rPr>
            </w:pPr>
            <w:r>
              <w:rPr>
                <w:rFonts w:ascii="Arial" w:cs="Arial" w:eastAsia="Arial" w:hAnsi="Arial"/>
                <w:sz w:val="9"/>
                <w:szCs w:val="9"/>
                <w:color w:val="auto"/>
              </w:rPr>
              <w:t>25,210</w:t>
            </w:r>
          </w:p>
        </w:tc>
        <w:tc>
          <w:tcPr>
            <w:tcW w:w="60" w:type="dxa"/>
            <w:vAlign w:val="bottom"/>
          </w:tcPr>
          <w:p>
            <w:pPr>
              <w:spacing w:after="0"/>
              <w:rPr>
                <w:sz w:val="8"/>
                <w:szCs w:val="8"/>
                <w:color w:val="auto"/>
              </w:rPr>
            </w:pPr>
          </w:p>
        </w:tc>
        <w:tc>
          <w:tcPr>
            <w:tcW w:w="92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(2,768)</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98" w:lineRule="exact"/>
              <w:rPr>
                <w:sz w:val="20"/>
                <w:szCs w:val="20"/>
                <w:color w:val="auto"/>
              </w:rPr>
            </w:pPr>
            <w:r>
              <w:rPr>
                <w:rFonts w:ascii="Arial" w:cs="Arial" w:eastAsia="Arial" w:hAnsi="Arial"/>
                <w:sz w:val="9"/>
                <w:szCs w:val="9"/>
                <w:color w:val="auto"/>
              </w:rPr>
              <w:t>218</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w w:val="94"/>
              </w:rPr>
              <w:t>31,444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Net income</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520"/>
              <w:spacing w:after="0" w:line="99" w:lineRule="exact"/>
              <w:rPr>
                <w:sz w:val="20"/>
                <w:szCs w:val="20"/>
                <w:color w:val="auto"/>
              </w:rPr>
            </w:pPr>
            <w:r>
              <w:rPr>
                <w:rFonts w:ascii="Arial" w:cs="Arial" w:eastAsia="Arial" w:hAnsi="Arial"/>
                <w:sz w:val="9"/>
                <w:szCs w:val="9"/>
                <w:color w:val="auto"/>
              </w:rPr>
              <w:t>4,997</w:t>
            </w: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16</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5,013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ind w:left="280"/>
              <w:spacing w:after="0" w:line="99" w:lineRule="exact"/>
              <w:rPr>
                <w:sz w:val="20"/>
                <w:szCs w:val="20"/>
                <w:color w:val="auto"/>
              </w:rPr>
            </w:pPr>
            <w:r>
              <w:rPr>
                <w:rFonts w:ascii="Arial" w:cs="Arial" w:eastAsia="Arial" w:hAnsi="Arial"/>
                <w:sz w:val="9"/>
                <w:szCs w:val="9"/>
                <w:color w:val="auto"/>
              </w:rPr>
              <w:t>Currency translation adjustments</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2"/>
          </w:tcPr>
          <w:p>
            <w:pPr>
              <w:jc w:val="right"/>
              <w:ind w:right="240"/>
              <w:spacing w:after="0" w:line="99" w:lineRule="exact"/>
              <w:rPr>
                <w:sz w:val="20"/>
                <w:szCs w:val="20"/>
                <w:color w:val="auto"/>
              </w:rPr>
            </w:pPr>
            <w:r>
              <w:rPr>
                <w:rFonts w:ascii="Arial" w:cs="Arial" w:eastAsia="Arial" w:hAnsi="Arial"/>
                <w:sz w:val="9"/>
                <w:szCs w:val="9"/>
                <w:color w:val="auto"/>
              </w:rPr>
              <w:t>(82)</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(82)</w:t>
            </w: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Changes in fair value of derivatives</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(71)</w:t>
            </w: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(71)</w:t>
            </w: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Pension and other postretirement benefit plans</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2"/>
          </w:tcPr>
          <w:p>
            <w:pPr>
              <w:jc w:val="right"/>
              <w:ind w:right="240"/>
              <w:spacing w:after="0" w:line="99" w:lineRule="exact"/>
              <w:rPr>
                <w:sz w:val="20"/>
                <w:szCs w:val="20"/>
                <w:color w:val="auto"/>
              </w:rPr>
            </w:pPr>
            <w:r>
              <w:rPr>
                <w:rFonts w:ascii="Arial" w:cs="Arial" w:eastAsia="Arial" w:hAnsi="Arial"/>
                <w:sz w:val="9"/>
                <w:szCs w:val="9"/>
                <w:color w:val="auto"/>
              </w:rPr>
              <w:t>(636)</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(636)</w:t>
            </w: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Shares sold to optionees less shares exchanged</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9"/>
                <w:szCs w:val="9"/>
                <w:color w:val="auto"/>
              </w:rPr>
              <w:t>(29)</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259</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230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Shares granted to Directors</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2</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Vesting of restricted stock</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9"/>
                <w:szCs w:val="9"/>
                <w:color w:val="auto"/>
              </w:rPr>
              <w:t>(39)</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39</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Shares issued under employee stock purchase plan</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53</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155</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208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Stock repurchase program</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(2,998)</w:t>
            </w: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(2,998)</w:t>
            </w: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Stock-based compensation cost</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272</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272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Tax benefit on stock options</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15</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Acquisition of noncontrolling interests</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140"/>
              <w:spacing w:after="0" w:line="99" w:lineRule="exact"/>
              <w:rPr>
                <w:sz w:val="20"/>
                <w:szCs w:val="20"/>
                <w:color w:val="auto"/>
              </w:rPr>
            </w:pPr>
            <w:r>
              <w:rPr>
                <w:rFonts w:ascii="Arial" w:cs="Arial" w:eastAsia="Arial" w:hAnsi="Arial"/>
                <w:sz w:val="9"/>
                <w:szCs w:val="9"/>
                <w:color w:val="auto"/>
              </w:rPr>
              <w:t>(553)</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(86)</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(639)</w:t>
            </w:r>
          </w:p>
        </w:tc>
        <w:tc>
          <w:tcPr>
            <w:tcW w:w="0" w:type="dxa"/>
            <w:vAlign w:val="bottom"/>
          </w:tcPr>
          <w:p>
            <w:pPr>
              <w:spacing w:after="0"/>
              <w:rPr>
                <w:sz w:val="1"/>
                <w:szCs w:val="1"/>
                <w:color w:val="auto"/>
              </w:rPr>
            </w:pPr>
          </w:p>
        </w:tc>
      </w:tr>
      <w:tr>
        <w:trPr>
          <w:trHeight w:val="99"/>
        </w:trPr>
        <w:tc>
          <w:tcPr>
            <w:tcW w:w="38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Dividends declared ($1.00 per share)</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500"/>
              <w:spacing w:after="0" w:line="99" w:lineRule="exact"/>
              <w:rPr>
                <w:sz w:val="20"/>
                <w:szCs w:val="20"/>
                <w:color w:val="auto"/>
              </w:rPr>
            </w:pPr>
            <w:r>
              <w:rPr>
                <w:rFonts w:ascii="Arial" w:cs="Arial" w:eastAsia="Arial" w:hAnsi="Arial"/>
                <w:sz w:val="9"/>
                <w:szCs w:val="9"/>
                <w:color w:val="auto"/>
              </w:rPr>
              <w:t>(1,347)</w:t>
            </w: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(1,347)</w:t>
            </w:r>
          </w:p>
        </w:tc>
        <w:tc>
          <w:tcPr>
            <w:tcW w:w="0" w:type="dxa"/>
            <w:vAlign w:val="bottom"/>
          </w:tcPr>
          <w:p>
            <w:pPr>
              <w:spacing w:after="0"/>
              <w:rPr>
                <w:sz w:val="1"/>
                <w:szCs w:val="1"/>
                <w:color w:val="auto"/>
              </w:rPr>
            </w:pPr>
          </w:p>
        </w:tc>
      </w:tr>
      <w:tr>
        <w:trPr>
          <w:trHeight w:val="99"/>
        </w:trPr>
        <w:tc>
          <w:tcPr>
            <w:tcW w:w="3880" w:type="dxa"/>
            <w:vAlign w:val="bottom"/>
          </w:tcPr>
          <w:p>
            <w:pPr>
              <w:spacing w:after="0" w:line="99" w:lineRule="exact"/>
              <w:rPr>
                <w:sz w:val="20"/>
                <w:szCs w:val="20"/>
                <w:color w:val="auto"/>
              </w:rPr>
            </w:pPr>
            <w:r>
              <w:rPr>
                <w:rFonts w:ascii="Arial" w:cs="Arial" w:eastAsia="Arial" w:hAnsi="Arial"/>
                <w:sz w:val="9"/>
                <w:szCs w:val="9"/>
                <w:color w:val="auto"/>
              </w:rPr>
              <w:t>Other</w:t>
            </w: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(19)</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(19)</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8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2011</w:t>
            </w:r>
          </w:p>
        </w:tc>
        <w:tc>
          <w:tcPr>
            <w:tcW w:w="20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w w:val="87"/>
              </w:rPr>
              <w:t>11,639</w:t>
            </w:r>
          </w:p>
        </w:tc>
        <w:tc>
          <w:tcPr>
            <w:tcW w:w="440" w:type="dxa"/>
            <w:vAlign w:val="bottom"/>
            <w:gridSpan w:val="2"/>
            <w:shd w:val="clear" w:color="auto" w:fill="CCEEFF"/>
          </w:tcPr>
          <w:p>
            <w:pPr>
              <w:jc w:val="right"/>
              <w:ind w:right="26"/>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(5,679)</w:t>
            </w:r>
          </w:p>
        </w:tc>
        <w:tc>
          <w:tcPr>
            <w:tcW w:w="340" w:type="dxa"/>
            <w:vAlign w:val="bottom"/>
            <w:gridSpan w:val="2"/>
            <w:shd w:val="clear" w:color="auto" w:fill="CCEEFF"/>
          </w:tcPr>
          <w:p>
            <w:pPr>
              <w:jc w:val="right"/>
              <w:ind w:right="22"/>
              <w:spacing w:after="0" w:line="98"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520"/>
              <w:spacing w:after="0" w:line="98" w:lineRule="exact"/>
              <w:rPr>
                <w:sz w:val="20"/>
                <w:szCs w:val="20"/>
                <w:color w:val="auto"/>
              </w:rPr>
            </w:pPr>
            <w:r>
              <w:rPr>
                <w:rFonts w:ascii="Arial" w:cs="Arial" w:eastAsia="Arial" w:hAnsi="Arial"/>
                <w:sz w:val="9"/>
                <w:szCs w:val="9"/>
                <w:color w:val="auto"/>
              </w:rPr>
              <w:t>28,860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(3,557)</w:t>
            </w: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129</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94"/>
              </w:rPr>
              <w:t>31,392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See the </w:t>
      </w:r>
      <w:r>
        <w:rPr>
          <w:rFonts w:ascii="Arial" w:cs="Arial" w:eastAsia="Arial" w:hAnsi="Arial"/>
          <w:sz w:val="9"/>
          <w:szCs w:val="9"/>
          <w:i w:val="1"/>
          <w:iCs w:val="1"/>
          <w:color w:val="auto"/>
        </w:rPr>
        <w:t>Notes to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9"/>
          <w:szCs w:val="9"/>
          <w:color w:val="auto"/>
        </w:rPr>
        <w:t>37</w:t>
      </w:r>
    </w:p>
    <w:p>
      <w:pPr>
        <w:sectPr>
          <w:pgSz w:w="11900" w:h="16838" w:orient="portrait"/>
          <w:cols w:equalWidth="0" w:num="1">
            <w:col w:w="11480"/>
          </w:cols>
          <w:pgMar w:left="220" w:top="354" w:right="199"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9"/>
          <w:szCs w:val="9"/>
          <w:color w:val="auto"/>
        </w:rPr>
        <w:t>SCHLUMBERGER LIMITED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9"/>
          <w:szCs w:val="9"/>
          <w:color w:val="auto"/>
        </w:rPr>
        <w:t>SHARES OF COMMON STOCK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9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rPr>
              <w:t>(Stated in millions)</w:t>
            </w:r>
          </w:p>
        </w:tc>
      </w:tr>
      <w:tr>
        <w:trPr>
          <w:trHeight w:val="154"/>
        </w:trPr>
        <w:tc>
          <w:tcPr>
            <w:tcW w:w="9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Shares</w:t>
            </w:r>
          </w:p>
        </w:tc>
      </w:tr>
      <w:tr>
        <w:trPr>
          <w:trHeight w:val="108"/>
        </w:trPr>
        <w:tc>
          <w:tcPr>
            <w:tcW w:w="9020" w:type="dxa"/>
            <w:vAlign w:val="bottom"/>
          </w:tcPr>
          <w:p>
            <w:pPr>
              <w:spacing w:after="0"/>
              <w:rPr>
                <w:sz w:val="9"/>
                <w:szCs w:val="9"/>
                <w:color w:val="auto"/>
              </w:rPr>
            </w:pPr>
          </w:p>
        </w:tc>
        <w:tc>
          <w:tcPr>
            <w:tcW w:w="260" w:type="dxa"/>
            <w:vAlign w:val="bottom"/>
          </w:tcPr>
          <w:p>
            <w:pPr>
              <w:jc w:val="right"/>
              <w:spacing w:after="0"/>
              <w:rPr>
                <w:sz w:val="20"/>
                <w:szCs w:val="20"/>
                <w:color w:val="auto"/>
              </w:rPr>
            </w:pPr>
            <w:r>
              <w:rPr>
                <w:rFonts w:ascii="Arial" w:cs="Arial" w:eastAsia="Arial" w:hAnsi="Arial"/>
                <w:sz w:val="9"/>
                <w:szCs w:val="9"/>
                <w:b w:val="1"/>
                <w:bCs w:val="1"/>
                <w:color w:val="auto"/>
                <w:w w:val="83"/>
              </w:rPr>
              <w:t>Issued</w:t>
            </w:r>
          </w:p>
        </w:tc>
        <w:tc>
          <w:tcPr>
            <w:tcW w:w="600" w:type="dxa"/>
            <w:vAlign w:val="bottom"/>
          </w:tcPr>
          <w:p>
            <w:pPr>
              <w:spacing w:after="0"/>
              <w:rPr>
                <w:sz w:val="9"/>
                <w:szCs w:val="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0"/>
              </w:rPr>
              <w:t>In Treasury</w:t>
            </w:r>
          </w:p>
        </w:tc>
        <w:tc>
          <w:tcPr>
            <w:tcW w:w="420" w:type="dxa"/>
            <w:vAlign w:val="bottom"/>
          </w:tcPr>
          <w:p>
            <w:pPr>
              <w:spacing w:after="0"/>
              <w:rPr>
                <w:sz w:val="9"/>
                <w:szCs w:val="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w w:val="86"/>
              </w:rPr>
              <w:t>Outstanding</w:t>
            </w:r>
          </w:p>
        </w:tc>
      </w:tr>
      <w:tr>
        <w:trPr>
          <w:trHeight w:val="88"/>
        </w:trPr>
        <w:tc>
          <w:tcPr>
            <w:tcW w:w="902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Balance, January 1, 2009</w:t>
            </w:r>
          </w:p>
        </w:tc>
        <w:tc>
          <w:tcPr>
            <w:tcW w:w="2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1,334</w:t>
            </w:r>
          </w:p>
        </w:tc>
        <w:tc>
          <w:tcPr>
            <w:tcW w:w="60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(140)</w:t>
            </w:r>
          </w:p>
        </w:tc>
        <w:tc>
          <w:tcPr>
            <w:tcW w:w="18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1,194</w:t>
            </w:r>
          </w:p>
        </w:tc>
        <w:tc>
          <w:tcPr>
            <w:tcW w:w="60" w:type="dxa"/>
            <w:vAlign w:val="bottom"/>
            <w:tcBorders>
              <w:top w:val="single" w:sz="8" w:color="CCEEFF"/>
            </w:tcBorders>
            <w:shd w:val="clear" w:color="auto" w:fill="CCEEFF"/>
          </w:tcPr>
          <w:p>
            <w:pPr>
              <w:spacing w:after="0"/>
              <w:rPr>
                <w:sz w:val="7"/>
                <w:szCs w:val="7"/>
                <w:color w:val="auto"/>
              </w:rPr>
            </w:pPr>
          </w:p>
        </w:tc>
      </w:tr>
      <w:tr>
        <w:trPr>
          <w:trHeight w:val="99"/>
        </w:trPr>
        <w:tc>
          <w:tcPr>
            <w:tcW w:w="9020" w:type="dxa"/>
            <w:vAlign w:val="bottom"/>
          </w:tcPr>
          <w:p>
            <w:pPr>
              <w:spacing w:after="0" w:line="99" w:lineRule="exact"/>
              <w:rPr>
                <w:sz w:val="20"/>
                <w:szCs w:val="20"/>
                <w:color w:val="auto"/>
              </w:rPr>
            </w:pPr>
            <w:r>
              <w:rPr>
                <w:rFonts w:ascii="Arial" w:cs="Arial" w:eastAsia="Arial" w:hAnsi="Arial"/>
                <w:sz w:val="9"/>
                <w:szCs w:val="9"/>
                <w:color w:val="auto"/>
              </w:rPr>
              <w:t>Shares sold to optionees less shares exchanged</w:t>
            </w: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1060" w:type="dxa"/>
            <w:vAlign w:val="bottom"/>
            <w:gridSpan w:val="2"/>
          </w:tcPr>
          <w:p>
            <w:pPr>
              <w:jc w:val="right"/>
              <w:spacing w:after="0" w:line="99" w:lineRule="exact"/>
              <w:rPr>
                <w:sz w:val="20"/>
                <w:szCs w:val="20"/>
                <w:color w:val="auto"/>
              </w:rPr>
            </w:pPr>
            <w:r>
              <w:rPr>
                <w:rFonts w:ascii="Arial" w:cs="Arial" w:eastAsia="Arial" w:hAnsi="Arial"/>
                <w:sz w:val="9"/>
                <w:szCs w:val="9"/>
                <w:color w:val="auto"/>
              </w:rPr>
              <w:t>4</w:t>
            </w:r>
          </w:p>
        </w:tc>
        <w:tc>
          <w:tcPr>
            <w:tcW w:w="180" w:type="dxa"/>
            <w:vAlign w:val="bottom"/>
          </w:tcPr>
          <w:p>
            <w:pPr>
              <w:spacing w:after="0"/>
              <w:rPr>
                <w:sz w:val="8"/>
                <w:szCs w:val="8"/>
                <w:color w:val="auto"/>
              </w:rPr>
            </w:pPr>
          </w:p>
        </w:tc>
        <w:tc>
          <w:tcPr>
            <w:tcW w:w="960" w:type="dxa"/>
            <w:vAlign w:val="bottom"/>
            <w:gridSpan w:val="3"/>
          </w:tcPr>
          <w:p>
            <w:pPr>
              <w:jc w:val="right"/>
              <w:ind w:right="60"/>
              <w:spacing w:after="0" w:line="99" w:lineRule="exact"/>
              <w:rPr>
                <w:sz w:val="20"/>
                <w:szCs w:val="20"/>
                <w:color w:val="auto"/>
              </w:rPr>
            </w:pPr>
            <w:r>
              <w:rPr>
                <w:rFonts w:ascii="Arial" w:cs="Arial" w:eastAsia="Arial" w:hAnsi="Arial"/>
                <w:sz w:val="9"/>
                <w:szCs w:val="9"/>
                <w:color w:val="auto"/>
              </w:rPr>
              <w:t>4</w:t>
            </w:r>
          </w:p>
        </w:tc>
      </w:tr>
      <w:tr>
        <w:trPr>
          <w:trHeight w:val="99"/>
        </w:trPr>
        <w:tc>
          <w:tcPr>
            <w:tcW w:w="90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Vesting of restricted stock</w:t>
            </w: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10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180" w:type="dxa"/>
            <w:vAlign w:val="bottom"/>
            <w:shd w:val="clear" w:color="auto" w:fill="CCEEFF"/>
          </w:tcPr>
          <w:p>
            <w:pPr>
              <w:spacing w:after="0"/>
              <w:rPr>
                <w:sz w:val="8"/>
                <w:szCs w:val="8"/>
                <w:color w:val="auto"/>
              </w:rPr>
            </w:pPr>
          </w:p>
        </w:tc>
        <w:tc>
          <w:tcPr>
            <w:tcW w:w="960" w:type="dxa"/>
            <w:vAlign w:val="bottom"/>
            <w:gridSpan w:val="3"/>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w:t>
            </w:r>
          </w:p>
        </w:tc>
      </w:tr>
      <w:tr>
        <w:trPr>
          <w:trHeight w:val="99"/>
        </w:trPr>
        <w:tc>
          <w:tcPr>
            <w:tcW w:w="9020" w:type="dxa"/>
            <w:vAlign w:val="bottom"/>
          </w:tcPr>
          <w:p>
            <w:pPr>
              <w:spacing w:after="0" w:line="99" w:lineRule="exact"/>
              <w:rPr>
                <w:sz w:val="20"/>
                <w:szCs w:val="20"/>
                <w:color w:val="auto"/>
              </w:rPr>
            </w:pPr>
            <w:r>
              <w:rPr>
                <w:rFonts w:ascii="Arial" w:cs="Arial" w:eastAsia="Arial" w:hAnsi="Arial"/>
                <w:sz w:val="9"/>
                <w:szCs w:val="9"/>
                <w:color w:val="auto"/>
              </w:rPr>
              <w:t>Shares issued under employee stock purchase plan</w:t>
            </w: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1060" w:type="dxa"/>
            <w:vAlign w:val="bottom"/>
            <w:gridSpan w:val="2"/>
          </w:tcPr>
          <w:p>
            <w:pPr>
              <w:jc w:val="right"/>
              <w:spacing w:after="0" w:line="99" w:lineRule="exact"/>
              <w:rPr>
                <w:sz w:val="20"/>
                <w:szCs w:val="20"/>
                <w:color w:val="auto"/>
              </w:rPr>
            </w:pPr>
            <w:r>
              <w:rPr>
                <w:rFonts w:ascii="Arial" w:cs="Arial" w:eastAsia="Arial" w:hAnsi="Arial"/>
                <w:sz w:val="9"/>
                <w:szCs w:val="9"/>
                <w:color w:val="auto"/>
              </w:rPr>
              <w:t>4</w:t>
            </w:r>
          </w:p>
        </w:tc>
        <w:tc>
          <w:tcPr>
            <w:tcW w:w="180" w:type="dxa"/>
            <w:vAlign w:val="bottom"/>
          </w:tcPr>
          <w:p>
            <w:pPr>
              <w:spacing w:after="0"/>
              <w:rPr>
                <w:sz w:val="8"/>
                <w:szCs w:val="8"/>
                <w:color w:val="auto"/>
              </w:rPr>
            </w:pPr>
          </w:p>
        </w:tc>
        <w:tc>
          <w:tcPr>
            <w:tcW w:w="960" w:type="dxa"/>
            <w:vAlign w:val="bottom"/>
            <w:gridSpan w:val="3"/>
          </w:tcPr>
          <w:p>
            <w:pPr>
              <w:jc w:val="right"/>
              <w:ind w:right="60"/>
              <w:spacing w:after="0" w:line="99" w:lineRule="exact"/>
              <w:rPr>
                <w:sz w:val="20"/>
                <w:szCs w:val="20"/>
                <w:color w:val="auto"/>
              </w:rPr>
            </w:pPr>
            <w:r>
              <w:rPr>
                <w:rFonts w:ascii="Arial" w:cs="Arial" w:eastAsia="Arial" w:hAnsi="Arial"/>
                <w:sz w:val="9"/>
                <w:szCs w:val="9"/>
                <w:color w:val="auto"/>
              </w:rPr>
              <w:t>4</w:t>
            </w:r>
          </w:p>
        </w:tc>
      </w:tr>
      <w:tr>
        <w:trPr>
          <w:trHeight w:val="99"/>
        </w:trPr>
        <w:tc>
          <w:tcPr>
            <w:tcW w:w="90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Stock repurchase program</w:t>
            </w: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(8)</w:t>
            </w:r>
          </w:p>
        </w:tc>
        <w:tc>
          <w:tcPr>
            <w:tcW w:w="960" w:type="dxa"/>
            <w:vAlign w:val="bottom"/>
            <w:gridSpan w:val="3"/>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(8)</w:t>
            </w:r>
          </w:p>
        </w:tc>
      </w:tr>
      <w:tr>
        <w:trPr>
          <w:trHeight w:val="20"/>
        </w:trPr>
        <w:tc>
          <w:tcPr>
            <w:tcW w:w="9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7"/>
        </w:trPr>
        <w:tc>
          <w:tcPr>
            <w:tcW w:w="9020" w:type="dxa"/>
            <w:vAlign w:val="bottom"/>
          </w:tcPr>
          <w:p>
            <w:pPr>
              <w:spacing w:after="0" w:line="98" w:lineRule="exact"/>
              <w:rPr>
                <w:sz w:val="20"/>
                <w:szCs w:val="20"/>
                <w:color w:val="auto"/>
              </w:rPr>
            </w:pPr>
            <w:r>
              <w:rPr>
                <w:rFonts w:ascii="Arial" w:cs="Arial" w:eastAsia="Arial" w:hAnsi="Arial"/>
                <w:sz w:val="9"/>
                <w:szCs w:val="9"/>
                <w:color w:val="auto"/>
              </w:rPr>
              <w:t>Balance, December 31, 2009</w:t>
            </w:r>
          </w:p>
        </w:tc>
        <w:tc>
          <w:tcPr>
            <w:tcW w:w="260" w:type="dxa"/>
            <w:vAlign w:val="bottom"/>
          </w:tcPr>
          <w:p>
            <w:pPr>
              <w:jc w:val="right"/>
              <w:spacing w:after="0" w:line="98" w:lineRule="exact"/>
              <w:rPr>
                <w:sz w:val="20"/>
                <w:szCs w:val="20"/>
                <w:color w:val="auto"/>
              </w:rPr>
            </w:pPr>
            <w:r>
              <w:rPr>
                <w:rFonts w:ascii="Arial" w:cs="Arial" w:eastAsia="Arial" w:hAnsi="Arial"/>
                <w:sz w:val="9"/>
                <w:szCs w:val="9"/>
                <w:color w:val="auto"/>
              </w:rPr>
              <w:t>1,334</w:t>
            </w:r>
          </w:p>
        </w:tc>
        <w:tc>
          <w:tcPr>
            <w:tcW w:w="600" w:type="dxa"/>
            <w:vAlign w:val="bottom"/>
          </w:tcPr>
          <w:p>
            <w:pPr>
              <w:spacing w:after="0"/>
              <w:rPr>
                <w:sz w:val="8"/>
                <w:szCs w:val="8"/>
                <w:color w:val="auto"/>
              </w:rPr>
            </w:pPr>
          </w:p>
        </w:tc>
        <w:tc>
          <w:tcPr>
            <w:tcW w:w="6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(139)</w:t>
            </w:r>
          </w:p>
        </w:tc>
        <w:tc>
          <w:tcPr>
            <w:tcW w:w="960" w:type="dxa"/>
            <w:vAlign w:val="bottom"/>
            <w:gridSpan w:val="3"/>
          </w:tcPr>
          <w:p>
            <w:pPr>
              <w:jc w:val="right"/>
              <w:ind w:right="60"/>
              <w:spacing w:after="0" w:line="98" w:lineRule="exact"/>
              <w:rPr>
                <w:sz w:val="20"/>
                <w:szCs w:val="20"/>
                <w:color w:val="auto"/>
              </w:rPr>
            </w:pPr>
            <w:r>
              <w:rPr>
                <w:rFonts w:ascii="Arial" w:cs="Arial" w:eastAsia="Arial" w:hAnsi="Arial"/>
                <w:sz w:val="9"/>
                <w:szCs w:val="9"/>
                <w:color w:val="auto"/>
              </w:rPr>
              <w:t>1,195</w:t>
            </w:r>
          </w:p>
        </w:tc>
      </w:tr>
      <w:tr>
        <w:trPr>
          <w:trHeight w:val="99"/>
        </w:trPr>
        <w:tc>
          <w:tcPr>
            <w:tcW w:w="90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Acquisition of Smith International, Inc.</w:t>
            </w: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100</w:t>
            </w:r>
          </w:p>
        </w:tc>
        <w:tc>
          <w:tcPr>
            <w:tcW w:w="10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76</w:t>
            </w:r>
          </w:p>
        </w:tc>
        <w:tc>
          <w:tcPr>
            <w:tcW w:w="180" w:type="dxa"/>
            <w:vAlign w:val="bottom"/>
            <w:shd w:val="clear" w:color="auto" w:fill="CCEEFF"/>
          </w:tcPr>
          <w:p>
            <w:pPr>
              <w:spacing w:after="0"/>
              <w:rPr>
                <w:sz w:val="8"/>
                <w:szCs w:val="8"/>
                <w:color w:val="auto"/>
              </w:rPr>
            </w:pPr>
          </w:p>
        </w:tc>
        <w:tc>
          <w:tcPr>
            <w:tcW w:w="960" w:type="dxa"/>
            <w:vAlign w:val="bottom"/>
            <w:gridSpan w:val="3"/>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176</w:t>
            </w:r>
          </w:p>
        </w:tc>
      </w:tr>
      <w:tr>
        <w:trPr>
          <w:trHeight w:val="99"/>
        </w:trPr>
        <w:tc>
          <w:tcPr>
            <w:tcW w:w="9020" w:type="dxa"/>
            <w:vAlign w:val="bottom"/>
          </w:tcPr>
          <w:p>
            <w:pPr>
              <w:spacing w:after="0" w:line="99" w:lineRule="exact"/>
              <w:rPr>
                <w:sz w:val="20"/>
                <w:szCs w:val="20"/>
                <w:color w:val="auto"/>
              </w:rPr>
            </w:pPr>
            <w:r>
              <w:rPr>
                <w:rFonts w:ascii="Arial" w:cs="Arial" w:eastAsia="Arial" w:hAnsi="Arial"/>
                <w:sz w:val="9"/>
                <w:szCs w:val="9"/>
                <w:color w:val="auto"/>
              </w:rPr>
              <w:t>Shares sold to optionees less shares exchanged</w:t>
            </w: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1060" w:type="dxa"/>
            <w:vAlign w:val="bottom"/>
            <w:gridSpan w:val="2"/>
          </w:tcPr>
          <w:p>
            <w:pPr>
              <w:jc w:val="right"/>
              <w:spacing w:after="0" w:line="99" w:lineRule="exact"/>
              <w:rPr>
                <w:sz w:val="20"/>
                <w:szCs w:val="20"/>
                <w:color w:val="auto"/>
              </w:rPr>
            </w:pPr>
            <w:r>
              <w:rPr>
                <w:rFonts w:ascii="Arial" w:cs="Arial" w:eastAsia="Arial" w:hAnsi="Arial"/>
                <w:sz w:val="9"/>
                <w:szCs w:val="9"/>
                <w:color w:val="auto"/>
              </w:rPr>
              <w:t>6</w:t>
            </w:r>
          </w:p>
        </w:tc>
        <w:tc>
          <w:tcPr>
            <w:tcW w:w="180" w:type="dxa"/>
            <w:vAlign w:val="bottom"/>
          </w:tcPr>
          <w:p>
            <w:pPr>
              <w:spacing w:after="0"/>
              <w:rPr>
                <w:sz w:val="8"/>
                <w:szCs w:val="8"/>
                <w:color w:val="auto"/>
              </w:rPr>
            </w:pPr>
          </w:p>
        </w:tc>
        <w:tc>
          <w:tcPr>
            <w:tcW w:w="960" w:type="dxa"/>
            <w:vAlign w:val="bottom"/>
            <w:gridSpan w:val="3"/>
          </w:tcPr>
          <w:p>
            <w:pPr>
              <w:jc w:val="right"/>
              <w:ind w:right="60"/>
              <w:spacing w:after="0" w:line="99" w:lineRule="exact"/>
              <w:rPr>
                <w:sz w:val="20"/>
                <w:szCs w:val="20"/>
                <w:color w:val="auto"/>
              </w:rPr>
            </w:pPr>
            <w:r>
              <w:rPr>
                <w:rFonts w:ascii="Arial" w:cs="Arial" w:eastAsia="Arial" w:hAnsi="Arial"/>
                <w:sz w:val="9"/>
                <w:szCs w:val="9"/>
                <w:color w:val="auto"/>
              </w:rPr>
              <w:t>6</w:t>
            </w:r>
          </w:p>
        </w:tc>
      </w:tr>
      <w:tr>
        <w:trPr>
          <w:trHeight w:val="99"/>
        </w:trPr>
        <w:tc>
          <w:tcPr>
            <w:tcW w:w="90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Shares issued under employee stock purchase plan</w:t>
            </w: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10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3</w:t>
            </w:r>
          </w:p>
        </w:tc>
        <w:tc>
          <w:tcPr>
            <w:tcW w:w="180" w:type="dxa"/>
            <w:vAlign w:val="bottom"/>
            <w:shd w:val="clear" w:color="auto" w:fill="CCEEFF"/>
          </w:tcPr>
          <w:p>
            <w:pPr>
              <w:spacing w:after="0"/>
              <w:rPr>
                <w:sz w:val="8"/>
                <w:szCs w:val="8"/>
                <w:color w:val="auto"/>
              </w:rPr>
            </w:pPr>
          </w:p>
        </w:tc>
        <w:tc>
          <w:tcPr>
            <w:tcW w:w="960" w:type="dxa"/>
            <w:vAlign w:val="bottom"/>
            <w:gridSpan w:val="3"/>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3</w:t>
            </w:r>
          </w:p>
        </w:tc>
      </w:tr>
      <w:tr>
        <w:trPr>
          <w:trHeight w:val="99"/>
        </w:trPr>
        <w:tc>
          <w:tcPr>
            <w:tcW w:w="9020" w:type="dxa"/>
            <w:vAlign w:val="bottom"/>
          </w:tcPr>
          <w:p>
            <w:pPr>
              <w:spacing w:after="0" w:line="99" w:lineRule="exact"/>
              <w:rPr>
                <w:sz w:val="20"/>
                <w:szCs w:val="20"/>
                <w:color w:val="auto"/>
              </w:rPr>
            </w:pPr>
            <w:r>
              <w:rPr>
                <w:rFonts w:ascii="Arial" w:cs="Arial" w:eastAsia="Arial" w:hAnsi="Arial"/>
                <w:sz w:val="9"/>
                <w:szCs w:val="9"/>
                <w:color w:val="auto"/>
              </w:rPr>
              <w:t>Stock repurchase program</w:t>
            </w: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1240" w:type="dxa"/>
            <w:vAlign w:val="bottom"/>
            <w:gridSpan w:val="3"/>
          </w:tcPr>
          <w:p>
            <w:pPr>
              <w:jc w:val="right"/>
              <w:ind w:right="160"/>
              <w:spacing w:after="0" w:line="99" w:lineRule="exact"/>
              <w:rPr>
                <w:sz w:val="20"/>
                <w:szCs w:val="20"/>
                <w:color w:val="auto"/>
              </w:rPr>
            </w:pPr>
            <w:r>
              <w:rPr>
                <w:rFonts w:ascii="Arial" w:cs="Arial" w:eastAsia="Arial" w:hAnsi="Arial"/>
                <w:sz w:val="9"/>
                <w:szCs w:val="9"/>
                <w:color w:val="auto"/>
              </w:rPr>
              <w:t>(27)</w:t>
            </w:r>
          </w:p>
        </w:tc>
        <w:tc>
          <w:tcPr>
            <w:tcW w:w="960" w:type="dxa"/>
            <w:vAlign w:val="bottom"/>
            <w:gridSpan w:val="3"/>
          </w:tcPr>
          <w:p>
            <w:pPr>
              <w:jc w:val="right"/>
              <w:ind w:right="20"/>
              <w:spacing w:after="0" w:line="99" w:lineRule="exact"/>
              <w:rPr>
                <w:sz w:val="20"/>
                <w:szCs w:val="20"/>
                <w:color w:val="auto"/>
              </w:rPr>
            </w:pPr>
            <w:r>
              <w:rPr>
                <w:rFonts w:ascii="Arial" w:cs="Arial" w:eastAsia="Arial" w:hAnsi="Arial"/>
                <w:sz w:val="9"/>
                <w:szCs w:val="9"/>
                <w:color w:val="auto"/>
              </w:rPr>
              <w:t>(27)</w:t>
            </w:r>
          </w:p>
        </w:tc>
      </w:tr>
      <w:tr>
        <w:trPr>
          <w:trHeight w:val="99"/>
        </w:trPr>
        <w:tc>
          <w:tcPr>
            <w:tcW w:w="90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Issued on conversions of debentures</w:t>
            </w: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8</w:t>
            </w: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8</w:t>
            </w:r>
          </w:p>
        </w:tc>
      </w:tr>
      <w:tr>
        <w:trPr>
          <w:trHeight w:val="20"/>
        </w:trPr>
        <w:tc>
          <w:tcPr>
            <w:tcW w:w="9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7"/>
        </w:trPr>
        <w:tc>
          <w:tcPr>
            <w:tcW w:w="9020" w:type="dxa"/>
            <w:vAlign w:val="bottom"/>
          </w:tcPr>
          <w:p>
            <w:pPr>
              <w:spacing w:after="0" w:line="98" w:lineRule="exact"/>
              <w:rPr>
                <w:sz w:val="20"/>
                <w:szCs w:val="20"/>
                <w:color w:val="auto"/>
              </w:rPr>
            </w:pPr>
            <w:r>
              <w:rPr>
                <w:rFonts w:ascii="Arial" w:cs="Arial" w:eastAsia="Arial" w:hAnsi="Arial"/>
                <w:sz w:val="9"/>
                <w:szCs w:val="9"/>
                <w:color w:val="auto"/>
              </w:rPr>
              <w:t>Balance, December 31, 2010</w:t>
            </w:r>
          </w:p>
        </w:tc>
        <w:tc>
          <w:tcPr>
            <w:tcW w:w="260" w:type="dxa"/>
            <w:vAlign w:val="bottom"/>
          </w:tcPr>
          <w:p>
            <w:pPr>
              <w:jc w:val="right"/>
              <w:spacing w:after="0" w:line="98" w:lineRule="exact"/>
              <w:rPr>
                <w:sz w:val="20"/>
                <w:szCs w:val="20"/>
                <w:color w:val="auto"/>
              </w:rPr>
            </w:pPr>
            <w:r>
              <w:rPr>
                <w:rFonts w:ascii="Arial" w:cs="Arial" w:eastAsia="Arial" w:hAnsi="Arial"/>
                <w:sz w:val="9"/>
                <w:szCs w:val="9"/>
                <w:color w:val="auto"/>
              </w:rPr>
              <w:t>1,434</w:t>
            </w:r>
          </w:p>
        </w:tc>
        <w:tc>
          <w:tcPr>
            <w:tcW w:w="600" w:type="dxa"/>
            <w:vAlign w:val="bottom"/>
          </w:tcPr>
          <w:p>
            <w:pPr>
              <w:spacing w:after="0"/>
              <w:rPr>
                <w:sz w:val="8"/>
                <w:szCs w:val="8"/>
                <w:color w:val="auto"/>
              </w:rPr>
            </w:pPr>
          </w:p>
        </w:tc>
        <w:tc>
          <w:tcPr>
            <w:tcW w:w="6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(73)</w:t>
            </w:r>
          </w:p>
        </w:tc>
        <w:tc>
          <w:tcPr>
            <w:tcW w:w="960" w:type="dxa"/>
            <w:vAlign w:val="bottom"/>
            <w:gridSpan w:val="3"/>
          </w:tcPr>
          <w:p>
            <w:pPr>
              <w:jc w:val="right"/>
              <w:ind w:right="60"/>
              <w:spacing w:after="0" w:line="98" w:lineRule="exact"/>
              <w:rPr>
                <w:sz w:val="20"/>
                <w:szCs w:val="20"/>
                <w:color w:val="auto"/>
              </w:rPr>
            </w:pPr>
            <w:r>
              <w:rPr>
                <w:rFonts w:ascii="Arial" w:cs="Arial" w:eastAsia="Arial" w:hAnsi="Arial"/>
                <w:sz w:val="9"/>
                <w:szCs w:val="9"/>
                <w:color w:val="auto"/>
              </w:rPr>
              <w:t>1,361</w:t>
            </w:r>
          </w:p>
        </w:tc>
      </w:tr>
      <w:tr>
        <w:trPr>
          <w:trHeight w:val="99"/>
        </w:trPr>
        <w:tc>
          <w:tcPr>
            <w:tcW w:w="90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Shares sold to optionees less shares exchanged</w:t>
            </w: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10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6</w:t>
            </w:r>
          </w:p>
        </w:tc>
        <w:tc>
          <w:tcPr>
            <w:tcW w:w="180" w:type="dxa"/>
            <w:vAlign w:val="bottom"/>
            <w:shd w:val="clear" w:color="auto" w:fill="CCEEFF"/>
          </w:tcPr>
          <w:p>
            <w:pPr>
              <w:spacing w:after="0"/>
              <w:rPr>
                <w:sz w:val="8"/>
                <w:szCs w:val="8"/>
                <w:color w:val="auto"/>
              </w:rPr>
            </w:pPr>
          </w:p>
        </w:tc>
        <w:tc>
          <w:tcPr>
            <w:tcW w:w="960" w:type="dxa"/>
            <w:vAlign w:val="bottom"/>
            <w:gridSpan w:val="3"/>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6</w:t>
            </w:r>
          </w:p>
        </w:tc>
      </w:tr>
      <w:tr>
        <w:trPr>
          <w:trHeight w:val="99"/>
        </w:trPr>
        <w:tc>
          <w:tcPr>
            <w:tcW w:w="9020" w:type="dxa"/>
            <w:vAlign w:val="bottom"/>
          </w:tcPr>
          <w:p>
            <w:pPr>
              <w:spacing w:after="0" w:line="99" w:lineRule="exact"/>
              <w:rPr>
                <w:sz w:val="20"/>
                <w:szCs w:val="20"/>
                <w:color w:val="auto"/>
              </w:rPr>
            </w:pPr>
            <w:r>
              <w:rPr>
                <w:rFonts w:ascii="Arial" w:cs="Arial" w:eastAsia="Arial" w:hAnsi="Arial"/>
                <w:sz w:val="9"/>
                <w:szCs w:val="9"/>
                <w:color w:val="auto"/>
              </w:rPr>
              <w:t>Vesting of restricted stock</w:t>
            </w: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1060" w:type="dxa"/>
            <w:vAlign w:val="bottom"/>
            <w:gridSpan w:val="2"/>
          </w:tcPr>
          <w:p>
            <w:pPr>
              <w:jc w:val="right"/>
              <w:spacing w:after="0" w:line="99" w:lineRule="exact"/>
              <w:rPr>
                <w:sz w:val="20"/>
                <w:szCs w:val="20"/>
                <w:color w:val="auto"/>
              </w:rPr>
            </w:pPr>
            <w:r>
              <w:rPr>
                <w:rFonts w:ascii="Arial" w:cs="Arial" w:eastAsia="Arial" w:hAnsi="Arial"/>
                <w:sz w:val="9"/>
                <w:szCs w:val="9"/>
                <w:color w:val="auto"/>
              </w:rPr>
              <w:t>1</w:t>
            </w:r>
          </w:p>
        </w:tc>
        <w:tc>
          <w:tcPr>
            <w:tcW w:w="180" w:type="dxa"/>
            <w:vAlign w:val="bottom"/>
          </w:tcPr>
          <w:p>
            <w:pPr>
              <w:spacing w:after="0"/>
              <w:rPr>
                <w:sz w:val="8"/>
                <w:szCs w:val="8"/>
                <w:color w:val="auto"/>
              </w:rPr>
            </w:pPr>
          </w:p>
        </w:tc>
        <w:tc>
          <w:tcPr>
            <w:tcW w:w="960" w:type="dxa"/>
            <w:vAlign w:val="bottom"/>
            <w:gridSpan w:val="3"/>
          </w:tcPr>
          <w:p>
            <w:pPr>
              <w:jc w:val="right"/>
              <w:ind w:right="60"/>
              <w:spacing w:after="0" w:line="99" w:lineRule="exact"/>
              <w:rPr>
                <w:sz w:val="20"/>
                <w:szCs w:val="20"/>
                <w:color w:val="auto"/>
              </w:rPr>
            </w:pPr>
            <w:r>
              <w:rPr>
                <w:rFonts w:ascii="Arial" w:cs="Arial" w:eastAsia="Arial" w:hAnsi="Arial"/>
                <w:sz w:val="9"/>
                <w:szCs w:val="9"/>
                <w:color w:val="auto"/>
              </w:rPr>
              <w:t>1</w:t>
            </w:r>
          </w:p>
        </w:tc>
      </w:tr>
      <w:tr>
        <w:trPr>
          <w:trHeight w:val="99"/>
        </w:trPr>
        <w:tc>
          <w:tcPr>
            <w:tcW w:w="90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Shares issued under employee stock purchase plan</w:t>
            </w: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10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3</w:t>
            </w:r>
          </w:p>
        </w:tc>
        <w:tc>
          <w:tcPr>
            <w:tcW w:w="180" w:type="dxa"/>
            <w:vAlign w:val="bottom"/>
            <w:shd w:val="clear" w:color="auto" w:fill="CCEEFF"/>
          </w:tcPr>
          <w:p>
            <w:pPr>
              <w:spacing w:after="0"/>
              <w:rPr>
                <w:sz w:val="8"/>
                <w:szCs w:val="8"/>
                <w:color w:val="auto"/>
              </w:rPr>
            </w:pPr>
          </w:p>
        </w:tc>
        <w:tc>
          <w:tcPr>
            <w:tcW w:w="960" w:type="dxa"/>
            <w:vAlign w:val="bottom"/>
            <w:gridSpan w:val="3"/>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3</w:t>
            </w:r>
          </w:p>
        </w:tc>
      </w:tr>
      <w:tr>
        <w:trPr>
          <w:trHeight w:val="99"/>
        </w:trPr>
        <w:tc>
          <w:tcPr>
            <w:tcW w:w="9020" w:type="dxa"/>
            <w:vAlign w:val="bottom"/>
          </w:tcPr>
          <w:p>
            <w:pPr>
              <w:spacing w:after="0" w:line="99" w:lineRule="exact"/>
              <w:rPr>
                <w:sz w:val="20"/>
                <w:szCs w:val="20"/>
                <w:color w:val="auto"/>
              </w:rPr>
            </w:pPr>
            <w:r>
              <w:rPr>
                <w:rFonts w:ascii="Arial" w:cs="Arial" w:eastAsia="Arial" w:hAnsi="Arial"/>
                <w:sz w:val="9"/>
                <w:szCs w:val="9"/>
                <w:color w:val="auto"/>
              </w:rPr>
              <w:t>Stock repurchase program</w:t>
            </w: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64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(37)</w:t>
            </w:r>
          </w:p>
        </w:tc>
        <w:tc>
          <w:tcPr>
            <w:tcW w:w="960" w:type="dxa"/>
            <w:vAlign w:val="bottom"/>
            <w:gridSpan w:val="3"/>
          </w:tcPr>
          <w:p>
            <w:pPr>
              <w:jc w:val="right"/>
              <w:ind w:right="20"/>
              <w:spacing w:after="0" w:line="99" w:lineRule="exact"/>
              <w:rPr>
                <w:sz w:val="20"/>
                <w:szCs w:val="20"/>
                <w:color w:val="auto"/>
              </w:rPr>
            </w:pPr>
            <w:r>
              <w:rPr>
                <w:rFonts w:ascii="Arial" w:cs="Arial" w:eastAsia="Arial" w:hAnsi="Arial"/>
                <w:sz w:val="9"/>
                <w:szCs w:val="9"/>
                <w:color w:val="auto"/>
              </w:rPr>
              <w:t>(37)</w:t>
            </w:r>
          </w:p>
        </w:tc>
      </w:tr>
      <w:tr>
        <w:trPr>
          <w:trHeight w:val="20"/>
        </w:trPr>
        <w:tc>
          <w:tcPr>
            <w:tcW w:w="9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7"/>
        </w:trPr>
        <w:tc>
          <w:tcPr>
            <w:tcW w:w="90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2011</w:t>
            </w:r>
          </w:p>
        </w:tc>
        <w:tc>
          <w:tcPr>
            <w:tcW w:w="2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1,434</w:t>
            </w:r>
          </w:p>
        </w:tc>
        <w:tc>
          <w:tcPr>
            <w:tcW w:w="6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(100)</w:t>
            </w:r>
          </w:p>
        </w:tc>
        <w:tc>
          <w:tcPr>
            <w:tcW w:w="960" w:type="dxa"/>
            <w:vAlign w:val="bottom"/>
            <w:gridSpan w:val="3"/>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1,334</w:t>
            </w:r>
          </w:p>
        </w:tc>
      </w:tr>
      <w:tr>
        <w:trPr>
          <w:trHeight w:val="20"/>
        </w:trPr>
        <w:tc>
          <w:tcPr>
            <w:tcW w:w="9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See the </w:t>
      </w:r>
      <w:r>
        <w:rPr>
          <w:rFonts w:ascii="Arial" w:cs="Arial" w:eastAsia="Arial" w:hAnsi="Arial"/>
          <w:sz w:val="9"/>
          <w:szCs w:val="9"/>
          <w:i w:val="1"/>
          <w:iCs w:val="1"/>
          <w:color w:val="auto"/>
        </w:rPr>
        <w:t>Notes to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9"/>
          <w:szCs w:val="9"/>
          <w:color w:val="auto"/>
        </w:rPr>
        <w:t>38</w:t>
      </w:r>
    </w:p>
    <w:p>
      <w:pPr>
        <w:sectPr>
          <w:pgSz w:w="11900" w:h="16838" w:orient="portrait"/>
          <w:cols w:equalWidth="0" w:num="1">
            <w:col w:w="11480"/>
          </w:cols>
          <w:pgMar w:left="220" w:top="354" w:right="199" w:bottom="1440" w:gutter="0" w:footer="0" w:header="0"/>
        </w:sectPr>
      </w:pPr>
    </w:p>
    <w:bookmarkStart w:id="38" w:name="page39"/>
    <w:bookmarkEnd w:id="38"/>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Notes to Consolidated Financial Statements</w:t>
      </w:r>
    </w:p>
    <w:p>
      <w:pPr>
        <w:spacing w:after="0" w:line="60" w:lineRule="exact"/>
        <w:rPr>
          <w:sz w:val="20"/>
          <w:szCs w:val="20"/>
          <w:color w:val="auto"/>
        </w:rPr>
      </w:pPr>
    </w:p>
    <w:p>
      <w:pPr>
        <w:ind w:left="228" w:hanging="228"/>
        <w:spacing w:after="0"/>
        <w:tabs>
          <w:tab w:leader="none" w:pos="228" w:val="left"/>
        </w:tabs>
        <w:numPr>
          <w:ilvl w:val="0"/>
          <w:numId w:val="2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Business Description</w:t>
      </w:r>
    </w:p>
    <w:p>
      <w:pPr>
        <w:spacing w:after="0" w:line="62" w:lineRule="exact"/>
        <w:rPr>
          <w:sz w:val="20"/>
          <w:szCs w:val="20"/>
          <w:color w:val="auto"/>
        </w:rPr>
      </w:pPr>
    </w:p>
    <w:p>
      <w:pPr>
        <w:ind w:left="8" w:firstLine="230"/>
        <w:spacing w:after="0" w:line="268" w:lineRule="auto"/>
        <w:rPr>
          <w:sz w:val="20"/>
          <w:szCs w:val="20"/>
          <w:color w:val="auto"/>
        </w:rPr>
      </w:pPr>
      <w:r>
        <w:rPr>
          <w:rFonts w:ascii="Arial" w:cs="Arial" w:eastAsia="Arial" w:hAnsi="Arial"/>
          <w:sz w:val="12"/>
          <w:szCs w:val="12"/>
          <w:color w:val="auto"/>
        </w:rPr>
        <w:t>Schlumberger Limited (Schlumberger N.V., incorporated in Curaçao) and its consolidated subsidiaries (collectively, “Schlumberger”) form the world’s leading supplier of technology, integrated project management and information solutions to customers in the oil and gas industry worldwide, providing the industry’s widest range of oilfield services from exploration to production.</w:t>
      </w:r>
    </w:p>
    <w:p>
      <w:pPr>
        <w:spacing w:after="0" w:line="86" w:lineRule="exact"/>
        <w:rPr>
          <w:sz w:val="20"/>
          <w:szCs w:val="20"/>
          <w:color w:val="auto"/>
        </w:rPr>
      </w:pPr>
    </w:p>
    <w:p>
      <w:pPr>
        <w:ind w:left="228" w:hanging="228"/>
        <w:spacing w:after="0"/>
        <w:tabs>
          <w:tab w:leader="none" w:pos="228"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Summary of Accounting Policies</w:t>
      </w:r>
    </w:p>
    <w:p>
      <w:pPr>
        <w:spacing w:after="0" w:line="62" w:lineRule="exact"/>
        <w:rPr>
          <w:rFonts w:ascii="Arial" w:cs="Arial" w:eastAsia="Arial" w:hAnsi="Arial"/>
          <w:sz w:val="12"/>
          <w:szCs w:val="12"/>
          <w:b w:val="1"/>
          <w:bCs w:val="1"/>
          <w:color w:val="auto"/>
        </w:rPr>
      </w:pPr>
    </w:p>
    <w:p>
      <w:pPr>
        <w:ind w:left="228"/>
        <w:spacing w:after="0"/>
        <w:rPr>
          <w:rFonts w:ascii="Arial" w:cs="Arial" w:eastAsia="Arial" w:hAnsi="Arial"/>
          <w:sz w:val="12"/>
          <w:szCs w:val="12"/>
          <w:b w:val="1"/>
          <w:bCs w:val="1"/>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 xml:space="preserve"> of Schlumberger have been prepared in accordance with accounting principles generally accepted in the United States of America.</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60" w:lineRule="exact"/>
        <w:rPr>
          <w:sz w:val="20"/>
          <w:szCs w:val="20"/>
          <w:color w:val="auto"/>
        </w:rPr>
      </w:pPr>
    </w:p>
    <w:p>
      <w:pPr>
        <w:jc w:val="both"/>
        <w:ind w:left="8" w:right="100" w:firstLine="230"/>
        <w:spacing w:after="0" w:line="256" w:lineRule="auto"/>
        <w:rPr>
          <w:sz w:val="20"/>
          <w:szCs w:val="20"/>
          <w:color w:val="auto"/>
        </w:rPr>
      </w:pPr>
      <w:r>
        <w:rPr>
          <w:rFonts w:ascii="Arial" w:cs="Arial" w:eastAsia="Arial" w:hAnsi="Arial"/>
          <w:sz w:val="12"/>
          <w:szCs w:val="12"/>
          <w:color w:val="auto"/>
        </w:rPr>
        <w:t xml:space="preserve">The accompanying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 xml:space="preserve"> include the accounts of Schlumberger, its wholly-owned subsidiaries, and subsidiaries over which it exercises a controlling financial interest. All significant intercompany transactions and balances have been eliminated. Investments in entities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2"/>
          <w:szCs w:val="12"/>
          <w:i w:val="1"/>
          <w:iCs w:val="1"/>
          <w:color w:val="auto"/>
        </w:rPr>
        <w:t>Interest and other income, net</w:t>
      </w:r>
      <w:r>
        <w:rPr>
          <w:rFonts w:ascii="Arial" w:cs="Arial" w:eastAsia="Arial" w:hAnsi="Arial"/>
          <w:sz w:val="12"/>
          <w:szCs w:val="12"/>
          <w:color w:val="auto"/>
        </w:rPr>
        <w:t xml:space="preserve">. Investments in which Schlumberger does not have the ability to exercise significant influence are accounted for using the cost method. Both equity and cost method investments are classified in </w:t>
      </w:r>
      <w:r>
        <w:rPr>
          <w:rFonts w:ascii="Arial" w:cs="Arial" w:eastAsia="Arial" w:hAnsi="Arial"/>
          <w:sz w:val="12"/>
          <w:szCs w:val="12"/>
          <w:i w:val="1"/>
          <w:iCs w:val="1"/>
          <w:color w:val="auto"/>
        </w:rPr>
        <w:t>Investments in Affiliated Companies</w:t>
      </w:r>
      <w:r>
        <w:rPr>
          <w:rFonts w:ascii="Arial" w:cs="Arial" w:eastAsia="Arial" w:hAnsi="Arial"/>
          <w:sz w:val="12"/>
          <w:szCs w:val="12"/>
          <w:color w:val="auto"/>
        </w:rPr>
        <w:t>.</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Reclassifications</w:t>
      </w:r>
    </w:p>
    <w:p>
      <w:pPr>
        <w:spacing w:after="0" w:line="60" w:lineRule="exact"/>
        <w:rPr>
          <w:sz w:val="20"/>
          <w:szCs w:val="20"/>
          <w:color w:val="auto"/>
        </w:rPr>
      </w:pPr>
    </w:p>
    <w:p>
      <w:pPr>
        <w:ind w:left="228"/>
        <w:spacing w:after="0"/>
        <w:rPr>
          <w:sz w:val="20"/>
          <w:szCs w:val="20"/>
          <w:color w:val="auto"/>
        </w:rPr>
      </w:pPr>
      <w:r>
        <w:rPr>
          <w:rFonts w:ascii="Arial" w:cs="Arial" w:eastAsia="Arial" w:hAnsi="Arial"/>
          <w:sz w:val="12"/>
          <w:szCs w:val="12"/>
          <w:color w:val="auto"/>
        </w:rPr>
        <w:t>Certain prior year items have been reclassified to conform to the current year presentation.</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Use of Estimates</w:t>
      </w:r>
    </w:p>
    <w:p>
      <w:pPr>
        <w:spacing w:after="0" w:line="60" w:lineRule="exact"/>
        <w:rPr>
          <w:sz w:val="20"/>
          <w:szCs w:val="20"/>
          <w:color w:val="auto"/>
        </w:rPr>
      </w:pPr>
    </w:p>
    <w:p>
      <w:pPr>
        <w:ind w:left="8" w:right="80" w:firstLine="230"/>
        <w:spacing w:after="0" w:line="283" w:lineRule="auto"/>
        <w:rPr>
          <w:sz w:val="20"/>
          <w:szCs w:val="20"/>
          <w:color w:val="auto"/>
        </w:rPr>
      </w:pPr>
      <w:r>
        <w:rPr>
          <w:rFonts w:ascii="Arial" w:cs="Arial" w:eastAsia="Arial" w:hAnsi="Arial"/>
          <w:sz w:val="11"/>
          <w:szCs w:val="11"/>
          <w:color w:val="auto"/>
        </w:rPr>
        <w:t>The preparation of financial statements in conformity with generally accepted accounting principles requires management to make estimates and assumptions that affect the reported amounts of assets and liabilities, disclosure of contingent liabilities at the date of the financial statements and the reported amounts of revenue and expenses during the reporting period. On an on-going basis, Schlumberger evaluates its estimates, including those related to collectibility of accounts receivable; valuation of inventories and investments; recoverability of goodwill, intangible assets and investments in affiliates; income taxes; multiclient seismic data; contingencies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60" w:lineRule="exact"/>
        <w:rPr>
          <w:sz w:val="20"/>
          <w:szCs w:val="20"/>
          <w:color w:val="auto"/>
        </w:rPr>
      </w:pPr>
    </w:p>
    <w:p>
      <w:pPr>
        <w:jc w:val="both"/>
        <w:ind w:left="8" w:right="40" w:firstLine="230"/>
        <w:spacing w:after="0" w:line="253" w:lineRule="auto"/>
        <w:rPr>
          <w:sz w:val="20"/>
          <w:szCs w:val="20"/>
          <w:color w:val="auto"/>
        </w:rPr>
      </w:pPr>
      <w:r>
        <w:rPr>
          <w:rFonts w:ascii="Arial" w:cs="Arial" w:eastAsia="Arial" w:hAnsi="Arial"/>
          <w:sz w:val="12"/>
          <w:szCs w:val="12"/>
          <w:color w:val="auto"/>
        </w:rPr>
        <w:t>Schlumberger recognizes revenue based upon purchase orders, contracts or other persuasive evidence of an arrangement with the customer that include fixed or determinable prices provided that collectibility is reasonably assured. Revenue is recognized for services when they are rendered. Revenue is recognized for products upon delivery, when the customer assumes the risks and rewards of ownership. Certain products may be provided on a consigned basis in which case revenue is recognized when the products are consumed provided that all other revenue recognition criteria have been met.</w:t>
      </w:r>
    </w:p>
    <w:p>
      <w:pPr>
        <w:ind w:left="8" w:right="260" w:firstLine="230"/>
        <w:spacing w:after="0" w:line="381" w:lineRule="auto"/>
        <w:rPr>
          <w:sz w:val="20"/>
          <w:szCs w:val="20"/>
          <w:color w:val="auto"/>
        </w:rPr>
      </w:pPr>
      <w:r>
        <w:rPr>
          <w:rFonts w:ascii="Arial" w:cs="Arial" w:eastAsia="Arial" w:hAnsi="Arial"/>
          <w:sz w:val="9"/>
          <w:szCs w:val="9"/>
          <w:color w:val="auto"/>
        </w:rPr>
        <w:t>Revenue from seismic contract services performed on a dayrate basis is recognized as the service is performed. Revenue from other services, including pre-funded multiclient surveys, is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 from sales of completed multiclient data surveys is recognized upon obtaining a signed licensing agreement and providing customers with access to such data.</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39</w:t>
      </w:r>
    </w:p>
    <w:p>
      <w:pPr>
        <w:sectPr>
          <w:pgSz w:w="11900" w:h="16838" w:orient="portrait"/>
          <w:cols w:equalWidth="0" w:num="1">
            <w:col w:w="11488"/>
          </w:cols>
          <w:pgMar w:left="212" w:top="354" w:right="199"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140" w:firstLine="230"/>
        <w:spacing w:after="0" w:line="254" w:lineRule="auto"/>
        <w:rPr>
          <w:sz w:val="20"/>
          <w:szCs w:val="20"/>
          <w:color w:val="auto"/>
        </w:rPr>
      </w:pPr>
      <w:r>
        <w:rPr>
          <w:rFonts w:ascii="Arial" w:cs="Arial" w:eastAsia="Arial" w:hAnsi="Arial"/>
          <w:sz w:val="12"/>
          <w:szCs w:val="12"/>
          <w:color w:val="auto"/>
        </w:rPr>
        <w:t>Revenue is occasionally generated from contractual arrangements that include multiple deliverables. Revenue from these arrangements is recognized as each item is delivered based on their relative fair value and when the delivered items have stand-alone value to the customer.</w:t>
      </w:r>
    </w:p>
    <w:p>
      <w:pPr>
        <w:ind w:firstLine="230"/>
        <w:spacing w:after="0" w:line="255" w:lineRule="auto"/>
        <w:rPr>
          <w:sz w:val="20"/>
          <w:szCs w:val="20"/>
          <w:color w:val="auto"/>
        </w:rPr>
      </w:pPr>
      <w:r>
        <w:rPr>
          <w:rFonts w:ascii="Arial" w:cs="Arial" w:eastAsia="Arial" w:hAnsi="Arial"/>
          <w:sz w:val="12"/>
          <w:szCs w:val="12"/>
          <w:color w:val="auto"/>
        </w:rPr>
        <w:t>Revenue derived from the sale of licenses of Schlumberger software may include installation, maintenance, consulting and training services. 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Translation of Non-United States Currencies</w:t>
      </w:r>
    </w:p>
    <w:p>
      <w:pPr>
        <w:spacing w:after="0" w:line="60" w:lineRule="exact"/>
        <w:rPr>
          <w:sz w:val="20"/>
          <w:szCs w:val="20"/>
          <w:color w:val="auto"/>
        </w:rPr>
      </w:pPr>
    </w:p>
    <w:p>
      <w:pPr>
        <w:ind w:right="60" w:firstLine="230"/>
        <w:spacing w:after="0" w:line="386" w:lineRule="auto"/>
        <w:rPr>
          <w:sz w:val="20"/>
          <w:szCs w:val="20"/>
          <w:color w:val="auto"/>
        </w:rPr>
      </w:pPr>
      <w:r>
        <w:rPr>
          <w:rFonts w:ascii="Arial" w:cs="Arial" w:eastAsia="Arial" w:hAnsi="Arial"/>
          <w:sz w:val="9"/>
          <w:szCs w:val="9"/>
          <w:color w:val="auto"/>
        </w:rPr>
        <w:t xml:space="preserve">The functional currency of Schlumberger is primarily the US dollar. Assets and liabilities recorded in functional currencies other than US dollars are translated at period end exchange rates. The resulting adjustments are charged or credited directly to the </w:t>
      </w:r>
      <w:r>
        <w:rPr>
          <w:rFonts w:ascii="Arial" w:cs="Arial" w:eastAsia="Arial" w:hAnsi="Arial"/>
          <w:sz w:val="9"/>
          <w:szCs w:val="9"/>
          <w:i w:val="1"/>
          <w:iCs w:val="1"/>
          <w:color w:val="auto"/>
        </w:rPr>
        <w:t>Equity</w:t>
      </w:r>
      <w:r>
        <w:rPr>
          <w:rFonts w:ascii="Arial" w:cs="Arial" w:eastAsia="Arial" w:hAnsi="Arial"/>
          <w:sz w:val="9"/>
          <w:szCs w:val="9"/>
          <w:color w:val="auto"/>
        </w:rPr>
        <w:t xml:space="preserve"> section of the </w:t>
      </w:r>
      <w:r>
        <w:rPr>
          <w:rFonts w:ascii="Arial" w:cs="Arial" w:eastAsia="Arial" w:hAnsi="Arial"/>
          <w:sz w:val="9"/>
          <w:szCs w:val="9"/>
          <w:i w:val="1"/>
          <w:iCs w:val="1"/>
          <w:color w:val="auto"/>
        </w:rPr>
        <w:t>Consolidated Balance Sheet</w:t>
      </w:r>
      <w:r>
        <w:rPr>
          <w:rFonts w:ascii="Arial" w:cs="Arial" w:eastAsia="Arial" w:hAnsi="Arial"/>
          <w:sz w:val="9"/>
          <w:szCs w:val="9"/>
          <w:color w:val="auto"/>
        </w:rPr>
        <w:t>. Revenue and expenses are translated at the weighted-average exchange rates for the period. Realized and unrealized transaction gains and losses are included in income in the period in which they occur. Transaction losses of $25 million and $27 million, net of hedging activities, were recognized in 2011 and 2010, respectively. Transaction gains of $73 million, net of hedging activities, were recognized during 2009.</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Investments</w:t>
      </w:r>
    </w:p>
    <w:p>
      <w:pPr>
        <w:spacing w:after="0" w:line="60" w:lineRule="exact"/>
        <w:rPr>
          <w:sz w:val="20"/>
          <w:szCs w:val="20"/>
          <w:color w:val="auto"/>
        </w:rPr>
      </w:pPr>
    </w:p>
    <w:p>
      <w:pPr>
        <w:ind w:right="160" w:firstLine="230"/>
        <w:spacing w:after="0" w:line="252" w:lineRule="auto"/>
        <w:rPr>
          <w:sz w:val="20"/>
          <w:szCs w:val="20"/>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Consolidated Balance Sheet</w:t>
      </w:r>
      <w:r>
        <w:rPr>
          <w:rFonts w:ascii="Arial" w:cs="Arial" w:eastAsia="Arial" w:hAnsi="Arial"/>
          <w:sz w:val="12"/>
          <w:szCs w:val="12"/>
          <w:color w:val="auto"/>
        </w:rPr>
        <w:t xml:space="preserve"> reflects the Schlumberger investment portfolio separated between current and long term, based on maturity. Both </w:t>
      </w:r>
      <w:r>
        <w:rPr>
          <w:rFonts w:ascii="Arial" w:cs="Arial" w:eastAsia="Arial" w:hAnsi="Arial"/>
          <w:sz w:val="12"/>
          <w:szCs w:val="12"/>
          <w:i w:val="1"/>
          <w:iCs w:val="1"/>
          <w:color w:val="auto"/>
        </w:rPr>
        <w:t>Short-term investments</w:t>
      </w:r>
      <w:r>
        <w:rPr>
          <w:rFonts w:ascii="Arial" w:cs="Arial" w:eastAsia="Arial" w:hAnsi="Arial"/>
          <w:sz w:val="12"/>
          <w:szCs w:val="12"/>
          <w:color w:val="auto"/>
        </w:rPr>
        <w:t xml:space="preserve"> and </w:t>
      </w:r>
      <w:r>
        <w:rPr>
          <w:rFonts w:ascii="Arial" w:cs="Arial" w:eastAsia="Arial" w:hAnsi="Arial"/>
          <w:sz w:val="12"/>
          <w:szCs w:val="12"/>
          <w:i w:val="1"/>
          <w:iCs w:val="1"/>
          <w:color w:val="auto"/>
        </w:rPr>
        <w:t>Fixed Income Investments, held to maturity</w:t>
      </w:r>
      <w:r>
        <w:rPr>
          <w:rFonts w:ascii="Arial" w:cs="Arial" w:eastAsia="Arial" w:hAnsi="Arial"/>
          <w:sz w:val="12"/>
          <w:szCs w:val="12"/>
          <w:color w:val="auto"/>
        </w:rPr>
        <w:t xml:space="preserve"> are comprised primarily of money market funds, eurodollar time deposits, certificates of deposit, commercial paper, euro notes and Eurobonds, and are substantially denominated in US dollars. Under normal circumstances it is the intent of Schlumberger to hold the investments until maturity, with the exception of investments that are considered trading (December 31, 2011—$190 million; December 31, 2010—$189 million). Short-term investments that are designated as trading are stated at fair value, which is estimated using quoted market prices for those or similar investments. All other investments are stated at cost plus accrued interest, which approximates market. The unrealized gains/losses on investments designated as trading were not significant at both December 31, 2011 and 2010.</w:t>
      </w:r>
    </w:p>
    <w:p>
      <w:pPr>
        <w:ind w:left="220"/>
        <w:spacing w:after="0"/>
        <w:rPr>
          <w:sz w:val="20"/>
          <w:szCs w:val="20"/>
          <w:color w:val="auto"/>
        </w:rPr>
      </w:pPr>
      <w:r>
        <w:rPr>
          <w:rFonts w:ascii="Arial" w:cs="Arial" w:eastAsia="Arial" w:hAnsi="Arial"/>
          <w:sz w:val="12"/>
          <w:szCs w:val="12"/>
          <w:color w:val="auto"/>
        </w:rPr>
        <w:t xml:space="preserve">For purposes of the </w:t>
      </w:r>
      <w:r>
        <w:rPr>
          <w:rFonts w:ascii="Arial" w:cs="Arial" w:eastAsia="Arial" w:hAnsi="Arial"/>
          <w:sz w:val="12"/>
          <w:szCs w:val="12"/>
          <w:i w:val="1"/>
          <w:iCs w:val="1"/>
          <w:color w:val="auto"/>
        </w:rPr>
        <w:t>Consolidated Statement of Cash Flows</w:t>
      </w:r>
      <w:r>
        <w:rPr>
          <w:rFonts w:ascii="Arial" w:cs="Arial" w:eastAsia="Arial" w:hAnsi="Arial"/>
          <w:sz w:val="12"/>
          <w:szCs w:val="12"/>
          <w:color w:val="auto"/>
        </w:rPr>
        <w:t>, Schlumberger does not consider short-term investments to be cash equivalents.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Fixed Income Investments, held to maturity </w:t>
      </w:r>
      <w:r>
        <w:rPr>
          <w:rFonts w:ascii="Arial" w:cs="Arial" w:eastAsia="Arial" w:hAnsi="Arial"/>
          <w:sz w:val="12"/>
          <w:szCs w:val="12"/>
          <w:color w:val="auto"/>
        </w:rPr>
        <w:t>at December 31, 2011 of $256 million mature as follows: $80 million in 2013, $166 million in 2014 and $10 million in 2015.</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Inventories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Inventories </w:t>
      </w:r>
      <w:r>
        <w:rPr>
          <w:rFonts w:ascii="Arial" w:cs="Arial" w:eastAsia="Arial" w:hAnsi="Arial"/>
          <w:sz w:val="12"/>
          <w:szCs w:val="12"/>
          <w:color w:val="auto"/>
        </w:rPr>
        <w:t>are stated at average cost or at market, whichever is lower. Costs included in</w:t>
      </w:r>
      <w:r>
        <w:rPr>
          <w:rFonts w:ascii="Arial" w:cs="Arial" w:eastAsia="Arial" w:hAnsi="Arial"/>
          <w:sz w:val="12"/>
          <w:szCs w:val="12"/>
          <w:i w:val="1"/>
          <w:iCs w:val="1"/>
          <w:color w:val="auto"/>
        </w:rPr>
        <w:t xml:space="preserve"> Inventories </w:t>
      </w:r>
      <w:r>
        <w:rPr>
          <w:rFonts w:ascii="Arial" w:cs="Arial" w:eastAsia="Arial" w:hAnsi="Arial"/>
          <w:sz w:val="12"/>
          <w:szCs w:val="12"/>
          <w:color w:val="auto"/>
        </w:rPr>
        <w:t>consist of materials, direct labor and manufacturing overhead.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Fixed Assets and Depreciation</w:t>
      </w:r>
    </w:p>
    <w:p>
      <w:pPr>
        <w:spacing w:after="0" w:line="60" w:lineRule="exact"/>
        <w:rPr>
          <w:sz w:val="20"/>
          <w:szCs w:val="20"/>
          <w:color w:val="auto"/>
        </w:rPr>
      </w:pPr>
    </w:p>
    <w:p>
      <w:pPr>
        <w:jc w:val="both"/>
        <w:ind w:right="260" w:firstLine="230"/>
        <w:spacing w:after="0" w:line="294" w:lineRule="auto"/>
        <w:rPr>
          <w:sz w:val="20"/>
          <w:szCs w:val="20"/>
          <w:color w:val="auto"/>
        </w:rPr>
      </w:pPr>
      <w:r>
        <w:rPr>
          <w:rFonts w:ascii="Arial" w:cs="Arial" w:eastAsia="Arial" w:hAnsi="Arial"/>
          <w:sz w:val="11"/>
          <w:szCs w:val="11"/>
          <w:color w:val="auto"/>
        </w:rPr>
        <w:t>Fixed assets are stated at cost less accumulated depreciation, which is provided for by charges to income over the estimated useful lives of the assets using the straight-line method. Fixed assets include the manufacturing cost of oilfield technical equipment manufactured or assembled by subsidiaries of Schlumberger. Expenditures for replacements and improvements are capitalized. Maintenance and repairs are charged to operating expenses as incurred. Upon sale or other disposition, the applicable amounts of asset cost and accumulated depreciation are removed from the balance sheet and the net amount, less proceeds from disposal, is charged or credited to income.</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Multiclient Seismic Data</w:t>
      </w:r>
    </w:p>
    <w:p>
      <w:pPr>
        <w:spacing w:after="0" w:line="60" w:lineRule="exact"/>
        <w:rPr>
          <w:sz w:val="20"/>
          <w:szCs w:val="20"/>
          <w:color w:val="auto"/>
        </w:rPr>
      </w:pPr>
    </w:p>
    <w:p>
      <w:pPr>
        <w:ind w:firstLine="230"/>
        <w:spacing w:after="0" w:line="259" w:lineRule="auto"/>
        <w:rPr>
          <w:sz w:val="20"/>
          <w:szCs w:val="20"/>
          <w:color w:val="auto"/>
        </w:rPr>
      </w:pPr>
      <w:r>
        <w:rPr>
          <w:rFonts w:ascii="Arial" w:cs="Arial" w:eastAsia="Arial" w:hAnsi="Arial"/>
          <w:sz w:val="12"/>
          <w:szCs w:val="12"/>
          <w:color w:val="auto"/>
        </w:rPr>
        <w:t xml:space="preserve">The multiclient library consists of completed and in-process seismic surveys that are licensed on a nonexclusive basis. Multiclient surveys are primarily generated utilizing Schlumberger resources. Schlumberger capitalizes costs directly incurred in acquiring and processing the multiclient seismic data. Such costs are charged to </w:t>
      </w:r>
      <w:r>
        <w:rPr>
          <w:rFonts w:ascii="Arial" w:cs="Arial" w:eastAsia="Arial" w:hAnsi="Arial"/>
          <w:sz w:val="12"/>
          <w:szCs w:val="12"/>
          <w:i w:val="1"/>
          <w:iCs w:val="1"/>
          <w:color w:val="auto"/>
        </w:rPr>
        <w:t>Cost of revenue – Oilfield Services</w:t>
      </w:r>
      <w:r>
        <w:rPr>
          <w:rFonts w:ascii="Arial" w:cs="Arial" w:eastAsia="Arial" w:hAnsi="Arial"/>
          <w:sz w:val="12"/>
          <w:szCs w:val="12"/>
          <w:color w:val="auto"/>
        </w:rPr>
        <w:t xml:space="preserve"> based on the percentage of the total costs to the estimated total revenue that Schlumberger expects to receive from the sales of such data. However, under no circumstance will an individual survey carry a net book value greater than a 4-year, straight-line amortized value.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9"/>
          <w:szCs w:val="9"/>
          <w:color w:val="auto"/>
        </w:rPr>
        <w:t>40</w:t>
      </w:r>
    </w:p>
    <w:p>
      <w:pPr>
        <w:sectPr>
          <w:pgSz w:w="11900" w:h="16838" w:orient="portrait"/>
          <w:cols w:equalWidth="0" w:num="1">
            <w:col w:w="11460"/>
          </w:cols>
          <w:pgMar w:left="220" w:top="354" w:right="219"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80" w:firstLine="230"/>
        <w:spacing w:after="0" w:line="259" w:lineRule="auto"/>
        <w:rPr>
          <w:sz w:val="20"/>
          <w:szCs w:val="20"/>
          <w:color w:val="auto"/>
        </w:rPr>
      </w:pPr>
      <w:r>
        <w:rPr>
          <w:rFonts w:ascii="Arial" w:cs="Arial" w:eastAsia="Arial" w:hAnsi="Arial"/>
          <w:sz w:val="12"/>
          <w:szCs w:val="12"/>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involves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 Other Intangibles and Long-lived Assets</w:t>
      </w:r>
    </w:p>
    <w:p>
      <w:pPr>
        <w:spacing w:after="0" w:line="60" w:lineRule="exact"/>
        <w:rPr>
          <w:sz w:val="20"/>
          <w:szCs w:val="20"/>
          <w:color w:val="auto"/>
        </w:rPr>
      </w:pPr>
    </w:p>
    <w:p>
      <w:pPr>
        <w:ind w:right="80" w:firstLine="230"/>
        <w:spacing w:after="0" w:line="254" w:lineRule="auto"/>
        <w:rPr>
          <w:sz w:val="20"/>
          <w:szCs w:val="20"/>
          <w:color w:val="auto"/>
        </w:rPr>
      </w:pPr>
      <w:r>
        <w:rPr>
          <w:rFonts w:ascii="Arial" w:cs="Arial" w:eastAsia="Arial" w:hAnsi="Arial"/>
          <w:sz w:val="12"/>
          <w:szCs w:val="12"/>
          <w:color w:val="auto"/>
        </w:rPr>
        <w:t>Schlumberger records the excess of purchase price over the fair value of the tangible and identifiable intangible assets acquired as goodwill. The goodwill relating to each of Schlumberger’s reporting units is tested for impairment annually as well as when an event, or change in circumstances, indicates an impairment may have occurred.</w:t>
      </w:r>
    </w:p>
    <w:p>
      <w:pPr>
        <w:ind w:right="40" w:firstLine="230"/>
        <w:spacing w:after="0" w:line="250" w:lineRule="auto"/>
        <w:rPr>
          <w:sz w:val="20"/>
          <w:szCs w:val="20"/>
          <w:color w:val="auto"/>
        </w:rPr>
      </w:pPr>
      <w:r>
        <w:rPr>
          <w:rFonts w:ascii="Arial" w:cs="Arial" w:eastAsia="Arial" w:hAnsi="Arial"/>
          <w:sz w:val="12"/>
          <w:szCs w:val="12"/>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of its reporting units is greater than its carrying amount. If, after assessing the totality of events or circumstances, Schlumberger determines it is more likely than not that the fair value of a reporting unit is greater than its carrying amount, then there is no need to perform any further testing. However, if Schlumberger concludes otherwise, then it is required to perform the first step of a two-step impairment test by calculating the fair value of the reporting unit and comparing the fair value with the carrying amount of the reporting unit. If the fair value of the reporting unit is less than its carrying value, an impairment loss is recorded to the extent that the implied fair value of the goodwill of the reporting unit is less than its carrying value.</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Schlumberger has the option to bypass the qualitative assessment for any reporting unit in any period and proceed directly to performing the first step of the two-step goodwill impairment test.</w:t>
      </w:r>
    </w:p>
    <w:p>
      <w:pPr>
        <w:spacing w:after="0" w:line="6" w:lineRule="exact"/>
        <w:rPr>
          <w:sz w:val="20"/>
          <w:szCs w:val="20"/>
          <w:color w:val="auto"/>
        </w:rPr>
      </w:pPr>
    </w:p>
    <w:p>
      <w:pPr>
        <w:jc w:val="both"/>
        <w:ind w:right="60" w:firstLine="230"/>
        <w:spacing w:after="0" w:line="250" w:lineRule="auto"/>
        <w:rPr>
          <w:sz w:val="20"/>
          <w:szCs w:val="20"/>
          <w:color w:val="auto"/>
        </w:rPr>
      </w:pPr>
      <w:r>
        <w:rPr>
          <w:rFonts w:ascii="Arial" w:cs="Arial" w:eastAsia="Arial" w:hAnsi="Arial"/>
          <w:sz w:val="12"/>
          <w:szCs w:val="12"/>
          <w:color w:val="auto"/>
        </w:rPr>
        <w:t>For purposes of performing the impairment test for goodwill, Schlumberger’s four reporting units are the three Groups comprising Oilfield Services: Reservoir Characterization, Drilling and Reservoir Production, as well as the Distribution business segment. Schlumberger elected to perform the qualitative assessment described above for purposes of its annual goodwill impairment test. Based on this assessment, Schlumberger concluded that it was more likely than not that the fair value of each of its reporting units was greater than its carrying amount. Accordingly, no further testing was required.</w:t>
      </w:r>
    </w:p>
    <w:p>
      <w:pPr>
        <w:spacing w:after="0" w:line="1" w:lineRule="exact"/>
        <w:rPr>
          <w:sz w:val="20"/>
          <w:szCs w:val="20"/>
          <w:color w:val="auto"/>
        </w:rPr>
      </w:pPr>
    </w:p>
    <w:p>
      <w:pPr>
        <w:ind w:firstLine="230"/>
        <w:spacing w:after="0" w:line="334" w:lineRule="auto"/>
        <w:rPr>
          <w:sz w:val="20"/>
          <w:szCs w:val="20"/>
          <w:color w:val="auto"/>
        </w:rPr>
      </w:pPr>
      <w:r>
        <w:rPr>
          <w:rFonts w:ascii="Arial" w:cs="Arial" w:eastAsia="Arial" w:hAnsi="Arial"/>
          <w:sz w:val="9"/>
          <w:szCs w:val="9"/>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 significant estimates on the part of management. If there is a material change in economic conditions or other circumstances influencing the estimate of future cash flows or fair value, Schlumberger could be required to recognize impairment charges in the future.</w:t>
      </w:r>
    </w:p>
    <w:p>
      <w:pPr>
        <w:jc w:val="both"/>
        <w:ind w:right="280" w:firstLine="230"/>
        <w:spacing w:after="0" w:line="306" w:lineRule="auto"/>
        <w:rPr>
          <w:sz w:val="20"/>
          <w:szCs w:val="20"/>
          <w:color w:val="auto"/>
        </w:rPr>
      </w:pPr>
      <w:r>
        <w:rPr>
          <w:rFonts w:ascii="Arial" w:cs="Arial" w:eastAsia="Arial" w:hAnsi="Arial"/>
          <w:sz w:val="11"/>
          <w:szCs w:val="11"/>
          <w:color w:val="auto"/>
        </w:rPr>
        <w:t>Intangible assets consist primarily of customer relationships, technology/technical know-how and tradenames acquired in business combinations. Customer relationships are generally amortized over periods ranging from 7 to 28 years, acquired technology/technical know-how are generally amortized over periods ranging from 5 to 18 years and tradenames are generally amortized over periods ranging from 5 years to 30 years.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Taxes on Income</w:t>
      </w:r>
    </w:p>
    <w:p>
      <w:pPr>
        <w:spacing w:after="0" w:line="60" w:lineRule="exact"/>
        <w:rPr>
          <w:sz w:val="20"/>
          <w:szCs w:val="20"/>
          <w:color w:val="auto"/>
        </w:rPr>
      </w:pPr>
    </w:p>
    <w:p>
      <w:pPr>
        <w:jc w:val="both"/>
        <w:ind w:right="300" w:firstLine="230"/>
        <w:spacing w:after="0" w:line="386" w:lineRule="auto"/>
        <w:rPr>
          <w:sz w:val="20"/>
          <w:szCs w:val="20"/>
          <w:color w:val="auto"/>
        </w:rPr>
      </w:pPr>
      <w:r>
        <w:rPr>
          <w:rFonts w:ascii="Arial" w:cs="Arial" w:eastAsia="Arial" w:hAnsi="Arial"/>
          <w:sz w:val="9"/>
          <w:szCs w:val="9"/>
          <w:color w:val="auto"/>
        </w:rPr>
        <w:t>Schlumberger computes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41</w:t>
      </w:r>
    </w:p>
    <w:p>
      <w:pPr>
        <w:sectPr>
          <w:pgSz w:w="11900" w:h="16838" w:orient="portrait"/>
          <w:cols w:equalWidth="0" w:num="1">
            <w:col w:w="11460"/>
          </w:cols>
          <w:pgMar w:left="220" w:top="354" w:right="219"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portion or all of the deferred tax asset will not be realized in the future, Schlumberger provides a corresponding valuation allowance against deferred tax assets.</w:t>
      </w:r>
    </w:p>
    <w:p>
      <w:pPr>
        <w:spacing w:after="0" w:line="10" w:lineRule="exact"/>
        <w:rPr>
          <w:sz w:val="20"/>
          <w:szCs w:val="20"/>
          <w:color w:val="auto"/>
        </w:rPr>
      </w:pPr>
    </w:p>
    <w:p>
      <w:pPr>
        <w:jc w:val="both"/>
        <w:ind w:right="200" w:firstLine="230"/>
        <w:spacing w:after="0" w:line="334" w:lineRule="auto"/>
        <w:rPr>
          <w:sz w:val="20"/>
          <w:szCs w:val="20"/>
          <w:color w:val="auto"/>
        </w:rPr>
      </w:pPr>
      <w:r>
        <w:rPr>
          <w:rFonts w:ascii="Arial" w:cs="Arial" w:eastAsia="Arial" w:hAnsi="Arial"/>
          <w:sz w:val="9"/>
          <w:szCs w:val="9"/>
          <w:color w:val="auto"/>
        </w:rPr>
        <w:t>Schlumberger’s tax filings are subject to regular audit by the tax authorities in most of the jurisdictions in which it conducts business. These audits may result in assessments for additional taxes which are resolved with the authorities or, potentially, through the courts. Schlumberger recognizes the impact of a tax position in its financial statements if that position is more likely than not of being sustained on audit, based on the technical merits of the position. Tax liabilities are recorded based on estimates of additional taxes which will be due upon the conclusion of these audits. Estimates of these tax liabilities are made based upon prior experience and are updated in light of changes in facts and circumstances.</w:t>
      </w:r>
    </w:p>
    <w:p>
      <w:pPr>
        <w:ind w:right="140"/>
        <w:spacing w:after="0" w:line="250" w:lineRule="auto"/>
        <w:rPr>
          <w:sz w:val="20"/>
          <w:szCs w:val="20"/>
          <w:color w:val="auto"/>
        </w:rPr>
      </w:pPr>
      <w:r>
        <w:rPr>
          <w:rFonts w:ascii="Arial" w:cs="Arial" w:eastAsia="Arial" w:hAnsi="Arial"/>
          <w:sz w:val="12"/>
          <w:szCs w:val="12"/>
          <w:color w:val="auto"/>
        </w:rPr>
        <w:t>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1" w:lineRule="exact"/>
        <w:rPr>
          <w:sz w:val="20"/>
          <w:szCs w:val="20"/>
          <w:color w:val="auto"/>
        </w:rPr>
      </w:pPr>
    </w:p>
    <w:p>
      <w:pPr>
        <w:ind w:right="2120" w:firstLine="230"/>
        <w:spacing w:after="0" w:line="387" w:lineRule="auto"/>
        <w:rPr>
          <w:sz w:val="20"/>
          <w:szCs w:val="20"/>
          <w:color w:val="auto"/>
        </w:rPr>
      </w:pPr>
      <w:r>
        <w:rPr>
          <w:rFonts w:ascii="Arial" w:cs="Arial" w:eastAsia="Arial" w:hAnsi="Arial"/>
          <w:sz w:val="12"/>
          <w:szCs w:val="12"/>
          <w:color w:val="auto"/>
        </w:rPr>
        <w:t xml:space="preserve">Schlumberger generally does not provide income taxes relating to undistributed earnings, as the earnings either would not be taxable when remitted or are considered to be indefinitely reinvested. </w:t>
      </w:r>
      <w:r>
        <w:rPr>
          <w:rFonts w:ascii="Arial" w:cs="Arial" w:eastAsia="Arial" w:hAnsi="Arial"/>
          <w:sz w:val="12"/>
          <w:szCs w:val="12"/>
          <w:b w:val="1"/>
          <w:bCs w:val="1"/>
          <w:i w:val="1"/>
          <w:iCs w:val="1"/>
          <w:color w:val="auto"/>
        </w:rPr>
        <w:t>Concentration of Credit Risk</w:t>
      </w:r>
    </w:p>
    <w:p>
      <w:pPr>
        <w:spacing w:after="0" w:line="1" w:lineRule="exact"/>
        <w:rPr>
          <w:sz w:val="20"/>
          <w:szCs w:val="20"/>
          <w:color w:val="auto"/>
        </w:rPr>
      </w:pPr>
    </w:p>
    <w:p>
      <w:pPr>
        <w:ind w:firstLine="230"/>
        <w:spacing w:after="0" w:line="360" w:lineRule="auto"/>
        <w:rPr>
          <w:sz w:val="20"/>
          <w:szCs w:val="20"/>
          <w:color w:val="auto"/>
        </w:rPr>
      </w:pPr>
      <w:r>
        <w:rPr>
          <w:rFonts w:ascii="Arial" w:cs="Arial" w:eastAsia="Arial" w:hAnsi="Arial"/>
          <w:sz w:val="9"/>
          <w:szCs w:val="9"/>
          <w:color w:val="auto"/>
        </w:rPr>
        <w:t>Schlumberger’s assets that are exposed to concentrations of credit risk consist primarily of cash, short-term investments, fixed income investments held to maturity, receivables from clients and derivative financial instruments.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The receivables from clients are spread over many countries and customers. Schlumberger maintains an allowance for uncollectible accounts receivable based on expected collectibility and performs ongoing credit evaluations of its customers’ financial condition. By using derivative financial instruments to hedge exposure to changes in exchange rates and commodity prices, Schlumberger exposes itself to some credit risk. Schlumberger minimizes this credit risk by entering into transactions with high-quality counterparties, limiting the exposure to each counterparty and monitoring the financial condition of its counterparties.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&amp; Engineering</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All research and engineering expenditures are expensed as incurred.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Earnings per Share</w:t>
      </w:r>
    </w:p>
    <w:p>
      <w:pPr>
        <w:spacing w:after="0" w:line="60" w:lineRule="exact"/>
        <w:rPr>
          <w:sz w:val="20"/>
          <w:szCs w:val="20"/>
          <w:color w:val="auto"/>
        </w:rPr>
      </w:pPr>
    </w:p>
    <w:p>
      <w:pPr>
        <w:ind w:right="20" w:firstLine="230"/>
        <w:spacing w:after="0" w:line="368" w:lineRule="auto"/>
        <w:rPr>
          <w:sz w:val="20"/>
          <w:szCs w:val="20"/>
          <w:color w:val="auto"/>
        </w:rPr>
      </w:pPr>
      <w:r>
        <w:rPr>
          <w:rFonts w:ascii="Arial" w:cs="Arial" w:eastAsia="Arial" w:hAnsi="Arial"/>
          <w:sz w:val="9"/>
          <w:szCs w:val="9"/>
          <w:color w:val="auto"/>
        </w:rPr>
        <w:t>Basic earnings per share of Schlumberger from continuing operations is calculated by dividing income from continuing operation attributable to Schlumberger by the weighted average number of common shares outstanding during the year. Diluted earnings per share is calculated by first adding back to net income the interest expense on any outstanding convertible debentures and then dividing this adjusted income from continuing operations attributable to Schlumberger by the sum of (i) unvested restricted stock units; and (ii) the weighted average number of common shares outstanding assuming dilution. The weighted average number of common shares outstanding assuming dilution assumes (a) that all stock options which are in the money are exercised at the beginning of the period and that the proceeds are used by Schlumberger to purchase shares at the average market price for the period, and (b) the conversion of any outstanding convertible debentures.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9"/>
          <w:szCs w:val="9"/>
          <w:color w:val="auto"/>
        </w:rPr>
        <w:t>42</w:t>
      </w:r>
    </w:p>
    <w:p>
      <w:pPr>
        <w:sectPr>
          <w:pgSz w:w="11900" w:h="16838" w:orient="portrait"/>
          <w:cols w:equalWidth="0" w:num="1">
            <w:col w:w="11460"/>
          </w:cols>
          <w:pgMar w:left="220" w:top="354" w:right="219" w:bottom="1440" w:gutter="0" w:footer="0" w:header="0"/>
        </w:sectPr>
      </w:pPr>
    </w:p>
    <w:bookmarkStart w:id="42" w:name="page43"/>
    <w:bookmarkEnd w:id="42"/>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8"/>
        <w:spacing w:after="0"/>
        <w:rPr>
          <w:sz w:val="20"/>
          <w:szCs w:val="20"/>
          <w:color w:val="auto"/>
        </w:rPr>
      </w:pPr>
      <w:r>
        <w:rPr>
          <w:rFonts w:ascii="Arial" w:cs="Arial" w:eastAsia="Arial" w:hAnsi="Arial"/>
          <w:sz w:val="12"/>
          <w:szCs w:val="12"/>
          <w:color w:val="auto"/>
        </w:rPr>
        <w:t>The following is a reconciliation from basic to diluted earnings per share from continuing operations of Schlumberger for each of the last three years: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7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100" w:type="dxa"/>
            <w:vAlign w:val="bottom"/>
            <w:gridSpan w:val="6"/>
          </w:tcPr>
          <w:p>
            <w:pPr>
              <w:jc w:val="right"/>
              <w:ind w:right="40"/>
              <w:spacing w:after="0"/>
              <w:rPr>
                <w:sz w:val="20"/>
                <w:szCs w:val="20"/>
                <w:color w:val="auto"/>
              </w:rPr>
            </w:pPr>
            <w:r>
              <w:rPr>
                <w:rFonts w:ascii="Arial" w:cs="Arial" w:eastAsia="Arial" w:hAnsi="Arial"/>
                <w:sz w:val="9"/>
                <w:szCs w:val="9"/>
                <w:b w:val="1"/>
                <w:bCs w:val="1"/>
                <w:color w:val="auto"/>
              </w:rPr>
              <w:t>(Stated in million except per share amounts)</w:t>
            </w:r>
          </w:p>
        </w:tc>
      </w:tr>
      <w:tr>
        <w:trPr>
          <w:trHeight w:val="190"/>
        </w:trPr>
        <w:tc>
          <w:tcPr>
            <w:tcW w:w="792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Arial" w:cs="Arial" w:eastAsia="Arial" w:hAnsi="Arial"/>
                <w:sz w:val="9"/>
                <w:szCs w:val="9"/>
                <w:b w:val="1"/>
                <w:bCs w:val="1"/>
                <w:color w:val="auto"/>
              </w:rPr>
              <w:t>Schlumberger</w:t>
            </w:r>
          </w:p>
        </w:tc>
        <w:tc>
          <w:tcPr>
            <w:tcW w:w="94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Weighted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w w:val="97"/>
              </w:rPr>
              <w:t>Earnings Per</w:t>
            </w:r>
          </w:p>
        </w:tc>
      </w:tr>
      <w:tr>
        <w:trPr>
          <w:trHeight w:val="99"/>
        </w:trPr>
        <w:tc>
          <w:tcPr>
            <w:tcW w:w="7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gridSpan w:val="2"/>
          </w:tcPr>
          <w:p>
            <w:pPr>
              <w:jc w:val="right"/>
              <w:ind w:right="900"/>
              <w:spacing w:after="0" w:line="99" w:lineRule="exact"/>
              <w:rPr>
                <w:sz w:val="20"/>
                <w:szCs w:val="20"/>
                <w:color w:val="auto"/>
              </w:rPr>
            </w:pPr>
            <w:r>
              <w:rPr>
                <w:rFonts w:ascii="Arial" w:cs="Arial" w:eastAsia="Arial" w:hAnsi="Arial"/>
                <w:sz w:val="9"/>
                <w:szCs w:val="9"/>
                <w:b w:val="1"/>
                <w:bCs w:val="1"/>
                <w:color w:val="auto"/>
                <w:w w:val="88"/>
              </w:rPr>
              <w:t>Income from</w:t>
            </w:r>
          </w:p>
        </w:tc>
        <w:tc>
          <w:tcPr>
            <w:tcW w:w="940" w:type="dxa"/>
            <w:vAlign w:val="bottom"/>
            <w:gridSpan w:val="2"/>
          </w:tcPr>
          <w:p>
            <w:pPr>
              <w:jc w:val="right"/>
              <w:ind w:right="440"/>
              <w:spacing w:after="0" w:line="99" w:lineRule="exact"/>
              <w:rPr>
                <w:sz w:val="20"/>
                <w:szCs w:val="20"/>
                <w:color w:val="auto"/>
              </w:rPr>
            </w:pPr>
            <w:r>
              <w:rPr>
                <w:rFonts w:ascii="Arial" w:cs="Arial" w:eastAsia="Arial" w:hAnsi="Arial"/>
                <w:sz w:val="9"/>
                <w:szCs w:val="9"/>
                <w:b w:val="1"/>
                <w:bCs w:val="1"/>
                <w:color w:val="auto"/>
              </w:rPr>
              <w:t>Average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right"/>
              <w:ind w:right="40"/>
              <w:spacing w:after="0" w:line="99" w:lineRule="exact"/>
              <w:rPr>
                <w:sz w:val="20"/>
                <w:szCs w:val="20"/>
                <w:color w:val="auto"/>
              </w:rPr>
            </w:pPr>
            <w:r>
              <w:rPr>
                <w:rFonts w:ascii="Arial" w:cs="Arial" w:eastAsia="Arial" w:hAnsi="Arial"/>
                <w:sz w:val="9"/>
                <w:szCs w:val="9"/>
                <w:b w:val="1"/>
                <w:bCs w:val="1"/>
                <w:color w:val="auto"/>
              </w:rPr>
              <w:t>Share from</w:t>
            </w:r>
          </w:p>
        </w:tc>
      </w:tr>
      <w:tr>
        <w:trPr>
          <w:trHeight w:val="99"/>
        </w:trPr>
        <w:tc>
          <w:tcPr>
            <w:tcW w:w="7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gridSpan w:val="2"/>
          </w:tcPr>
          <w:p>
            <w:pPr>
              <w:jc w:val="right"/>
              <w:ind w:right="900"/>
              <w:spacing w:after="0" w:line="99" w:lineRule="exact"/>
              <w:rPr>
                <w:sz w:val="20"/>
                <w:szCs w:val="20"/>
                <w:color w:val="auto"/>
              </w:rPr>
            </w:pPr>
            <w:r>
              <w:rPr>
                <w:rFonts w:ascii="Arial" w:cs="Arial" w:eastAsia="Arial" w:hAnsi="Arial"/>
                <w:sz w:val="9"/>
                <w:szCs w:val="9"/>
                <w:b w:val="1"/>
                <w:bCs w:val="1"/>
                <w:color w:val="auto"/>
              </w:rPr>
              <w:t>Continuing</w:t>
            </w:r>
          </w:p>
        </w:tc>
        <w:tc>
          <w:tcPr>
            <w:tcW w:w="940" w:type="dxa"/>
            <w:vAlign w:val="bottom"/>
            <w:gridSpan w:val="2"/>
          </w:tcPr>
          <w:p>
            <w:pPr>
              <w:jc w:val="right"/>
              <w:ind w:right="440"/>
              <w:spacing w:after="0" w:line="99" w:lineRule="exact"/>
              <w:rPr>
                <w:sz w:val="20"/>
                <w:szCs w:val="20"/>
                <w:color w:val="auto"/>
              </w:rPr>
            </w:pPr>
            <w:r>
              <w:rPr>
                <w:rFonts w:ascii="Arial" w:cs="Arial" w:eastAsia="Arial" w:hAnsi="Arial"/>
                <w:sz w:val="9"/>
                <w:szCs w:val="9"/>
                <w:b w:val="1"/>
                <w:bCs w:val="1"/>
                <w:color w:val="auto"/>
              </w:rPr>
              <w:t>Shares</w:t>
            </w:r>
          </w:p>
        </w:tc>
        <w:tc>
          <w:tcPr>
            <w:tcW w:w="460" w:type="dxa"/>
            <w:vAlign w:val="bottom"/>
          </w:tcPr>
          <w:p>
            <w:pPr>
              <w:spacing w:after="0"/>
              <w:rPr>
                <w:sz w:val="8"/>
                <w:szCs w:val="8"/>
                <w:color w:val="auto"/>
              </w:rPr>
            </w:pPr>
          </w:p>
        </w:tc>
        <w:tc>
          <w:tcPr>
            <w:tcW w:w="700" w:type="dxa"/>
            <w:vAlign w:val="bottom"/>
            <w:gridSpan w:val="3"/>
          </w:tcPr>
          <w:p>
            <w:pPr>
              <w:jc w:val="right"/>
              <w:ind w:right="40"/>
              <w:spacing w:after="0" w:line="99" w:lineRule="exact"/>
              <w:rPr>
                <w:sz w:val="20"/>
                <w:szCs w:val="20"/>
                <w:color w:val="auto"/>
              </w:rPr>
            </w:pPr>
            <w:r>
              <w:rPr>
                <w:rFonts w:ascii="Arial" w:cs="Arial" w:eastAsia="Arial" w:hAnsi="Arial"/>
                <w:sz w:val="9"/>
                <w:szCs w:val="9"/>
                <w:b w:val="1"/>
                <w:bCs w:val="1"/>
                <w:color w:val="auto"/>
                <w:w w:val="91"/>
              </w:rPr>
              <w:t>from Continuing</w:t>
            </w:r>
          </w:p>
        </w:tc>
      </w:tr>
      <w:tr>
        <w:trPr>
          <w:trHeight w:val="108"/>
        </w:trPr>
        <w:tc>
          <w:tcPr>
            <w:tcW w:w="7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9"/>
                <w:szCs w:val="9"/>
                <w:b w:val="1"/>
                <w:bCs w:val="1"/>
                <w:color w:val="auto"/>
              </w:rPr>
              <w:t>Operations</w:t>
            </w:r>
          </w:p>
        </w:tc>
        <w:tc>
          <w:tcPr>
            <w:tcW w:w="94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w w:val="90"/>
              </w:rPr>
              <w:t>Outstanding</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Operations</w:t>
            </w:r>
          </w:p>
        </w:tc>
      </w:tr>
      <w:tr>
        <w:trPr>
          <w:trHeight w:val="79"/>
        </w:trPr>
        <w:tc>
          <w:tcPr>
            <w:tcW w:w="792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color w:val="auto"/>
              </w:rPr>
              <w:t>2011:</w:t>
            </w:r>
          </w:p>
        </w:tc>
        <w:tc>
          <w:tcPr>
            <w:tcW w:w="6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106"/>
        </w:trPr>
        <w:tc>
          <w:tcPr>
            <w:tcW w:w="7920" w:type="dxa"/>
            <w:vAlign w:val="bottom"/>
          </w:tcPr>
          <w:p>
            <w:pPr>
              <w:spacing w:after="0" w:line="99" w:lineRule="exact"/>
              <w:rPr>
                <w:sz w:val="20"/>
                <w:szCs w:val="20"/>
                <w:color w:val="auto"/>
              </w:rPr>
            </w:pPr>
            <w:r>
              <w:rPr>
                <w:rFonts w:ascii="Arial" w:cs="Arial" w:eastAsia="Arial" w:hAnsi="Arial"/>
                <w:sz w:val="9"/>
                <w:szCs w:val="9"/>
                <w:b w:val="1"/>
                <w:bCs w:val="1"/>
                <w:color w:val="auto"/>
              </w:rPr>
              <w:t>Basic</w:t>
            </w:r>
          </w:p>
        </w:tc>
        <w:tc>
          <w:tcPr>
            <w:tcW w:w="60" w:type="dxa"/>
            <w:vAlign w:val="bottom"/>
          </w:tcPr>
          <w:p>
            <w:pPr>
              <w:spacing w:after="0" w:line="99" w:lineRule="exact"/>
              <w:rPr>
                <w:sz w:val="20"/>
                <w:szCs w:val="20"/>
                <w:color w:val="auto"/>
              </w:rPr>
            </w:pPr>
            <w:r>
              <w:rPr>
                <w:rFonts w:ascii="Arial" w:cs="Arial" w:eastAsia="Arial" w:hAnsi="Arial"/>
                <w:sz w:val="9"/>
                <w:szCs w:val="9"/>
                <w:b w:val="1"/>
                <w:bCs w:val="1"/>
                <w:color w:val="auto"/>
                <w:w w:val="78"/>
              </w:rPr>
              <w:t>$</w:t>
            </w:r>
          </w:p>
        </w:tc>
        <w:tc>
          <w:tcPr>
            <w:tcW w:w="5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4,777</w:t>
            </w:r>
          </w:p>
        </w:tc>
        <w:tc>
          <w:tcPr>
            <w:tcW w:w="900" w:type="dxa"/>
            <w:vAlign w:val="bottom"/>
          </w:tcPr>
          <w:p>
            <w:pPr>
              <w:spacing w:after="0"/>
              <w:rPr>
                <w:sz w:val="9"/>
                <w:szCs w:val="9"/>
                <w:color w:val="auto"/>
              </w:rPr>
            </w:pPr>
          </w:p>
        </w:tc>
        <w:tc>
          <w:tcPr>
            <w:tcW w:w="940" w:type="dxa"/>
            <w:vAlign w:val="bottom"/>
            <w:gridSpan w:val="2"/>
          </w:tcPr>
          <w:p>
            <w:pPr>
              <w:jc w:val="right"/>
              <w:ind w:right="440"/>
              <w:spacing w:after="0" w:line="99" w:lineRule="exact"/>
              <w:rPr>
                <w:sz w:val="20"/>
                <w:szCs w:val="20"/>
                <w:color w:val="auto"/>
              </w:rPr>
            </w:pPr>
            <w:r>
              <w:rPr>
                <w:rFonts w:ascii="Arial" w:cs="Arial" w:eastAsia="Arial" w:hAnsi="Arial"/>
                <w:sz w:val="9"/>
                <w:szCs w:val="9"/>
                <w:b w:val="1"/>
                <w:bCs w:val="1"/>
                <w:color w:val="auto"/>
              </w:rPr>
              <w:t>1,349</w:t>
            </w:r>
          </w:p>
        </w:tc>
        <w:tc>
          <w:tcPr>
            <w:tcW w:w="560" w:type="dxa"/>
            <w:vAlign w:val="bottom"/>
            <w:gridSpan w:val="2"/>
          </w:tcPr>
          <w:p>
            <w:pPr>
              <w:jc w:val="right"/>
              <w:ind w:right="26"/>
              <w:spacing w:after="0" w:line="99" w:lineRule="exact"/>
              <w:rPr>
                <w:sz w:val="20"/>
                <w:szCs w:val="20"/>
                <w:color w:val="auto"/>
              </w:rPr>
            </w:pPr>
            <w:r>
              <w:rPr>
                <w:rFonts w:ascii="Arial" w:cs="Arial" w:eastAsia="Arial" w:hAnsi="Arial"/>
                <w:sz w:val="9"/>
                <w:szCs w:val="9"/>
                <w:b w:val="1"/>
                <w:bCs w:val="1"/>
                <w:color w:val="auto"/>
              </w:rPr>
              <w:t>$</w:t>
            </w:r>
          </w:p>
        </w:tc>
        <w:tc>
          <w:tcPr>
            <w:tcW w:w="600" w:type="dxa"/>
            <w:vAlign w:val="bottom"/>
            <w:gridSpan w:val="2"/>
          </w:tcPr>
          <w:p>
            <w:pPr>
              <w:jc w:val="right"/>
              <w:ind w:right="40"/>
              <w:spacing w:after="0" w:line="99" w:lineRule="exact"/>
              <w:rPr>
                <w:sz w:val="20"/>
                <w:szCs w:val="20"/>
                <w:color w:val="auto"/>
              </w:rPr>
            </w:pPr>
            <w:r>
              <w:rPr>
                <w:rFonts w:ascii="Arial" w:cs="Arial" w:eastAsia="Arial" w:hAnsi="Arial"/>
                <w:sz w:val="9"/>
                <w:szCs w:val="9"/>
                <w:b w:val="1"/>
                <w:bCs w:val="1"/>
                <w:color w:val="auto"/>
              </w:rPr>
              <w:t>3.54</w:t>
            </w:r>
          </w:p>
        </w:tc>
      </w:tr>
      <w:tr>
        <w:trPr>
          <w:trHeight w:val="99"/>
        </w:trPr>
        <w:tc>
          <w:tcPr>
            <w:tcW w:w="792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Assumed exercise of stock options</w:t>
            </w:r>
          </w:p>
        </w:tc>
        <w:tc>
          <w:tcPr>
            <w:tcW w:w="60" w:type="dxa"/>
            <w:vAlign w:val="bottom"/>
            <w:shd w:val="clear" w:color="auto" w:fill="CCEEFF"/>
          </w:tcPr>
          <w:p>
            <w:pPr>
              <w:spacing w:after="0"/>
              <w:rPr>
                <w:sz w:val="8"/>
                <w:szCs w:val="8"/>
                <w:color w:val="auto"/>
              </w:rPr>
            </w:pPr>
          </w:p>
        </w:tc>
        <w:tc>
          <w:tcPr>
            <w:tcW w:w="1400" w:type="dxa"/>
            <w:vAlign w:val="bottom"/>
            <w:gridSpan w:val="2"/>
            <w:shd w:val="clear" w:color="auto" w:fill="CCEEFF"/>
          </w:tcPr>
          <w:p>
            <w:pPr>
              <w:jc w:val="right"/>
              <w:ind w:right="900"/>
              <w:spacing w:after="0" w:line="99" w:lineRule="exact"/>
              <w:rPr>
                <w:sz w:val="20"/>
                <w:szCs w:val="20"/>
                <w:color w:val="auto"/>
              </w:rPr>
            </w:pPr>
            <w:r>
              <w:rPr>
                <w:rFonts w:ascii="Arial" w:cs="Arial" w:eastAsia="Arial" w:hAnsi="Arial"/>
                <w:sz w:val="9"/>
                <w:szCs w:val="9"/>
                <w:b w:val="1"/>
                <w:bCs w:val="1"/>
                <w:color w:val="auto"/>
              </w:rPr>
              <w:t>–</w:t>
            </w:r>
          </w:p>
        </w:tc>
        <w:tc>
          <w:tcPr>
            <w:tcW w:w="940" w:type="dxa"/>
            <w:vAlign w:val="bottom"/>
            <w:gridSpan w:val="2"/>
            <w:shd w:val="clear" w:color="auto" w:fill="CCEEFF"/>
          </w:tcPr>
          <w:p>
            <w:pPr>
              <w:jc w:val="right"/>
              <w:ind w:right="440"/>
              <w:spacing w:after="0" w:line="99" w:lineRule="exact"/>
              <w:rPr>
                <w:sz w:val="20"/>
                <w:szCs w:val="20"/>
                <w:color w:val="auto"/>
              </w:rPr>
            </w:pPr>
            <w:r>
              <w:rPr>
                <w:rFonts w:ascii="Arial" w:cs="Arial" w:eastAsia="Arial" w:hAnsi="Arial"/>
                <w:sz w:val="9"/>
                <w:szCs w:val="9"/>
                <w:b w:val="1"/>
                <w:bCs w:val="1"/>
                <w:color w:val="auto"/>
              </w:rPr>
              <w:t>10</w:t>
            </w:r>
          </w:p>
        </w:tc>
        <w:tc>
          <w:tcPr>
            <w:tcW w:w="46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9"/>
        </w:trPr>
        <w:tc>
          <w:tcPr>
            <w:tcW w:w="7920" w:type="dxa"/>
            <w:vAlign w:val="bottom"/>
            <w:tcBorders>
              <w:bottom w:val="single" w:sz="8" w:color="auto"/>
            </w:tcBorders>
          </w:tcPr>
          <w:p>
            <w:pPr>
              <w:spacing w:after="0" w:line="99" w:lineRule="exact"/>
              <w:rPr>
                <w:sz w:val="20"/>
                <w:szCs w:val="20"/>
                <w:color w:val="auto"/>
              </w:rPr>
            </w:pPr>
            <w:r>
              <w:rPr>
                <w:rFonts w:ascii="Arial" w:cs="Arial" w:eastAsia="Arial" w:hAnsi="Arial"/>
                <w:sz w:val="9"/>
                <w:szCs w:val="9"/>
                <w:b w:val="1"/>
                <w:bCs w:val="1"/>
                <w:color w:val="auto"/>
              </w:rPr>
              <w:t>Unvested restricted stock</w:t>
            </w: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900" w:type="dxa"/>
            <w:vAlign w:val="bottom"/>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b w:val="1"/>
                <w:bCs w:val="1"/>
                <w:color w:val="auto"/>
              </w:rPr>
              <w:t>2</w:t>
            </w: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7"/>
        </w:trPr>
        <w:tc>
          <w:tcPr>
            <w:tcW w:w="792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Diluted</w:t>
            </w:r>
          </w:p>
        </w:tc>
        <w:tc>
          <w:tcPr>
            <w:tcW w:w="6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w w:val="78"/>
              </w:rPr>
              <w:t>$</w:t>
            </w:r>
          </w:p>
        </w:tc>
        <w:tc>
          <w:tcPr>
            <w:tcW w:w="50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4,777</w:t>
            </w:r>
          </w:p>
        </w:tc>
        <w:tc>
          <w:tcPr>
            <w:tcW w:w="9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440"/>
              <w:spacing w:after="0" w:line="98" w:lineRule="exact"/>
              <w:rPr>
                <w:sz w:val="20"/>
                <w:szCs w:val="20"/>
                <w:color w:val="auto"/>
              </w:rPr>
            </w:pPr>
            <w:r>
              <w:rPr>
                <w:rFonts w:ascii="Arial" w:cs="Arial" w:eastAsia="Arial" w:hAnsi="Arial"/>
                <w:sz w:val="9"/>
                <w:szCs w:val="9"/>
                <w:b w:val="1"/>
                <w:bCs w:val="1"/>
                <w:color w:val="auto"/>
              </w:rPr>
              <w:t>1,361</w:t>
            </w:r>
          </w:p>
        </w:tc>
        <w:tc>
          <w:tcPr>
            <w:tcW w:w="560" w:type="dxa"/>
            <w:vAlign w:val="bottom"/>
            <w:gridSpan w:val="2"/>
            <w:shd w:val="clear" w:color="auto" w:fill="CCEEFF"/>
          </w:tcPr>
          <w:p>
            <w:pPr>
              <w:jc w:val="right"/>
              <w:ind w:right="26"/>
              <w:spacing w:after="0" w:line="98" w:lineRule="exact"/>
              <w:rPr>
                <w:sz w:val="20"/>
                <w:szCs w:val="20"/>
                <w:color w:val="auto"/>
              </w:rPr>
            </w:pPr>
            <w:r>
              <w:rPr>
                <w:rFonts w:ascii="Arial" w:cs="Arial" w:eastAsia="Arial" w:hAnsi="Arial"/>
                <w:sz w:val="9"/>
                <w:szCs w:val="9"/>
                <w:b w:val="1"/>
                <w:bCs w:val="1"/>
                <w:color w:val="auto"/>
              </w:rPr>
              <w:t>$</w:t>
            </w:r>
          </w:p>
        </w:tc>
        <w:tc>
          <w:tcPr>
            <w:tcW w:w="6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b w:val="1"/>
                <w:bCs w:val="1"/>
                <w:color w:val="auto"/>
              </w:rPr>
              <w:t>3.51</w:t>
            </w:r>
          </w:p>
        </w:tc>
      </w:tr>
      <w:tr>
        <w:trPr>
          <w:trHeight w:val="106"/>
        </w:trPr>
        <w:tc>
          <w:tcPr>
            <w:tcW w:w="7920" w:type="dxa"/>
            <w:vAlign w:val="bottom"/>
          </w:tcPr>
          <w:p>
            <w:pPr>
              <w:spacing w:after="0"/>
              <w:rPr>
                <w:sz w:val="20"/>
                <w:szCs w:val="20"/>
                <w:color w:val="auto"/>
              </w:rPr>
            </w:pPr>
            <w:r>
              <w:rPr>
                <w:rFonts w:ascii="Arial" w:cs="Arial" w:eastAsia="Arial" w:hAnsi="Arial"/>
                <w:sz w:val="9"/>
                <w:szCs w:val="9"/>
                <w:color w:val="auto"/>
              </w:rPr>
              <w:t>2010:</w:t>
            </w: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99"/>
        </w:trPr>
        <w:tc>
          <w:tcPr>
            <w:tcW w:w="79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Basic</w:t>
            </w:r>
          </w:p>
        </w:tc>
        <w:tc>
          <w:tcPr>
            <w:tcW w:w="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4,267</w:t>
            </w:r>
          </w:p>
        </w:tc>
        <w:tc>
          <w:tcPr>
            <w:tcW w:w="9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440"/>
              <w:spacing w:after="0" w:line="99" w:lineRule="exact"/>
              <w:rPr>
                <w:sz w:val="20"/>
                <w:szCs w:val="20"/>
                <w:color w:val="auto"/>
              </w:rPr>
            </w:pPr>
            <w:r>
              <w:rPr>
                <w:rFonts w:ascii="Arial" w:cs="Arial" w:eastAsia="Arial" w:hAnsi="Arial"/>
                <w:sz w:val="9"/>
                <w:szCs w:val="9"/>
                <w:color w:val="auto"/>
              </w:rPr>
              <w:t>1,250</w:t>
            </w:r>
          </w:p>
        </w:tc>
        <w:tc>
          <w:tcPr>
            <w:tcW w:w="560" w:type="dxa"/>
            <w:vAlign w:val="bottom"/>
            <w:gridSpan w:val="2"/>
            <w:shd w:val="clear" w:color="auto" w:fill="CCEEFF"/>
          </w:tcPr>
          <w:p>
            <w:pPr>
              <w:jc w:val="right"/>
              <w:ind w:right="26"/>
              <w:spacing w:after="0" w:line="99"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3.41</w:t>
            </w:r>
          </w:p>
        </w:tc>
      </w:tr>
      <w:tr>
        <w:trPr>
          <w:trHeight w:val="106"/>
        </w:trPr>
        <w:tc>
          <w:tcPr>
            <w:tcW w:w="7920" w:type="dxa"/>
            <w:vAlign w:val="bottom"/>
          </w:tcPr>
          <w:p>
            <w:pPr>
              <w:spacing w:after="0"/>
              <w:rPr>
                <w:sz w:val="20"/>
                <w:szCs w:val="20"/>
                <w:color w:val="auto"/>
              </w:rPr>
            </w:pPr>
            <w:r>
              <w:rPr>
                <w:rFonts w:ascii="Arial" w:cs="Arial" w:eastAsia="Arial" w:hAnsi="Arial"/>
                <w:sz w:val="9"/>
                <w:szCs w:val="9"/>
                <w:color w:val="auto"/>
              </w:rPr>
              <w:t>Assumed conversion of debentures</w:t>
            </w: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w:t>
            </w:r>
          </w:p>
        </w:tc>
        <w:tc>
          <w:tcPr>
            <w:tcW w:w="900" w:type="dxa"/>
            <w:vAlign w:val="bottom"/>
          </w:tcPr>
          <w:p>
            <w:pPr>
              <w:spacing w:after="0"/>
              <w:rPr>
                <w:sz w:val="9"/>
                <w:szCs w:val="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9"/>
                <w:szCs w:val="9"/>
                <w:color w:val="auto"/>
              </w:rPr>
              <w:t>2</w:t>
            </w:r>
          </w:p>
        </w:tc>
        <w:tc>
          <w:tcPr>
            <w:tcW w:w="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99"/>
        </w:trPr>
        <w:tc>
          <w:tcPr>
            <w:tcW w:w="79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Assumed exercise of stock options</w:t>
            </w:r>
          </w:p>
        </w:tc>
        <w:tc>
          <w:tcPr>
            <w:tcW w:w="60" w:type="dxa"/>
            <w:vAlign w:val="bottom"/>
            <w:shd w:val="clear" w:color="auto" w:fill="CCEEFF"/>
          </w:tcPr>
          <w:p>
            <w:pPr>
              <w:spacing w:after="0"/>
              <w:rPr>
                <w:sz w:val="8"/>
                <w:szCs w:val="8"/>
                <w:color w:val="auto"/>
              </w:rPr>
            </w:pPr>
          </w:p>
        </w:tc>
        <w:tc>
          <w:tcPr>
            <w:tcW w:w="1400" w:type="dxa"/>
            <w:vAlign w:val="bottom"/>
            <w:gridSpan w:val="2"/>
            <w:shd w:val="clear" w:color="auto" w:fill="CCEEFF"/>
          </w:tcPr>
          <w:p>
            <w:pPr>
              <w:jc w:val="right"/>
              <w:ind w:right="900"/>
              <w:spacing w:after="0" w:line="99" w:lineRule="exact"/>
              <w:rPr>
                <w:sz w:val="20"/>
                <w:szCs w:val="20"/>
                <w:color w:val="auto"/>
              </w:rPr>
            </w:pPr>
            <w:r>
              <w:rPr>
                <w:rFonts w:ascii="Arial" w:cs="Arial" w:eastAsia="Arial" w:hAnsi="Arial"/>
                <w:sz w:val="9"/>
                <w:szCs w:val="9"/>
                <w:color w:val="auto"/>
              </w:rPr>
              <w:t>–</w:t>
            </w:r>
          </w:p>
        </w:tc>
        <w:tc>
          <w:tcPr>
            <w:tcW w:w="940" w:type="dxa"/>
            <w:vAlign w:val="bottom"/>
            <w:gridSpan w:val="2"/>
            <w:shd w:val="clear" w:color="auto" w:fill="CCEEFF"/>
          </w:tcPr>
          <w:p>
            <w:pPr>
              <w:jc w:val="right"/>
              <w:ind w:right="440"/>
              <w:spacing w:after="0" w:line="99" w:lineRule="exact"/>
              <w:rPr>
                <w:sz w:val="20"/>
                <w:szCs w:val="20"/>
                <w:color w:val="auto"/>
              </w:rPr>
            </w:pPr>
            <w:r>
              <w:rPr>
                <w:rFonts w:ascii="Arial" w:cs="Arial" w:eastAsia="Arial" w:hAnsi="Arial"/>
                <w:sz w:val="9"/>
                <w:szCs w:val="9"/>
                <w:color w:val="auto"/>
              </w:rPr>
              <w:t>9</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9"/>
        </w:trPr>
        <w:tc>
          <w:tcPr>
            <w:tcW w:w="7920" w:type="dxa"/>
            <w:vAlign w:val="bottom"/>
            <w:tcBorders>
              <w:bottom w:val="single" w:sz="8" w:color="auto"/>
            </w:tcBorders>
          </w:tcPr>
          <w:p>
            <w:pPr>
              <w:spacing w:after="0" w:line="99" w:lineRule="exact"/>
              <w:rPr>
                <w:sz w:val="20"/>
                <w:szCs w:val="20"/>
                <w:color w:val="auto"/>
              </w:rPr>
            </w:pPr>
            <w:r>
              <w:rPr>
                <w:rFonts w:ascii="Arial" w:cs="Arial" w:eastAsia="Arial" w:hAnsi="Arial"/>
                <w:sz w:val="9"/>
                <w:szCs w:val="9"/>
                <w:color w:val="auto"/>
              </w:rPr>
              <w:t>Unvested restricted stock</w:t>
            </w: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900" w:type="dxa"/>
            <w:vAlign w:val="bottom"/>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2</w:t>
            </w: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7"/>
        </w:trPr>
        <w:tc>
          <w:tcPr>
            <w:tcW w:w="79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Diluted</w:t>
            </w:r>
          </w:p>
        </w:tc>
        <w:tc>
          <w:tcPr>
            <w:tcW w:w="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4,270</w:t>
            </w:r>
          </w:p>
        </w:tc>
        <w:tc>
          <w:tcPr>
            <w:tcW w:w="9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440"/>
              <w:spacing w:after="0" w:line="98" w:lineRule="exact"/>
              <w:rPr>
                <w:sz w:val="20"/>
                <w:szCs w:val="20"/>
                <w:color w:val="auto"/>
              </w:rPr>
            </w:pPr>
            <w:r>
              <w:rPr>
                <w:rFonts w:ascii="Arial" w:cs="Arial" w:eastAsia="Arial" w:hAnsi="Arial"/>
                <w:sz w:val="9"/>
                <w:szCs w:val="9"/>
                <w:color w:val="auto"/>
              </w:rPr>
              <w:t>1,263</w:t>
            </w:r>
          </w:p>
        </w:tc>
        <w:tc>
          <w:tcPr>
            <w:tcW w:w="560" w:type="dxa"/>
            <w:vAlign w:val="bottom"/>
            <w:gridSpan w:val="2"/>
            <w:shd w:val="clear" w:color="auto" w:fill="CCEEFF"/>
          </w:tcPr>
          <w:p>
            <w:pPr>
              <w:jc w:val="right"/>
              <w:ind w:right="26"/>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3.38</w:t>
            </w:r>
          </w:p>
        </w:tc>
      </w:tr>
      <w:tr>
        <w:trPr>
          <w:trHeight w:val="106"/>
        </w:trPr>
        <w:tc>
          <w:tcPr>
            <w:tcW w:w="7920" w:type="dxa"/>
            <w:vAlign w:val="bottom"/>
          </w:tcPr>
          <w:p>
            <w:pPr>
              <w:spacing w:after="0"/>
              <w:rPr>
                <w:sz w:val="20"/>
                <w:szCs w:val="20"/>
                <w:color w:val="auto"/>
              </w:rPr>
            </w:pPr>
            <w:r>
              <w:rPr>
                <w:rFonts w:ascii="Arial" w:cs="Arial" w:eastAsia="Arial" w:hAnsi="Arial"/>
                <w:sz w:val="9"/>
                <w:szCs w:val="9"/>
                <w:color w:val="auto"/>
              </w:rPr>
              <w:t>2009:</w:t>
            </w: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99"/>
        </w:trPr>
        <w:tc>
          <w:tcPr>
            <w:tcW w:w="79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Basic</w:t>
            </w:r>
          </w:p>
        </w:tc>
        <w:tc>
          <w:tcPr>
            <w:tcW w:w="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3,156</w:t>
            </w:r>
          </w:p>
        </w:tc>
        <w:tc>
          <w:tcPr>
            <w:tcW w:w="9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440"/>
              <w:spacing w:after="0" w:line="99" w:lineRule="exact"/>
              <w:rPr>
                <w:sz w:val="20"/>
                <w:szCs w:val="20"/>
                <w:color w:val="auto"/>
              </w:rPr>
            </w:pPr>
            <w:r>
              <w:rPr>
                <w:rFonts w:ascii="Arial" w:cs="Arial" w:eastAsia="Arial" w:hAnsi="Arial"/>
                <w:sz w:val="9"/>
                <w:szCs w:val="9"/>
                <w:color w:val="auto"/>
              </w:rPr>
              <w:t>1,198</w:t>
            </w:r>
          </w:p>
        </w:tc>
        <w:tc>
          <w:tcPr>
            <w:tcW w:w="560" w:type="dxa"/>
            <w:vAlign w:val="bottom"/>
            <w:gridSpan w:val="2"/>
            <w:shd w:val="clear" w:color="auto" w:fill="CCEEFF"/>
          </w:tcPr>
          <w:p>
            <w:pPr>
              <w:jc w:val="right"/>
              <w:ind w:right="26"/>
              <w:spacing w:after="0" w:line="99"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2.63</w:t>
            </w:r>
          </w:p>
        </w:tc>
      </w:tr>
      <w:tr>
        <w:trPr>
          <w:trHeight w:val="106"/>
        </w:trPr>
        <w:tc>
          <w:tcPr>
            <w:tcW w:w="7920" w:type="dxa"/>
            <w:vAlign w:val="bottom"/>
          </w:tcPr>
          <w:p>
            <w:pPr>
              <w:spacing w:after="0"/>
              <w:rPr>
                <w:sz w:val="20"/>
                <w:szCs w:val="20"/>
                <w:color w:val="auto"/>
              </w:rPr>
            </w:pPr>
            <w:r>
              <w:rPr>
                <w:rFonts w:ascii="Arial" w:cs="Arial" w:eastAsia="Arial" w:hAnsi="Arial"/>
                <w:sz w:val="9"/>
                <w:szCs w:val="9"/>
                <w:color w:val="auto"/>
              </w:rPr>
              <w:t>Assumed conversion of debentures</w:t>
            </w: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8</w:t>
            </w:r>
          </w:p>
        </w:tc>
        <w:tc>
          <w:tcPr>
            <w:tcW w:w="900" w:type="dxa"/>
            <w:vAlign w:val="bottom"/>
          </w:tcPr>
          <w:p>
            <w:pPr>
              <w:spacing w:after="0"/>
              <w:rPr>
                <w:sz w:val="9"/>
                <w:szCs w:val="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9"/>
                <w:szCs w:val="9"/>
                <w:color w:val="auto"/>
              </w:rPr>
              <w:t>8</w:t>
            </w:r>
          </w:p>
        </w:tc>
        <w:tc>
          <w:tcPr>
            <w:tcW w:w="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99"/>
        </w:trPr>
        <w:tc>
          <w:tcPr>
            <w:tcW w:w="79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Assumed exercise of stock options</w:t>
            </w:r>
          </w:p>
        </w:tc>
        <w:tc>
          <w:tcPr>
            <w:tcW w:w="60" w:type="dxa"/>
            <w:vAlign w:val="bottom"/>
            <w:shd w:val="clear" w:color="auto" w:fill="CCEEFF"/>
          </w:tcPr>
          <w:p>
            <w:pPr>
              <w:spacing w:after="0"/>
              <w:rPr>
                <w:sz w:val="8"/>
                <w:szCs w:val="8"/>
                <w:color w:val="auto"/>
              </w:rPr>
            </w:pPr>
          </w:p>
        </w:tc>
        <w:tc>
          <w:tcPr>
            <w:tcW w:w="1400" w:type="dxa"/>
            <w:vAlign w:val="bottom"/>
            <w:gridSpan w:val="2"/>
            <w:shd w:val="clear" w:color="auto" w:fill="CCEEFF"/>
          </w:tcPr>
          <w:p>
            <w:pPr>
              <w:jc w:val="right"/>
              <w:ind w:right="900"/>
              <w:spacing w:after="0" w:line="99" w:lineRule="exact"/>
              <w:rPr>
                <w:sz w:val="20"/>
                <w:szCs w:val="20"/>
                <w:color w:val="auto"/>
              </w:rPr>
            </w:pPr>
            <w:r>
              <w:rPr>
                <w:rFonts w:ascii="Arial" w:cs="Arial" w:eastAsia="Arial" w:hAnsi="Arial"/>
                <w:sz w:val="9"/>
                <w:szCs w:val="9"/>
                <w:color w:val="auto"/>
              </w:rPr>
              <w:t>–</w:t>
            </w:r>
          </w:p>
        </w:tc>
        <w:tc>
          <w:tcPr>
            <w:tcW w:w="940" w:type="dxa"/>
            <w:vAlign w:val="bottom"/>
            <w:gridSpan w:val="2"/>
            <w:shd w:val="clear" w:color="auto" w:fill="CCEEFF"/>
          </w:tcPr>
          <w:p>
            <w:pPr>
              <w:jc w:val="right"/>
              <w:ind w:right="440"/>
              <w:spacing w:after="0" w:line="99" w:lineRule="exact"/>
              <w:rPr>
                <w:sz w:val="20"/>
                <w:szCs w:val="20"/>
                <w:color w:val="auto"/>
              </w:rPr>
            </w:pPr>
            <w:r>
              <w:rPr>
                <w:rFonts w:ascii="Arial" w:cs="Arial" w:eastAsia="Arial" w:hAnsi="Arial"/>
                <w:sz w:val="9"/>
                <w:szCs w:val="9"/>
                <w:color w:val="auto"/>
              </w:rPr>
              <w:t>7</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9"/>
        </w:trPr>
        <w:tc>
          <w:tcPr>
            <w:tcW w:w="7920" w:type="dxa"/>
            <w:vAlign w:val="bottom"/>
            <w:tcBorders>
              <w:bottom w:val="single" w:sz="8" w:color="auto"/>
            </w:tcBorders>
          </w:tcPr>
          <w:p>
            <w:pPr>
              <w:spacing w:after="0" w:line="99" w:lineRule="exact"/>
              <w:rPr>
                <w:sz w:val="20"/>
                <w:szCs w:val="20"/>
                <w:color w:val="auto"/>
              </w:rPr>
            </w:pPr>
            <w:r>
              <w:rPr>
                <w:rFonts w:ascii="Arial" w:cs="Arial" w:eastAsia="Arial" w:hAnsi="Arial"/>
                <w:sz w:val="9"/>
                <w:szCs w:val="9"/>
                <w:color w:val="auto"/>
              </w:rPr>
              <w:t>Unvested restricted stock</w:t>
            </w: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900" w:type="dxa"/>
            <w:vAlign w:val="bottom"/>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w:t>
            </w: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7"/>
        </w:trPr>
        <w:tc>
          <w:tcPr>
            <w:tcW w:w="79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Diluted</w:t>
            </w:r>
          </w:p>
        </w:tc>
        <w:tc>
          <w:tcPr>
            <w:tcW w:w="60" w:type="dxa"/>
            <w:vAlign w:val="bottom"/>
            <w:tcBorders>
              <w:bottom w:val="single" w:sz="8" w:color="auto"/>
            </w:tcBorders>
            <w:shd w:val="clear" w:color="auto" w:fill="CCEEFF"/>
          </w:tcPr>
          <w:p>
            <w:pPr>
              <w:spacing w:after="0" w:line="98" w:lineRule="exact"/>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3,164</w:t>
            </w:r>
          </w:p>
        </w:tc>
        <w:tc>
          <w:tcPr>
            <w:tcW w:w="90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1,214</w:t>
            </w:r>
          </w:p>
        </w:tc>
        <w:tc>
          <w:tcPr>
            <w:tcW w:w="4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2.61</w:t>
            </w:r>
          </w:p>
        </w:tc>
        <w:tc>
          <w:tcPr>
            <w:tcW w:w="40" w:type="dxa"/>
            <w:vAlign w:val="bottom"/>
            <w:shd w:val="clear" w:color="auto" w:fill="CCEEFF"/>
          </w:tcPr>
          <w:p>
            <w:pPr>
              <w:spacing w:after="0"/>
              <w:rPr>
                <w:sz w:val="8"/>
                <w:szCs w:val="8"/>
                <w:color w:val="auto"/>
              </w:rPr>
            </w:pPr>
          </w:p>
        </w:tc>
      </w:tr>
    </w:tbl>
    <w:p>
      <w:pPr>
        <w:spacing w:after="0" w:line="57" w:lineRule="exact"/>
        <w:rPr>
          <w:sz w:val="20"/>
          <w:szCs w:val="20"/>
          <w:color w:val="auto"/>
        </w:rPr>
      </w:pPr>
    </w:p>
    <w:p>
      <w:pPr>
        <w:ind w:left="8" w:right="300" w:firstLine="230"/>
        <w:spacing w:after="0" w:line="314" w:lineRule="auto"/>
        <w:rPr>
          <w:sz w:val="20"/>
          <w:szCs w:val="20"/>
          <w:color w:val="auto"/>
        </w:rPr>
      </w:pPr>
      <w:r>
        <w:rPr>
          <w:rFonts w:ascii="Arial" w:cs="Arial" w:eastAsia="Arial" w:hAnsi="Arial"/>
          <w:sz w:val="11"/>
          <w:szCs w:val="11"/>
          <w:color w:val="auto"/>
        </w:rPr>
        <w:t>Employee stock options to purchase approximately 14.0 million, 12.5 million and 17.1 million shares of common stock at December 31, 2011, 2010 and 2009, respectively, were outstanding but were not included in the computation of diluted earnings per share because the option exercise price was greater than the average market price of the common stock, and therefore, the effect on diluted earnings per share would have been anti-dilutive.</w:t>
      </w:r>
    </w:p>
    <w:p>
      <w:pPr>
        <w:spacing w:after="0" w:line="63" w:lineRule="exact"/>
        <w:rPr>
          <w:sz w:val="20"/>
          <w:szCs w:val="20"/>
          <w:color w:val="auto"/>
        </w:rPr>
      </w:pPr>
    </w:p>
    <w:p>
      <w:pPr>
        <w:ind w:left="228" w:hanging="228"/>
        <w:spacing w:after="0"/>
        <w:tabs>
          <w:tab w:leader="none" w:pos="228" w:val="left"/>
        </w:tabs>
        <w:numPr>
          <w:ilvl w:val="0"/>
          <w:numId w:val="2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Charges and Credits</w:t>
      </w:r>
    </w:p>
    <w:p>
      <w:pPr>
        <w:spacing w:after="0" w:line="62" w:lineRule="exact"/>
        <w:rPr>
          <w:rFonts w:ascii="Arial" w:cs="Arial" w:eastAsia="Arial" w:hAnsi="Arial"/>
          <w:sz w:val="12"/>
          <w:szCs w:val="12"/>
          <w:b w:val="1"/>
          <w:bCs w:val="1"/>
          <w:color w:val="auto"/>
        </w:rPr>
      </w:pPr>
    </w:p>
    <w:p>
      <w:pPr>
        <w:ind w:left="228"/>
        <w:spacing w:after="0"/>
        <w:rPr>
          <w:rFonts w:ascii="Arial" w:cs="Arial" w:eastAsia="Arial" w:hAnsi="Arial"/>
          <w:sz w:val="12"/>
          <w:szCs w:val="12"/>
          <w:b w:val="1"/>
          <w:bCs w:val="1"/>
          <w:color w:val="auto"/>
        </w:rPr>
      </w:pPr>
      <w:r>
        <w:rPr>
          <w:rFonts w:ascii="Arial" w:cs="Arial" w:eastAsia="Arial" w:hAnsi="Arial"/>
          <w:sz w:val="12"/>
          <w:szCs w:val="12"/>
          <w:color w:val="auto"/>
        </w:rPr>
        <w:t>Schlumberger recorded the following Charges and Credits in continuing operations during 2011, 2010 and 2009:</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2011</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2"/>
          <w:szCs w:val="12"/>
          <w:color w:val="auto"/>
        </w:rPr>
        <w:t>Fourth quarter of 2011:</w:t>
      </w:r>
    </w:p>
    <w:p>
      <w:pPr>
        <w:spacing w:after="0" w:line="60" w:lineRule="exact"/>
        <w:rPr>
          <w:sz w:val="20"/>
          <w:szCs w:val="20"/>
          <w:color w:val="auto"/>
        </w:rPr>
      </w:pPr>
    </w:p>
    <w:p>
      <w:pPr>
        <w:ind w:left="468"/>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 xml:space="preserve">Schlumberger recorded $22 million of pretax merger and integration-related charges ($20 million after-tax) in connection with the acquisitions of Smith International, Inc. (“Smith”) and Geoservices (see Note 4 – </w:t>
      </w:r>
      <w:r>
        <w:rPr>
          <w:rFonts w:ascii="Arial" w:cs="Arial" w:eastAsia="Arial" w:hAnsi="Arial"/>
          <w:sz w:val="9"/>
          <w:szCs w:val="9"/>
          <w:i w:val="1"/>
          <w:iCs w:val="1"/>
          <w:color w:val="auto"/>
        </w:rPr>
        <w:t>Acquisitions</w:t>
      </w:r>
      <w:r>
        <w:rPr>
          <w:rFonts w:ascii="Arial" w:cs="Arial" w:eastAsia="Arial" w:hAnsi="Arial"/>
          <w:sz w:val="9"/>
          <w:szCs w:val="9"/>
          <w:color w:val="auto"/>
        </w:rPr>
        <w:t>).</w:t>
      </w:r>
    </w:p>
    <w:p>
      <w:pPr>
        <w:spacing w:after="0" w:line="60" w:lineRule="exact"/>
        <w:rPr>
          <w:sz w:val="20"/>
          <w:szCs w:val="20"/>
          <w:color w:val="auto"/>
        </w:rPr>
      </w:pPr>
    </w:p>
    <w:p>
      <w:pPr>
        <w:ind w:left="788" w:right="40" w:hanging="333"/>
        <w:spacing w:after="0" w:line="268" w:lineRule="auto"/>
        <w:rPr>
          <w:sz w:val="20"/>
          <w:szCs w:val="20"/>
          <w:color w:val="auto"/>
        </w:rPr>
      </w:pPr>
      <w:r>
        <w:rPr>
          <w:rFonts w:ascii="Arial" w:cs="Arial" w:eastAsia="Arial" w:hAnsi="Arial"/>
          <w:sz w:val="12"/>
          <w:szCs w:val="12"/>
          <w:color w:val="auto"/>
        </w:rPr>
        <w:t>—During the fourth quarter, Schlumberger was able to physically assess the status of its assets in Libya. This assessment resulted in Schlumberger recording a pretax and after-tax charge of $60 million relating to certain assets that are no longer recoverable as a result of the political unrest.</w:t>
      </w:r>
    </w:p>
    <w:p>
      <w:pPr>
        <w:spacing w:after="0" w:line="34"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Third quarter of 2011:</w:t>
      </w:r>
    </w:p>
    <w:p>
      <w:pPr>
        <w:spacing w:after="0" w:line="60" w:lineRule="exact"/>
        <w:rPr>
          <w:sz w:val="20"/>
          <w:szCs w:val="20"/>
          <w:color w:val="auto"/>
        </w:rPr>
      </w:pPr>
    </w:p>
    <w:p>
      <w:pPr>
        <w:ind w:left="468" w:right="2740"/>
        <w:spacing w:after="0" w:line="344" w:lineRule="auto"/>
        <w:rPr>
          <w:sz w:val="20"/>
          <w:szCs w:val="20"/>
          <w:color w:val="auto"/>
        </w:rPr>
      </w:pPr>
      <w:r>
        <w:rPr>
          <w:rFonts w:ascii="Arial" w:cs="Arial" w:eastAsia="Arial" w:hAnsi="Arial"/>
          <w:sz w:val="12"/>
          <w:szCs w:val="12"/>
          <w:color w:val="auto"/>
        </w:rPr>
        <w:t>— Schlumberger recorded $27 million of pretax merger and integration-related charges ($23 million after-tax) in connection with the acquisitions of Smith and Geoservices. Second quarter of 2011:</w:t>
      </w:r>
    </w:p>
    <w:p>
      <w:pPr>
        <w:ind w:left="788" w:right="80" w:hanging="333"/>
        <w:spacing w:after="0" w:line="268" w:lineRule="auto"/>
        <w:rPr>
          <w:sz w:val="20"/>
          <w:szCs w:val="20"/>
          <w:color w:val="auto"/>
        </w:rPr>
      </w:pPr>
      <w:r>
        <w:rPr>
          <w:rFonts w:ascii="Arial" w:cs="Arial" w:eastAsia="Arial" w:hAnsi="Arial"/>
          <w:sz w:val="12"/>
          <w:szCs w:val="12"/>
          <w:color w:val="auto"/>
        </w:rPr>
        <w:t>—Schlumberger made a $50 million grant to the Schlumberger Foundation to support the Foundation’s Faculty for the Future program, which supports talented women scientists from the developing world by helping them pursue advanced graduate studies in scientific disciplines at leading universities worldwide. As a result, Schlumberger recorded a $50 million charge ($40 million after-tax).</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43</w:t>
      </w:r>
    </w:p>
    <w:p>
      <w:pPr>
        <w:sectPr>
          <w:pgSz w:w="11900" w:h="16838" w:orient="portrait"/>
          <w:cols w:equalWidth="0" w:num="1">
            <w:col w:w="11488"/>
          </w:cols>
          <w:pgMar w:left="212" w:top="354" w:right="199"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Schlumberger recorded $32 million of pretax merger and integration-related charges ($24 million after-tax) in connection with the acquisitions of Smith and Geoservices.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First quarter of 2011:</w:t>
      </w:r>
    </w:p>
    <w:p>
      <w:pPr>
        <w:spacing w:after="0" w:line="60" w:lineRule="exact"/>
        <w:rPr>
          <w:sz w:val="20"/>
          <w:szCs w:val="20"/>
          <w:color w:val="auto"/>
        </w:rPr>
      </w:pPr>
    </w:p>
    <w:p>
      <w:pPr>
        <w:ind w:left="460" w:right="2740"/>
        <w:spacing w:after="0" w:line="342" w:lineRule="auto"/>
        <w:rPr>
          <w:sz w:val="20"/>
          <w:szCs w:val="20"/>
          <w:color w:val="auto"/>
        </w:rPr>
      </w:pPr>
      <w:r>
        <w:rPr>
          <w:rFonts w:ascii="Arial" w:cs="Arial" w:eastAsia="Arial" w:hAnsi="Arial"/>
          <w:sz w:val="12"/>
          <w:szCs w:val="12"/>
          <w:color w:val="auto"/>
        </w:rPr>
        <w:t>— Schlumberger recorded $34 million of pretax merger and integration-related charges ($28 million after-tax) in connection with the acquisitions of Smith and Geoservices. The following is a summary of these charges:</w:t>
      </w:r>
    </w:p>
    <w:tbl>
      <w:tblPr>
        <w:tblLayout w:type="fixed"/>
        <w:tblInd w:w="0" w:type="dxa"/>
        <w:tblCellMar>
          <w:top w:w="0" w:type="dxa"/>
          <w:left w:w="0" w:type="dxa"/>
          <w:bottom w:w="0" w:type="dxa"/>
          <w:right w:w="0" w:type="dxa"/>
        </w:tblCellMar>
      </w:tblPr>
      <w:tr>
        <w:trPr>
          <w:trHeight w:val="116"/>
        </w:trPr>
        <w:tc>
          <w:tcPr>
            <w:tcW w:w="43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4"/>
          </w:tcPr>
          <w:p>
            <w:pPr>
              <w:jc w:val="right"/>
              <w:ind w:right="220"/>
              <w:spacing w:after="0"/>
              <w:rPr>
                <w:sz w:val="20"/>
                <w:szCs w:val="20"/>
                <w:color w:val="auto"/>
              </w:rPr>
            </w:pPr>
            <w:r>
              <w:rPr>
                <w:rFonts w:ascii="Arial" w:cs="Arial" w:eastAsia="Arial" w:hAnsi="Arial"/>
                <w:sz w:val="9"/>
                <w:szCs w:val="9"/>
                <w:b w:val="1"/>
                <w:bCs w:val="1"/>
                <w:color w:val="auto"/>
                <w:w w:val="91"/>
              </w:rPr>
              <w:t>(Stated in millions)</w:t>
            </w:r>
          </w:p>
        </w:tc>
        <w:tc>
          <w:tcPr>
            <w:tcW w:w="22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190"/>
        </w:trPr>
        <w:tc>
          <w:tcPr>
            <w:tcW w:w="43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2"/>
          </w:tcPr>
          <w:p>
            <w:pPr>
              <w:ind w:left="220"/>
              <w:spacing w:after="0"/>
              <w:rPr>
                <w:sz w:val="20"/>
                <w:szCs w:val="20"/>
                <w:color w:val="auto"/>
              </w:rPr>
            </w:pPr>
            <w:r>
              <w:rPr>
                <w:rFonts w:ascii="Arial" w:cs="Arial" w:eastAsia="Arial" w:hAnsi="Arial"/>
                <w:sz w:val="9"/>
                <w:szCs w:val="9"/>
                <w:b w:val="1"/>
                <w:bCs w:val="1"/>
                <w:color w:val="auto"/>
              </w:rPr>
              <w:t>Consolidated Statement</w:t>
            </w:r>
          </w:p>
        </w:tc>
      </w:tr>
      <w:tr>
        <w:trPr>
          <w:trHeight w:val="108"/>
        </w:trPr>
        <w:tc>
          <w:tcPr>
            <w:tcW w:w="43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Pretax</w:t>
            </w:r>
          </w:p>
        </w:tc>
        <w:tc>
          <w:tcPr>
            <w:tcW w:w="100" w:type="dxa"/>
            <w:vAlign w:val="bottom"/>
          </w:tcPr>
          <w:p>
            <w:pPr>
              <w:spacing w:after="0"/>
              <w:rPr>
                <w:sz w:val="9"/>
                <w:szCs w:val="9"/>
                <w:color w:val="auto"/>
              </w:rPr>
            </w:pPr>
          </w:p>
        </w:tc>
        <w:tc>
          <w:tcPr>
            <w:tcW w:w="20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89"/>
              </w:rPr>
              <w:t>Tax</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Net</w:t>
            </w:r>
          </w:p>
        </w:tc>
        <w:tc>
          <w:tcPr>
            <w:tcW w:w="2620" w:type="dxa"/>
            <w:vAlign w:val="bottom"/>
            <w:gridSpan w:val="2"/>
          </w:tcPr>
          <w:p>
            <w:pPr>
              <w:ind w:left="220"/>
              <w:spacing w:after="0"/>
              <w:rPr>
                <w:sz w:val="20"/>
                <w:szCs w:val="20"/>
                <w:color w:val="auto"/>
              </w:rPr>
            </w:pPr>
            <w:r>
              <w:rPr>
                <w:rFonts w:ascii="Arial" w:cs="Arial" w:eastAsia="Arial" w:hAnsi="Arial"/>
                <w:sz w:val="9"/>
                <w:szCs w:val="9"/>
                <w:b w:val="1"/>
                <w:bCs w:val="1"/>
                <w:color w:val="auto"/>
              </w:rPr>
              <w:t>of Income Classification</w:t>
            </w:r>
          </w:p>
        </w:tc>
      </w:tr>
      <w:tr>
        <w:trPr>
          <w:trHeight w:val="133"/>
        </w:trPr>
        <w:tc>
          <w:tcPr>
            <w:tcW w:w="43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Merger-related integration costs</w:t>
            </w:r>
          </w:p>
        </w:tc>
        <w:tc>
          <w:tcPr>
            <w:tcW w:w="2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115</w:t>
            </w:r>
          </w:p>
        </w:tc>
        <w:tc>
          <w:tcPr>
            <w:tcW w:w="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w:t>
            </w:r>
          </w:p>
        </w:tc>
        <w:tc>
          <w:tcPr>
            <w:tcW w:w="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96</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i w:val="1"/>
                <w:iCs w:val="1"/>
                <w:color w:val="auto"/>
              </w:rPr>
              <w:t>Merger &amp; integration</w:t>
            </w:r>
          </w:p>
        </w:tc>
      </w:tr>
      <w:tr>
        <w:trPr>
          <w:trHeight w:val="144"/>
        </w:trPr>
        <w:tc>
          <w:tcPr>
            <w:tcW w:w="4360" w:type="dxa"/>
            <w:vAlign w:val="bottom"/>
          </w:tcPr>
          <w:p>
            <w:pPr>
              <w:spacing w:after="0"/>
              <w:rPr>
                <w:sz w:val="20"/>
                <w:szCs w:val="20"/>
                <w:color w:val="auto"/>
              </w:rPr>
            </w:pPr>
            <w:r>
              <w:rPr>
                <w:rFonts w:ascii="Arial" w:cs="Arial" w:eastAsia="Arial" w:hAnsi="Arial"/>
                <w:sz w:val="12"/>
                <w:szCs w:val="12"/>
                <w:color w:val="auto"/>
              </w:rPr>
              <w:t>Donation to the Schlumberger Foundation</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10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40</w:t>
            </w:r>
          </w:p>
        </w:tc>
        <w:tc>
          <w:tcPr>
            <w:tcW w:w="2620" w:type="dxa"/>
            <w:vAlign w:val="bottom"/>
            <w:gridSpan w:val="2"/>
          </w:tcPr>
          <w:p>
            <w:pPr>
              <w:ind w:left="220"/>
              <w:spacing w:after="0"/>
              <w:rPr>
                <w:sz w:val="20"/>
                <w:szCs w:val="20"/>
                <w:color w:val="auto"/>
              </w:rPr>
            </w:pPr>
            <w:r>
              <w:rPr>
                <w:rFonts w:ascii="Arial" w:cs="Arial" w:eastAsia="Arial" w:hAnsi="Arial"/>
                <w:sz w:val="12"/>
                <w:szCs w:val="12"/>
                <w:i w:val="1"/>
                <w:iCs w:val="1"/>
                <w:color w:val="auto"/>
              </w:rPr>
              <w:t>General &amp; administrative</w:t>
            </w:r>
          </w:p>
        </w:tc>
      </w:tr>
      <w:tr>
        <w:trPr>
          <w:trHeight w:val="144"/>
        </w:trPr>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Write-off of assets in Libya</w:t>
            </w: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w:t>
            </w:r>
          </w:p>
        </w:tc>
        <w:tc>
          <w:tcPr>
            <w:tcW w:w="2620" w:type="dxa"/>
            <w:vAlign w:val="bottom"/>
            <w:gridSpan w:val="2"/>
            <w:shd w:val="clear" w:color="auto" w:fill="CCEEFF"/>
          </w:tcPr>
          <w:p>
            <w:pPr>
              <w:ind w:left="220"/>
              <w:spacing w:after="0"/>
              <w:rPr>
                <w:sz w:val="20"/>
                <w:szCs w:val="20"/>
                <w:color w:val="auto"/>
              </w:rPr>
            </w:pPr>
            <w:r>
              <w:rPr>
                <w:rFonts w:ascii="Arial" w:cs="Arial" w:eastAsia="Arial" w:hAnsi="Arial"/>
                <w:sz w:val="12"/>
                <w:szCs w:val="12"/>
                <w:i w:val="1"/>
                <w:iCs w:val="1"/>
                <w:color w:val="auto"/>
              </w:rPr>
              <w:t>Cost of revenue -Oilfield Services</w:t>
            </w:r>
          </w:p>
        </w:tc>
      </w:tr>
      <w:tr>
        <w:trPr>
          <w:trHeight w:val="20"/>
        </w:trPr>
        <w:tc>
          <w:tcPr>
            <w:tcW w:w="436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40"/>
        </w:trPr>
        <w:tc>
          <w:tcPr>
            <w:tcW w:w="4360" w:type="dxa"/>
            <w:vAlign w:val="bottom"/>
          </w:tcPr>
          <w:p>
            <w:pPr>
              <w:spacing w:after="0"/>
              <w:rPr>
                <w:sz w:val="12"/>
                <w:szCs w:val="12"/>
                <w:color w:val="auto"/>
              </w:rPr>
            </w:pPr>
          </w:p>
        </w:tc>
        <w:tc>
          <w:tcPr>
            <w:tcW w:w="2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225</w:t>
            </w:r>
          </w:p>
        </w:tc>
        <w:tc>
          <w:tcPr>
            <w:tcW w:w="4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29</w:t>
            </w:r>
          </w:p>
        </w:tc>
        <w:tc>
          <w:tcPr>
            <w:tcW w:w="520" w:type="dxa"/>
            <w:vAlign w:val="bottom"/>
            <w:gridSpan w:val="2"/>
          </w:tcPr>
          <w:p>
            <w:pPr>
              <w:jc w:val="right"/>
              <w:ind w:right="13"/>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196</w:t>
            </w:r>
          </w:p>
        </w:tc>
        <w:tc>
          <w:tcPr>
            <w:tcW w:w="22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259"/>
        </w:trPr>
        <w:tc>
          <w:tcPr>
            <w:tcW w:w="4360" w:type="dxa"/>
            <w:vAlign w:val="bottom"/>
          </w:tcPr>
          <w:p>
            <w:pPr>
              <w:spacing w:after="0"/>
              <w:rPr>
                <w:sz w:val="20"/>
                <w:szCs w:val="20"/>
                <w:color w:val="auto"/>
              </w:rPr>
            </w:pPr>
            <w:r>
              <w:rPr>
                <w:rFonts w:ascii="Arial" w:cs="Arial" w:eastAsia="Arial" w:hAnsi="Arial"/>
                <w:sz w:val="12"/>
                <w:szCs w:val="12"/>
                <w:b w:val="1"/>
                <w:bCs w:val="1"/>
                <w:color w:val="auto"/>
              </w:rPr>
              <w:t>2010</w:t>
            </w:r>
          </w:p>
        </w:tc>
        <w:tc>
          <w:tcPr>
            <w:tcW w:w="24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198"/>
        </w:trPr>
        <w:tc>
          <w:tcPr>
            <w:tcW w:w="4360" w:type="dxa"/>
            <w:vAlign w:val="bottom"/>
          </w:tcPr>
          <w:p>
            <w:pPr>
              <w:spacing w:after="0"/>
              <w:rPr>
                <w:sz w:val="20"/>
                <w:szCs w:val="20"/>
                <w:color w:val="auto"/>
              </w:rPr>
            </w:pPr>
            <w:r>
              <w:rPr>
                <w:rFonts w:ascii="Arial" w:cs="Arial" w:eastAsia="Arial" w:hAnsi="Arial"/>
                <w:sz w:val="12"/>
                <w:szCs w:val="12"/>
                <w:color w:val="auto"/>
              </w:rPr>
              <w:t>Fourth quarter of 2010:</w:t>
            </w: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spacing w:after="0"/>
              <w:rPr>
                <w:sz w:val="17"/>
                <w:szCs w:val="17"/>
                <w:color w:val="auto"/>
              </w:rPr>
            </w:pPr>
          </w:p>
        </w:tc>
      </w:tr>
    </w:tbl>
    <w:p>
      <w:pPr>
        <w:spacing w:after="0" w:line="50" w:lineRule="exact"/>
        <w:rPr>
          <w:sz w:val="20"/>
          <w:szCs w:val="20"/>
          <w:color w:val="auto"/>
        </w:rPr>
      </w:pPr>
    </w:p>
    <w:p>
      <w:pPr>
        <w:ind w:left="780" w:right="60" w:hanging="333"/>
        <w:spacing w:after="0" w:line="314" w:lineRule="auto"/>
        <w:rPr>
          <w:sz w:val="20"/>
          <w:szCs w:val="20"/>
          <w:color w:val="auto"/>
        </w:rPr>
      </w:pPr>
      <w:r>
        <w:rPr>
          <w:rFonts w:ascii="Arial" w:cs="Arial" w:eastAsia="Arial" w:hAnsi="Arial"/>
          <w:sz w:val="12"/>
          <w:szCs w:val="12"/>
          <w:color w:val="auto"/>
        </w:rPr>
        <w:t>—</w:t>
      </w:r>
      <w:r>
        <w:rPr>
          <w:rFonts w:ascii="Arial" w:cs="Arial" w:eastAsia="Arial" w:hAnsi="Arial"/>
          <w:sz w:val="11"/>
          <w:szCs w:val="11"/>
          <w:color w:val="auto"/>
        </w:rPr>
        <w:t>In connection with the acquisition of Smith, Schlumberger recorded the following pretax charges: $115 million ($73 million after-tax) relating to the amortization of purchase accounting adjustments associated with the write-up of acquired inventory to its estimated fair value, $17 million ($16 million after-tax) of professional and other fees and $16 million ($12 million after-tax) relating to employee benefits.</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Schlumberger repurchased the following debt:</w:t>
      </w:r>
    </w:p>
    <w:p>
      <w:pPr>
        <w:spacing w:after="0" w:line="53" w:lineRule="exact"/>
        <w:rPr>
          <w:sz w:val="20"/>
          <w:szCs w:val="20"/>
          <w:color w:val="auto"/>
        </w:rPr>
      </w:pPr>
    </w:p>
    <w:tbl>
      <w:tblPr>
        <w:tblLayout w:type="fixed"/>
        <w:tblInd w:w="3720" w:type="dxa"/>
        <w:tblCellMar>
          <w:top w:w="0" w:type="dxa"/>
          <w:left w:w="0" w:type="dxa"/>
          <w:bottom w:w="0" w:type="dxa"/>
          <w:right w:w="0" w:type="dxa"/>
        </w:tblCellMar>
      </w:tblPr>
      <w:tr>
        <w:trPr>
          <w:trHeight w:val="103"/>
        </w:trPr>
        <w:tc>
          <w:tcPr>
            <w:tcW w:w="3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680" w:type="dxa"/>
            <w:vAlign w:val="bottom"/>
            <w:gridSpan w:val="4"/>
          </w:tcPr>
          <w:p>
            <w:pPr>
              <w:ind w:left="880"/>
              <w:spacing w:after="0"/>
              <w:rPr>
                <w:sz w:val="20"/>
                <w:szCs w:val="20"/>
                <w:color w:val="auto"/>
              </w:rPr>
            </w:pPr>
            <w:r>
              <w:rPr>
                <w:rFonts w:ascii="Arial" w:cs="Arial" w:eastAsia="Arial" w:hAnsi="Arial"/>
                <w:sz w:val="9"/>
                <w:szCs w:val="9"/>
                <w:b w:val="1"/>
                <w:bCs w:val="1"/>
                <w:color w:val="auto"/>
                <w:w w:val="96"/>
              </w:rPr>
              <w:t>(Stated in millions)</w:t>
            </w:r>
          </w:p>
        </w:tc>
      </w:tr>
      <w:tr>
        <w:trPr>
          <w:trHeight w:val="99"/>
        </w:trPr>
        <w:tc>
          <w:tcPr>
            <w:tcW w:w="3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gridSpan w:val="3"/>
          </w:tcPr>
          <w:p>
            <w:pPr>
              <w:jc w:val="right"/>
              <w:ind w:right="60"/>
              <w:spacing w:after="0" w:line="99" w:lineRule="exact"/>
              <w:rPr>
                <w:sz w:val="20"/>
                <w:szCs w:val="20"/>
                <w:color w:val="auto"/>
              </w:rPr>
            </w:pPr>
            <w:r>
              <w:rPr>
                <w:rFonts w:ascii="Arial" w:cs="Arial" w:eastAsia="Arial" w:hAnsi="Arial"/>
                <w:sz w:val="9"/>
                <w:szCs w:val="9"/>
                <w:b w:val="1"/>
                <w:bCs w:val="1"/>
                <w:color w:val="auto"/>
              </w:rPr>
              <w:t>Carrying</w:t>
            </w:r>
          </w:p>
        </w:tc>
      </w:tr>
      <w:tr>
        <w:trPr>
          <w:trHeight w:val="108"/>
        </w:trPr>
        <w:tc>
          <w:tcPr>
            <w:tcW w:w="3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Value</w:t>
            </w:r>
          </w:p>
        </w:tc>
      </w:tr>
      <w:tr>
        <w:trPr>
          <w:trHeight w:val="142"/>
        </w:trPr>
        <w:tc>
          <w:tcPr>
            <w:tcW w:w="320" w:type="dxa"/>
            <w:vAlign w:val="bottom"/>
            <w:shd w:val="clear" w:color="auto" w:fill="CCEEFF"/>
          </w:tcPr>
          <w:p>
            <w:pPr>
              <w:spacing w:after="0"/>
              <w:rPr>
                <w:sz w:val="20"/>
                <w:szCs w:val="20"/>
                <w:color w:val="auto"/>
              </w:rPr>
            </w:pPr>
            <w:r>
              <w:rPr>
                <w:rFonts w:ascii="Arial" w:cs="Arial" w:eastAsia="Arial" w:hAnsi="Arial"/>
                <w:sz w:val="12"/>
                <w:szCs w:val="12"/>
                <w:color w:val="auto"/>
                <w:w w:val="88"/>
              </w:rPr>
              <w:t>6.50%</w:t>
            </w:r>
          </w:p>
        </w:tc>
        <w:tc>
          <w:tcPr>
            <w:tcW w:w="2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Notes due 2012</w:t>
            </w:r>
          </w:p>
        </w:tc>
        <w:tc>
          <w:tcPr>
            <w:tcW w:w="1100" w:type="dxa"/>
            <w:vAlign w:val="bottom"/>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w:t>
            </w:r>
          </w:p>
        </w:tc>
        <w:tc>
          <w:tcPr>
            <w:tcW w:w="6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20"/>
                <w:szCs w:val="20"/>
                <w:color w:val="auto"/>
              </w:rPr>
            </w:pPr>
            <w:r>
              <w:rPr>
                <w:rFonts w:ascii="Arial" w:cs="Arial" w:eastAsia="Arial" w:hAnsi="Arial"/>
                <w:sz w:val="12"/>
                <w:szCs w:val="12"/>
                <w:color w:val="auto"/>
                <w:w w:val="88"/>
              </w:rPr>
              <w:t>6.75%</w:t>
            </w:r>
          </w:p>
        </w:tc>
        <w:tc>
          <w:tcPr>
            <w:tcW w:w="2020" w:type="dxa"/>
            <w:vAlign w:val="bottom"/>
          </w:tcPr>
          <w:p>
            <w:pPr>
              <w:ind w:left="20"/>
              <w:spacing w:after="0"/>
              <w:rPr>
                <w:sz w:val="20"/>
                <w:szCs w:val="20"/>
                <w:color w:val="auto"/>
              </w:rPr>
            </w:pPr>
            <w:r>
              <w:rPr>
                <w:rFonts w:ascii="Arial" w:cs="Arial" w:eastAsia="Arial" w:hAnsi="Arial"/>
                <w:sz w:val="12"/>
                <w:szCs w:val="12"/>
                <w:color w:val="auto"/>
              </w:rPr>
              <w:t>Senior Notes due 2011</w:t>
            </w:r>
          </w:p>
        </w:tc>
        <w:tc>
          <w:tcPr>
            <w:tcW w:w="1100" w:type="dxa"/>
            <w:vAlign w:val="bottom"/>
          </w:tcPr>
          <w:p>
            <w:pPr>
              <w:ind w:left="88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123</w:t>
            </w:r>
          </w:p>
        </w:tc>
        <w:tc>
          <w:tcPr>
            <w:tcW w:w="6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20"/>
                <w:szCs w:val="20"/>
                <w:color w:val="auto"/>
              </w:rPr>
            </w:pPr>
            <w:r>
              <w:rPr>
                <w:rFonts w:ascii="Arial" w:cs="Arial" w:eastAsia="Arial" w:hAnsi="Arial"/>
                <w:sz w:val="12"/>
                <w:szCs w:val="12"/>
                <w:color w:val="auto"/>
                <w:w w:val="88"/>
              </w:rPr>
              <w:t>9.75%</w:t>
            </w:r>
          </w:p>
        </w:tc>
        <w:tc>
          <w:tcPr>
            <w:tcW w:w="2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Senior Notes due 2019</w:t>
            </w:r>
          </w:p>
        </w:tc>
        <w:tc>
          <w:tcPr>
            <w:tcW w:w="1100" w:type="dxa"/>
            <w:vAlign w:val="bottom"/>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212</w:t>
            </w:r>
          </w:p>
        </w:tc>
        <w:tc>
          <w:tcPr>
            <w:tcW w:w="6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20"/>
                <w:szCs w:val="20"/>
                <w:color w:val="auto"/>
              </w:rPr>
            </w:pPr>
            <w:r>
              <w:rPr>
                <w:rFonts w:ascii="Arial" w:cs="Arial" w:eastAsia="Arial" w:hAnsi="Arial"/>
                <w:sz w:val="12"/>
                <w:szCs w:val="12"/>
                <w:color w:val="auto"/>
                <w:w w:val="88"/>
              </w:rPr>
              <w:t>6.00%</w:t>
            </w:r>
          </w:p>
        </w:tc>
        <w:tc>
          <w:tcPr>
            <w:tcW w:w="2020" w:type="dxa"/>
            <w:vAlign w:val="bottom"/>
          </w:tcPr>
          <w:p>
            <w:pPr>
              <w:ind w:left="20"/>
              <w:spacing w:after="0"/>
              <w:rPr>
                <w:sz w:val="20"/>
                <w:szCs w:val="20"/>
                <w:color w:val="auto"/>
              </w:rPr>
            </w:pPr>
            <w:r>
              <w:rPr>
                <w:rFonts w:ascii="Arial" w:cs="Arial" w:eastAsia="Arial" w:hAnsi="Arial"/>
                <w:sz w:val="12"/>
                <w:szCs w:val="12"/>
                <w:color w:val="auto"/>
              </w:rPr>
              <w:t>Senior Notes due 2016</w:t>
            </w:r>
          </w:p>
        </w:tc>
        <w:tc>
          <w:tcPr>
            <w:tcW w:w="1100" w:type="dxa"/>
            <w:vAlign w:val="bottom"/>
          </w:tcPr>
          <w:p>
            <w:pPr>
              <w:ind w:left="88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102</w:t>
            </w:r>
          </w:p>
        </w:tc>
        <w:tc>
          <w:tcPr>
            <w:tcW w:w="60" w:type="dxa"/>
            <w:vAlign w:val="bottom"/>
          </w:tcPr>
          <w:p>
            <w:pPr>
              <w:spacing w:after="0"/>
              <w:rPr>
                <w:sz w:val="12"/>
                <w:szCs w:val="12"/>
                <w:color w:val="auto"/>
              </w:rPr>
            </w:pPr>
          </w:p>
        </w:tc>
      </w:tr>
      <w:tr>
        <w:trPr>
          <w:trHeight w:val="144"/>
        </w:trPr>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8.625% Senior Notes due 2014</w:t>
            </w:r>
          </w:p>
        </w:tc>
        <w:tc>
          <w:tcPr>
            <w:tcW w:w="1100" w:type="dxa"/>
            <w:vAlign w:val="bottom"/>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60" w:type="dxa"/>
            <w:vAlign w:val="bottom"/>
            <w:shd w:val="clear" w:color="auto" w:fill="CCEEFF"/>
          </w:tcPr>
          <w:p>
            <w:pPr>
              <w:spacing w:after="0"/>
              <w:rPr>
                <w:sz w:val="12"/>
                <w:szCs w:val="12"/>
                <w:color w:val="auto"/>
              </w:rPr>
            </w:pPr>
          </w:p>
        </w:tc>
      </w:tr>
    </w:tbl>
    <w:p>
      <w:pPr>
        <w:spacing w:after="0" w:line="4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a result of these transactions, Schlumberger incurred pretax charges of $32 million ($20 million after-tax).</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Third quarter of 2010:</w:t>
      </w:r>
    </w:p>
    <w:p>
      <w:pPr>
        <w:spacing w:after="0" w:line="60" w:lineRule="exact"/>
        <w:rPr>
          <w:sz w:val="20"/>
          <w:szCs w:val="20"/>
          <w:color w:val="auto"/>
        </w:rPr>
      </w:pPr>
    </w:p>
    <w:p>
      <w:pPr>
        <w:ind w:left="780" w:right="240" w:hanging="333"/>
        <w:spacing w:after="0" w:line="268" w:lineRule="auto"/>
        <w:rPr>
          <w:sz w:val="20"/>
          <w:szCs w:val="20"/>
          <w:color w:val="auto"/>
        </w:rPr>
      </w:pPr>
      <w:r>
        <w:rPr>
          <w:rFonts w:ascii="Arial" w:cs="Arial" w:eastAsia="Arial" w:hAnsi="Arial"/>
          <w:sz w:val="12"/>
          <w:szCs w:val="12"/>
          <w:color w:val="auto"/>
        </w:rPr>
        <w:t>—As a result of the decision to rationalize support costs across the organization as well as to restructure the North America land operations to provide greater operating efficiency, Schlumberger recorded a pretax charge of $90 million ($77 million after-tax).</w:t>
      </w:r>
    </w:p>
    <w:p>
      <w:pPr>
        <w:spacing w:after="0" w:line="34" w:lineRule="exact"/>
        <w:rPr>
          <w:sz w:val="20"/>
          <w:szCs w:val="20"/>
          <w:color w:val="auto"/>
        </w:rPr>
      </w:pPr>
    </w:p>
    <w:p>
      <w:pPr>
        <w:ind w:left="780" w:right="20" w:hanging="333"/>
        <w:spacing w:after="0" w:line="268" w:lineRule="auto"/>
        <w:rPr>
          <w:sz w:val="20"/>
          <w:szCs w:val="20"/>
          <w:color w:val="auto"/>
        </w:rPr>
      </w:pPr>
      <w:r>
        <w:rPr>
          <w:rFonts w:ascii="Arial" w:cs="Arial" w:eastAsia="Arial" w:hAnsi="Arial"/>
          <w:sz w:val="12"/>
          <w:szCs w:val="12"/>
          <w:color w:val="auto"/>
        </w:rPr>
        <w:t>—Following the successful introduction of UniQ, a new generation single-sensor land acquisition system, Schlumberger recorded a $78 million pretax charge ($71 million after-tax), related to the impairment of WesternGeco’s first generation Q-Land system assets.</w:t>
      </w:r>
    </w:p>
    <w:p>
      <w:pPr>
        <w:spacing w:after="0" w:line="34" w:lineRule="exact"/>
        <w:rPr>
          <w:sz w:val="20"/>
          <w:szCs w:val="20"/>
          <w:color w:val="auto"/>
        </w:rPr>
      </w:pPr>
    </w:p>
    <w:p>
      <w:pPr>
        <w:ind w:left="780" w:right="560" w:hanging="333"/>
        <w:spacing w:after="0" w:line="268" w:lineRule="auto"/>
        <w:rPr>
          <w:sz w:val="20"/>
          <w:szCs w:val="20"/>
          <w:color w:val="auto"/>
        </w:rPr>
      </w:pPr>
      <w:r>
        <w:rPr>
          <w:rFonts w:ascii="Arial" w:cs="Arial" w:eastAsia="Arial" w:hAnsi="Arial"/>
          <w:sz w:val="12"/>
          <w:szCs w:val="12"/>
          <w:color w:val="auto"/>
        </w:rPr>
        <w:t>—A pretax and after-tax charge of $63 million primarily relating to the early termination of a vessel lease associated with WesternGeco’s electromagnetic service offering as well as related assets, including a $30 million impairment related to an equity-method investment.</w:t>
      </w:r>
    </w:p>
    <w:p>
      <w:pPr>
        <w:spacing w:after="0" w:line="34" w:lineRule="exact"/>
        <w:rPr>
          <w:sz w:val="20"/>
          <w:szCs w:val="20"/>
          <w:color w:val="auto"/>
        </w:rPr>
      </w:pPr>
    </w:p>
    <w:p>
      <w:pPr>
        <w:ind w:left="780" w:right="20" w:hanging="333"/>
        <w:spacing w:after="0" w:line="259" w:lineRule="auto"/>
        <w:rPr>
          <w:sz w:val="20"/>
          <w:szCs w:val="20"/>
          <w:color w:val="auto"/>
        </w:rPr>
      </w:pPr>
      <w:r>
        <w:rPr>
          <w:rFonts w:ascii="Arial" w:cs="Arial" w:eastAsia="Arial" w:hAnsi="Arial"/>
          <w:sz w:val="12"/>
          <w:szCs w:val="12"/>
          <w:color w:val="auto"/>
        </w:rPr>
        <w:t>—In connection with the acquisition of Smith, Schlumberger recorded the following pretax charges: $56 million ($55 million after-tax) of merger-related transaction costs including advisory and legal fees, $41 million ($35 million after-tax) relating to employee benefits for change in control payments and retention bonuses and $38 million ($24 million after-tax) relating to the amortization of purchase accounting adjustments associated with the write-up of acquired inventory to its estimated fair value.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9"/>
          <w:szCs w:val="9"/>
          <w:color w:val="auto"/>
        </w:rPr>
        <w:t>44</w:t>
      </w:r>
    </w:p>
    <w:p>
      <w:pPr>
        <w:sectPr>
          <w:pgSz w:w="11900" w:h="16838" w:orient="portrait"/>
          <w:cols w:equalWidth="0" w:num="1">
            <w:col w:w="11480"/>
          </w:cols>
          <w:pgMar w:left="220" w:top="354" w:right="199"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$40 million pretax charge ($36 million after-tax) for the early termination of rig contracts and workforce reductions in Mexico due to the slowdown of project activity.</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Schlumberger repurchased $352 million of its 6.50% Notes due 2012 and, as a result, incurred a pretax charge of $28 million ($18 million after-tax).</w:t>
      </w:r>
    </w:p>
    <w:p>
      <w:pPr>
        <w:spacing w:after="0" w:line="60" w:lineRule="exact"/>
        <w:rPr>
          <w:sz w:val="20"/>
          <w:szCs w:val="20"/>
          <w:color w:val="auto"/>
        </w:rPr>
      </w:pPr>
    </w:p>
    <w:p>
      <w:pPr>
        <w:ind w:right="100" w:firstLine="459"/>
        <w:spacing w:after="0" w:line="344" w:lineRule="auto"/>
        <w:rPr>
          <w:sz w:val="20"/>
          <w:szCs w:val="20"/>
          <w:color w:val="auto"/>
        </w:rPr>
      </w:pPr>
      <w:r>
        <w:rPr>
          <w:rFonts w:ascii="Arial" w:cs="Arial" w:eastAsia="Arial" w:hAnsi="Arial"/>
          <w:sz w:val="12"/>
          <w:szCs w:val="12"/>
          <w:color w:val="auto"/>
        </w:rPr>
        <w:t>— Schlumberger recorded a pretax gain of $1.27 billion ($1.24 billion after-tax) as a result of remeasuring its previously held 40% equity interest in the M-I SWACO joint venture. Refer to Note 4—</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for further details. First quarter of 2010:</w:t>
      </w: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Schlumberger incurred $35 million of pretax and after-tax merger-related costs in connection with the Smith and Geoservices transactions. These costs primarily consisted of advisory and legal fees.</w:t>
      </w:r>
    </w:p>
    <w:p>
      <w:pPr>
        <w:spacing w:after="0" w:line="60" w:lineRule="exact"/>
        <w:rPr>
          <w:sz w:val="20"/>
          <w:szCs w:val="20"/>
          <w:color w:val="auto"/>
        </w:rPr>
      </w:pPr>
    </w:p>
    <w:p>
      <w:pPr>
        <w:ind w:left="780" w:right="80" w:hanging="333"/>
        <w:spacing w:after="0" w:line="259" w:lineRule="auto"/>
        <w:rPr>
          <w:sz w:val="20"/>
          <w:szCs w:val="20"/>
          <w:color w:val="auto"/>
        </w:rPr>
      </w:pPr>
      <w:r>
        <w:rPr>
          <w:rFonts w:ascii="Arial" w:cs="Arial" w:eastAsia="Arial" w:hAnsi="Arial"/>
          <w:sz w:val="12"/>
          <w:szCs w:val="12"/>
          <w:color w:val="auto"/>
        </w:rPr>
        <w:t>—During March 2010, the Patient Protection and Affordable Care Act (PPACA) was signed into law in the United States. Among other things, the PPACA eliminates the tax deductibility of retiree prescription drug benefits to the extent of the Medicare Part D subsidy that companies, such as Schlumberger, receive. As a result of this change in law, Schlumberger recorded a $40 million charge to adjust its deferred tax assets to reflect the loss of this future tax deduction.</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of 2010 Charges and Credits: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6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b w:val="1"/>
                <w:bCs w:val="1"/>
                <w:color w:val="auto"/>
                <w:w w:val="89"/>
              </w:rPr>
              <w:t>(Stated in millions)</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120" w:type="dxa"/>
            <w:vAlign w:val="bottom"/>
            <w:gridSpan w:val="2"/>
          </w:tcPr>
          <w:p>
            <w:pPr>
              <w:ind w:left="200"/>
              <w:spacing w:after="0" w:line="90" w:lineRule="exact"/>
              <w:rPr>
                <w:sz w:val="20"/>
                <w:szCs w:val="20"/>
                <w:color w:val="auto"/>
              </w:rPr>
            </w:pPr>
            <w:r>
              <w:rPr>
                <w:rFonts w:ascii="Arial" w:cs="Arial" w:eastAsia="Arial" w:hAnsi="Arial"/>
                <w:sz w:val="9"/>
                <w:szCs w:val="9"/>
                <w:b w:val="1"/>
                <w:bCs w:val="1"/>
                <w:color w:val="auto"/>
              </w:rPr>
              <w:t>Consolidated Statement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Pretax</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Tax</w:t>
            </w: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Net</w:t>
            </w:r>
          </w:p>
        </w:tc>
        <w:tc>
          <w:tcPr>
            <w:tcW w:w="2120" w:type="dxa"/>
            <w:vAlign w:val="bottom"/>
            <w:gridSpan w:val="2"/>
          </w:tcPr>
          <w:p>
            <w:pPr>
              <w:ind w:left="200"/>
              <w:spacing w:after="0"/>
              <w:rPr>
                <w:sz w:val="20"/>
                <w:szCs w:val="20"/>
                <w:color w:val="auto"/>
              </w:rPr>
            </w:pPr>
            <w:r>
              <w:rPr>
                <w:rFonts w:ascii="Arial" w:cs="Arial" w:eastAsia="Arial" w:hAnsi="Arial"/>
                <w:sz w:val="9"/>
                <w:szCs w:val="9"/>
                <w:b w:val="1"/>
                <w:bCs w:val="1"/>
                <w:color w:val="auto"/>
              </w:rPr>
              <w:t>of Income Classification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6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i w:val="1"/>
                <w:iCs w:val="1"/>
                <w:color w:val="auto"/>
              </w:rPr>
              <w:t>Restructuring and Merger-related Charges:</w:t>
            </w:r>
          </w:p>
        </w:tc>
        <w:tc>
          <w:tcPr>
            <w:tcW w:w="10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92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60" w:type="dxa"/>
            <w:vAlign w:val="bottom"/>
          </w:tcPr>
          <w:p>
            <w:pPr>
              <w:ind w:left="120"/>
              <w:spacing w:after="0" w:line="99" w:lineRule="exact"/>
              <w:rPr>
                <w:sz w:val="20"/>
                <w:szCs w:val="20"/>
                <w:color w:val="auto"/>
              </w:rPr>
            </w:pPr>
            <w:r>
              <w:rPr>
                <w:rFonts w:ascii="Arial" w:cs="Arial" w:eastAsia="Arial" w:hAnsi="Arial"/>
                <w:sz w:val="9"/>
                <w:szCs w:val="9"/>
                <w:color w:val="auto"/>
              </w:rPr>
              <w:t>Severance and other</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90</w:t>
            </w:r>
          </w:p>
        </w:tc>
        <w:tc>
          <w:tcPr>
            <w:tcW w:w="220" w:type="dxa"/>
            <w:vAlign w:val="bottom"/>
          </w:tcPr>
          <w:p>
            <w:pPr>
              <w:spacing w:after="0"/>
              <w:rPr>
                <w:sz w:val="8"/>
                <w:szCs w:val="8"/>
                <w:color w:val="auto"/>
              </w:rPr>
            </w:pPr>
          </w:p>
        </w:tc>
        <w:tc>
          <w:tcPr>
            <w:tcW w:w="32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13</w:t>
            </w:r>
          </w:p>
        </w:tc>
        <w:tc>
          <w:tcPr>
            <w:tcW w:w="40" w:type="dxa"/>
            <w:vAlign w:val="bottom"/>
          </w:tcPr>
          <w:p>
            <w:pPr>
              <w:spacing w:after="0"/>
              <w:rPr>
                <w:sz w:val="8"/>
                <w:szCs w:val="8"/>
                <w:color w:val="auto"/>
              </w:rPr>
            </w:pPr>
          </w:p>
        </w:tc>
        <w:tc>
          <w:tcPr>
            <w:tcW w:w="780" w:type="dxa"/>
            <w:vAlign w:val="bottom"/>
            <w:gridSpan w:val="2"/>
          </w:tcPr>
          <w:p>
            <w:pPr>
              <w:jc w:val="right"/>
              <w:ind w:right="320"/>
              <w:spacing w:after="0" w:line="99"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77</w:t>
            </w:r>
          </w:p>
        </w:tc>
        <w:tc>
          <w:tcPr>
            <w:tcW w:w="2120" w:type="dxa"/>
            <w:vAlign w:val="bottom"/>
            <w:gridSpan w:val="2"/>
          </w:tcPr>
          <w:p>
            <w:pPr>
              <w:ind w:left="200"/>
              <w:spacing w:after="0" w:line="99" w:lineRule="exact"/>
              <w:rPr>
                <w:sz w:val="20"/>
                <w:szCs w:val="20"/>
                <w:color w:val="auto"/>
              </w:rPr>
            </w:pPr>
            <w:r>
              <w:rPr>
                <w:rFonts w:ascii="Arial" w:cs="Arial" w:eastAsia="Arial" w:hAnsi="Arial"/>
                <w:sz w:val="9"/>
                <w:szCs w:val="9"/>
                <w:i w:val="1"/>
                <w:iCs w:val="1"/>
                <w:color w:val="auto"/>
              </w:rPr>
              <w:t>Restructuring &amp; other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60" w:type="dxa"/>
            <w:vAlign w:val="bottom"/>
            <w:shd w:val="clear" w:color="auto" w:fill="CCEEFF"/>
          </w:tcPr>
          <w:p>
            <w:pPr>
              <w:ind w:left="120"/>
              <w:spacing w:after="0" w:line="99" w:lineRule="exact"/>
              <w:rPr>
                <w:sz w:val="20"/>
                <w:szCs w:val="20"/>
                <w:color w:val="auto"/>
              </w:rPr>
            </w:pPr>
            <w:r>
              <w:rPr>
                <w:rFonts w:ascii="Arial" w:cs="Arial" w:eastAsia="Arial" w:hAnsi="Arial"/>
                <w:sz w:val="9"/>
                <w:szCs w:val="9"/>
                <w:color w:val="auto"/>
              </w:rPr>
              <w:t>Impairment relating to WesternGeco’s first generation Q-Land acquisition system</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78</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w:t>
            </w: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71</w:t>
            </w:r>
          </w:p>
        </w:tc>
        <w:tc>
          <w:tcPr>
            <w:tcW w:w="2120" w:type="dxa"/>
            <w:vAlign w:val="bottom"/>
            <w:gridSpan w:val="2"/>
            <w:shd w:val="clear" w:color="auto" w:fill="CCEEFF"/>
          </w:tcPr>
          <w:p>
            <w:pPr>
              <w:ind w:left="200"/>
              <w:spacing w:after="0" w:line="99" w:lineRule="exact"/>
              <w:rPr>
                <w:sz w:val="20"/>
                <w:szCs w:val="20"/>
                <w:color w:val="auto"/>
              </w:rPr>
            </w:pPr>
            <w:r>
              <w:rPr>
                <w:rFonts w:ascii="Arial" w:cs="Arial" w:eastAsia="Arial" w:hAnsi="Arial"/>
                <w:sz w:val="9"/>
                <w:szCs w:val="9"/>
                <w:i w:val="1"/>
                <w:iCs w:val="1"/>
                <w:color w:val="auto"/>
              </w:rPr>
              <w:t>Restructuring &amp; other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60" w:type="dxa"/>
            <w:vAlign w:val="bottom"/>
          </w:tcPr>
          <w:p>
            <w:pPr>
              <w:ind w:left="120"/>
              <w:spacing w:after="0" w:line="99" w:lineRule="exact"/>
              <w:rPr>
                <w:sz w:val="20"/>
                <w:szCs w:val="20"/>
                <w:color w:val="auto"/>
              </w:rPr>
            </w:pPr>
            <w:r>
              <w:rPr>
                <w:rFonts w:ascii="Arial" w:cs="Arial" w:eastAsia="Arial" w:hAnsi="Arial"/>
                <w:sz w:val="9"/>
                <w:szCs w:val="9"/>
                <w:color w:val="auto"/>
              </w:rPr>
              <w:t>Other WesternGeco-related charges</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63</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63</w:t>
            </w:r>
          </w:p>
        </w:tc>
        <w:tc>
          <w:tcPr>
            <w:tcW w:w="2120" w:type="dxa"/>
            <w:vAlign w:val="bottom"/>
            <w:gridSpan w:val="2"/>
          </w:tcPr>
          <w:p>
            <w:pPr>
              <w:ind w:left="200"/>
              <w:spacing w:after="0" w:line="99" w:lineRule="exact"/>
              <w:rPr>
                <w:sz w:val="20"/>
                <w:szCs w:val="20"/>
                <w:color w:val="auto"/>
              </w:rPr>
            </w:pPr>
            <w:r>
              <w:rPr>
                <w:rFonts w:ascii="Arial" w:cs="Arial" w:eastAsia="Arial" w:hAnsi="Arial"/>
                <w:sz w:val="9"/>
                <w:szCs w:val="9"/>
                <w:i w:val="1"/>
                <w:iCs w:val="1"/>
                <w:color w:val="auto"/>
              </w:rPr>
              <w:t>Restructuring &amp; other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60" w:type="dxa"/>
            <w:vAlign w:val="bottom"/>
            <w:shd w:val="clear" w:color="auto" w:fill="CCEEFF"/>
          </w:tcPr>
          <w:p>
            <w:pPr>
              <w:ind w:left="120"/>
              <w:spacing w:after="0" w:line="99" w:lineRule="exact"/>
              <w:rPr>
                <w:sz w:val="20"/>
                <w:szCs w:val="20"/>
                <w:color w:val="auto"/>
              </w:rPr>
            </w:pPr>
            <w:r>
              <w:rPr>
                <w:rFonts w:ascii="Arial" w:cs="Arial" w:eastAsia="Arial" w:hAnsi="Arial"/>
                <w:sz w:val="9"/>
                <w:szCs w:val="9"/>
                <w:color w:val="auto"/>
              </w:rPr>
              <w:t>Professional fees and other</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107</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106</w:t>
            </w:r>
          </w:p>
        </w:tc>
        <w:tc>
          <w:tcPr>
            <w:tcW w:w="2120" w:type="dxa"/>
            <w:vAlign w:val="bottom"/>
            <w:gridSpan w:val="2"/>
            <w:shd w:val="clear" w:color="auto" w:fill="CCEEFF"/>
          </w:tcPr>
          <w:p>
            <w:pPr>
              <w:ind w:left="200"/>
              <w:spacing w:after="0" w:line="99" w:lineRule="exact"/>
              <w:rPr>
                <w:sz w:val="20"/>
                <w:szCs w:val="20"/>
                <w:color w:val="auto"/>
              </w:rPr>
            </w:pPr>
            <w:r>
              <w:rPr>
                <w:rFonts w:ascii="Arial" w:cs="Arial" w:eastAsia="Arial" w:hAnsi="Arial"/>
                <w:sz w:val="9"/>
                <w:szCs w:val="9"/>
                <w:i w:val="1"/>
                <w:iCs w:val="1"/>
                <w:color w:val="auto"/>
              </w:rPr>
              <w:t>Merger &amp; integration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60" w:type="dxa"/>
            <w:vAlign w:val="bottom"/>
          </w:tcPr>
          <w:p>
            <w:pPr>
              <w:ind w:left="120"/>
              <w:spacing w:after="0" w:line="99" w:lineRule="exact"/>
              <w:rPr>
                <w:sz w:val="20"/>
                <w:szCs w:val="20"/>
                <w:color w:val="auto"/>
              </w:rPr>
            </w:pPr>
            <w:r>
              <w:rPr>
                <w:rFonts w:ascii="Arial" w:cs="Arial" w:eastAsia="Arial" w:hAnsi="Arial"/>
                <w:sz w:val="9"/>
                <w:szCs w:val="9"/>
                <w:color w:val="auto"/>
              </w:rPr>
              <w:t>Merger-related employee benefits</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58</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10</w:t>
            </w: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48</w:t>
            </w:r>
          </w:p>
        </w:tc>
        <w:tc>
          <w:tcPr>
            <w:tcW w:w="2120" w:type="dxa"/>
            <w:vAlign w:val="bottom"/>
            <w:gridSpan w:val="2"/>
          </w:tcPr>
          <w:p>
            <w:pPr>
              <w:ind w:left="200"/>
              <w:spacing w:after="0" w:line="99" w:lineRule="exact"/>
              <w:rPr>
                <w:sz w:val="20"/>
                <w:szCs w:val="20"/>
                <w:color w:val="auto"/>
              </w:rPr>
            </w:pPr>
            <w:r>
              <w:rPr>
                <w:rFonts w:ascii="Arial" w:cs="Arial" w:eastAsia="Arial" w:hAnsi="Arial"/>
                <w:sz w:val="9"/>
                <w:szCs w:val="9"/>
                <w:i w:val="1"/>
                <w:iCs w:val="1"/>
                <w:color w:val="auto"/>
              </w:rPr>
              <w:t>Merger &amp; integration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60" w:type="dxa"/>
            <w:vAlign w:val="bottom"/>
            <w:shd w:val="clear" w:color="auto" w:fill="CCEEFF"/>
          </w:tcPr>
          <w:p>
            <w:pPr>
              <w:ind w:left="120"/>
              <w:spacing w:after="0" w:line="99" w:lineRule="exact"/>
              <w:rPr>
                <w:sz w:val="20"/>
                <w:szCs w:val="20"/>
                <w:color w:val="auto"/>
              </w:rPr>
            </w:pPr>
            <w:r>
              <w:rPr>
                <w:rFonts w:ascii="Arial" w:cs="Arial" w:eastAsia="Arial" w:hAnsi="Arial"/>
                <w:sz w:val="9"/>
                <w:szCs w:val="9"/>
                <w:color w:val="auto"/>
              </w:rPr>
              <w:t>Inventory fair value adjustments</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153</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56</w:t>
            </w: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97</w:t>
            </w:r>
          </w:p>
        </w:tc>
        <w:tc>
          <w:tcPr>
            <w:tcW w:w="2120" w:type="dxa"/>
            <w:vAlign w:val="bottom"/>
            <w:gridSpan w:val="2"/>
            <w:shd w:val="clear" w:color="auto" w:fill="CCEEFF"/>
          </w:tcPr>
          <w:p>
            <w:pPr>
              <w:ind w:left="200"/>
              <w:spacing w:after="0" w:line="99" w:lineRule="exact"/>
              <w:rPr>
                <w:sz w:val="20"/>
                <w:szCs w:val="20"/>
                <w:color w:val="auto"/>
              </w:rPr>
            </w:pPr>
            <w:r>
              <w:rPr>
                <w:rFonts w:ascii="Arial" w:cs="Arial" w:eastAsia="Arial" w:hAnsi="Arial"/>
                <w:sz w:val="9"/>
                <w:szCs w:val="9"/>
                <w:i w:val="1"/>
                <w:iCs w:val="1"/>
                <w:color w:val="auto"/>
              </w:rPr>
              <w:t>Cost of revenue -Oilfield Services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60" w:type="dxa"/>
            <w:vAlign w:val="bottom"/>
          </w:tcPr>
          <w:p>
            <w:pPr>
              <w:ind w:left="120"/>
              <w:spacing w:after="0" w:line="99" w:lineRule="exact"/>
              <w:rPr>
                <w:sz w:val="20"/>
                <w:szCs w:val="20"/>
                <w:color w:val="auto"/>
              </w:rPr>
            </w:pPr>
            <w:r>
              <w:rPr>
                <w:rFonts w:ascii="Arial" w:cs="Arial" w:eastAsia="Arial" w:hAnsi="Arial"/>
                <w:sz w:val="9"/>
                <w:szCs w:val="9"/>
                <w:color w:val="auto"/>
              </w:rPr>
              <w:t>Mexico restructuring</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40</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4</w:t>
            </w: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36</w:t>
            </w:r>
          </w:p>
        </w:tc>
        <w:tc>
          <w:tcPr>
            <w:tcW w:w="2120" w:type="dxa"/>
            <w:vAlign w:val="bottom"/>
            <w:gridSpan w:val="2"/>
          </w:tcPr>
          <w:p>
            <w:pPr>
              <w:ind w:left="200"/>
              <w:spacing w:after="0" w:line="99" w:lineRule="exact"/>
              <w:rPr>
                <w:sz w:val="20"/>
                <w:szCs w:val="20"/>
                <w:color w:val="auto"/>
              </w:rPr>
            </w:pPr>
            <w:r>
              <w:rPr>
                <w:rFonts w:ascii="Arial" w:cs="Arial" w:eastAsia="Arial" w:hAnsi="Arial"/>
                <w:sz w:val="9"/>
                <w:szCs w:val="9"/>
                <w:i w:val="1"/>
                <w:iCs w:val="1"/>
                <w:color w:val="auto"/>
              </w:rPr>
              <w:t>Restructuring &amp; other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60" w:type="dxa"/>
            <w:vAlign w:val="bottom"/>
            <w:tcBorders>
              <w:bottom w:val="single" w:sz="8" w:color="auto"/>
            </w:tcBorders>
            <w:shd w:val="clear" w:color="auto" w:fill="CCEEFF"/>
          </w:tcPr>
          <w:p>
            <w:pPr>
              <w:ind w:left="120"/>
              <w:spacing w:after="0" w:line="99" w:lineRule="exact"/>
              <w:rPr>
                <w:sz w:val="20"/>
                <w:szCs w:val="20"/>
                <w:color w:val="auto"/>
              </w:rPr>
            </w:pPr>
            <w:r>
              <w:rPr>
                <w:rFonts w:ascii="Arial" w:cs="Arial" w:eastAsia="Arial" w:hAnsi="Arial"/>
                <w:sz w:val="9"/>
                <w:szCs w:val="9"/>
                <w:color w:val="auto"/>
              </w:rPr>
              <w:t>Repurchase of bonds</w:t>
            </w:r>
          </w:p>
        </w:tc>
        <w:tc>
          <w:tcPr>
            <w:tcW w:w="1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60</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23</w:t>
            </w: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37</w:t>
            </w:r>
          </w:p>
        </w:tc>
        <w:tc>
          <w:tcPr>
            <w:tcW w:w="220" w:type="dxa"/>
            <w:vAlign w:val="bottom"/>
            <w:shd w:val="clear" w:color="auto" w:fill="CCEEFF"/>
          </w:tcPr>
          <w:p>
            <w:pPr>
              <w:spacing w:after="0"/>
              <w:rPr>
                <w:sz w:val="8"/>
                <w:szCs w:val="8"/>
                <w:color w:val="auto"/>
              </w:rPr>
            </w:pPr>
          </w:p>
        </w:tc>
        <w:tc>
          <w:tcPr>
            <w:tcW w:w="2120" w:type="dxa"/>
            <w:vAlign w:val="bottom"/>
            <w:gridSpan w:val="2"/>
            <w:shd w:val="clear" w:color="auto" w:fill="CCEEFF"/>
          </w:tcPr>
          <w:p>
            <w:pPr>
              <w:ind w:left="200"/>
              <w:spacing w:after="0" w:line="99" w:lineRule="exact"/>
              <w:rPr>
                <w:sz w:val="20"/>
                <w:szCs w:val="20"/>
                <w:color w:val="auto"/>
              </w:rPr>
            </w:pPr>
            <w:r>
              <w:rPr>
                <w:rFonts w:ascii="Arial" w:cs="Arial" w:eastAsia="Arial" w:hAnsi="Arial"/>
                <w:sz w:val="9"/>
                <w:szCs w:val="9"/>
                <w:i w:val="1"/>
                <w:iCs w:val="1"/>
                <w:color w:val="auto"/>
              </w:rPr>
              <w:t>Restructuring &amp; other</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60" w:type="dxa"/>
            <w:vAlign w:val="bottom"/>
          </w:tcPr>
          <w:p>
            <w:pPr>
              <w:ind w:left="260"/>
              <w:spacing w:after="0" w:line="98" w:lineRule="exact"/>
              <w:rPr>
                <w:sz w:val="20"/>
                <w:szCs w:val="20"/>
                <w:color w:val="auto"/>
              </w:rPr>
            </w:pPr>
            <w:r>
              <w:rPr>
                <w:rFonts w:ascii="Arial" w:cs="Arial" w:eastAsia="Arial" w:hAnsi="Arial"/>
                <w:sz w:val="9"/>
                <w:szCs w:val="9"/>
                <w:i w:val="1"/>
                <w:iCs w:val="1"/>
                <w:color w:val="auto"/>
              </w:rPr>
              <w:t>Total restructuring and merger-related charges</w:t>
            </w:r>
          </w:p>
        </w:tc>
        <w:tc>
          <w:tcPr>
            <w:tcW w:w="10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649</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114</w:t>
            </w: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535</w:t>
            </w:r>
          </w:p>
        </w:tc>
        <w:tc>
          <w:tcPr>
            <w:tcW w:w="2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vMerge w:val="continue"/>
          </w:tcPr>
          <w:p>
            <w:pPr>
              <w:spacing w:after="0"/>
              <w:rPr>
                <w:sz w:val="8"/>
                <w:szCs w:val="8"/>
                <w:color w:val="auto"/>
              </w:rPr>
            </w:pPr>
          </w:p>
        </w:tc>
        <w:tc>
          <w:tcPr>
            <w:tcW w:w="6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Gain on investment in M-I SWACO</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(1,270)</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(32)</w:t>
            </w: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(1,238)</w:t>
            </w:r>
          </w:p>
        </w:tc>
        <w:tc>
          <w:tcPr>
            <w:tcW w:w="212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i w:val="1"/>
                <w:iCs w:val="1"/>
                <w:color w:val="auto"/>
              </w:rPr>
              <w:t>Gain on Investment in M-I SWACO</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60" w:type="dxa"/>
            <w:vAlign w:val="bottom"/>
          </w:tcPr>
          <w:p>
            <w:pPr>
              <w:spacing w:after="0" w:line="99" w:lineRule="exact"/>
              <w:rPr>
                <w:sz w:val="20"/>
                <w:szCs w:val="20"/>
                <w:color w:val="auto"/>
              </w:rPr>
            </w:pPr>
            <w:r>
              <w:rPr>
                <w:rFonts w:ascii="Arial" w:cs="Arial" w:eastAsia="Arial" w:hAnsi="Arial"/>
                <w:sz w:val="9"/>
                <w:szCs w:val="9"/>
                <w:color w:val="auto"/>
              </w:rPr>
              <w:t>Impact of elimination of tax deduction related to Medicare Part D subsidy</w:t>
            </w: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gridSpan w:val="2"/>
          </w:tcPr>
          <w:p>
            <w:pPr>
              <w:jc w:val="right"/>
              <w:spacing w:after="0" w:line="99" w:lineRule="exact"/>
              <w:rPr>
                <w:sz w:val="20"/>
                <w:szCs w:val="20"/>
                <w:color w:val="auto"/>
              </w:rPr>
            </w:pPr>
            <w:r>
              <w:rPr>
                <w:rFonts w:ascii="Arial" w:cs="Arial" w:eastAsia="Arial" w:hAnsi="Arial"/>
                <w:sz w:val="9"/>
                <w:szCs w:val="9"/>
                <w:color w:val="auto"/>
              </w:rPr>
              <w:t>(40)</w:t>
            </w: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40</w:t>
            </w:r>
          </w:p>
        </w:tc>
        <w:tc>
          <w:tcPr>
            <w:tcW w:w="2120" w:type="dxa"/>
            <w:vAlign w:val="bottom"/>
            <w:gridSpan w:val="2"/>
          </w:tcPr>
          <w:p>
            <w:pPr>
              <w:ind w:left="200"/>
              <w:spacing w:after="0" w:line="99" w:lineRule="exact"/>
              <w:rPr>
                <w:sz w:val="20"/>
                <w:szCs w:val="20"/>
                <w:color w:val="auto"/>
              </w:rPr>
            </w:pPr>
            <w:r>
              <w:rPr>
                <w:rFonts w:ascii="Arial" w:cs="Arial" w:eastAsia="Arial" w:hAnsi="Arial"/>
                <w:sz w:val="9"/>
                <w:szCs w:val="9"/>
                <w:i w:val="1"/>
                <w:iCs w:val="1"/>
                <w:color w:val="auto"/>
              </w:rPr>
              <w:t>Taxes on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686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(621)</w:t>
            </w:r>
          </w:p>
        </w:tc>
        <w:tc>
          <w:tcPr>
            <w:tcW w:w="3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42</w:t>
            </w: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(663)</w:t>
            </w:r>
          </w:p>
        </w:tc>
        <w:tc>
          <w:tcPr>
            <w:tcW w:w="200" w:type="dxa"/>
            <w:vAlign w:val="bottom"/>
            <w:shd w:val="clear" w:color="auto" w:fill="CCEEFF"/>
          </w:tcPr>
          <w:p>
            <w:pPr>
              <w:spacing w:after="0"/>
              <w:rPr>
                <w:sz w:val="8"/>
                <w:szCs w:val="8"/>
                <w:color w:val="auto"/>
              </w:rPr>
            </w:pPr>
          </w:p>
        </w:tc>
        <w:tc>
          <w:tcPr>
            <w:tcW w:w="1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880" w:type="dxa"/>
            <w:vAlign w:val="bottom"/>
            <w:gridSpan w:val="2"/>
          </w:tcPr>
          <w:p>
            <w:pPr>
              <w:spacing w:after="0"/>
              <w:rPr>
                <w:sz w:val="20"/>
                <w:szCs w:val="20"/>
                <w:color w:val="auto"/>
              </w:rPr>
            </w:pPr>
            <w:r>
              <w:rPr>
                <w:rFonts w:ascii="Arial" w:cs="Arial" w:eastAsia="Arial" w:hAnsi="Arial"/>
                <w:sz w:val="12"/>
                <w:szCs w:val="12"/>
                <w:b w:val="1"/>
                <w:bCs w:val="1"/>
                <w:color w:val="auto"/>
              </w:rPr>
              <w:t>2009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880" w:type="dxa"/>
            <w:vAlign w:val="bottom"/>
            <w:gridSpan w:val="2"/>
          </w:tcPr>
          <w:p>
            <w:pPr>
              <w:spacing w:after="0"/>
              <w:rPr>
                <w:sz w:val="20"/>
                <w:szCs w:val="20"/>
                <w:color w:val="auto"/>
              </w:rPr>
            </w:pPr>
            <w:r>
              <w:rPr>
                <w:rFonts w:ascii="Arial" w:cs="Arial" w:eastAsia="Arial" w:hAnsi="Arial"/>
                <w:sz w:val="12"/>
                <w:szCs w:val="12"/>
                <w:color w:val="auto"/>
              </w:rPr>
              <w:t>Second quarter of 2009: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780" w:right="520" w:hanging="333"/>
        <w:spacing w:after="0" w:line="268" w:lineRule="auto"/>
        <w:rPr>
          <w:sz w:val="20"/>
          <w:szCs w:val="20"/>
          <w:color w:val="auto"/>
        </w:rPr>
      </w:pPr>
      <w:r>
        <w:rPr>
          <w:rFonts w:ascii="Arial" w:cs="Arial" w:eastAsia="Arial" w:hAnsi="Arial"/>
          <w:sz w:val="12"/>
          <w:szCs w:val="12"/>
          <w:color w:val="auto"/>
        </w:rPr>
        <w:t>—Schlumberger continued to reduce its global workforce as a result of the slowdown in oil and gas exploration and production spending and its effect on activity in the oilfield services sector. As a result of these actions, Schlumberger recorded a pretax charge of $102 million ($85 million after-tax). These workforce reductions were completed by the end of 2009.</w:t>
      </w:r>
    </w:p>
    <w:p>
      <w:pPr>
        <w:spacing w:after="0" w:line="34" w:lineRule="exact"/>
        <w:rPr>
          <w:sz w:val="20"/>
          <w:szCs w:val="20"/>
          <w:color w:val="auto"/>
        </w:rPr>
      </w:pPr>
    </w:p>
    <w:p>
      <w:pPr>
        <w:ind w:left="780" w:right="200" w:hanging="333"/>
        <w:spacing w:after="0" w:line="268" w:lineRule="auto"/>
        <w:rPr>
          <w:sz w:val="20"/>
          <w:szCs w:val="20"/>
          <w:color w:val="auto"/>
        </w:rPr>
      </w:pPr>
      <w:r>
        <w:rPr>
          <w:rFonts w:ascii="Arial" w:cs="Arial" w:eastAsia="Arial" w:hAnsi="Arial"/>
          <w:sz w:val="12"/>
          <w:szCs w:val="12"/>
          <w:color w:val="auto"/>
        </w:rPr>
        <w:t xml:space="preserve">—As a consequence of these workforce reductions, Schlumberger recorded pretax non-cash pension and other postretirement benefit curtailment charges of $136 million ($122 million after-tax). Refer to Note 18 – </w:t>
      </w:r>
      <w:r>
        <w:rPr>
          <w:rFonts w:ascii="Arial" w:cs="Arial" w:eastAsia="Arial" w:hAnsi="Arial"/>
          <w:sz w:val="12"/>
          <w:szCs w:val="12"/>
          <w:i w:val="1"/>
          <w:iCs w:val="1"/>
          <w:color w:val="auto"/>
        </w:rPr>
        <w:t>Pension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Other Benefit Plans </w:t>
      </w:r>
      <w:r>
        <w:rPr>
          <w:rFonts w:ascii="Arial" w:cs="Arial" w:eastAsia="Arial" w:hAnsi="Arial"/>
          <w:sz w:val="12"/>
          <w:szCs w:val="12"/>
          <w:color w:val="auto"/>
        </w:rPr>
        <w:t>for further details.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9"/>
          <w:szCs w:val="9"/>
          <w:color w:val="auto"/>
        </w:rPr>
        <w:t>45</w:t>
      </w:r>
    </w:p>
    <w:p>
      <w:pPr>
        <w:sectPr>
          <w:pgSz w:w="11900" w:h="16838" w:orient="portrait"/>
          <w:cols w:equalWidth="0" w:num="1">
            <w:col w:w="11480"/>
          </w:cols>
          <w:pgMar w:left="220" w:top="354" w:right="199" w:bottom="1440" w:gutter="0" w:footer="0" w:header="0"/>
        </w:sectPr>
      </w:pPr>
    </w:p>
    <w:bookmarkStart w:id="45" w:name="page46"/>
    <w:bookmarkEnd w:id="45"/>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is a summary of these charges: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45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9"/>
                <w:szCs w:val="9"/>
                <w:b w:val="1"/>
                <w:bCs w:val="1"/>
                <w:color w:val="auto"/>
                <w:w w:val="89"/>
              </w:rPr>
              <w:t>(Stated in millions)</w:t>
            </w:r>
          </w:p>
        </w:tc>
        <w:tc>
          <w:tcPr>
            <w:tcW w:w="140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Consolidated Statement</w:t>
            </w:r>
          </w:p>
        </w:tc>
        <w:tc>
          <w:tcPr>
            <w:tcW w:w="0" w:type="dxa"/>
            <w:vAlign w:val="bottom"/>
          </w:tcPr>
          <w:p>
            <w:pPr>
              <w:spacing w:after="0"/>
              <w:rPr>
                <w:sz w:val="1"/>
                <w:szCs w:val="1"/>
                <w:color w:val="auto"/>
              </w:rPr>
            </w:pPr>
          </w:p>
        </w:tc>
      </w:tr>
      <w:tr>
        <w:trPr>
          <w:trHeight w:val="91"/>
        </w:trPr>
        <w:tc>
          <w:tcPr>
            <w:tcW w:w="45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spacing w:after="0"/>
              <w:rPr>
                <w:sz w:val="20"/>
                <w:szCs w:val="20"/>
                <w:color w:val="auto"/>
              </w:rPr>
            </w:pPr>
            <w:r>
              <w:rPr>
                <w:rFonts w:ascii="Arial" w:cs="Arial" w:eastAsia="Arial" w:hAnsi="Arial"/>
                <w:sz w:val="9"/>
                <w:szCs w:val="9"/>
                <w:b w:val="1"/>
                <w:bCs w:val="1"/>
                <w:color w:val="auto"/>
              </w:rPr>
              <w:t>Pretax</w:t>
            </w:r>
          </w:p>
        </w:tc>
        <w:tc>
          <w:tcPr>
            <w:tcW w:w="80" w:type="dxa"/>
            <w:vAlign w:val="bottom"/>
          </w:tcPr>
          <w:p>
            <w:pPr>
              <w:spacing w:after="0"/>
              <w:rPr>
                <w:sz w:val="9"/>
                <w:szCs w:val="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Tax</w:t>
            </w: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ind w:left="120"/>
              <w:spacing w:after="0"/>
              <w:rPr>
                <w:sz w:val="20"/>
                <w:szCs w:val="20"/>
                <w:color w:val="auto"/>
              </w:rPr>
            </w:pPr>
            <w:r>
              <w:rPr>
                <w:rFonts w:ascii="Arial" w:cs="Arial" w:eastAsia="Arial" w:hAnsi="Arial"/>
                <w:sz w:val="9"/>
                <w:szCs w:val="9"/>
                <w:b w:val="1"/>
                <w:bCs w:val="1"/>
                <w:color w:val="auto"/>
              </w:rPr>
              <w:t>Net</w:t>
            </w:r>
          </w:p>
        </w:tc>
        <w:tc>
          <w:tcPr>
            <w:tcW w:w="1400" w:type="dxa"/>
            <w:vAlign w:val="bottom"/>
            <w:gridSpan w:val="2"/>
          </w:tcPr>
          <w:p>
            <w:pPr>
              <w:ind w:left="260"/>
              <w:spacing w:after="0"/>
              <w:rPr>
                <w:sz w:val="20"/>
                <w:szCs w:val="20"/>
                <w:color w:val="auto"/>
              </w:rPr>
            </w:pPr>
            <w:r>
              <w:rPr>
                <w:rFonts w:ascii="Arial" w:cs="Arial" w:eastAsia="Arial" w:hAnsi="Arial"/>
                <w:sz w:val="9"/>
                <w:szCs w:val="9"/>
                <w:b w:val="1"/>
                <w:bCs w:val="1"/>
                <w:color w:val="auto"/>
              </w:rPr>
              <w:t>of Income Classification</w:t>
            </w:r>
          </w:p>
        </w:tc>
        <w:tc>
          <w:tcPr>
            <w:tcW w:w="0" w:type="dxa"/>
            <w:vAlign w:val="bottom"/>
          </w:tcPr>
          <w:p>
            <w:pPr>
              <w:spacing w:after="0"/>
              <w:rPr>
                <w:sz w:val="1"/>
                <w:szCs w:val="1"/>
                <w:color w:val="auto"/>
              </w:rPr>
            </w:pPr>
          </w:p>
        </w:tc>
      </w:tr>
      <w:tr>
        <w:trPr>
          <w:trHeight w:val="88"/>
        </w:trPr>
        <w:tc>
          <w:tcPr>
            <w:tcW w:w="452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Workforce reductions</w:t>
            </w:r>
          </w:p>
        </w:tc>
        <w:tc>
          <w:tcPr>
            <w:tcW w:w="32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tcBorders>
            <w:shd w:val="clear" w:color="auto" w:fill="CCEEFF"/>
          </w:tcPr>
          <w:p>
            <w:pPr>
              <w:ind w:left="120"/>
              <w:spacing w:after="0" w:line="88" w:lineRule="exact"/>
              <w:rPr>
                <w:sz w:val="20"/>
                <w:szCs w:val="20"/>
                <w:color w:val="auto"/>
              </w:rPr>
            </w:pPr>
            <w:r>
              <w:rPr>
                <w:rFonts w:ascii="Arial" w:cs="Arial" w:eastAsia="Arial" w:hAnsi="Arial"/>
                <w:sz w:val="8"/>
                <w:szCs w:val="8"/>
                <w:color w:val="auto"/>
                <w:w w:val="74"/>
              </w:rPr>
              <w:t>102</w:t>
            </w:r>
          </w:p>
        </w:tc>
        <w:tc>
          <w:tcPr>
            <w:tcW w:w="5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17</w:t>
            </w: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center"/>
              <w:ind w:right="55"/>
              <w:spacing w:after="0" w:line="88" w:lineRule="exact"/>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85</w:t>
            </w:r>
          </w:p>
        </w:tc>
        <w:tc>
          <w:tcPr>
            <w:tcW w:w="2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i w:val="1"/>
                <w:iCs w:val="1"/>
                <w:color w:val="auto"/>
              </w:rPr>
              <w:t>Restructuring &amp; other</w:t>
            </w:r>
          </w:p>
        </w:tc>
        <w:tc>
          <w:tcPr>
            <w:tcW w:w="0" w:type="dxa"/>
            <w:vAlign w:val="bottom"/>
          </w:tcPr>
          <w:p>
            <w:pPr>
              <w:spacing w:after="0"/>
              <w:rPr>
                <w:sz w:val="1"/>
                <w:szCs w:val="1"/>
                <w:color w:val="auto"/>
              </w:rPr>
            </w:pPr>
          </w:p>
        </w:tc>
      </w:tr>
      <w:tr>
        <w:trPr>
          <w:trHeight w:val="99"/>
        </w:trPr>
        <w:tc>
          <w:tcPr>
            <w:tcW w:w="4520" w:type="dxa"/>
            <w:vAlign w:val="bottom"/>
          </w:tcPr>
          <w:p>
            <w:pPr>
              <w:spacing w:after="0" w:line="99" w:lineRule="exact"/>
              <w:rPr>
                <w:sz w:val="20"/>
                <w:szCs w:val="20"/>
                <w:color w:val="auto"/>
              </w:rPr>
            </w:pPr>
            <w:r>
              <w:rPr>
                <w:rFonts w:ascii="Arial" w:cs="Arial" w:eastAsia="Arial" w:hAnsi="Arial"/>
                <w:sz w:val="9"/>
                <w:szCs w:val="9"/>
                <w:color w:val="auto"/>
              </w:rPr>
              <w:t>Postretirement benefits curtailment</w:t>
            </w:r>
          </w:p>
        </w:tc>
        <w:tc>
          <w:tcPr>
            <w:tcW w:w="3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ind w:left="120"/>
              <w:spacing w:after="0" w:line="99" w:lineRule="exact"/>
              <w:rPr>
                <w:sz w:val="20"/>
                <w:szCs w:val="20"/>
                <w:color w:val="auto"/>
              </w:rPr>
            </w:pPr>
            <w:r>
              <w:rPr>
                <w:rFonts w:ascii="Arial" w:cs="Arial" w:eastAsia="Arial" w:hAnsi="Arial"/>
                <w:sz w:val="9"/>
                <w:szCs w:val="9"/>
                <w:color w:val="auto"/>
              </w:rPr>
              <w:t>136</w:t>
            </w:r>
          </w:p>
        </w:tc>
        <w:tc>
          <w:tcPr>
            <w:tcW w:w="80" w:type="dxa"/>
            <w:vAlign w:val="bottom"/>
          </w:tcPr>
          <w:p>
            <w:pPr>
              <w:spacing w:after="0"/>
              <w:rPr>
                <w:sz w:val="8"/>
                <w:szCs w:val="8"/>
                <w:color w:val="auto"/>
              </w:rPr>
            </w:pPr>
          </w:p>
        </w:tc>
        <w:tc>
          <w:tcPr>
            <w:tcW w:w="3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14</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122</w:t>
            </w:r>
          </w:p>
        </w:tc>
        <w:tc>
          <w:tcPr>
            <w:tcW w:w="260" w:type="dxa"/>
            <w:vAlign w:val="bottom"/>
          </w:tcPr>
          <w:p>
            <w:pPr>
              <w:spacing w:after="0"/>
              <w:rPr>
                <w:sz w:val="8"/>
                <w:szCs w:val="8"/>
                <w:color w:val="auto"/>
              </w:rPr>
            </w:pPr>
          </w:p>
        </w:tc>
        <w:tc>
          <w:tcPr>
            <w:tcW w:w="1400" w:type="dxa"/>
            <w:vAlign w:val="bottom"/>
            <w:gridSpan w:val="2"/>
          </w:tcPr>
          <w:p>
            <w:pPr>
              <w:ind w:left="260"/>
              <w:spacing w:after="0" w:line="99" w:lineRule="exact"/>
              <w:rPr>
                <w:sz w:val="20"/>
                <w:szCs w:val="20"/>
                <w:color w:val="auto"/>
              </w:rPr>
            </w:pPr>
            <w:r>
              <w:rPr>
                <w:rFonts w:ascii="Arial" w:cs="Arial" w:eastAsia="Arial" w:hAnsi="Arial"/>
                <w:sz w:val="9"/>
                <w:szCs w:val="9"/>
                <w:i w:val="1"/>
                <w:iCs w:val="1"/>
                <w:color w:val="auto"/>
              </w:rPr>
              <w:t>Restructuring &amp; other</w:t>
            </w:r>
          </w:p>
        </w:tc>
        <w:tc>
          <w:tcPr>
            <w:tcW w:w="0" w:type="dxa"/>
            <w:vAlign w:val="bottom"/>
          </w:tcPr>
          <w:p>
            <w:pPr>
              <w:spacing w:after="0"/>
              <w:rPr>
                <w:sz w:val="1"/>
                <w:szCs w:val="1"/>
                <w:color w:val="auto"/>
              </w:rPr>
            </w:pPr>
          </w:p>
        </w:tc>
      </w:tr>
      <w:tr>
        <w:trPr>
          <w:trHeight w:val="20"/>
        </w:trPr>
        <w:tc>
          <w:tcPr>
            <w:tcW w:w="452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52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CEEFF"/>
          </w:tcPr>
          <w:p>
            <w:pPr>
              <w:ind w:left="120"/>
              <w:spacing w:after="0" w:line="98" w:lineRule="exact"/>
              <w:rPr>
                <w:sz w:val="20"/>
                <w:szCs w:val="20"/>
                <w:color w:val="auto"/>
              </w:rPr>
            </w:pPr>
            <w:r>
              <w:rPr>
                <w:rFonts w:ascii="Arial" w:cs="Arial" w:eastAsia="Arial" w:hAnsi="Arial"/>
                <w:sz w:val="9"/>
                <w:szCs w:val="9"/>
                <w:color w:val="auto"/>
              </w:rPr>
              <w:t>238</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3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31</w:t>
            </w:r>
          </w:p>
        </w:tc>
        <w:tc>
          <w:tcPr>
            <w:tcW w:w="580" w:type="dxa"/>
            <w:vAlign w:val="bottom"/>
            <w:gridSpan w:val="2"/>
            <w:shd w:val="clear" w:color="auto" w:fill="CCEEFF"/>
          </w:tcPr>
          <w:p>
            <w:pPr>
              <w:jc w:val="center"/>
              <w:ind w:left="295"/>
              <w:spacing w:after="0" w:line="98" w:lineRule="exact"/>
              <w:rPr>
                <w:sz w:val="20"/>
                <w:szCs w:val="20"/>
                <w:color w:val="auto"/>
              </w:rPr>
            </w:pPr>
            <w:r>
              <w:rPr>
                <w:rFonts w:ascii="Arial" w:cs="Arial" w:eastAsia="Arial" w:hAnsi="Arial"/>
                <w:sz w:val="9"/>
                <w:szCs w:val="9"/>
                <w:color w:val="auto"/>
                <w:w w:val="78"/>
              </w:rPr>
              <w:t>$</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207</w:t>
            </w: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8" w:hanging="228"/>
        <w:spacing w:after="0"/>
        <w:tabs>
          <w:tab w:leader="none" w:pos="228"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Acquisitions</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Acquisition of Smith International, Inc.</w:t>
      </w:r>
    </w:p>
    <w:p>
      <w:pPr>
        <w:spacing w:after="0" w:line="60" w:lineRule="exact"/>
        <w:rPr>
          <w:sz w:val="20"/>
          <w:szCs w:val="20"/>
          <w:color w:val="auto"/>
        </w:rPr>
      </w:pPr>
    </w:p>
    <w:p>
      <w:pPr>
        <w:ind w:left="8" w:right="140" w:firstLine="230"/>
        <w:spacing w:after="0" w:line="252" w:lineRule="auto"/>
        <w:rPr>
          <w:sz w:val="20"/>
          <w:szCs w:val="20"/>
          <w:color w:val="auto"/>
        </w:rPr>
      </w:pPr>
      <w:r>
        <w:rPr>
          <w:rFonts w:ascii="Arial" w:cs="Arial" w:eastAsia="Arial" w:hAnsi="Arial"/>
          <w:sz w:val="12"/>
          <w:szCs w:val="12"/>
          <w:color w:val="auto"/>
        </w:rPr>
        <w:t>On August 27, 2010, Schlumberger acquired all of the outstanding shares of Smith, a leading supplier of premium products and services to the oil and gas exploration and production industry. The transaction brought together the complementary drilling and measurements technologies and expertise of Schlumberger and Smith in order to facilitate the engineering of complete drilling systems which optimize all of the components of the drill string. Such systems will enable Schlumberger’s customers to achieve improved drilling efficiency, better well placement and increased wellbore assurance as they face increasingly more challenging environments. In addition, Schlumberger’s geographic footprint will facilitate the extension of joint offerings on a worldwide basis.</w:t>
      </w:r>
    </w:p>
    <w:p>
      <w:pPr>
        <w:spacing w:after="0" w:line="1" w:lineRule="exact"/>
        <w:rPr>
          <w:sz w:val="20"/>
          <w:szCs w:val="20"/>
          <w:color w:val="auto"/>
        </w:rPr>
      </w:pPr>
    </w:p>
    <w:p>
      <w:pPr>
        <w:ind w:left="8" w:right="260" w:firstLine="230"/>
        <w:spacing w:after="0" w:line="250" w:lineRule="auto"/>
        <w:rPr>
          <w:sz w:val="20"/>
          <w:szCs w:val="20"/>
          <w:color w:val="auto"/>
        </w:rPr>
      </w:pPr>
      <w:r>
        <w:rPr>
          <w:rFonts w:ascii="Arial" w:cs="Arial" w:eastAsia="Arial" w:hAnsi="Arial"/>
          <w:sz w:val="12"/>
          <w:szCs w:val="12"/>
          <w:color w:val="auto"/>
        </w:rPr>
        <w:t>Under the terms of the transaction, Smith became a wholly-owned subsidiary of Schlumberger. Each share of Smith common stock issued and outstanding immediately prior to the effective time of the acquisition was converted into the right to receive 0.6966 shares of Schlumberger common stock, with cash paid in lieu of fractional shares.</w:t>
      </w:r>
    </w:p>
    <w:p>
      <w:pPr>
        <w:spacing w:after="0" w:line="1" w:lineRule="exact"/>
        <w:rPr>
          <w:sz w:val="20"/>
          <w:szCs w:val="20"/>
          <w:color w:val="auto"/>
        </w:rPr>
      </w:pPr>
    </w:p>
    <w:p>
      <w:pPr>
        <w:ind w:left="8" w:right="220" w:firstLine="230"/>
        <w:spacing w:after="0" w:line="273" w:lineRule="auto"/>
        <w:rPr>
          <w:sz w:val="20"/>
          <w:szCs w:val="20"/>
          <w:color w:val="auto"/>
        </w:rPr>
      </w:pPr>
      <w:r>
        <w:rPr>
          <w:rFonts w:ascii="Arial" w:cs="Arial" w:eastAsia="Arial" w:hAnsi="Arial"/>
          <w:sz w:val="11"/>
          <w:szCs w:val="11"/>
          <w:color w:val="auto"/>
        </w:rPr>
        <w:t>At the effective time of the acquisition, each outstanding option to purchase Smith common stock was converted into a stock option to acquire shares of Schlumberger common stock on the same terms and conditions as were in effect immediately prior to the completion of the transaction. The number of shares of Schlumberger common stock underlying each converted Smith stock option was determined by multiplying the number of Smith stock options by the 0.6966 exchange ratio, and rounding down to the nearest whole share. The exercise price per share of each converted Smith stock option was determined by dividing the per share exercise price of such stock option by the 0.6966 exchange ratio, and rounded up to the nearest whole cent. Smith stock options, whether or not then vested and exercisable, became fully vested and exercisable and assumed by Schlumberger at the effective date of the acquisition in accordance with preexisting change-in-control provisions. Smith stock options were converted into 0.6 million of Schlumberger stock options.</w:t>
      </w:r>
    </w:p>
    <w:p>
      <w:pPr>
        <w:spacing w:after="0" w:line="1" w:lineRule="exact"/>
        <w:rPr>
          <w:sz w:val="20"/>
          <w:szCs w:val="20"/>
          <w:color w:val="auto"/>
        </w:rPr>
      </w:pPr>
    </w:p>
    <w:p>
      <w:pPr>
        <w:ind w:left="8" w:firstLine="230"/>
        <w:spacing w:after="0" w:line="273" w:lineRule="auto"/>
        <w:rPr>
          <w:sz w:val="20"/>
          <w:szCs w:val="20"/>
          <w:color w:val="auto"/>
        </w:rPr>
      </w:pPr>
      <w:r>
        <w:rPr>
          <w:rFonts w:ascii="Arial" w:cs="Arial" w:eastAsia="Arial" w:hAnsi="Arial"/>
          <w:sz w:val="11"/>
          <w:szCs w:val="11"/>
          <w:color w:val="auto"/>
        </w:rPr>
        <w:t>At the effective time of the acquisition, Smith restricted stock units, whether or not then vested, became fully vested (except for grants between the date of the acquisition agreement and closing, which were not significant and did not automatically vest) and were converted into shares of Schlumberger common stock, determined by multiplying the number of shares of Smith common stock subject to each award by the 0.6966 exchange ratio, rounded to the nearest whole share (assuming, in the case of performance-based Smith restricted stock unit awards, the deemed attainment of the performance goals under the award at the target level).</w:t>
      </w:r>
    </w:p>
    <w:p>
      <w:pPr>
        <w:spacing w:after="0" w:line="1" w:lineRule="exact"/>
        <w:rPr>
          <w:sz w:val="20"/>
          <w:szCs w:val="20"/>
          <w:color w:val="auto"/>
        </w:rPr>
      </w:pPr>
    </w:p>
    <w:p>
      <w:pPr>
        <w:ind w:left="8" w:right="20" w:firstLine="230"/>
        <w:spacing w:after="0" w:line="255" w:lineRule="auto"/>
        <w:rPr>
          <w:sz w:val="20"/>
          <w:szCs w:val="20"/>
          <w:color w:val="auto"/>
        </w:rPr>
      </w:pPr>
      <w:r>
        <w:rPr>
          <w:rFonts w:ascii="Arial" w:cs="Arial" w:eastAsia="Arial" w:hAnsi="Arial"/>
          <w:sz w:val="12"/>
          <w:szCs w:val="12"/>
          <w:color w:val="auto"/>
        </w:rPr>
        <w:t>Smith’s results of operations have been included in Schlumberger’s financial statements for periods subsequent to the effective date of the acquisition. Smith contributed revenues of $3.3 billion and net income of $160 million (including the recurring effects of purchase accounting) to Schlumberger for the period from the closing of the transaction through December 31, 2010. Smith reported revenue of approximately $6.0 billion (unaudited) for the period from January 1, 2010 to August 27, 2010 and $8.2 billion in 2009.</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Calculation of Consideration Transferred</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details the fair value of the consideration transferred to effect the acquisition of Smith.</w:t>
      </w:r>
    </w:p>
    <w:p>
      <w:pPr>
        <w:spacing w:after="0" w:line="104"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46</w:t>
      </w:r>
    </w:p>
    <w:p>
      <w:pPr>
        <w:sectPr>
          <w:pgSz w:w="11900" w:h="16838" w:orient="portrait"/>
          <w:cols w:equalWidth="0" w:num="1">
            <w:col w:w="11488"/>
          </w:cols>
          <w:pgMar w:left="212" w:top="354" w:right="199"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2840" w:type="dxa"/>
            <w:vAlign w:val="bottom"/>
            <w:gridSpan w:val="4"/>
          </w:tcPr>
          <w:p>
            <w:pPr>
              <w:jc w:val="right"/>
              <w:ind w:right="60"/>
              <w:spacing w:after="0"/>
              <w:rPr>
                <w:sz w:val="20"/>
                <w:szCs w:val="20"/>
                <w:color w:val="auto"/>
              </w:rPr>
            </w:pPr>
            <w:r>
              <w:rPr>
                <w:rFonts w:ascii="Arial" w:cs="Arial" w:eastAsia="Arial" w:hAnsi="Arial"/>
                <w:sz w:val="9"/>
                <w:szCs w:val="9"/>
                <w:b w:val="1"/>
                <w:bCs w:val="1"/>
                <w:color w:val="auto"/>
                <w:w w:val="97"/>
              </w:rPr>
              <w:t>(Stated in millions, except exchange ratio and per share amounts)</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86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Number of shares of Smith common stock outstanding as of the acquisition date</w:t>
            </w:r>
          </w:p>
        </w:tc>
        <w:tc>
          <w:tcPr>
            <w:tcW w:w="2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248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620" w:type="dxa"/>
            <w:vAlign w:val="bottom"/>
          </w:tcPr>
          <w:p>
            <w:pPr>
              <w:spacing w:after="0" w:line="99" w:lineRule="exact"/>
              <w:rPr>
                <w:sz w:val="20"/>
                <w:szCs w:val="20"/>
                <w:color w:val="auto"/>
              </w:rPr>
            </w:pPr>
            <w:r>
              <w:rPr>
                <w:rFonts w:ascii="Arial" w:cs="Arial" w:eastAsia="Arial" w:hAnsi="Arial"/>
                <w:sz w:val="9"/>
                <w:szCs w:val="9"/>
                <w:color w:val="auto"/>
              </w:rPr>
              <w:t>Number of Smith unvested restricted stock units outstanding as of the acquisition date</w:t>
            </w:r>
          </w:p>
        </w:tc>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862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252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620" w:type="dxa"/>
            <w:vAlign w:val="bottom"/>
          </w:tcPr>
          <w:p>
            <w:pPr>
              <w:spacing w:after="0" w:line="99" w:lineRule="exact"/>
              <w:rPr>
                <w:sz w:val="20"/>
                <w:szCs w:val="20"/>
                <w:color w:val="auto"/>
              </w:rPr>
            </w:pPr>
            <w:r>
              <w:rPr>
                <w:rFonts w:ascii="Arial" w:cs="Arial" w:eastAsia="Arial" w:hAnsi="Arial"/>
                <w:sz w:val="9"/>
                <w:szCs w:val="9"/>
                <w:color w:val="auto"/>
              </w:rPr>
              <w:t>Multiplied by the exchange ratio</w:t>
            </w:r>
          </w:p>
        </w:tc>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w w:val="79"/>
              </w:rPr>
              <w:t>0.6966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64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Equivalent Schlumberger shares of common stock issued</w:t>
            </w:r>
          </w:p>
        </w:tc>
        <w:tc>
          <w:tcPr>
            <w:tcW w:w="2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176</w:t>
            </w:r>
          </w:p>
        </w:tc>
        <w:tc>
          <w:tcPr>
            <w:tcW w:w="0" w:type="dxa"/>
            <w:vAlign w:val="bottom"/>
          </w:tcPr>
          <w:p>
            <w:pPr>
              <w:spacing w:after="0"/>
              <w:rPr>
                <w:sz w:val="1"/>
                <w:szCs w:val="1"/>
                <w:color w:val="auto"/>
              </w:rPr>
            </w:pPr>
          </w:p>
        </w:tc>
      </w:tr>
      <w:tr>
        <w:trPr>
          <w:trHeight w:val="99"/>
        </w:trPr>
        <w:tc>
          <w:tcPr>
            <w:tcW w:w="8640" w:type="dxa"/>
            <w:vAlign w:val="bottom"/>
            <w:gridSpan w:val="2"/>
          </w:tcPr>
          <w:p>
            <w:pPr>
              <w:spacing w:after="0" w:line="99" w:lineRule="exact"/>
              <w:rPr>
                <w:sz w:val="20"/>
                <w:szCs w:val="20"/>
                <w:color w:val="auto"/>
              </w:rPr>
            </w:pPr>
            <w:r>
              <w:rPr>
                <w:rFonts w:ascii="Arial" w:cs="Arial" w:eastAsia="Arial" w:hAnsi="Arial"/>
                <w:sz w:val="9"/>
                <w:szCs w:val="9"/>
                <w:color w:val="auto"/>
              </w:rPr>
              <w:t>Schlumberger closing stock price on August 27, 2010</w:t>
            </w:r>
          </w:p>
        </w:tc>
        <w:tc>
          <w:tcPr>
            <w:tcW w:w="254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3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w w:val="97"/>
              </w:rPr>
              <w:t>55.76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64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Common stock equity consideration</w:t>
            </w:r>
          </w:p>
        </w:tc>
        <w:tc>
          <w:tcPr>
            <w:tcW w:w="25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w w:val="97"/>
              </w:rPr>
              <w:t>9,812</w:t>
            </w:r>
          </w:p>
        </w:tc>
        <w:tc>
          <w:tcPr>
            <w:tcW w:w="0" w:type="dxa"/>
            <w:vAlign w:val="bottom"/>
          </w:tcPr>
          <w:p>
            <w:pPr>
              <w:spacing w:after="0"/>
              <w:rPr>
                <w:sz w:val="1"/>
                <w:szCs w:val="1"/>
                <w:color w:val="auto"/>
              </w:rPr>
            </w:pPr>
          </w:p>
        </w:tc>
      </w:tr>
      <w:tr>
        <w:trPr>
          <w:trHeight w:val="99"/>
        </w:trPr>
        <w:tc>
          <w:tcPr>
            <w:tcW w:w="8640" w:type="dxa"/>
            <w:vAlign w:val="bottom"/>
            <w:gridSpan w:val="2"/>
          </w:tcPr>
          <w:p>
            <w:pPr>
              <w:spacing w:after="0" w:line="99" w:lineRule="exact"/>
              <w:rPr>
                <w:sz w:val="20"/>
                <w:szCs w:val="20"/>
                <w:color w:val="auto"/>
              </w:rPr>
            </w:pPr>
            <w:r>
              <w:rPr>
                <w:rFonts w:ascii="Arial" w:cs="Arial" w:eastAsia="Arial" w:hAnsi="Arial"/>
                <w:sz w:val="9"/>
                <w:szCs w:val="9"/>
                <w:color w:val="auto"/>
              </w:rPr>
              <w:t>Fair value of Schlumberger equivalent stock options issued</w:t>
            </w:r>
          </w:p>
        </w:tc>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64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Total fair value of the consideration transferred</w:t>
            </w:r>
          </w:p>
        </w:tc>
        <w:tc>
          <w:tcPr>
            <w:tcW w:w="25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w w:val="97"/>
              </w:rPr>
              <w:t>9,828</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rPr>
                <w:sz w:val="20"/>
                <w:szCs w:val="20"/>
                <w:color w:val="auto"/>
              </w:rPr>
            </w:pPr>
            <w:r>
              <w:rPr>
                <w:rFonts w:ascii="Arial" w:cs="Arial" w:eastAsia="Arial" w:hAnsi="Arial"/>
                <w:sz w:val="12"/>
                <w:szCs w:val="12"/>
                <w:i w:val="1"/>
                <w:iCs w:val="1"/>
                <w:color w:val="auto"/>
              </w:rPr>
              <w:t>Certain amounts reflect rounding adjustments</w:t>
            </w:r>
          </w:p>
        </w:tc>
        <w:tc>
          <w:tcPr>
            <w:tcW w:w="24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40" w:type="dxa"/>
            <w:vAlign w:val="bottom"/>
            <w:gridSpan w:val="2"/>
          </w:tcPr>
          <w:p>
            <w:pPr>
              <w:spacing w:after="0"/>
              <w:rPr>
                <w:sz w:val="20"/>
                <w:szCs w:val="20"/>
                <w:color w:val="auto"/>
              </w:rPr>
            </w:pPr>
            <w:r>
              <w:rPr>
                <w:rFonts w:ascii="Arial" w:cs="Arial" w:eastAsia="Arial" w:hAnsi="Arial"/>
                <w:sz w:val="12"/>
                <w:szCs w:val="12"/>
                <w:i w:val="1"/>
                <w:iCs w:val="1"/>
                <w:color w:val="auto"/>
              </w:rPr>
              <w:t>Allocation of Consideration Transferred to Net Assets Acquired</w:t>
            </w:r>
          </w:p>
        </w:tc>
        <w:tc>
          <w:tcPr>
            <w:tcW w:w="2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tcPr>
          <w:p>
            <w:pPr>
              <w:ind w:left="200"/>
              <w:spacing w:after="0"/>
              <w:rPr>
                <w:sz w:val="20"/>
                <w:szCs w:val="20"/>
                <w:color w:val="auto"/>
              </w:rPr>
            </w:pPr>
            <w:r>
              <w:rPr>
                <w:rFonts w:ascii="Arial" w:cs="Arial" w:eastAsia="Arial" w:hAnsi="Arial"/>
                <w:sz w:val="12"/>
                <w:szCs w:val="12"/>
                <w:color w:val="auto"/>
                <w:w w:val="91"/>
              </w:rPr>
              <w:t>The following amounts represent the preliminary estimates of the fair value of identifiable assets acquired and liabilities assumed in the acquisition as of December 31, 2010.</w:t>
            </w:r>
          </w:p>
        </w:tc>
        <w:tc>
          <w:tcPr>
            <w:tcW w:w="2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840" w:type="dxa"/>
            <w:vAlign w:val="bottom"/>
            <w:gridSpan w:val="4"/>
          </w:tcPr>
          <w:p>
            <w:pPr>
              <w:jc w:val="right"/>
              <w:ind w:right="60"/>
              <w:spacing w:after="0"/>
              <w:rPr>
                <w:sz w:val="20"/>
                <w:szCs w:val="20"/>
                <w:color w:val="auto"/>
              </w:rPr>
            </w:pPr>
            <w:r>
              <w:rPr>
                <w:rFonts w:ascii="Arial" w:cs="Arial" w:eastAsia="Arial" w:hAnsi="Arial"/>
                <w:sz w:val="9"/>
                <w:szCs w:val="9"/>
                <w:b w:val="1"/>
                <w:bCs w:val="1"/>
                <w:color w:val="auto"/>
              </w:rPr>
              <w:t>(Stated in millions)</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25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86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Cash</w:t>
            </w:r>
          </w:p>
        </w:tc>
        <w:tc>
          <w:tcPr>
            <w:tcW w:w="25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399</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620" w:type="dxa"/>
            <w:vAlign w:val="bottom"/>
          </w:tcPr>
          <w:p>
            <w:pPr>
              <w:spacing w:after="0" w:line="99" w:lineRule="exact"/>
              <w:rPr>
                <w:sz w:val="20"/>
                <w:szCs w:val="20"/>
                <w:color w:val="auto"/>
              </w:rPr>
            </w:pPr>
            <w:r>
              <w:rPr>
                <w:rFonts w:ascii="Arial" w:cs="Arial" w:eastAsia="Arial" w:hAnsi="Arial"/>
                <w:sz w:val="9"/>
                <w:szCs w:val="9"/>
                <w:color w:val="auto"/>
              </w:rPr>
              <w:t>Receivables</w:t>
            </w:r>
          </w:p>
        </w:tc>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1,831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640" w:type="dxa"/>
            <w:vAlign w:val="bottom"/>
            <w:gridSpan w:val="2"/>
            <w:shd w:val="clear" w:color="auto" w:fill="CCEEFF"/>
          </w:tcPr>
          <w:p>
            <w:pPr>
              <w:spacing w:after="0" w:line="99" w:lineRule="exact"/>
              <w:rPr>
                <w:sz w:val="20"/>
                <w:szCs w:val="20"/>
                <w:color w:val="auto"/>
              </w:rPr>
            </w:pPr>
            <w:r>
              <w:rPr>
                <w:rFonts w:ascii="Arial" w:cs="Arial" w:eastAsia="Arial" w:hAnsi="Arial"/>
                <w:sz w:val="7"/>
                <w:szCs w:val="7"/>
                <w:color w:val="auto"/>
              </w:rPr>
              <w:t xml:space="preserve">Inventories </w:t>
            </w:r>
            <w:r>
              <w:rPr>
                <w:rFonts w:ascii="Arial" w:cs="Arial" w:eastAsia="Arial" w:hAnsi="Arial"/>
                <w:sz w:val="11"/>
                <w:szCs w:val="11"/>
                <w:color w:val="auto"/>
                <w:vertAlign w:val="superscript"/>
              </w:rPr>
              <w:t>(1)</w:t>
            </w:r>
          </w:p>
        </w:tc>
        <w:tc>
          <w:tcPr>
            <w:tcW w:w="2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2,013</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640" w:type="dxa"/>
            <w:vAlign w:val="bottom"/>
            <w:gridSpan w:val="2"/>
          </w:tcPr>
          <w:p>
            <w:pPr>
              <w:spacing w:after="0" w:line="99" w:lineRule="exact"/>
              <w:rPr>
                <w:sz w:val="20"/>
                <w:szCs w:val="20"/>
                <w:color w:val="auto"/>
              </w:rPr>
            </w:pPr>
            <w:r>
              <w:rPr>
                <w:rFonts w:ascii="Arial" w:cs="Arial" w:eastAsia="Arial" w:hAnsi="Arial"/>
                <w:sz w:val="9"/>
                <w:szCs w:val="9"/>
                <w:color w:val="auto"/>
              </w:rPr>
              <w:t>Fixed assets</w:t>
            </w:r>
          </w:p>
        </w:tc>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2,017</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64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Intangible assets:</w:t>
            </w:r>
          </w:p>
        </w:tc>
        <w:tc>
          <w:tcPr>
            <w:tcW w:w="2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620" w:type="dxa"/>
            <w:vAlign w:val="bottom"/>
          </w:tcPr>
          <w:p>
            <w:pPr>
              <w:ind w:left="260"/>
              <w:spacing w:after="0" w:line="99" w:lineRule="exact"/>
              <w:rPr>
                <w:sz w:val="20"/>
                <w:szCs w:val="20"/>
                <w:color w:val="auto"/>
              </w:rPr>
            </w:pPr>
            <w:r>
              <w:rPr>
                <w:rFonts w:ascii="Arial" w:cs="Arial" w:eastAsia="Arial" w:hAnsi="Arial"/>
                <w:sz w:val="9"/>
                <w:szCs w:val="9"/>
                <w:color w:val="auto"/>
              </w:rPr>
              <w:t>Tradenames (weighted-average life of 25 years)</w:t>
            </w:r>
          </w:p>
        </w:tc>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1,560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62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Technology (weighted-average life of 16 years)</w:t>
            </w:r>
          </w:p>
        </w:tc>
        <w:tc>
          <w:tcPr>
            <w:tcW w:w="2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1,170</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620" w:type="dxa"/>
            <w:vAlign w:val="bottom"/>
          </w:tcPr>
          <w:p>
            <w:pPr>
              <w:ind w:left="260"/>
              <w:spacing w:after="0" w:line="99" w:lineRule="exact"/>
              <w:rPr>
                <w:sz w:val="20"/>
                <w:szCs w:val="20"/>
                <w:color w:val="auto"/>
              </w:rPr>
            </w:pPr>
            <w:r>
              <w:rPr>
                <w:rFonts w:ascii="Arial" w:cs="Arial" w:eastAsia="Arial" w:hAnsi="Arial"/>
                <w:sz w:val="9"/>
                <w:szCs w:val="9"/>
                <w:color w:val="auto"/>
              </w:rPr>
              <w:t>Customer relationships (weighted average life of 23 years)</w:t>
            </w:r>
          </w:p>
        </w:tc>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1,360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6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Other assets</w:t>
            </w:r>
          </w:p>
        </w:tc>
        <w:tc>
          <w:tcPr>
            <w:tcW w:w="2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429</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620" w:type="dxa"/>
            <w:vAlign w:val="bottom"/>
          </w:tcPr>
          <w:p>
            <w:pPr>
              <w:spacing w:after="0" w:line="99" w:lineRule="exact"/>
              <w:rPr>
                <w:sz w:val="20"/>
                <w:szCs w:val="20"/>
                <w:color w:val="auto"/>
              </w:rPr>
            </w:pPr>
            <w:r>
              <w:rPr>
                <w:rFonts w:ascii="Arial" w:cs="Arial" w:eastAsia="Arial" w:hAnsi="Arial"/>
                <w:sz w:val="9"/>
                <w:szCs w:val="9"/>
                <w:color w:val="auto"/>
              </w:rPr>
              <w:t>Accounts payable and accrued liabilities</w:t>
            </w:r>
          </w:p>
        </w:tc>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w w:val="83"/>
              </w:rPr>
              <w:t>(1,460)</w:t>
            </w:r>
          </w:p>
        </w:tc>
        <w:tc>
          <w:tcPr>
            <w:tcW w:w="0" w:type="dxa"/>
            <w:vAlign w:val="bottom"/>
          </w:tcPr>
          <w:p>
            <w:pPr>
              <w:spacing w:after="0"/>
              <w:rPr>
                <w:sz w:val="1"/>
                <w:szCs w:val="1"/>
                <w:color w:val="auto"/>
              </w:rPr>
            </w:pPr>
          </w:p>
        </w:tc>
      </w:tr>
      <w:tr>
        <w:trPr>
          <w:trHeight w:val="99"/>
        </w:trPr>
        <w:tc>
          <w:tcPr>
            <w:tcW w:w="8640" w:type="dxa"/>
            <w:vAlign w:val="bottom"/>
            <w:gridSpan w:val="2"/>
            <w:shd w:val="clear" w:color="auto" w:fill="CCEEFF"/>
          </w:tcPr>
          <w:p>
            <w:pPr>
              <w:spacing w:after="0" w:line="99" w:lineRule="exact"/>
              <w:rPr>
                <w:sz w:val="20"/>
                <w:szCs w:val="20"/>
                <w:color w:val="auto"/>
              </w:rPr>
            </w:pPr>
            <w:r>
              <w:rPr>
                <w:rFonts w:ascii="Arial" w:cs="Arial" w:eastAsia="Arial" w:hAnsi="Arial"/>
                <w:sz w:val="7"/>
                <w:szCs w:val="7"/>
                <w:color w:val="auto"/>
              </w:rPr>
              <w:t xml:space="preserve">Long-term debt </w:t>
            </w:r>
            <w:r>
              <w:rPr>
                <w:rFonts w:ascii="Arial" w:cs="Arial" w:eastAsia="Arial" w:hAnsi="Arial"/>
                <w:sz w:val="11"/>
                <w:szCs w:val="11"/>
                <w:color w:val="auto"/>
                <w:vertAlign w:val="superscript"/>
              </w:rPr>
              <w:t>(2)</w:t>
            </w:r>
          </w:p>
        </w:tc>
        <w:tc>
          <w:tcPr>
            <w:tcW w:w="2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w w:val="83"/>
              </w:rPr>
              <w:t>(2,141)</w:t>
            </w:r>
          </w:p>
        </w:tc>
        <w:tc>
          <w:tcPr>
            <w:tcW w:w="0" w:type="dxa"/>
            <w:vAlign w:val="bottom"/>
          </w:tcPr>
          <w:p>
            <w:pPr>
              <w:spacing w:after="0"/>
              <w:rPr>
                <w:sz w:val="1"/>
                <w:szCs w:val="1"/>
                <w:color w:val="auto"/>
              </w:rPr>
            </w:pPr>
          </w:p>
        </w:tc>
      </w:tr>
      <w:tr>
        <w:trPr>
          <w:trHeight w:val="99"/>
        </w:trPr>
        <w:tc>
          <w:tcPr>
            <w:tcW w:w="8640" w:type="dxa"/>
            <w:vAlign w:val="bottom"/>
            <w:gridSpan w:val="2"/>
          </w:tcPr>
          <w:p>
            <w:pPr>
              <w:spacing w:after="0" w:line="99" w:lineRule="exact"/>
              <w:rPr>
                <w:sz w:val="20"/>
                <w:szCs w:val="20"/>
                <w:color w:val="auto"/>
              </w:rPr>
            </w:pPr>
            <w:r>
              <w:rPr>
                <w:rFonts w:ascii="Arial" w:cs="Arial" w:eastAsia="Arial" w:hAnsi="Arial"/>
                <w:sz w:val="7"/>
                <w:szCs w:val="7"/>
                <w:color w:val="auto"/>
              </w:rPr>
              <w:t xml:space="preserve">Deferred taxes </w:t>
            </w:r>
            <w:r>
              <w:rPr>
                <w:rFonts w:ascii="Arial" w:cs="Arial" w:eastAsia="Arial" w:hAnsi="Arial"/>
                <w:sz w:val="11"/>
                <w:szCs w:val="11"/>
                <w:color w:val="auto"/>
                <w:vertAlign w:val="superscript"/>
              </w:rPr>
              <w:t>(3)</w:t>
            </w:r>
          </w:p>
        </w:tc>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w w:val="83"/>
              </w:rPr>
              <w:t>(1,936)</w:t>
            </w:r>
          </w:p>
        </w:tc>
        <w:tc>
          <w:tcPr>
            <w:tcW w:w="0" w:type="dxa"/>
            <w:vAlign w:val="bottom"/>
          </w:tcPr>
          <w:p>
            <w:pPr>
              <w:spacing w:after="0"/>
              <w:rPr>
                <w:sz w:val="1"/>
                <w:szCs w:val="1"/>
                <w:color w:val="auto"/>
              </w:rPr>
            </w:pPr>
          </w:p>
        </w:tc>
      </w:tr>
      <w:tr>
        <w:trPr>
          <w:trHeight w:val="99"/>
        </w:trPr>
        <w:tc>
          <w:tcPr>
            <w:tcW w:w="864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Other liabilities</w:t>
            </w:r>
          </w:p>
        </w:tc>
        <w:tc>
          <w:tcPr>
            <w:tcW w:w="2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(528)</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620" w:type="dxa"/>
            <w:vAlign w:val="bottom"/>
            <w:tcBorders>
              <w:top w:val="single" w:sz="8" w:color="auto"/>
            </w:tcBorders>
          </w:tcPr>
          <w:p>
            <w:pPr>
              <w:spacing w:after="0"/>
              <w:rPr>
                <w:sz w:val="8"/>
                <w:szCs w:val="8"/>
                <w:color w:val="auto"/>
              </w:rPr>
            </w:pPr>
          </w:p>
        </w:tc>
        <w:tc>
          <w:tcPr>
            <w:tcW w:w="2780" w:type="dxa"/>
            <w:vAlign w:val="bottom"/>
            <w:tcBorders>
              <w:top w:val="single" w:sz="8" w:color="auto"/>
            </w:tcBorders>
            <w:gridSpan w:val="3"/>
          </w:tcPr>
          <w:p>
            <w:pPr>
              <w:jc w:val="right"/>
              <w:spacing w:after="0" w:line="98" w:lineRule="exact"/>
              <w:rPr>
                <w:sz w:val="20"/>
                <w:szCs w:val="20"/>
                <w:color w:val="auto"/>
              </w:rPr>
            </w:pPr>
            <w:r>
              <w:rPr>
                <w:rFonts w:ascii="Arial" w:cs="Arial" w:eastAsia="Arial" w:hAnsi="Arial"/>
                <w:sz w:val="9"/>
                <w:szCs w:val="9"/>
                <w:color w:val="auto"/>
              </w:rPr>
              <w:t>$ 4,714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6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Less:</w:t>
            </w:r>
          </w:p>
        </w:tc>
        <w:tc>
          <w:tcPr>
            <w:tcW w:w="2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620" w:type="dxa"/>
            <w:vAlign w:val="bottom"/>
          </w:tcPr>
          <w:p>
            <w:pPr>
              <w:ind w:left="260"/>
              <w:spacing w:after="0" w:line="99" w:lineRule="exact"/>
              <w:rPr>
                <w:sz w:val="20"/>
                <w:szCs w:val="20"/>
                <w:color w:val="auto"/>
              </w:rPr>
            </w:pPr>
            <w:r>
              <w:rPr>
                <w:rFonts w:ascii="Arial" w:cs="Arial" w:eastAsia="Arial" w:hAnsi="Arial"/>
                <w:sz w:val="7"/>
                <w:szCs w:val="7"/>
                <w:color w:val="auto"/>
              </w:rPr>
              <w:t xml:space="preserve">Investment in M-I SWACO </w:t>
            </w:r>
            <w:r>
              <w:rPr>
                <w:rFonts w:ascii="Arial" w:cs="Arial" w:eastAsia="Arial" w:hAnsi="Arial"/>
                <w:sz w:val="11"/>
                <w:szCs w:val="11"/>
                <w:color w:val="auto"/>
                <w:vertAlign w:val="superscript"/>
              </w:rPr>
              <w:t>(4)</w:t>
            </w:r>
          </w:p>
        </w:tc>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w w:val="83"/>
              </w:rPr>
              <w:t>(1,429)</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62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Noncontrolling interests</w:t>
            </w:r>
          </w:p>
        </w:tc>
        <w:tc>
          <w:tcPr>
            <w:tcW w:w="2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shd w:val="clear" w:color="auto" w:fill="000000"/>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640" w:type="dxa"/>
            <w:vAlign w:val="bottom"/>
            <w:gridSpan w:val="2"/>
          </w:tcPr>
          <w:p>
            <w:pPr>
              <w:spacing w:after="0" w:line="98" w:lineRule="exact"/>
              <w:rPr>
                <w:sz w:val="20"/>
                <w:szCs w:val="20"/>
                <w:color w:val="auto"/>
              </w:rPr>
            </w:pPr>
            <w:r>
              <w:rPr>
                <w:rFonts w:ascii="Arial" w:cs="Arial" w:eastAsia="Arial" w:hAnsi="Arial"/>
                <w:sz w:val="9"/>
                <w:szCs w:val="9"/>
                <w:color w:val="auto"/>
              </w:rPr>
              <w:t>Total identifiable net assets</w:t>
            </w:r>
          </w:p>
        </w:tc>
        <w:tc>
          <w:tcPr>
            <w:tcW w:w="25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w w:val="97"/>
              </w:rPr>
              <w:t>3,174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640" w:type="dxa"/>
            <w:vAlign w:val="bottom"/>
            <w:gridSpan w:val="2"/>
            <w:shd w:val="clear" w:color="auto" w:fill="CCEEFF"/>
          </w:tcPr>
          <w:p>
            <w:pPr>
              <w:spacing w:after="0" w:line="99" w:lineRule="exact"/>
              <w:rPr>
                <w:sz w:val="20"/>
                <w:szCs w:val="20"/>
                <w:color w:val="auto"/>
              </w:rPr>
            </w:pPr>
            <w:r>
              <w:rPr>
                <w:rFonts w:ascii="Arial" w:cs="Arial" w:eastAsia="Arial" w:hAnsi="Arial"/>
                <w:sz w:val="7"/>
                <w:szCs w:val="7"/>
                <w:color w:val="auto"/>
              </w:rPr>
              <w:t xml:space="preserve">Gain on investment in M-I SWACO </w:t>
            </w:r>
            <w:r>
              <w:rPr>
                <w:rFonts w:ascii="Arial" w:cs="Arial" w:eastAsia="Arial" w:hAnsi="Arial"/>
                <w:sz w:val="11"/>
                <w:szCs w:val="11"/>
                <w:color w:val="auto"/>
                <w:vertAlign w:val="superscript"/>
              </w:rPr>
              <w:t>(4)</w:t>
            </w:r>
          </w:p>
        </w:tc>
        <w:tc>
          <w:tcPr>
            <w:tcW w:w="2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w w:val="83"/>
              </w:rPr>
              <w:t>(1,238)</w:t>
            </w:r>
          </w:p>
        </w:tc>
        <w:tc>
          <w:tcPr>
            <w:tcW w:w="0" w:type="dxa"/>
            <w:vAlign w:val="bottom"/>
          </w:tcPr>
          <w:p>
            <w:pPr>
              <w:spacing w:after="0"/>
              <w:rPr>
                <w:sz w:val="1"/>
                <w:szCs w:val="1"/>
                <w:color w:val="auto"/>
              </w:rPr>
            </w:pPr>
          </w:p>
        </w:tc>
      </w:tr>
      <w:tr>
        <w:trPr>
          <w:trHeight w:val="99"/>
        </w:trPr>
        <w:tc>
          <w:tcPr>
            <w:tcW w:w="8640" w:type="dxa"/>
            <w:vAlign w:val="bottom"/>
            <w:gridSpan w:val="2"/>
          </w:tcPr>
          <w:p>
            <w:pPr>
              <w:spacing w:after="0" w:line="99" w:lineRule="exact"/>
              <w:rPr>
                <w:sz w:val="20"/>
                <w:szCs w:val="20"/>
                <w:color w:val="auto"/>
              </w:rPr>
            </w:pPr>
            <w:r>
              <w:rPr>
                <w:rFonts w:ascii="Arial" w:cs="Arial" w:eastAsia="Arial" w:hAnsi="Arial"/>
                <w:sz w:val="7"/>
                <w:szCs w:val="7"/>
                <w:color w:val="auto"/>
              </w:rPr>
              <w:t xml:space="preserve">Goodwill </w:t>
            </w:r>
            <w:r>
              <w:rPr>
                <w:rFonts w:ascii="Arial" w:cs="Arial" w:eastAsia="Arial" w:hAnsi="Arial"/>
                <w:sz w:val="11"/>
                <w:szCs w:val="11"/>
                <w:color w:val="auto"/>
                <w:vertAlign w:val="superscript"/>
              </w:rPr>
              <w:t>(5)</w:t>
            </w:r>
          </w:p>
        </w:tc>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7,892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620" w:type="dxa"/>
            <w:vAlign w:val="bottom"/>
            <w:tcBorders>
              <w:top w:val="single" w:sz="8" w:color="auto"/>
            </w:tcBorders>
            <w:shd w:val="clear" w:color="auto" w:fill="CCEEFF"/>
          </w:tcPr>
          <w:p>
            <w:pPr>
              <w:ind w:left="260"/>
              <w:spacing w:after="0" w:line="98" w:lineRule="exact"/>
              <w:rPr>
                <w:sz w:val="20"/>
                <w:szCs w:val="20"/>
                <w:color w:val="auto"/>
              </w:rPr>
            </w:pPr>
            <w:r>
              <w:rPr>
                <w:rFonts w:ascii="Arial" w:cs="Arial" w:eastAsia="Arial" w:hAnsi="Arial"/>
                <w:sz w:val="9"/>
                <w:szCs w:val="9"/>
                <w:color w:val="auto"/>
              </w:rPr>
              <w:t>Total consideration transferred</w:t>
            </w:r>
          </w:p>
        </w:tc>
        <w:tc>
          <w:tcPr>
            <w:tcW w:w="248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bottom w:val="single" w:sz="8" w:color="auto"/>
            </w:tcBorders>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93"/>
              </w:rPr>
              <w:t>$ 9,828</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right="20" w:firstLine="230"/>
        <w:spacing w:after="0" w:line="268" w:lineRule="auto"/>
        <w:rPr>
          <w:sz w:val="20"/>
          <w:szCs w:val="20"/>
          <w:color w:val="auto"/>
        </w:rPr>
      </w:pPr>
      <w:r>
        <w:rPr>
          <w:rFonts w:ascii="Arial" w:cs="Arial" w:eastAsia="Arial" w:hAnsi="Arial"/>
          <w:sz w:val="12"/>
          <w:szCs w:val="12"/>
          <w:color w:val="auto"/>
        </w:rPr>
        <w:t>The preliminary allocation of the consideration transferred to net assets acquired presented in the table above was revised in 2011 to reflect the final allocations. The net result of adjustments made in 2011, which primarily related to deferred taxes and accrued liabilities, was to increase goodwill by $194 million.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9"/>
          <w:szCs w:val="9"/>
          <w:color w:val="auto"/>
        </w:rPr>
        <w:t>47</w:t>
      </w:r>
    </w:p>
    <w:p>
      <w:pPr>
        <w:sectPr>
          <w:pgSz w:w="11900" w:h="16838" w:orient="portrait"/>
          <w:cols w:equalWidth="0" w:num="1">
            <w:col w:w="11480"/>
          </w:cols>
          <w:pgMar w:left="220" w:top="354" w:right="199" w:bottom="1440" w:gutter="0" w:footer="0" w:header="0"/>
        </w:sectPr>
      </w:pPr>
    </w:p>
    <w:bookmarkStart w:id="47" w:name="page48"/>
    <w:bookmarkEnd w:id="47"/>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8" w:right="560" w:hanging="468"/>
        <w:spacing w:after="0" w:line="254" w:lineRule="auto"/>
        <w:tabs>
          <w:tab w:leader="none" w:pos="468" w:val="left"/>
        </w:tabs>
        <w:numPr>
          <w:ilvl w:val="0"/>
          <w:numId w:val="31"/>
        </w:numPr>
        <w:rPr>
          <w:rFonts w:ascii="Arial" w:cs="Arial" w:eastAsia="Arial" w:hAnsi="Arial"/>
          <w:sz w:val="12"/>
          <w:szCs w:val="12"/>
          <w:color w:val="auto"/>
        </w:rPr>
      </w:pPr>
      <w:r>
        <w:rPr>
          <w:rFonts w:ascii="Arial" w:cs="Arial" w:eastAsia="Arial" w:hAnsi="Arial"/>
          <w:sz w:val="12"/>
          <w:szCs w:val="12"/>
          <w:color w:val="auto"/>
        </w:rPr>
        <w:t>Schlumberger recorded an adjustment of approximately $155 million to write-up the acquired inventory to its estimated fair value. Schlumberger’s cost of revenue reflected this increased valuation as this inventory was sold. Accordingly, Schlumberger’s margins were temporarily reduced in the initial periods subsequent to the acquisition.</w:t>
      </w:r>
    </w:p>
    <w:p>
      <w:pPr>
        <w:ind w:left="468" w:right="180" w:hanging="468"/>
        <w:spacing w:after="0" w:line="334" w:lineRule="auto"/>
        <w:tabs>
          <w:tab w:leader="none" w:pos="468" w:val="left"/>
        </w:tabs>
        <w:numPr>
          <w:ilvl w:val="0"/>
          <w:numId w:val="31"/>
        </w:numPr>
        <w:rPr>
          <w:rFonts w:ascii="Arial" w:cs="Arial" w:eastAsia="Arial" w:hAnsi="Arial"/>
          <w:sz w:val="9"/>
          <w:szCs w:val="9"/>
          <w:color w:val="auto"/>
        </w:rPr>
      </w:pPr>
      <w:r>
        <w:rPr>
          <w:rFonts w:ascii="Arial" w:cs="Arial" w:eastAsia="Arial" w:hAnsi="Arial"/>
          <w:sz w:val="9"/>
          <w:szCs w:val="9"/>
          <w:color w:val="auto"/>
        </w:rPr>
        <w:t>In connection with the acquisition, Schlumberger assumed all of the debt obligations of Smith, including its long-term fixed rate notes consisting of the following: $220 million 6.75% Senior Notes due 2011, $300 million 8.625% Senior Notes due 2014, $275 million 6.00% Senior Notes due 2016 and $700 million 9.75% Senior Notes due 2019. Schlumberger recorded a $417 million adjustment to increase the carrying amount of these notes to their estimated fair value. This adjustment was being amortized as a reduction of interest expense over the remaining term of the respective obligations up until such notes were repurchased in the fourth quarter of 2010 and the first quarter of 2011.</w:t>
      </w:r>
    </w:p>
    <w:p>
      <w:pPr>
        <w:ind w:left="468" w:hanging="468"/>
        <w:spacing w:after="0" w:line="273" w:lineRule="auto"/>
        <w:tabs>
          <w:tab w:leader="none" w:pos="468"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 connection with the acquisition accounting, Schlumberger provided deferred taxes related to, among other items, the estimated fair value adjustments for acquired inventory, intangible assets and assumed debt obligations. Included in the provisions for deferred taxes are amounts relating to the outside basis difference associated with shares in certain Smith non-US subsidiaries for which no taxes have previously been provided. Schlumberger expects to reverse the outside basis difference primarily through the reorganization of those subsidiaries as well as through repatriating earnings in lieu of permanently reinvesting them.</w:t>
      </w:r>
    </w:p>
    <w:p>
      <w:pPr>
        <w:ind w:left="468" w:right="100" w:hanging="468"/>
        <w:spacing w:after="0" w:line="254" w:lineRule="auto"/>
        <w:tabs>
          <w:tab w:leader="none" w:pos="468" w:val="left"/>
        </w:tabs>
        <w:numPr>
          <w:ilvl w:val="0"/>
          <w:numId w:val="31"/>
        </w:numPr>
        <w:rPr>
          <w:rFonts w:ascii="Arial" w:cs="Arial" w:eastAsia="Arial" w:hAnsi="Arial"/>
          <w:sz w:val="12"/>
          <w:szCs w:val="12"/>
          <w:color w:val="auto"/>
        </w:rPr>
      </w:pPr>
      <w:r>
        <w:rPr>
          <w:rFonts w:ascii="Arial" w:cs="Arial" w:eastAsia="Arial" w:hAnsi="Arial"/>
          <w:sz w:val="12"/>
          <w:szCs w:val="12"/>
          <w:color w:val="auto"/>
        </w:rPr>
        <w:t xml:space="preserve">Prior to the completion of the acquisition, Smith and Schlumberger operated M-I SWACO, a drilling fluids joint venture that was 40% owned by Schlumberger and 60% owned by Smith. Effective at the closing of the transaction, M-I SWACO became owned 100% by Schlumberger. As a result of obtaining control of this joint venture, Schlumberger was required under generally accepted accounting principles to remeasure its previously held equity interest in the joint venture at its acquisition-date fair value and recognize the resulting pretax gain of $1.3 billion ($1.2 billion after-tax) in earnings. This gain is classified as </w:t>
      </w:r>
      <w:r>
        <w:rPr>
          <w:rFonts w:ascii="Arial" w:cs="Arial" w:eastAsia="Arial" w:hAnsi="Arial"/>
          <w:sz w:val="12"/>
          <w:szCs w:val="12"/>
          <w:i w:val="1"/>
          <w:iCs w:val="1"/>
          <w:color w:val="auto"/>
        </w:rPr>
        <w:t>Gain on Investment in M-I SWACO</w:t>
      </w:r>
      <w:r>
        <w:rPr>
          <w:rFonts w:ascii="Arial" w:cs="Arial" w:eastAsia="Arial" w:hAnsi="Arial"/>
          <w:sz w:val="12"/>
          <w:szCs w:val="12"/>
          <w:color w:val="auto"/>
        </w:rPr>
        <w:t xml:space="preserve"> in the </w:t>
      </w:r>
      <w:r>
        <w:rPr>
          <w:rFonts w:ascii="Arial" w:cs="Arial" w:eastAsia="Arial" w:hAnsi="Arial"/>
          <w:sz w:val="12"/>
          <w:szCs w:val="12"/>
          <w:i w:val="1"/>
          <w:iCs w:val="1"/>
          <w:color w:val="auto"/>
        </w:rPr>
        <w:t>Consolidated Statement of</w:t>
      </w:r>
      <w:r>
        <w:rPr>
          <w:rFonts w:ascii="Arial" w:cs="Arial" w:eastAsia="Arial" w:hAnsi="Arial"/>
          <w:sz w:val="12"/>
          <w:szCs w:val="12"/>
          <w:color w:val="auto"/>
        </w:rPr>
        <w:t xml:space="preserve"> </w:t>
      </w:r>
      <w:r>
        <w:rPr>
          <w:rFonts w:ascii="Arial" w:cs="Arial" w:eastAsia="Arial" w:hAnsi="Arial"/>
          <w:sz w:val="12"/>
          <w:szCs w:val="12"/>
          <w:i w:val="1"/>
          <w:iCs w:val="1"/>
          <w:color w:val="auto"/>
        </w:rPr>
        <w:t>Income</w:t>
      </w:r>
      <w:r>
        <w:rPr>
          <w:rFonts w:ascii="Arial" w:cs="Arial" w:eastAsia="Arial" w:hAnsi="Arial"/>
          <w:sz w:val="12"/>
          <w:szCs w:val="12"/>
          <w:color w:val="auto"/>
        </w:rPr>
        <w:t>.</w:t>
      </w:r>
    </w:p>
    <w:p>
      <w:pPr>
        <w:spacing w:after="0" w:line="42" w:lineRule="exact"/>
        <w:rPr>
          <w:rFonts w:ascii="Arial" w:cs="Arial" w:eastAsia="Arial" w:hAnsi="Arial"/>
          <w:sz w:val="12"/>
          <w:szCs w:val="12"/>
          <w:color w:val="auto"/>
        </w:rPr>
      </w:pPr>
    </w:p>
    <w:p>
      <w:pPr>
        <w:ind w:left="468" w:right="300"/>
        <w:spacing w:after="0" w:line="314" w:lineRule="auto"/>
        <w:rPr>
          <w:rFonts w:ascii="Arial" w:cs="Arial" w:eastAsia="Arial" w:hAnsi="Arial"/>
          <w:sz w:val="12"/>
          <w:szCs w:val="12"/>
          <w:color w:val="auto"/>
        </w:rPr>
      </w:pPr>
      <w:r>
        <w:rPr>
          <w:rFonts w:ascii="Arial" w:cs="Arial" w:eastAsia="Arial" w:hAnsi="Arial"/>
          <w:sz w:val="11"/>
          <w:szCs w:val="11"/>
          <w:color w:val="auto"/>
        </w:rPr>
        <w:t>Prior to acquiring Smith, Schlumberger recorded income relating to this venture using the equity method of accounting. Schlumberger’s equity income from this joint venture was $78 million in 2010 (representing the period from January 1, 2010 to August 27, 2010), and $131 million in 2009. Schlumberger received cash distributions from the joint venture of $50 million in 2010 and $106 million in 2009.</w:t>
      </w:r>
    </w:p>
    <w:p>
      <w:pPr>
        <w:spacing w:after="0" w:line="11" w:lineRule="exact"/>
        <w:rPr>
          <w:rFonts w:ascii="Arial" w:cs="Arial" w:eastAsia="Arial" w:hAnsi="Arial"/>
          <w:sz w:val="12"/>
          <w:szCs w:val="12"/>
          <w:color w:val="auto"/>
        </w:rPr>
      </w:pPr>
    </w:p>
    <w:p>
      <w:pPr>
        <w:ind w:left="468" w:right="100" w:hanging="468"/>
        <w:spacing w:after="0" w:line="268" w:lineRule="auto"/>
        <w:tabs>
          <w:tab w:leader="none" w:pos="468"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goodwill recognized is primarily attributable to expected synergies that will result from combining the operations of Schlumberger and Smith as well as intangible assets that do not qualify for separate recognition. Approximately $0.2 billion of the goodwill is deductible for income tax purposes.</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48</w:t>
      </w:r>
    </w:p>
    <w:p>
      <w:pPr>
        <w:sectPr>
          <w:pgSz w:w="11900" w:h="16838" w:orient="portrait"/>
          <w:cols w:equalWidth="0" w:num="1">
            <w:col w:w="11488"/>
          </w:cols>
          <w:pgMar w:left="212" w:top="354" w:right="199"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Acquisition of Geoservices</w:t>
      </w:r>
    </w:p>
    <w:p>
      <w:pPr>
        <w:spacing w:after="0" w:line="60" w:lineRule="exact"/>
        <w:rPr>
          <w:sz w:val="20"/>
          <w:szCs w:val="20"/>
          <w:color w:val="auto"/>
        </w:rPr>
      </w:pPr>
    </w:p>
    <w:p>
      <w:pPr>
        <w:spacing w:after="0"/>
        <w:rPr>
          <w:sz w:val="20"/>
          <w:szCs w:val="20"/>
          <w:color w:val="auto"/>
        </w:rPr>
      </w:pPr>
      <w:r>
        <w:rPr>
          <w:rFonts w:ascii="Arial" w:cs="Arial" w:eastAsia="Arial" w:hAnsi="Arial"/>
          <w:sz w:val="11"/>
          <w:szCs w:val="11"/>
          <w:color w:val="auto"/>
        </w:rPr>
        <w:t>On April 23, 2010, Schlumberger completed the acquisition of Geoservices, a privately owned oilfield services company specializing in mud logging, slickline and production surveillance operations, for $915 million in cash.</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The purchase price has been allocated to the net assets acquired upon their estimated fair values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1064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Arial" w:cs="Arial" w:eastAsia="Arial" w:hAnsi="Arial"/>
                <w:sz w:val="9"/>
                <w:szCs w:val="9"/>
                <w:b w:val="1"/>
                <w:bCs w:val="1"/>
                <w:color w:val="auto"/>
                <w:w w:val="99"/>
              </w:rPr>
              <w:t>(Stated in millions)</w:t>
            </w: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10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3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40" w:type="dxa"/>
            <w:vAlign w:val="bottom"/>
          </w:tcPr>
          <w:p>
            <w:pPr>
              <w:spacing w:after="0"/>
              <w:rPr>
                <w:sz w:val="20"/>
                <w:szCs w:val="20"/>
                <w:color w:val="auto"/>
              </w:rPr>
            </w:pPr>
            <w:r>
              <w:rPr>
                <w:rFonts w:ascii="Arial" w:cs="Arial" w:eastAsia="Arial" w:hAnsi="Arial"/>
                <w:sz w:val="12"/>
                <w:szCs w:val="12"/>
                <w:color w:val="auto"/>
              </w:rPr>
              <w:t>Fixed assets</w:t>
            </w:r>
          </w:p>
        </w:tc>
        <w:tc>
          <w:tcPr>
            <w:tcW w:w="3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40" w:type="dxa"/>
            <w:vAlign w:val="bottom"/>
          </w:tcPr>
          <w:p>
            <w:pPr>
              <w:spacing w:after="0"/>
              <w:rPr>
                <w:sz w:val="20"/>
                <w:szCs w:val="20"/>
                <w:color w:val="auto"/>
              </w:rPr>
            </w:pPr>
            <w:r>
              <w:rPr>
                <w:rFonts w:ascii="Arial" w:cs="Arial" w:eastAsia="Arial" w:hAnsi="Arial"/>
                <w:sz w:val="12"/>
                <w:szCs w:val="12"/>
                <w:color w:val="auto"/>
              </w:rPr>
              <w:t>Intangible assets</w:t>
            </w:r>
          </w:p>
        </w:tc>
        <w:tc>
          <w:tcPr>
            <w:tcW w:w="3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377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40" w:type="dxa"/>
            <w:vAlign w:val="bottom"/>
          </w:tcPr>
          <w:p>
            <w:pPr>
              <w:spacing w:after="0"/>
              <w:rPr>
                <w:sz w:val="20"/>
                <w:szCs w:val="20"/>
                <w:color w:val="auto"/>
              </w:rPr>
            </w:pPr>
            <w:r>
              <w:rPr>
                <w:rFonts w:ascii="Arial" w:cs="Arial" w:eastAsia="Arial" w:hAnsi="Arial"/>
                <w:sz w:val="12"/>
                <w:szCs w:val="12"/>
                <w:color w:val="auto"/>
              </w:rPr>
              <w:t>Long-term debt</w:t>
            </w:r>
          </w:p>
        </w:tc>
        <w:tc>
          <w:tcPr>
            <w:tcW w:w="3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2"/>
                <w:szCs w:val="12"/>
                <w:color w:val="auto"/>
              </w:rPr>
              <w:t>Deferred taxes</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40" w:type="dxa"/>
            <w:vAlign w:val="bottom"/>
          </w:tcPr>
          <w:p>
            <w:pPr>
              <w:spacing w:after="0"/>
              <w:rPr>
                <w:sz w:val="20"/>
                <w:szCs w:val="20"/>
                <w:color w:val="auto"/>
              </w:rPr>
            </w:pPr>
            <w:r>
              <w:rPr>
                <w:rFonts w:ascii="Arial" w:cs="Arial" w:eastAsia="Arial" w:hAnsi="Arial"/>
                <w:sz w:val="12"/>
                <w:szCs w:val="12"/>
                <w:color w:val="auto"/>
              </w:rPr>
              <w:t>Other liabilities</w:t>
            </w:r>
          </w:p>
        </w:tc>
        <w:tc>
          <w:tcPr>
            <w:tcW w:w="3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long-term debt was repaid at the time of closing.</w:t>
      </w:r>
    </w:p>
    <w:p>
      <w:pPr>
        <w:spacing w:after="0" w:line="60" w:lineRule="exact"/>
        <w:rPr>
          <w:sz w:val="20"/>
          <w:szCs w:val="20"/>
          <w:color w:val="auto"/>
        </w:rPr>
      </w:pPr>
    </w:p>
    <w:p>
      <w:pPr>
        <w:ind w:right="140" w:firstLine="230"/>
        <w:spacing w:after="0" w:line="268" w:lineRule="auto"/>
        <w:rPr>
          <w:sz w:val="20"/>
          <w:szCs w:val="20"/>
          <w:color w:val="auto"/>
        </w:rPr>
      </w:pPr>
      <w:r>
        <w:rPr>
          <w:rFonts w:ascii="Arial" w:cs="Arial" w:eastAsia="Arial" w:hAnsi="Arial"/>
          <w:sz w:val="12"/>
          <w:szCs w:val="12"/>
          <w:color w:val="auto"/>
        </w:rPr>
        <w:t>Intangible assets recorded in connection with this transaction, which primarily relate to customer relationships, will be amortized over a weighted average period of approximately 17 years. The amount allocated to goodwill represents the excess of the purchase price over the fair value of the net assets acquired and is not tax deductible for income tax purposes.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Acquisitions</w:t>
      </w:r>
    </w:p>
    <w:p>
      <w:pPr>
        <w:spacing w:after="0" w:line="60" w:lineRule="exact"/>
        <w:rPr>
          <w:sz w:val="20"/>
          <w:szCs w:val="20"/>
          <w:color w:val="auto"/>
        </w:rPr>
      </w:pPr>
    </w:p>
    <w:p>
      <w:pPr>
        <w:ind w:right="180" w:firstLine="230"/>
        <w:spacing w:after="0" w:line="268" w:lineRule="auto"/>
        <w:rPr>
          <w:sz w:val="20"/>
          <w:szCs w:val="20"/>
          <w:color w:val="auto"/>
        </w:rPr>
      </w:pPr>
      <w:r>
        <w:rPr>
          <w:rFonts w:ascii="Arial" w:cs="Arial" w:eastAsia="Arial" w:hAnsi="Arial"/>
          <w:sz w:val="12"/>
          <w:szCs w:val="12"/>
          <w:color w:val="auto"/>
        </w:rPr>
        <w:t>Schlumberger has made other acquisitions and investments, none of which were significant on an individual basis, for cash payments, net of cash acquired, of $610 million during 2011, $212 million during 2010, and $514 million during 2009.</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9"/>
          <w:szCs w:val="9"/>
          <w:color w:val="auto"/>
        </w:rPr>
        <w:t>49</w:t>
      </w:r>
    </w:p>
    <w:p>
      <w:pPr>
        <w:sectPr>
          <w:pgSz w:w="11900" w:h="16838" w:orient="portrait"/>
          <w:cols w:equalWidth="0" w:num="1">
            <w:col w:w="11480"/>
          </w:cols>
          <w:pgMar w:left="220" w:top="354" w:right="199" w:bottom="1440" w:gutter="0" w:footer="0" w:header="0"/>
        </w:sectPr>
      </w:pPr>
    </w:p>
    <w:bookmarkStart w:id="49" w:name="page50"/>
    <w:bookmarkEnd w:id="49"/>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194"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0440" w:type="dxa"/>
            <w:vAlign w:val="bottom"/>
            <w:gridSpan w:val="3"/>
          </w:tcPr>
          <w:p>
            <w:pPr>
              <w:spacing w:after="0"/>
              <w:rPr>
                <w:sz w:val="20"/>
                <w:szCs w:val="20"/>
                <w:color w:val="auto"/>
              </w:rPr>
            </w:pPr>
            <w:r>
              <w:rPr>
                <w:rFonts w:ascii="Arial" w:cs="Arial" w:eastAsia="Arial" w:hAnsi="Arial"/>
                <w:sz w:val="12"/>
                <w:szCs w:val="12"/>
                <w:b w:val="1"/>
                <w:bCs w:val="1"/>
                <w:color w:val="auto"/>
              </w:rPr>
              <w:t>5.   Inventory</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0440" w:type="dxa"/>
            <w:vAlign w:val="bottom"/>
            <w:gridSpan w:val="3"/>
          </w:tcPr>
          <w:p>
            <w:pPr>
              <w:spacing w:after="0"/>
              <w:rPr>
                <w:sz w:val="20"/>
                <w:szCs w:val="20"/>
                <w:color w:val="auto"/>
              </w:rPr>
            </w:pPr>
            <w:r>
              <w:rPr>
                <w:rFonts w:ascii="Arial" w:cs="Arial" w:eastAsia="Arial" w:hAnsi="Arial"/>
                <w:sz w:val="12"/>
                <w:szCs w:val="12"/>
                <w:color w:val="auto"/>
              </w:rPr>
              <w:t>A summary of inventory follows: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3"/>
        </w:trPr>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5"/>
          </w:tcPr>
          <w:p>
            <w:pPr>
              <w:ind w:left="160"/>
              <w:spacing w:after="0"/>
              <w:rPr>
                <w:sz w:val="20"/>
                <w:szCs w:val="20"/>
                <w:color w:val="auto"/>
              </w:rPr>
            </w:pPr>
            <w:r>
              <w:rPr>
                <w:rFonts w:ascii="Arial" w:cs="Arial" w:eastAsia="Arial" w:hAnsi="Arial"/>
                <w:sz w:val="9"/>
                <w:szCs w:val="9"/>
                <w:b w:val="1"/>
                <w:bCs w:val="1"/>
                <w:color w:val="auto"/>
                <w:w w:val="96"/>
              </w:rPr>
              <w:t>(Stated in millions)</w:t>
            </w:r>
          </w:p>
        </w:tc>
      </w:tr>
      <w:tr>
        <w:trPr>
          <w:trHeight w:val="199"/>
        </w:trPr>
        <w:tc>
          <w:tcPr>
            <w:tcW w:w="10440" w:type="dxa"/>
            <w:vAlign w:val="bottom"/>
            <w:tcBorders>
              <w:bottom w:val="single" w:sz="8" w:color="CCEEFF"/>
            </w:tcBorders>
            <w:gridSpan w:val="3"/>
          </w:tcPr>
          <w:p>
            <w:pPr>
              <w:spacing w:after="0"/>
              <w:rPr>
                <w:sz w:val="20"/>
                <w:szCs w:val="20"/>
                <w:color w:val="auto"/>
              </w:rPr>
            </w:pPr>
            <w:r>
              <w:rPr>
                <w:rFonts w:ascii="Arial" w:cs="Arial" w:eastAsia="Arial" w:hAnsi="Arial"/>
                <w:sz w:val="9"/>
                <w:szCs w:val="9"/>
                <w:b w:val="1"/>
                <w:bCs w:val="1"/>
                <w:color w:val="auto"/>
              </w:rPr>
              <w:t>As at December 31,</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2011</w:t>
            </w:r>
          </w:p>
        </w:tc>
        <w:tc>
          <w:tcPr>
            <w:tcW w:w="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2010</w:t>
            </w:r>
          </w:p>
        </w:tc>
        <w:tc>
          <w:tcPr>
            <w:tcW w:w="80" w:type="dxa"/>
            <w:vAlign w:val="bottom"/>
            <w:tcBorders>
              <w:bottom w:val="single" w:sz="8" w:color="CCEEFF"/>
            </w:tcBorders>
          </w:tcPr>
          <w:p>
            <w:pPr>
              <w:spacing w:after="0"/>
              <w:rPr>
                <w:sz w:val="17"/>
                <w:szCs w:val="17"/>
                <w:color w:val="auto"/>
              </w:rPr>
            </w:pPr>
          </w:p>
        </w:tc>
      </w:tr>
      <w:tr>
        <w:trPr>
          <w:trHeight w:val="88"/>
        </w:trPr>
        <w:tc>
          <w:tcPr>
            <w:tcW w:w="10440" w:type="dxa"/>
            <w:vAlign w:val="bottom"/>
            <w:gridSpan w:val="3"/>
            <w:shd w:val="clear" w:color="auto" w:fill="CCEEFF"/>
          </w:tcPr>
          <w:p>
            <w:pPr>
              <w:spacing w:after="0" w:line="88" w:lineRule="exact"/>
              <w:rPr>
                <w:sz w:val="20"/>
                <w:szCs w:val="20"/>
                <w:color w:val="auto"/>
              </w:rPr>
            </w:pPr>
            <w:r>
              <w:rPr>
                <w:rFonts w:ascii="Arial" w:cs="Arial" w:eastAsia="Arial" w:hAnsi="Arial"/>
                <w:sz w:val="9"/>
                <w:szCs w:val="9"/>
                <w:color w:val="auto"/>
              </w:rPr>
              <w:t>Raw materials &amp; field materials</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260" w:type="dxa"/>
            <w:vAlign w:val="bottom"/>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2,066</w:t>
            </w: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1,833</w:t>
            </w:r>
          </w:p>
        </w:tc>
        <w:tc>
          <w:tcPr>
            <w:tcW w:w="80" w:type="dxa"/>
            <w:vAlign w:val="bottom"/>
            <w:shd w:val="clear" w:color="auto" w:fill="CCEEFF"/>
          </w:tcPr>
          <w:p>
            <w:pPr>
              <w:spacing w:after="0"/>
              <w:rPr>
                <w:sz w:val="7"/>
                <w:szCs w:val="7"/>
                <w:color w:val="auto"/>
              </w:rPr>
            </w:pPr>
          </w:p>
        </w:tc>
      </w:tr>
      <w:tr>
        <w:trPr>
          <w:trHeight w:val="99"/>
        </w:trPr>
        <w:tc>
          <w:tcPr>
            <w:tcW w:w="10440" w:type="dxa"/>
            <w:vAlign w:val="bottom"/>
            <w:gridSpan w:val="3"/>
          </w:tcPr>
          <w:p>
            <w:pPr>
              <w:spacing w:after="0" w:line="99" w:lineRule="exact"/>
              <w:rPr>
                <w:sz w:val="20"/>
                <w:szCs w:val="20"/>
                <w:color w:val="auto"/>
              </w:rPr>
            </w:pPr>
            <w:r>
              <w:rPr>
                <w:rFonts w:ascii="Arial" w:cs="Arial" w:eastAsia="Arial" w:hAnsi="Arial"/>
                <w:sz w:val="9"/>
                <w:szCs w:val="9"/>
                <w:color w:val="auto"/>
              </w:rPr>
              <w:t>Work in process</w:t>
            </w:r>
          </w:p>
        </w:tc>
        <w:tc>
          <w:tcPr>
            <w:tcW w:w="8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364</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249</w:t>
            </w:r>
          </w:p>
        </w:tc>
        <w:tc>
          <w:tcPr>
            <w:tcW w:w="80" w:type="dxa"/>
            <w:vAlign w:val="bottom"/>
          </w:tcPr>
          <w:p>
            <w:pPr>
              <w:spacing w:after="0"/>
              <w:rPr>
                <w:sz w:val="8"/>
                <w:szCs w:val="8"/>
                <w:color w:val="auto"/>
              </w:rPr>
            </w:pPr>
          </w:p>
        </w:tc>
      </w:tr>
      <w:tr>
        <w:trPr>
          <w:trHeight w:val="99"/>
        </w:trPr>
        <w:tc>
          <w:tcPr>
            <w:tcW w:w="10440" w:type="dxa"/>
            <w:vAlign w:val="bottom"/>
            <w:tcBorders>
              <w:bottom w:val="single" w:sz="8" w:color="auto"/>
            </w:tcBorders>
            <w:gridSpan w:val="3"/>
            <w:shd w:val="clear" w:color="auto" w:fill="CCEEFF"/>
          </w:tcPr>
          <w:p>
            <w:pPr>
              <w:spacing w:after="0" w:line="99" w:lineRule="exact"/>
              <w:rPr>
                <w:sz w:val="20"/>
                <w:szCs w:val="20"/>
                <w:color w:val="auto"/>
              </w:rPr>
            </w:pPr>
            <w:r>
              <w:rPr>
                <w:rFonts w:ascii="Arial" w:cs="Arial" w:eastAsia="Arial" w:hAnsi="Arial"/>
                <w:sz w:val="9"/>
                <w:szCs w:val="9"/>
                <w:color w:val="auto"/>
              </w:rPr>
              <w:t>Finished goods</w:t>
            </w:r>
          </w:p>
        </w:tc>
        <w:tc>
          <w:tcPr>
            <w:tcW w:w="8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2,270</w:t>
            </w:r>
          </w:p>
        </w:tc>
        <w:tc>
          <w:tcPr>
            <w:tcW w:w="2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1,722</w:t>
            </w:r>
          </w:p>
        </w:tc>
        <w:tc>
          <w:tcPr>
            <w:tcW w:w="80" w:type="dxa"/>
            <w:vAlign w:val="bottom"/>
            <w:shd w:val="clear" w:color="auto" w:fill="CCEEFF"/>
          </w:tcPr>
          <w:p>
            <w:pPr>
              <w:spacing w:after="0"/>
              <w:rPr>
                <w:sz w:val="8"/>
                <w:szCs w:val="8"/>
                <w:color w:val="auto"/>
              </w:rPr>
            </w:pPr>
          </w:p>
        </w:tc>
      </w:tr>
      <w:tr>
        <w:trPr>
          <w:trHeight w:val="97"/>
        </w:trPr>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720" w:type="dxa"/>
            <w:vAlign w:val="bottom"/>
          </w:tcPr>
          <w:p>
            <w:pPr>
              <w:spacing w:after="0"/>
              <w:rPr>
                <w:sz w:val="8"/>
                <w:szCs w:val="8"/>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26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4,700</w:t>
            </w:r>
          </w:p>
        </w:tc>
        <w:tc>
          <w:tcPr>
            <w:tcW w:w="360" w:type="dxa"/>
            <w:vAlign w:val="bottom"/>
            <w:gridSpan w:val="2"/>
          </w:tcPr>
          <w:p>
            <w:pPr>
              <w:jc w:val="right"/>
              <w:ind w:right="17"/>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jc w:val="right"/>
              <w:spacing w:after="0" w:line="98" w:lineRule="exact"/>
              <w:rPr>
                <w:sz w:val="20"/>
                <w:szCs w:val="20"/>
                <w:color w:val="auto"/>
              </w:rPr>
            </w:pPr>
            <w:r>
              <w:rPr>
                <w:rFonts w:ascii="Arial" w:cs="Arial" w:eastAsia="Arial" w:hAnsi="Arial"/>
                <w:sz w:val="9"/>
                <w:szCs w:val="9"/>
                <w:color w:val="auto"/>
              </w:rPr>
              <w:t>3,804</w:t>
            </w:r>
          </w:p>
        </w:tc>
        <w:tc>
          <w:tcPr>
            <w:tcW w:w="80" w:type="dxa"/>
            <w:vAlign w:val="bottom"/>
          </w:tcPr>
          <w:p>
            <w:pPr>
              <w:spacing w:after="0"/>
              <w:rPr>
                <w:sz w:val="8"/>
                <w:szCs w:val="8"/>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20" w:type="dxa"/>
            <w:vAlign w:val="bottom"/>
          </w:tcPr>
          <w:p>
            <w:pPr>
              <w:spacing w:after="0"/>
              <w:rPr>
                <w:sz w:val="20"/>
                <w:szCs w:val="20"/>
                <w:color w:val="auto"/>
              </w:rPr>
            </w:pPr>
            <w:r>
              <w:rPr>
                <w:rFonts w:ascii="Arial" w:cs="Arial" w:eastAsia="Arial" w:hAnsi="Arial"/>
                <w:sz w:val="12"/>
                <w:szCs w:val="12"/>
                <w:b w:val="1"/>
                <w:bCs w:val="1"/>
                <w:color w:val="auto"/>
              </w:rPr>
              <w:t>6.</w:t>
            </w:r>
          </w:p>
        </w:tc>
        <w:tc>
          <w:tcPr>
            <w:tcW w:w="9860" w:type="dxa"/>
            <w:vAlign w:val="bottom"/>
            <w:gridSpan w:val="2"/>
          </w:tcPr>
          <w:p>
            <w:pPr>
              <w:spacing w:after="0"/>
              <w:rPr>
                <w:sz w:val="20"/>
                <w:szCs w:val="20"/>
                <w:color w:val="auto"/>
              </w:rPr>
            </w:pPr>
            <w:r>
              <w:rPr>
                <w:rFonts w:ascii="Arial" w:cs="Arial" w:eastAsia="Arial" w:hAnsi="Arial"/>
                <w:sz w:val="12"/>
                <w:szCs w:val="12"/>
                <w:b w:val="1"/>
                <w:bCs w:val="1"/>
                <w:color w:val="auto"/>
              </w:rPr>
              <w:t>Fixed Assets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0080" w:type="dxa"/>
            <w:vAlign w:val="bottom"/>
            <w:gridSpan w:val="3"/>
          </w:tcPr>
          <w:p>
            <w:pPr>
              <w:spacing w:after="0"/>
              <w:rPr>
                <w:sz w:val="20"/>
                <w:szCs w:val="20"/>
                <w:color w:val="auto"/>
              </w:rPr>
            </w:pPr>
            <w:r>
              <w:rPr>
                <w:rFonts w:ascii="Arial" w:cs="Arial" w:eastAsia="Arial" w:hAnsi="Arial"/>
                <w:sz w:val="12"/>
                <w:szCs w:val="12"/>
                <w:color w:val="auto"/>
              </w:rPr>
              <w:t>A summary of fixed assets follows:</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3"/>
        </w:trPr>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w w:val="99"/>
              </w:rPr>
              <w:t>(Stated in millions)</w:t>
            </w:r>
          </w:p>
        </w:tc>
      </w:tr>
      <w:tr>
        <w:trPr>
          <w:trHeight w:val="199"/>
        </w:trPr>
        <w:tc>
          <w:tcPr>
            <w:tcW w:w="10080" w:type="dxa"/>
            <w:vAlign w:val="bottom"/>
            <w:gridSpan w:val="3"/>
          </w:tcPr>
          <w:p>
            <w:pPr>
              <w:spacing w:after="0"/>
              <w:rPr>
                <w:sz w:val="20"/>
                <w:szCs w:val="20"/>
                <w:color w:val="auto"/>
              </w:rPr>
            </w:pPr>
            <w:r>
              <w:rPr>
                <w:rFonts w:ascii="Arial" w:cs="Arial" w:eastAsia="Arial" w:hAnsi="Arial"/>
                <w:sz w:val="9"/>
                <w:szCs w:val="9"/>
                <w:b w:val="1"/>
                <w:bCs w:val="1"/>
                <w:color w:val="auto"/>
              </w:rPr>
              <w:t>As at December 31,</w:t>
            </w:r>
          </w:p>
        </w:tc>
        <w:tc>
          <w:tcPr>
            <w:tcW w:w="54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2011</w:t>
            </w:r>
          </w:p>
        </w:tc>
        <w:tc>
          <w:tcPr>
            <w:tcW w:w="780" w:type="dxa"/>
            <w:vAlign w:val="bottom"/>
            <w:gridSpan w:val="2"/>
          </w:tcPr>
          <w:p>
            <w:pPr>
              <w:jc w:val="right"/>
              <w:spacing w:after="0"/>
              <w:rPr>
                <w:sz w:val="20"/>
                <w:szCs w:val="20"/>
                <w:color w:val="auto"/>
              </w:rPr>
            </w:pPr>
            <w:r>
              <w:rPr>
                <w:rFonts w:ascii="Arial" w:cs="Arial" w:eastAsia="Arial" w:hAnsi="Arial"/>
                <w:sz w:val="9"/>
                <w:szCs w:val="9"/>
                <w:b w:val="1"/>
                <w:bCs w:val="1"/>
                <w:color w:val="auto"/>
              </w:rPr>
              <w:t>2010</w:t>
            </w:r>
          </w:p>
        </w:tc>
        <w:tc>
          <w:tcPr>
            <w:tcW w:w="80" w:type="dxa"/>
            <w:vAlign w:val="bottom"/>
          </w:tcPr>
          <w:p>
            <w:pPr>
              <w:spacing w:after="0"/>
              <w:rPr>
                <w:sz w:val="17"/>
                <w:szCs w:val="17"/>
                <w:color w:val="auto"/>
              </w:rPr>
            </w:pPr>
          </w:p>
        </w:tc>
      </w:tr>
      <w:tr>
        <w:trPr>
          <w:trHeight w:val="88"/>
        </w:trPr>
        <w:tc>
          <w:tcPr>
            <w:tcW w:w="22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w w:val="99"/>
              </w:rPr>
              <w:t>Land</w:t>
            </w:r>
          </w:p>
        </w:tc>
        <w:tc>
          <w:tcPr>
            <w:tcW w:w="620" w:type="dxa"/>
            <w:vAlign w:val="bottom"/>
            <w:tcBorders>
              <w:top w:val="single" w:sz="8" w:color="CCEEFF"/>
            </w:tcBorders>
            <w:shd w:val="clear" w:color="auto" w:fill="CCEEFF"/>
          </w:tcPr>
          <w:p>
            <w:pPr>
              <w:spacing w:after="0"/>
              <w:rPr>
                <w:sz w:val="7"/>
                <w:szCs w:val="7"/>
                <w:color w:val="auto"/>
              </w:rPr>
            </w:pPr>
          </w:p>
        </w:tc>
        <w:tc>
          <w:tcPr>
            <w:tcW w:w="92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$362</w:t>
            </w:r>
          </w:p>
        </w:tc>
        <w:tc>
          <w:tcPr>
            <w:tcW w:w="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$314</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10080" w:type="dxa"/>
            <w:vAlign w:val="bottom"/>
            <w:gridSpan w:val="3"/>
          </w:tcPr>
          <w:p>
            <w:pPr>
              <w:spacing w:after="0" w:line="99" w:lineRule="exact"/>
              <w:rPr>
                <w:sz w:val="20"/>
                <w:szCs w:val="20"/>
                <w:color w:val="auto"/>
              </w:rPr>
            </w:pPr>
            <w:r>
              <w:rPr>
                <w:rFonts w:ascii="Arial" w:cs="Arial" w:eastAsia="Arial" w:hAnsi="Arial"/>
                <w:sz w:val="9"/>
                <w:szCs w:val="9"/>
                <w:color w:val="auto"/>
              </w:rPr>
              <w:t>Buildings &amp; improvements</w:t>
            </w:r>
          </w:p>
        </w:tc>
        <w:tc>
          <w:tcPr>
            <w:tcW w:w="5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2,912</w:t>
            </w:r>
          </w:p>
        </w:tc>
        <w:tc>
          <w:tcPr>
            <w:tcW w:w="20" w:type="dxa"/>
            <w:vAlign w:val="bottom"/>
          </w:tcPr>
          <w:p>
            <w:pPr>
              <w:spacing w:after="0"/>
              <w:rPr>
                <w:sz w:val="8"/>
                <w:szCs w:val="8"/>
                <w:color w:val="auto"/>
              </w:rPr>
            </w:pPr>
          </w:p>
        </w:tc>
        <w:tc>
          <w:tcPr>
            <w:tcW w:w="780" w:type="dxa"/>
            <w:vAlign w:val="bottom"/>
            <w:gridSpan w:val="2"/>
          </w:tcPr>
          <w:p>
            <w:pPr>
              <w:jc w:val="right"/>
              <w:spacing w:after="0" w:line="99" w:lineRule="exact"/>
              <w:rPr>
                <w:sz w:val="20"/>
                <w:szCs w:val="20"/>
                <w:color w:val="auto"/>
              </w:rPr>
            </w:pPr>
            <w:r>
              <w:rPr>
                <w:rFonts w:ascii="Arial" w:cs="Arial" w:eastAsia="Arial" w:hAnsi="Arial"/>
                <w:sz w:val="9"/>
                <w:szCs w:val="9"/>
                <w:color w:val="auto"/>
              </w:rPr>
              <w:t>2,631</w:t>
            </w:r>
          </w:p>
        </w:tc>
        <w:tc>
          <w:tcPr>
            <w:tcW w:w="80" w:type="dxa"/>
            <w:vAlign w:val="bottom"/>
          </w:tcPr>
          <w:p>
            <w:pPr>
              <w:spacing w:after="0"/>
              <w:rPr>
                <w:sz w:val="8"/>
                <w:szCs w:val="8"/>
                <w:color w:val="auto"/>
              </w:rPr>
            </w:pPr>
          </w:p>
        </w:tc>
      </w:tr>
      <w:tr>
        <w:trPr>
          <w:trHeight w:val="99"/>
        </w:trPr>
        <w:tc>
          <w:tcPr>
            <w:tcW w:w="10080" w:type="dxa"/>
            <w:vAlign w:val="bottom"/>
            <w:gridSpan w:val="3"/>
            <w:shd w:val="clear" w:color="auto" w:fill="CCEEFF"/>
          </w:tcPr>
          <w:p>
            <w:pPr>
              <w:spacing w:after="0" w:line="99" w:lineRule="exact"/>
              <w:rPr>
                <w:sz w:val="20"/>
                <w:szCs w:val="20"/>
                <w:color w:val="auto"/>
              </w:rPr>
            </w:pPr>
            <w:r>
              <w:rPr>
                <w:rFonts w:ascii="Arial" w:cs="Arial" w:eastAsia="Arial" w:hAnsi="Arial"/>
                <w:sz w:val="9"/>
                <w:szCs w:val="9"/>
                <w:color w:val="auto"/>
              </w:rPr>
              <w:t>Machinery &amp; equipment</w:t>
            </w:r>
          </w:p>
        </w:tc>
        <w:tc>
          <w:tcPr>
            <w:tcW w:w="5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24,404</w:t>
            </w:r>
          </w:p>
        </w:tc>
        <w:tc>
          <w:tcPr>
            <w:tcW w:w="2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21,873</w:t>
            </w:r>
          </w:p>
        </w:tc>
        <w:tc>
          <w:tcPr>
            <w:tcW w:w="80" w:type="dxa"/>
            <w:vAlign w:val="bottom"/>
            <w:shd w:val="clear" w:color="auto" w:fill="CCEEFF"/>
          </w:tcPr>
          <w:p>
            <w:pPr>
              <w:spacing w:after="0"/>
              <w:rPr>
                <w:sz w:val="8"/>
                <w:szCs w:val="8"/>
                <w:color w:val="auto"/>
              </w:rPr>
            </w:pPr>
          </w:p>
        </w:tc>
      </w:tr>
      <w:tr>
        <w:trPr>
          <w:trHeight w:val="99"/>
        </w:trPr>
        <w:tc>
          <w:tcPr>
            <w:tcW w:w="10080" w:type="dxa"/>
            <w:vAlign w:val="bottom"/>
            <w:tcBorders>
              <w:bottom w:val="single" w:sz="8" w:color="auto"/>
            </w:tcBorders>
            <w:gridSpan w:val="3"/>
          </w:tcPr>
          <w:p>
            <w:pPr>
              <w:spacing w:after="0" w:line="99" w:lineRule="exact"/>
              <w:rPr>
                <w:sz w:val="20"/>
                <w:szCs w:val="20"/>
                <w:color w:val="auto"/>
              </w:rPr>
            </w:pPr>
            <w:r>
              <w:rPr>
                <w:rFonts w:ascii="Arial" w:cs="Arial" w:eastAsia="Arial" w:hAnsi="Arial"/>
                <w:sz w:val="9"/>
                <w:szCs w:val="9"/>
                <w:color w:val="auto"/>
              </w:rPr>
              <w:t>Seismic vessels</w:t>
            </w:r>
          </w:p>
        </w:tc>
        <w:tc>
          <w:tcPr>
            <w:tcW w:w="52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b w:val="1"/>
                <w:bCs w:val="1"/>
                <w:color w:val="auto"/>
              </w:rPr>
              <w:t>1,873</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1,861</w:t>
            </w:r>
          </w:p>
        </w:tc>
        <w:tc>
          <w:tcPr>
            <w:tcW w:w="80" w:type="dxa"/>
            <w:vAlign w:val="bottom"/>
          </w:tcPr>
          <w:p>
            <w:pPr>
              <w:spacing w:after="0"/>
              <w:rPr>
                <w:sz w:val="8"/>
                <w:szCs w:val="8"/>
                <w:color w:val="auto"/>
              </w:rPr>
            </w:pPr>
          </w:p>
        </w:tc>
      </w:tr>
      <w:tr>
        <w:trPr>
          <w:trHeight w:val="97"/>
        </w:trPr>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29,551</w:t>
            </w:r>
          </w:p>
        </w:tc>
        <w:tc>
          <w:tcPr>
            <w:tcW w:w="2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26,679</w:t>
            </w:r>
          </w:p>
        </w:tc>
        <w:tc>
          <w:tcPr>
            <w:tcW w:w="80" w:type="dxa"/>
            <w:vAlign w:val="bottom"/>
            <w:shd w:val="clear" w:color="auto" w:fill="CCEEFF"/>
          </w:tcPr>
          <w:p>
            <w:pPr>
              <w:spacing w:after="0"/>
              <w:rPr>
                <w:sz w:val="8"/>
                <w:szCs w:val="8"/>
                <w:color w:val="auto"/>
              </w:rPr>
            </w:pPr>
          </w:p>
        </w:tc>
      </w:tr>
      <w:tr>
        <w:trPr>
          <w:trHeight w:val="99"/>
        </w:trPr>
        <w:tc>
          <w:tcPr>
            <w:tcW w:w="10080" w:type="dxa"/>
            <w:vAlign w:val="bottom"/>
            <w:tcBorders>
              <w:bottom w:val="single" w:sz="8" w:color="auto"/>
            </w:tcBorders>
            <w:gridSpan w:val="3"/>
          </w:tcPr>
          <w:p>
            <w:pPr>
              <w:spacing w:after="0" w:line="99" w:lineRule="exact"/>
              <w:rPr>
                <w:sz w:val="20"/>
                <w:szCs w:val="20"/>
                <w:color w:val="auto"/>
              </w:rPr>
            </w:pPr>
            <w:r>
              <w:rPr>
                <w:rFonts w:ascii="Arial" w:cs="Arial" w:eastAsia="Arial" w:hAnsi="Arial"/>
                <w:sz w:val="9"/>
                <w:szCs w:val="9"/>
                <w:color w:val="auto"/>
              </w:rPr>
              <w:t>Less accumulated depreciation</w:t>
            </w:r>
          </w:p>
        </w:tc>
        <w:tc>
          <w:tcPr>
            <w:tcW w:w="52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b w:val="1"/>
                <w:bCs w:val="1"/>
                <w:color w:val="auto"/>
              </w:rPr>
              <w:t>16,558</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14,608</w:t>
            </w:r>
          </w:p>
        </w:tc>
        <w:tc>
          <w:tcPr>
            <w:tcW w:w="80" w:type="dxa"/>
            <w:vAlign w:val="bottom"/>
          </w:tcPr>
          <w:p>
            <w:pPr>
              <w:spacing w:after="0"/>
              <w:rPr>
                <w:sz w:val="8"/>
                <w:szCs w:val="8"/>
                <w:color w:val="auto"/>
              </w:rPr>
            </w:pPr>
          </w:p>
        </w:tc>
      </w:tr>
      <w:tr>
        <w:trPr>
          <w:trHeight w:val="97"/>
        </w:trPr>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40" w:type="dxa"/>
            <w:vAlign w:val="bottom"/>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$12,993</w:t>
            </w: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$12,071</w:t>
            </w:r>
          </w:p>
        </w:tc>
        <w:tc>
          <w:tcPr>
            <w:tcW w:w="80" w:type="dxa"/>
            <w:vAlign w:val="bottom"/>
            <w:shd w:val="clear" w:color="auto" w:fill="CCEEFF"/>
          </w:tcPr>
          <w:p>
            <w:pPr>
              <w:spacing w:after="0"/>
              <w:rPr>
                <w:sz w:val="8"/>
                <w:szCs w:val="8"/>
                <w:color w:val="auto"/>
              </w:rPr>
            </w:pPr>
          </w:p>
        </w:tc>
      </w:tr>
    </w:tbl>
    <w:p>
      <w:pPr>
        <w:spacing w:after="0" w:line="57" w:lineRule="exact"/>
        <w:rPr>
          <w:sz w:val="20"/>
          <w:szCs w:val="20"/>
          <w:color w:val="auto"/>
        </w:rPr>
      </w:pPr>
    </w:p>
    <w:p>
      <w:pPr>
        <w:ind w:left="8" w:right="220" w:firstLine="230"/>
        <w:spacing w:after="0" w:line="268" w:lineRule="auto"/>
        <w:rPr>
          <w:sz w:val="20"/>
          <w:szCs w:val="20"/>
          <w:color w:val="auto"/>
        </w:rPr>
      </w:pPr>
      <w:r>
        <w:rPr>
          <w:rFonts w:ascii="Arial" w:cs="Arial" w:eastAsia="Arial" w:hAnsi="Arial"/>
          <w:sz w:val="12"/>
          <w:szCs w:val="12"/>
          <w:color w:val="auto"/>
        </w:rPr>
        <w:t>The estimated useful lives of Buildings &amp; improvements are primarily 30 to 40 years. The estimated useful lives of Machinery &amp; equipment are primarily 5 to 10 years. Seismic vessels are depreciated over periods ranging from 20 to 30 years.</w:t>
      </w:r>
    </w:p>
    <w:p>
      <w:pPr>
        <w:spacing w:after="0" w:line="34" w:lineRule="exact"/>
        <w:rPr>
          <w:sz w:val="20"/>
          <w:szCs w:val="20"/>
          <w:color w:val="auto"/>
        </w:rPr>
      </w:pPr>
    </w:p>
    <w:p>
      <w:pPr>
        <w:ind w:left="228"/>
        <w:spacing w:after="0"/>
        <w:rPr>
          <w:sz w:val="20"/>
          <w:szCs w:val="20"/>
          <w:color w:val="auto"/>
        </w:rPr>
      </w:pPr>
      <w:r>
        <w:rPr>
          <w:rFonts w:ascii="Arial" w:cs="Arial" w:eastAsia="Arial" w:hAnsi="Arial"/>
          <w:sz w:val="12"/>
          <w:szCs w:val="12"/>
          <w:color w:val="auto"/>
        </w:rPr>
        <w:t>Depreciation expense relating to fixed assets was $2.7 billion, $2.4 billion and $2.1 billion in 2011, 2010 and 2009, respectively.</w:t>
      </w:r>
    </w:p>
    <w:p>
      <w:pPr>
        <w:spacing w:after="0" w:line="112" w:lineRule="exact"/>
        <w:rPr>
          <w:sz w:val="20"/>
          <w:szCs w:val="20"/>
          <w:color w:val="auto"/>
        </w:rPr>
      </w:pPr>
    </w:p>
    <w:p>
      <w:pPr>
        <w:ind w:left="8"/>
        <w:spacing w:after="0"/>
        <w:tabs>
          <w:tab w:leader="none" w:pos="208"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2"/>
          <w:szCs w:val="12"/>
          <w:b w:val="1"/>
          <w:bCs w:val="1"/>
          <w:u w:val="single" w:color="auto"/>
          <w:color w:val="auto"/>
        </w:rPr>
        <w:t>Multiclient Seismic Data</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change in the carrying amount of multiclient seismic data is as follows: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10540" w:type="dxa"/>
            <w:vAlign w:val="bottom"/>
          </w:tcPr>
          <w:p>
            <w:pPr>
              <w:spacing w:after="0"/>
              <w:rPr>
                <w:sz w:val="10"/>
                <w:szCs w:val="10"/>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9"/>
                <w:szCs w:val="9"/>
                <w:b w:val="1"/>
                <w:bCs w:val="1"/>
                <w:color w:val="auto"/>
              </w:rPr>
              <w:t>(Stated in millions)</w:t>
            </w:r>
          </w:p>
        </w:tc>
      </w:tr>
      <w:tr>
        <w:trPr>
          <w:trHeight w:val="199"/>
        </w:trPr>
        <w:tc>
          <w:tcPr>
            <w:tcW w:w="10540" w:type="dxa"/>
            <w:vAlign w:val="bottom"/>
          </w:tcPr>
          <w:p>
            <w:pPr>
              <w:spacing w:after="0"/>
              <w:rPr>
                <w:sz w:val="17"/>
                <w:szCs w:val="17"/>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2011</w:t>
            </w:r>
          </w:p>
        </w:tc>
        <w:tc>
          <w:tcPr>
            <w:tcW w:w="280" w:type="dxa"/>
            <w:vAlign w:val="bottom"/>
          </w:tcPr>
          <w:p>
            <w:pPr>
              <w:jc w:val="right"/>
              <w:spacing w:after="0"/>
              <w:rPr>
                <w:sz w:val="20"/>
                <w:szCs w:val="20"/>
                <w:color w:val="auto"/>
              </w:rPr>
            </w:pPr>
            <w:r>
              <w:rPr>
                <w:rFonts w:ascii="Arial" w:cs="Arial" w:eastAsia="Arial" w:hAnsi="Arial"/>
                <w:sz w:val="9"/>
                <w:szCs w:val="9"/>
                <w:b w:val="1"/>
                <w:bCs w:val="1"/>
                <w:color w:val="auto"/>
              </w:rPr>
              <w:t>2010</w:t>
            </w:r>
          </w:p>
        </w:tc>
        <w:tc>
          <w:tcPr>
            <w:tcW w:w="80" w:type="dxa"/>
            <w:vAlign w:val="bottom"/>
          </w:tcPr>
          <w:p>
            <w:pPr>
              <w:spacing w:after="0"/>
              <w:rPr>
                <w:sz w:val="17"/>
                <w:szCs w:val="17"/>
                <w:color w:val="auto"/>
              </w:rPr>
            </w:pPr>
          </w:p>
        </w:tc>
      </w:tr>
      <w:tr>
        <w:trPr>
          <w:trHeight w:val="88"/>
        </w:trPr>
        <w:tc>
          <w:tcPr>
            <w:tcW w:w="1054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Balance at beginning of year</w:t>
            </w:r>
          </w:p>
        </w:tc>
        <w:tc>
          <w:tcPr>
            <w:tcW w:w="2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$394</w:t>
            </w:r>
          </w:p>
        </w:tc>
        <w:tc>
          <w:tcPr>
            <w:tcW w:w="3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$288</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10540" w:type="dxa"/>
            <w:vAlign w:val="bottom"/>
          </w:tcPr>
          <w:p>
            <w:pPr>
              <w:spacing w:after="0" w:line="99" w:lineRule="exact"/>
              <w:rPr>
                <w:sz w:val="20"/>
                <w:szCs w:val="20"/>
                <w:color w:val="auto"/>
              </w:rPr>
            </w:pPr>
            <w:r>
              <w:rPr>
                <w:rFonts w:ascii="Arial" w:cs="Arial" w:eastAsia="Arial" w:hAnsi="Arial"/>
                <w:sz w:val="9"/>
                <w:szCs w:val="9"/>
                <w:color w:val="auto"/>
              </w:rPr>
              <w:t>Capitalized in year</w:t>
            </w:r>
          </w:p>
        </w:tc>
        <w:tc>
          <w:tcPr>
            <w:tcW w:w="2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289</w:t>
            </w:r>
          </w:p>
        </w:tc>
        <w:tc>
          <w:tcPr>
            <w:tcW w:w="3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326</w:t>
            </w:r>
          </w:p>
        </w:tc>
        <w:tc>
          <w:tcPr>
            <w:tcW w:w="80" w:type="dxa"/>
            <w:vAlign w:val="bottom"/>
          </w:tcPr>
          <w:p>
            <w:pPr>
              <w:spacing w:after="0"/>
              <w:rPr>
                <w:sz w:val="8"/>
                <w:szCs w:val="8"/>
                <w:color w:val="auto"/>
              </w:rPr>
            </w:pPr>
          </w:p>
        </w:tc>
      </w:tr>
      <w:tr>
        <w:trPr>
          <w:trHeight w:val="99"/>
        </w:trPr>
        <w:tc>
          <w:tcPr>
            <w:tcW w:w="1054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Charged to expense</w:t>
            </w: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(258)</w:t>
            </w:r>
          </w:p>
        </w:tc>
        <w:tc>
          <w:tcPr>
            <w:tcW w:w="36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(220)</w:t>
            </w:r>
          </w:p>
        </w:tc>
      </w:tr>
      <w:tr>
        <w:trPr>
          <w:trHeight w:val="97"/>
        </w:trPr>
        <w:tc>
          <w:tcPr>
            <w:tcW w:w="1054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$425</w:t>
            </w:r>
          </w:p>
        </w:tc>
        <w:tc>
          <w:tcPr>
            <w:tcW w:w="300" w:type="dxa"/>
            <w:vAlign w:val="bottom"/>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$394</w:t>
            </w:r>
          </w:p>
        </w:tc>
        <w:tc>
          <w:tcPr>
            <w:tcW w:w="80" w:type="dxa"/>
            <w:vAlign w:val="bottom"/>
          </w:tcPr>
          <w:p>
            <w:pPr>
              <w:spacing w:after="0"/>
              <w:rPr>
                <w:sz w:val="8"/>
                <w:szCs w:val="8"/>
                <w:color w:val="auto"/>
              </w:rPr>
            </w:pPr>
          </w:p>
        </w:tc>
      </w:tr>
    </w:tbl>
    <w:p>
      <w:pPr>
        <w:spacing w:after="0" w:line="109" w:lineRule="exact"/>
        <w:rPr>
          <w:sz w:val="20"/>
          <w:szCs w:val="20"/>
          <w:color w:val="auto"/>
        </w:rPr>
      </w:pPr>
    </w:p>
    <w:p>
      <w:pPr>
        <w:ind w:left="228" w:hanging="228"/>
        <w:spacing w:after="0"/>
        <w:tabs>
          <w:tab w:leader="none" w:pos="228" w:val="left"/>
        </w:tabs>
        <w:numPr>
          <w:ilvl w:val="0"/>
          <w:numId w:val="3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Goodwill</w:t>
      </w:r>
    </w:p>
    <w:p>
      <w:pPr>
        <w:spacing w:after="0" w:line="62" w:lineRule="exact"/>
        <w:rPr>
          <w:sz w:val="20"/>
          <w:szCs w:val="20"/>
          <w:color w:val="auto"/>
        </w:rPr>
      </w:pPr>
    </w:p>
    <w:p>
      <w:pPr>
        <w:ind w:left="8" w:right="300"/>
        <w:spacing w:after="0" w:line="268" w:lineRule="auto"/>
        <w:rPr>
          <w:sz w:val="20"/>
          <w:szCs w:val="20"/>
          <w:color w:val="auto"/>
        </w:rPr>
      </w:pPr>
      <w:r>
        <w:rPr>
          <w:rFonts w:ascii="Arial" w:cs="Arial" w:eastAsia="Arial" w:hAnsi="Arial"/>
          <w:sz w:val="12"/>
          <w:szCs w:val="12"/>
          <w:color w:val="auto"/>
        </w:rPr>
        <w:t>In connection with the change in reportable segments as discussed in Note 17—</w:t>
      </w:r>
      <w:r>
        <w:rPr>
          <w:rFonts w:ascii="Arial" w:cs="Arial" w:eastAsia="Arial" w:hAnsi="Arial"/>
          <w:sz w:val="12"/>
          <w:szCs w:val="12"/>
          <w:i w:val="1"/>
          <w:iCs w:val="1"/>
          <w:color w:val="auto"/>
        </w:rPr>
        <w:t>Segment Information</w:t>
      </w:r>
      <w:r>
        <w:rPr>
          <w:rFonts w:ascii="Arial" w:cs="Arial" w:eastAsia="Arial" w:hAnsi="Arial"/>
          <w:sz w:val="12"/>
          <w:szCs w:val="12"/>
          <w:color w:val="auto"/>
        </w:rPr>
        <w:t>, Schlumberger reallocated the goodwill that existed as of December 31, 2010 to the new reporting units on a relative fair value basis. The change in the carrying amount of goodwill during 2011 was as follows:</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36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w w:val="99"/>
              </w:rPr>
              <w:t>(Stated in millions)</w:t>
            </w:r>
          </w:p>
        </w:tc>
      </w:tr>
      <w:tr>
        <w:trPr>
          <w:trHeight w:val="190"/>
        </w:trPr>
        <w:tc>
          <w:tcPr>
            <w:tcW w:w="36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9"/>
                <w:szCs w:val="9"/>
                <w:b w:val="1"/>
                <w:bCs w:val="1"/>
                <w:color w:val="auto"/>
              </w:rPr>
              <w:t>Reservoir</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9"/>
                <w:szCs w:val="9"/>
                <w:b w:val="1"/>
                <w:bCs w:val="1"/>
                <w:color w:val="auto"/>
                <w:w w:val="96"/>
              </w:rPr>
              <w:t>Reservoir</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08"/>
        </w:trPr>
        <w:tc>
          <w:tcPr>
            <w:tcW w:w="36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9"/>
                <w:szCs w:val="9"/>
                <w:b w:val="1"/>
                <w:bCs w:val="1"/>
                <w:color w:val="auto"/>
                <w:w w:val="90"/>
              </w:rPr>
              <w:t>Characterization</w:t>
            </w:r>
          </w:p>
        </w:tc>
        <w:tc>
          <w:tcPr>
            <w:tcW w:w="920" w:type="dxa"/>
            <w:vAlign w:val="bottom"/>
            <w:gridSpan w:val="2"/>
          </w:tcPr>
          <w:p>
            <w:pPr>
              <w:jc w:val="right"/>
              <w:ind w:right="620"/>
              <w:spacing w:after="0"/>
              <w:rPr>
                <w:sz w:val="20"/>
                <w:szCs w:val="20"/>
                <w:color w:val="auto"/>
              </w:rPr>
            </w:pPr>
            <w:r>
              <w:rPr>
                <w:rFonts w:ascii="Arial" w:cs="Arial" w:eastAsia="Arial" w:hAnsi="Arial"/>
                <w:sz w:val="9"/>
                <w:szCs w:val="9"/>
                <w:b w:val="1"/>
                <w:bCs w:val="1"/>
                <w:color w:val="auto"/>
                <w:w w:val="90"/>
              </w:rPr>
              <w:t>Drilling</w:t>
            </w:r>
          </w:p>
        </w:tc>
        <w:tc>
          <w:tcPr>
            <w:tcW w:w="1020" w:type="dxa"/>
            <w:vAlign w:val="bottom"/>
            <w:gridSpan w:val="2"/>
          </w:tcPr>
          <w:p>
            <w:pPr>
              <w:jc w:val="right"/>
              <w:ind w:right="600"/>
              <w:spacing w:after="0"/>
              <w:rPr>
                <w:sz w:val="20"/>
                <w:szCs w:val="20"/>
                <w:color w:val="auto"/>
              </w:rPr>
            </w:pPr>
            <w:r>
              <w:rPr>
                <w:rFonts w:ascii="Arial" w:cs="Arial" w:eastAsia="Arial" w:hAnsi="Arial"/>
                <w:sz w:val="9"/>
                <w:szCs w:val="9"/>
                <w:b w:val="1"/>
                <w:bCs w:val="1"/>
                <w:color w:val="auto"/>
                <w:w w:val="84"/>
              </w:rPr>
              <w:t>Production</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w w:val="90"/>
              </w:rPr>
              <w:t>Distribution</w:t>
            </w:r>
          </w:p>
        </w:tc>
        <w:tc>
          <w:tcPr>
            <w:tcW w:w="500" w:type="dxa"/>
            <w:vAlign w:val="bottom"/>
          </w:tcPr>
          <w:p>
            <w:pPr>
              <w:spacing w:after="0"/>
              <w:rPr>
                <w:sz w:val="9"/>
                <w:szCs w:val="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Total</w:t>
            </w:r>
          </w:p>
        </w:tc>
      </w:tr>
      <w:tr>
        <w:trPr>
          <w:trHeight w:val="88"/>
        </w:trPr>
        <w:tc>
          <w:tcPr>
            <w:tcW w:w="360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Balance at January 1, 2011</w:t>
            </w:r>
          </w:p>
        </w:tc>
        <w:tc>
          <w:tcPr>
            <w:tcW w:w="32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$3,381</w:t>
            </w:r>
          </w:p>
        </w:tc>
        <w:tc>
          <w:tcPr>
            <w:tcW w:w="6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$8,150</w:t>
            </w:r>
          </w:p>
        </w:tc>
        <w:tc>
          <w:tcPr>
            <w:tcW w:w="62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$2,351</w:t>
            </w:r>
          </w:p>
        </w:tc>
        <w:tc>
          <w:tcPr>
            <w:tcW w:w="6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$70</w:t>
            </w: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2"/>
              </w:rPr>
              <w:t>$13,952</w:t>
            </w:r>
          </w:p>
        </w:tc>
        <w:tc>
          <w:tcPr>
            <w:tcW w:w="60" w:type="dxa"/>
            <w:vAlign w:val="bottom"/>
            <w:tcBorders>
              <w:top w:val="single" w:sz="8" w:color="CCEEFF"/>
            </w:tcBorders>
            <w:shd w:val="clear" w:color="auto" w:fill="CCEEFF"/>
          </w:tcPr>
          <w:p>
            <w:pPr>
              <w:spacing w:after="0"/>
              <w:rPr>
                <w:sz w:val="7"/>
                <w:szCs w:val="7"/>
                <w:color w:val="auto"/>
              </w:rPr>
            </w:pPr>
          </w:p>
        </w:tc>
      </w:tr>
      <w:tr>
        <w:trPr>
          <w:trHeight w:val="99"/>
        </w:trPr>
        <w:tc>
          <w:tcPr>
            <w:tcW w:w="3600" w:type="dxa"/>
            <w:vAlign w:val="bottom"/>
          </w:tcPr>
          <w:p>
            <w:pPr>
              <w:spacing w:after="0" w:line="99" w:lineRule="exact"/>
              <w:rPr>
                <w:sz w:val="20"/>
                <w:szCs w:val="20"/>
                <w:color w:val="auto"/>
              </w:rPr>
            </w:pPr>
            <w:r>
              <w:rPr>
                <w:rFonts w:ascii="Arial" w:cs="Arial" w:eastAsia="Arial" w:hAnsi="Arial"/>
                <w:sz w:val="9"/>
                <w:szCs w:val="9"/>
                <w:color w:val="auto"/>
              </w:rPr>
              <w:t>Adjustments relating to Smith acquisition</w:t>
            </w:r>
          </w:p>
        </w:tc>
        <w:tc>
          <w:tcPr>
            <w:tcW w:w="3220" w:type="dxa"/>
            <w:vAlign w:val="bottom"/>
          </w:tcPr>
          <w:p>
            <w:pPr>
              <w:spacing w:after="0"/>
              <w:rPr>
                <w:sz w:val="8"/>
                <w:szCs w:val="8"/>
                <w:color w:val="auto"/>
              </w:rPr>
            </w:pPr>
          </w:p>
        </w:tc>
        <w:tc>
          <w:tcPr>
            <w:tcW w:w="1260" w:type="dxa"/>
            <w:vAlign w:val="bottom"/>
            <w:gridSpan w:val="2"/>
          </w:tcPr>
          <w:p>
            <w:pPr>
              <w:jc w:val="right"/>
              <w:ind w:right="600"/>
              <w:spacing w:after="0" w:line="99" w:lineRule="exact"/>
              <w:rPr>
                <w:sz w:val="20"/>
                <w:szCs w:val="20"/>
                <w:color w:val="auto"/>
              </w:rPr>
            </w:pPr>
            <w:r>
              <w:rPr>
                <w:rFonts w:ascii="Arial" w:cs="Arial" w:eastAsia="Arial" w:hAnsi="Arial"/>
                <w:sz w:val="9"/>
                <w:szCs w:val="9"/>
                <w:color w:val="auto"/>
              </w:rPr>
              <w:t>–</w:t>
            </w:r>
          </w:p>
        </w:tc>
        <w:tc>
          <w:tcPr>
            <w:tcW w:w="920" w:type="dxa"/>
            <w:vAlign w:val="bottom"/>
            <w:gridSpan w:val="2"/>
          </w:tcPr>
          <w:p>
            <w:pPr>
              <w:jc w:val="right"/>
              <w:ind w:right="620"/>
              <w:spacing w:after="0" w:line="99" w:lineRule="exact"/>
              <w:rPr>
                <w:sz w:val="20"/>
                <w:szCs w:val="20"/>
                <w:color w:val="auto"/>
              </w:rPr>
            </w:pPr>
            <w:r>
              <w:rPr>
                <w:rFonts w:ascii="Arial" w:cs="Arial" w:eastAsia="Arial" w:hAnsi="Arial"/>
                <w:sz w:val="9"/>
                <w:szCs w:val="9"/>
                <w:color w:val="auto"/>
              </w:rPr>
              <w:t>175</w:t>
            </w:r>
          </w:p>
        </w:tc>
        <w:tc>
          <w:tcPr>
            <w:tcW w:w="1020" w:type="dxa"/>
            <w:vAlign w:val="bottom"/>
            <w:gridSpan w:val="2"/>
          </w:tcPr>
          <w:p>
            <w:pPr>
              <w:jc w:val="right"/>
              <w:ind w:right="600"/>
              <w:spacing w:after="0" w:line="99" w:lineRule="exact"/>
              <w:rPr>
                <w:sz w:val="20"/>
                <w:szCs w:val="20"/>
                <w:color w:val="auto"/>
              </w:rPr>
            </w:pPr>
            <w:r>
              <w:rPr>
                <w:rFonts w:ascii="Arial" w:cs="Arial" w:eastAsia="Arial" w:hAnsi="Arial"/>
                <w:sz w:val="9"/>
                <w:szCs w:val="9"/>
                <w:color w:val="auto"/>
              </w:rPr>
              <w:t>13</w:t>
            </w:r>
          </w:p>
        </w:tc>
        <w:tc>
          <w:tcPr>
            <w:tcW w:w="58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6</w:t>
            </w:r>
          </w:p>
        </w:tc>
        <w:tc>
          <w:tcPr>
            <w:tcW w:w="880" w:type="dxa"/>
            <w:vAlign w:val="bottom"/>
            <w:gridSpan w:val="3"/>
          </w:tcPr>
          <w:p>
            <w:pPr>
              <w:jc w:val="right"/>
              <w:ind w:right="60"/>
              <w:spacing w:after="0" w:line="99" w:lineRule="exact"/>
              <w:rPr>
                <w:sz w:val="20"/>
                <w:szCs w:val="20"/>
                <w:color w:val="auto"/>
              </w:rPr>
            </w:pPr>
            <w:r>
              <w:rPr>
                <w:rFonts w:ascii="Arial" w:cs="Arial" w:eastAsia="Arial" w:hAnsi="Arial"/>
                <w:sz w:val="9"/>
                <w:szCs w:val="9"/>
                <w:color w:val="auto"/>
              </w:rPr>
              <w:t>194</w:t>
            </w:r>
          </w:p>
        </w:tc>
      </w:tr>
      <w:tr>
        <w:trPr>
          <w:trHeight w:val="99"/>
        </w:trPr>
        <w:tc>
          <w:tcPr>
            <w:tcW w:w="3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Other acquisitions</w:t>
            </w:r>
          </w:p>
        </w:tc>
        <w:tc>
          <w:tcPr>
            <w:tcW w:w="38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42</w:t>
            </w:r>
          </w:p>
        </w:tc>
        <w:tc>
          <w:tcPr>
            <w:tcW w:w="60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620"/>
              <w:spacing w:after="0" w:line="99" w:lineRule="exact"/>
              <w:rPr>
                <w:sz w:val="20"/>
                <w:szCs w:val="20"/>
                <w:color w:val="auto"/>
              </w:rPr>
            </w:pPr>
            <w:r>
              <w:rPr>
                <w:rFonts w:ascii="Arial" w:cs="Arial" w:eastAsia="Arial" w:hAnsi="Arial"/>
                <w:sz w:val="9"/>
                <w:szCs w:val="9"/>
                <w:color w:val="auto"/>
              </w:rPr>
              <w:t>45</w:t>
            </w:r>
          </w:p>
        </w:tc>
        <w:tc>
          <w:tcPr>
            <w:tcW w:w="1020" w:type="dxa"/>
            <w:vAlign w:val="bottom"/>
            <w:gridSpan w:val="2"/>
            <w:shd w:val="clear" w:color="auto" w:fill="CCEEFF"/>
          </w:tcPr>
          <w:p>
            <w:pPr>
              <w:jc w:val="right"/>
              <w:ind w:right="600"/>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880" w:type="dxa"/>
            <w:vAlign w:val="bottom"/>
            <w:gridSpan w:val="3"/>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87</w:t>
            </w:r>
          </w:p>
        </w:tc>
      </w:tr>
      <w:tr>
        <w:trPr>
          <w:trHeight w:val="99"/>
        </w:trPr>
        <w:tc>
          <w:tcPr>
            <w:tcW w:w="3600" w:type="dxa"/>
            <w:vAlign w:val="bottom"/>
          </w:tcPr>
          <w:p>
            <w:pPr>
              <w:spacing w:after="0" w:line="99" w:lineRule="exact"/>
              <w:rPr>
                <w:sz w:val="20"/>
                <w:szCs w:val="20"/>
                <w:color w:val="auto"/>
              </w:rPr>
            </w:pPr>
            <w:r>
              <w:rPr>
                <w:rFonts w:ascii="Arial" w:cs="Arial" w:eastAsia="Arial" w:hAnsi="Arial"/>
                <w:sz w:val="9"/>
                <w:szCs w:val="9"/>
                <w:color w:val="auto"/>
              </w:rPr>
              <w:t>Divestiture of business</w:t>
            </w:r>
          </w:p>
        </w:tc>
        <w:tc>
          <w:tcPr>
            <w:tcW w:w="4480" w:type="dxa"/>
            <w:vAlign w:val="bottom"/>
            <w:gridSpan w:val="3"/>
          </w:tcPr>
          <w:p>
            <w:pPr>
              <w:jc w:val="right"/>
              <w:ind w:right="580"/>
              <w:spacing w:after="0" w:line="99" w:lineRule="exact"/>
              <w:rPr>
                <w:sz w:val="20"/>
                <w:szCs w:val="20"/>
                <w:color w:val="auto"/>
              </w:rPr>
            </w:pPr>
            <w:r>
              <w:rPr>
                <w:rFonts w:ascii="Arial" w:cs="Arial" w:eastAsia="Arial" w:hAnsi="Arial"/>
                <w:sz w:val="9"/>
                <w:szCs w:val="9"/>
                <w:color w:val="auto"/>
              </w:rPr>
              <w:t>(51)</w:t>
            </w:r>
          </w:p>
        </w:tc>
        <w:tc>
          <w:tcPr>
            <w:tcW w:w="920" w:type="dxa"/>
            <w:vAlign w:val="bottom"/>
            <w:gridSpan w:val="2"/>
          </w:tcPr>
          <w:p>
            <w:pPr>
              <w:jc w:val="right"/>
              <w:ind w:right="620"/>
              <w:spacing w:after="0" w:line="99" w:lineRule="exact"/>
              <w:rPr>
                <w:sz w:val="20"/>
                <w:szCs w:val="20"/>
                <w:color w:val="auto"/>
              </w:rPr>
            </w:pPr>
            <w:r>
              <w:rPr>
                <w:rFonts w:ascii="Arial" w:cs="Arial" w:eastAsia="Arial" w:hAnsi="Arial"/>
                <w:sz w:val="9"/>
                <w:szCs w:val="9"/>
                <w:color w:val="auto"/>
              </w:rPr>
              <w:t>–</w:t>
            </w:r>
          </w:p>
        </w:tc>
        <w:tc>
          <w:tcPr>
            <w:tcW w:w="1020" w:type="dxa"/>
            <w:vAlign w:val="bottom"/>
            <w:gridSpan w:val="2"/>
          </w:tcPr>
          <w:p>
            <w:pPr>
              <w:jc w:val="right"/>
              <w:ind w:right="600"/>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880" w:type="dxa"/>
            <w:vAlign w:val="bottom"/>
            <w:gridSpan w:val="3"/>
          </w:tcPr>
          <w:p>
            <w:pPr>
              <w:jc w:val="right"/>
              <w:ind w:right="20"/>
              <w:spacing w:after="0" w:line="99" w:lineRule="exact"/>
              <w:rPr>
                <w:sz w:val="20"/>
                <w:szCs w:val="20"/>
                <w:color w:val="auto"/>
              </w:rPr>
            </w:pPr>
            <w:r>
              <w:rPr>
                <w:rFonts w:ascii="Arial" w:cs="Arial" w:eastAsia="Arial" w:hAnsi="Arial"/>
                <w:sz w:val="9"/>
                <w:szCs w:val="9"/>
                <w:color w:val="auto"/>
              </w:rPr>
              <w:t>(51)</w:t>
            </w:r>
          </w:p>
        </w:tc>
      </w:tr>
      <w:tr>
        <w:trPr>
          <w:trHeight w:val="99"/>
        </w:trPr>
        <w:tc>
          <w:tcPr>
            <w:tcW w:w="3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Impact of changes in exchange rates</w:t>
            </w:r>
          </w:p>
        </w:tc>
        <w:tc>
          <w:tcPr>
            <w:tcW w:w="4480" w:type="dxa"/>
            <w:vAlign w:val="bottom"/>
            <w:gridSpan w:val="3"/>
            <w:shd w:val="clear" w:color="auto" w:fill="CCEEFF"/>
          </w:tcPr>
          <w:p>
            <w:pPr>
              <w:jc w:val="right"/>
              <w:ind w:right="580"/>
              <w:spacing w:after="0" w:line="99" w:lineRule="exact"/>
              <w:rPr>
                <w:sz w:val="20"/>
                <w:szCs w:val="20"/>
                <w:color w:val="auto"/>
              </w:rPr>
            </w:pPr>
            <w:r>
              <w:rPr>
                <w:rFonts w:ascii="Arial" w:cs="Arial" w:eastAsia="Arial" w:hAnsi="Arial"/>
                <w:sz w:val="9"/>
                <w:szCs w:val="9"/>
                <w:color w:val="auto"/>
              </w:rPr>
              <w:t>(12)</w:t>
            </w:r>
          </w:p>
        </w:tc>
        <w:tc>
          <w:tcPr>
            <w:tcW w:w="920" w:type="dxa"/>
            <w:vAlign w:val="bottom"/>
            <w:gridSpan w:val="2"/>
            <w:shd w:val="clear" w:color="auto" w:fill="CCEEFF"/>
          </w:tcPr>
          <w:p>
            <w:pPr>
              <w:jc w:val="right"/>
              <w:ind w:right="580"/>
              <w:spacing w:after="0" w:line="99" w:lineRule="exact"/>
              <w:rPr>
                <w:sz w:val="20"/>
                <w:szCs w:val="20"/>
                <w:color w:val="auto"/>
              </w:rPr>
            </w:pPr>
            <w:r>
              <w:rPr>
                <w:rFonts w:ascii="Arial" w:cs="Arial" w:eastAsia="Arial" w:hAnsi="Arial"/>
                <w:sz w:val="9"/>
                <w:szCs w:val="9"/>
                <w:color w:val="auto"/>
              </w:rPr>
              <w:t>(8)</w:t>
            </w:r>
          </w:p>
        </w:tc>
        <w:tc>
          <w:tcPr>
            <w:tcW w:w="1020" w:type="dxa"/>
            <w:vAlign w:val="bottom"/>
            <w:gridSpan w:val="2"/>
            <w:shd w:val="clear" w:color="auto" w:fill="CCEEFF"/>
          </w:tcPr>
          <w:p>
            <w:pPr>
              <w:jc w:val="right"/>
              <w:ind w:right="560"/>
              <w:spacing w:after="0" w:line="99" w:lineRule="exact"/>
              <w:rPr>
                <w:sz w:val="20"/>
                <w:szCs w:val="20"/>
                <w:color w:val="auto"/>
              </w:rPr>
            </w:pPr>
            <w:r>
              <w:rPr>
                <w:rFonts w:ascii="Arial" w:cs="Arial" w:eastAsia="Arial" w:hAnsi="Arial"/>
                <w:sz w:val="9"/>
                <w:szCs w:val="9"/>
                <w:color w:val="auto"/>
              </w:rPr>
              <w:t>(8)</w:t>
            </w:r>
          </w:p>
        </w:tc>
        <w:tc>
          <w:tcPr>
            <w:tcW w:w="5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880" w:type="dxa"/>
            <w:vAlign w:val="bottom"/>
            <w:gridSpan w:val="3"/>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(28)</w:t>
            </w:r>
          </w:p>
        </w:tc>
      </w:tr>
      <w:tr>
        <w:trPr>
          <w:trHeight w:val="20"/>
        </w:trPr>
        <w:tc>
          <w:tcPr>
            <w:tcW w:w="360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7"/>
        </w:trPr>
        <w:tc>
          <w:tcPr>
            <w:tcW w:w="3600" w:type="dxa"/>
            <w:vAlign w:val="bottom"/>
          </w:tcPr>
          <w:p>
            <w:pPr>
              <w:spacing w:after="0" w:line="98" w:lineRule="exact"/>
              <w:rPr>
                <w:sz w:val="20"/>
                <w:szCs w:val="20"/>
                <w:color w:val="auto"/>
              </w:rPr>
            </w:pPr>
            <w:r>
              <w:rPr>
                <w:rFonts w:ascii="Arial" w:cs="Arial" w:eastAsia="Arial" w:hAnsi="Arial"/>
                <w:sz w:val="9"/>
                <w:szCs w:val="9"/>
                <w:color w:val="auto"/>
              </w:rPr>
              <w:t>Balance, December 31, 2011</w:t>
            </w:r>
          </w:p>
        </w:tc>
        <w:tc>
          <w:tcPr>
            <w:tcW w:w="3880" w:type="dxa"/>
            <w:vAlign w:val="bottom"/>
            <w:gridSpan w:val="2"/>
          </w:tcPr>
          <w:p>
            <w:pPr>
              <w:jc w:val="right"/>
              <w:spacing w:after="0" w:line="98" w:lineRule="exact"/>
              <w:rPr>
                <w:sz w:val="20"/>
                <w:szCs w:val="20"/>
                <w:color w:val="auto"/>
              </w:rPr>
            </w:pPr>
            <w:r>
              <w:rPr>
                <w:rFonts w:ascii="Arial" w:cs="Arial" w:eastAsia="Arial" w:hAnsi="Arial"/>
                <w:sz w:val="9"/>
                <w:szCs w:val="9"/>
                <w:color w:val="auto"/>
              </w:rPr>
              <w:t>$3,360</w:t>
            </w:r>
          </w:p>
        </w:tc>
        <w:tc>
          <w:tcPr>
            <w:tcW w:w="600" w:type="dxa"/>
            <w:vAlign w:val="bottom"/>
          </w:tcPr>
          <w:p>
            <w:pPr>
              <w:spacing w:after="0"/>
              <w:rPr>
                <w:sz w:val="8"/>
                <w:szCs w:val="8"/>
                <w:color w:val="auto"/>
              </w:rPr>
            </w:pPr>
          </w:p>
        </w:tc>
        <w:tc>
          <w:tcPr>
            <w:tcW w:w="920" w:type="dxa"/>
            <w:vAlign w:val="bottom"/>
            <w:gridSpan w:val="2"/>
          </w:tcPr>
          <w:p>
            <w:pPr>
              <w:jc w:val="right"/>
              <w:ind w:right="620"/>
              <w:spacing w:after="0" w:line="98" w:lineRule="exact"/>
              <w:rPr>
                <w:sz w:val="20"/>
                <w:szCs w:val="20"/>
                <w:color w:val="auto"/>
              </w:rPr>
            </w:pPr>
            <w:r>
              <w:rPr>
                <w:rFonts w:ascii="Arial" w:cs="Arial" w:eastAsia="Arial" w:hAnsi="Arial"/>
                <w:sz w:val="9"/>
                <w:szCs w:val="9"/>
                <w:color w:val="auto"/>
              </w:rPr>
              <w:t>$8,362</w:t>
            </w:r>
          </w:p>
        </w:tc>
        <w:tc>
          <w:tcPr>
            <w:tcW w:w="1020" w:type="dxa"/>
            <w:vAlign w:val="bottom"/>
            <w:gridSpan w:val="2"/>
          </w:tcPr>
          <w:p>
            <w:pPr>
              <w:jc w:val="right"/>
              <w:ind w:right="600"/>
              <w:spacing w:after="0" w:line="98" w:lineRule="exact"/>
              <w:rPr>
                <w:sz w:val="20"/>
                <w:szCs w:val="20"/>
                <w:color w:val="auto"/>
              </w:rPr>
            </w:pPr>
            <w:r>
              <w:rPr>
                <w:rFonts w:ascii="Arial" w:cs="Arial" w:eastAsia="Arial" w:hAnsi="Arial"/>
                <w:sz w:val="9"/>
                <w:szCs w:val="9"/>
                <w:color w:val="auto"/>
              </w:rPr>
              <w:t>$2,356</w:t>
            </w:r>
          </w:p>
        </w:tc>
        <w:tc>
          <w:tcPr>
            <w:tcW w:w="5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$76</w:t>
            </w:r>
          </w:p>
        </w:tc>
        <w:tc>
          <w:tcPr>
            <w:tcW w:w="880" w:type="dxa"/>
            <w:vAlign w:val="bottom"/>
            <w:gridSpan w:val="3"/>
          </w:tcPr>
          <w:p>
            <w:pPr>
              <w:jc w:val="right"/>
              <w:ind w:right="60"/>
              <w:spacing w:after="0" w:line="98"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14,154</w:t>
            </w:r>
          </w:p>
        </w:tc>
      </w:tr>
      <w:tr>
        <w:trPr>
          <w:trHeight w:val="213"/>
        </w:trPr>
        <w:tc>
          <w:tcPr>
            <w:tcW w:w="3600" w:type="dxa"/>
            <w:vAlign w:val="bottom"/>
          </w:tcPr>
          <w:p>
            <w:pPr>
              <w:spacing w:after="0"/>
              <w:rPr>
                <w:sz w:val="18"/>
                <w:szCs w:val="18"/>
                <w:color w:val="auto"/>
              </w:rPr>
            </w:pPr>
          </w:p>
        </w:tc>
        <w:tc>
          <w:tcPr>
            <w:tcW w:w="3220" w:type="dxa"/>
            <w:vAlign w:val="bottom"/>
          </w:tcPr>
          <w:p>
            <w:pPr>
              <w:jc w:val="right"/>
              <w:ind w:right="995"/>
              <w:spacing w:after="0"/>
              <w:rPr>
                <w:sz w:val="20"/>
                <w:szCs w:val="20"/>
                <w:color w:val="auto"/>
              </w:rPr>
            </w:pPr>
            <w:r>
              <w:rPr>
                <w:rFonts w:ascii="Arial" w:cs="Arial" w:eastAsia="Arial" w:hAnsi="Arial"/>
                <w:sz w:val="9"/>
                <w:szCs w:val="9"/>
                <w:color w:val="auto"/>
              </w:rPr>
              <w:t>50</w:t>
            </w:r>
          </w:p>
        </w:tc>
        <w:tc>
          <w:tcPr>
            <w:tcW w:w="6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ectPr>
          <w:pgSz w:w="11900" w:h="16838" w:orient="portrait"/>
          <w:cols w:equalWidth="0" w:num="1">
            <w:col w:w="11488"/>
          </w:cols>
          <w:pgMar w:left="212" w:top="354" w:right="199" w:bottom="1440" w:gutter="0" w:footer="0" w:header="0"/>
        </w:sectPr>
      </w:pPr>
    </w:p>
    <w:bookmarkStart w:id="50" w:name="page51"/>
    <w:bookmarkEnd w:id="50"/>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change in the carrying amount of goodwill during 2010 was as follows: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520" w:type="dxa"/>
            <w:vAlign w:val="bottom"/>
            <w:gridSpan w:val="4"/>
          </w:tcPr>
          <w:p>
            <w:pPr>
              <w:jc w:val="center"/>
              <w:ind w:left="4575"/>
              <w:spacing w:after="0"/>
              <w:rPr>
                <w:sz w:val="20"/>
                <w:szCs w:val="20"/>
                <w:color w:val="auto"/>
              </w:rPr>
            </w:pPr>
            <w:r>
              <w:rPr>
                <w:rFonts w:ascii="Arial" w:cs="Arial" w:eastAsia="Arial" w:hAnsi="Arial"/>
                <w:sz w:val="9"/>
                <w:szCs w:val="9"/>
                <w:b w:val="1"/>
                <w:bCs w:val="1"/>
                <w:color w:val="auto"/>
                <w:w w:val="91"/>
              </w:rPr>
              <w:t>(Stated in millions)</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594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Balance, January 1, 2010</w:t>
            </w:r>
          </w:p>
        </w:tc>
        <w:tc>
          <w:tcPr>
            <w:tcW w:w="5140" w:type="dxa"/>
            <w:vAlign w:val="bottom"/>
            <w:gridSpan w:val="2"/>
            <w:shd w:val="clear" w:color="auto" w:fill="CCEEFF"/>
          </w:tcPr>
          <w:p>
            <w:pPr>
              <w:jc w:val="center"/>
              <w:ind w:left="4955"/>
              <w:spacing w:after="0" w:line="99" w:lineRule="exact"/>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5,305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940" w:type="dxa"/>
            <w:vAlign w:val="bottom"/>
          </w:tcPr>
          <w:p>
            <w:pPr>
              <w:spacing w:after="0" w:line="99" w:lineRule="exact"/>
              <w:rPr>
                <w:sz w:val="20"/>
                <w:szCs w:val="20"/>
                <w:color w:val="auto"/>
              </w:rPr>
            </w:pPr>
            <w:r>
              <w:rPr>
                <w:rFonts w:ascii="Arial" w:cs="Arial" w:eastAsia="Arial" w:hAnsi="Arial"/>
                <w:sz w:val="9"/>
                <w:szCs w:val="9"/>
                <w:color w:val="auto"/>
              </w:rPr>
              <w:t>Acquisition of Smith</w:t>
            </w: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7,892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96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Other additions</w:t>
            </w:r>
          </w:p>
        </w:tc>
        <w:tc>
          <w:tcPr>
            <w:tcW w:w="5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761</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960" w:type="dxa"/>
            <w:vAlign w:val="bottom"/>
            <w:gridSpan w:val="2"/>
          </w:tcPr>
          <w:p>
            <w:pPr>
              <w:spacing w:after="0" w:line="99" w:lineRule="exact"/>
              <w:rPr>
                <w:sz w:val="20"/>
                <w:szCs w:val="20"/>
                <w:color w:val="auto"/>
              </w:rPr>
            </w:pPr>
            <w:r>
              <w:rPr>
                <w:rFonts w:ascii="Arial" w:cs="Arial" w:eastAsia="Arial" w:hAnsi="Arial"/>
                <w:sz w:val="9"/>
                <w:szCs w:val="9"/>
                <w:color w:val="auto"/>
              </w:rPr>
              <w:t>Impact of change in exchange rates</w:t>
            </w: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96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Balance, December 31, 2010</w:t>
            </w:r>
          </w:p>
        </w:tc>
        <w:tc>
          <w:tcPr>
            <w:tcW w:w="504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center"/>
              <w:spacing w:after="0" w:line="98" w:lineRule="exact"/>
              <w:rPr>
                <w:sz w:val="20"/>
                <w:szCs w:val="20"/>
                <w:color w:val="auto"/>
              </w:rPr>
            </w:pPr>
            <w:r>
              <w:rPr>
                <w:rFonts w:ascii="Arial" w:cs="Arial" w:eastAsia="Arial" w:hAnsi="Arial"/>
                <w:sz w:val="9"/>
                <w:szCs w:val="9"/>
                <w:color w:val="auto"/>
              </w:rPr>
              <w:t>$</w:t>
            </w: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13,952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8" w:hanging="228"/>
        <w:spacing w:after="0"/>
        <w:tabs>
          <w:tab w:leader="none" w:pos="228"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Intangible Assets</w:t>
      </w:r>
    </w:p>
    <w:p>
      <w:pPr>
        <w:spacing w:after="0" w:line="62" w:lineRule="exact"/>
        <w:rPr>
          <w:rFonts w:ascii="Arial" w:cs="Arial" w:eastAsia="Arial" w:hAnsi="Arial"/>
          <w:sz w:val="12"/>
          <w:szCs w:val="12"/>
          <w:b w:val="1"/>
          <w:bCs w:val="1"/>
          <w:color w:val="auto"/>
        </w:rPr>
      </w:pPr>
    </w:p>
    <w:p>
      <w:pPr>
        <w:ind w:left="228"/>
        <w:spacing w:after="0"/>
        <w:rPr>
          <w:rFonts w:ascii="Arial" w:cs="Arial" w:eastAsia="Arial" w:hAnsi="Arial"/>
          <w:sz w:val="12"/>
          <w:szCs w:val="12"/>
          <w:b w:val="1"/>
          <w:bCs w:val="1"/>
          <w:color w:val="auto"/>
        </w:rPr>
      </w:pPr>
      <w:r>
        <w:rPr>
          <w:rFonts w:ascii="Arial" w:cs="Arial" w:eastAsia="Arial" w:hAnsi="Arial"/>
          <w:sz w:val="11"/>
          <w:szCs w:val="11"/>
          <w:color w:val="auto"/>
        </w:rPr>
        <w:t>Intangible assets principally comprise technology/technical know-how, tradenames and customer relationships. At December 31, the gross book value and accumulated amortization of intangible assets were as follows: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34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9"/>
                <w:szCs w:val="9"/>
                <w:b w:val="1"/>
                <w:bCs w:val="1"/>
                <w:color w:val="auto"/>
              </w:rPr>
              <w:t>(Stated in millions)</w:t>
            </w:r>
          </w:p>
        </w:tc>
      </w:tr>
      <w:tr>
        <w:trPr>
          <w:trHeight w:val="199"/>
        </w:trPr>
        <w:tc>
          <w:tcPr>
            <w:tcW w:w="34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b w:val="1"/>
                <w:bCs w:val="1"/>
                <w:color w:val="auto"/>
              </w:rPr>
              <w:t>2011</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b w:val="1"/>
                <w:bCs w:val="1"/>
                <w:color w:val="auto"/>
              </w:rPr>
              <w:t>2010</w:t>
            </w: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79"/>
        </w:trPr>
        <w:tc>
          <w:tcPr>
            <w:tcW w:w="34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gridSpan w:val="2"/>
          </w:tcPr>
          <w:p>
            <w:pPr>
              <w:jc w:val="right"/>
              <w:ind w:right="280"/>
              <w:spacing w:after="0" w:line="79" w:lineRule="exact"/>
              <w:rPr>
                <w:sz w:val="20"/>
                <w:szCs w:val="20"/>
                <w:color w:val="auto"/>
              </w:rPr>
            </w:pPr>
            <w:r>
              <w:rPr>
                <w:rFonts w:ascii="Arial" w:cs="Arial" w:eastAsia="Arial" w:hAnsi="Arial"/>
                <w:sz w:val="9"/>
                <w:szCs w:val="9"/>
                <w:b w:val="1"/>
                <w:bCs w:val="1"/>
                <w:color w:val="auto"/>
              </w:rPr>
              <w:t>Gross</w:t>
            </w:r>
          </w:p>
        </w:tc>
        <w:tc>
          <w:tcPr>
            <w:tcW w:w="300" w:type="dxa"/>
            <w:vAlign w:val="bottom"/>
          </w:tcPr>
          <w:p>
            <w:pPr>
              <w:spacing w:after="0"/>
              <w:rPr>
                <w:sz w:val="6"/>
                <w:szCs w:val="6"/>
                <w:color w:val="auto"/>
              </w:rPr>
            </w:pPr>
          </w:p>
        </w:tc>
        <w:tc>
          <w:tcPr>
            <w:tcW w:w="520" w:type="dxa"/>
            <w:vAlign w:val="bottom"/>
            <w:gridSpan w:val="2"/>
          </w:tcPr>
          <w:p>
            <w:pPr>
              <w:jc w:val="right"/>
              <w:spacing w:after="0" w:line="79" w:lineRule="exact"/>
              <w:rPr>
                <w:sz w:val="20"/>
                <w:szCs w:val="20"/>
                <w:color w:val="auto"/>
              </w:rPr>
            </w:pPr>
            <w:r>
              <w:rPr>
                <w:rFonts w:ascii="Arial" w:cs="Arial" w:eastAsia="Arial" w:hAnsi="Arial"/>
                <w:sz w:val="9"/>
                <w:szCs w:val="9"/>
                <w:b w:val="1"/>
                <w:bCs w:val="1"/>
                <w:color w:val="auto"/>
                <w:w w:val="88"/>
              </w:rPr>
              <w:t>Accumulated</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jc w:val="right"/>
              <w:spacing w:after="0" w:line="79" w:lineRule="exact"/>
              <w:rPr>
                <w:sz w:val="20"/>
                <w:szCs w:val="20"/>
                <w:color w:val="auto"/>
              </w:rPr>
            </w:pPr>
            <w:r>
              <w:rPr>
                <w:rFonts w:ascii="Arial" w:cs="Arial" w:eastAsia="Arial" w:hAnsi="Arial"/>
                <w:sz w:val="9"/>
                <w:szCs w:val="9"/>
                <w:b w:val="1"/>
                <w:bCs w:val="1"/>
                <w:color w:val="auto"/>
                <w:w w:val="91"/>
              </w:rPr>
              <w:t>Net Book</w:t>
            </w: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2"/>
          </w:tcPr>
          <w:p>
            <w:pPr>
              <w:ind w:left="80"/>
              <w:spacing w:after="0" w:line="79" w:lineRule="exact"/>
              <w:rPr>
                <w:sz w:val="20"/>
                <w:szCs w:val="20"/>
                <w:color w:val="auto"/>
              </w:rPr>
            </w:pPr>
            <w:r>
              <w:rPr>
                <w:rFonts w:ascii="Arial" w:cs="Arial" w:eastAsia="Arial" w:hAnsi="Arial"/>
                <w:sz w:val="9"/>
                <w:szCs w:val="9"/>
                <w:b w:val="1"/>
                <w:bCs w:val="1"/>
                <w:color w:val="auto"/>
              </w:rPr>
              <w:t>Gross</w:t>
            </w:r>
          </w:p>
        </w:tc>
        <w:tc>
          <w:tcPr>
            <w:tcW w:w="300" w:type="dxa"/>
            <w:vAlign w:val="bottom"/>
          </w:tcPr>
          <w:p>
            <w:pPr>
              <w:spacing w:after="0"/>
              <w:rPr>
                <w:sz w:val="6"/>
                <w:szCs w:val="6"/>
                <w:color w:val="auto"/>
              </w:rPr>
            </w:pPr>
          </w:p>
        </w:tc>
        <w:tc>
          <w:tcPr>
            <w:tcW w:w="680" w:type="dxa"/>
            <w:vAlign w:val="bottom"/>
            <w:gridSpan w:val="3"/>
          </w:tcPr>
          <w:p>
            <w:pPr>
              <w:jc w:val="center"/>
              <w:ind w:right="140"/>
              <w:spacing w:after="0" w:line="79" w:lineRule="exact"/>
              <w:rPr>
                <w:sz w:val="20"/>
                <w:szCs w:val="20"/>
                <w:color w:val="auto"/>
              </w:rPr>
            </w:pPr>
            <w:r>
              <w:rPr>
                <w:rFonts w:ascii="Arial" w:cs="Arial" w:eastAsia="Arial" w:hAnsi="Arial"/>
                <w:sz w:val="9"/>
                <w:szCs w:val="9"/>
                <w:b w:val="1"/>
                <w:bCs w:val="1"/>
                <w:color w:val="auto"/>
                <w:w w:val="88"/>
              </w:rPr>
              <w:t>Accumulated</w:t>
            </w: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jc w:val="right"/>
              <w:spacing w:after="0" w:line="79" w:lineRule="exact"/>
              <w:rPr>
                <w:sz w:val="20"/>
                <w:szCs w:val="20"/>
                <w:color w:val="auto"/>
              </w:rPr>
            </w:pPr>
            <w:r>
              <w:rPr>
                <w:rFonts w:ascii="Arial" w:cs="Arial" w:eastAsia="Arial" w:hAnsi="Arial"/>
                <w:sz w:val="9"/>
                <w:szCs w:val="9"/>
                <w:b w:val="1"/>
                <w:bCs w:val="1"/>
                <w:color w:val="auto"/>
                <w:w w:val="96"/>
              </w:rPr>
              <w:t>Net Book</w:t>
            </w:r>
          </w:p>
        </w:tc>
        <w:tc>
          <w:tcPr>
            <w:tcW w:w="40" w:type="dxa"/>
            <w:vAlign w:val="bottom"/>
          </w:tcPr>
          <w:p>
            <w:pPr>
              <w:spacing w:after="0"/>
              <w:rPr>
                <w:sz w:val="6"/>
                <w:szCs w:val="6"/>
                <w:color w:val="auto"/>
              </w:rPr>
            </w:pPr>
          </w:p>
        </w:tc>
      </w:tr>
      <w:tr>
        <w:trPr>
          <w:trHeight w:val="108"/>
        </w:trPr>
        <w:tc>
          <w:tcPr>
            <w:tcW w:w="34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9"/>
                <w:szCs w:val="9"/>
                <w:b w:val="1"/>
                <w:bCs w:val="1"/>
                <w:color w:val="auto"/>
                <w:w w:val="85"/>
              </w:rPr>
              <w:t>Book Value</w:t>
            </w:r>
          </w:p>
        </w:tc>
        <w:tc>
          <w:tcPr>
            <w:tcW w:w="300" w:type="dxa"/>
            <w:vAlign w:val="bottom"/>
          </w:tcPr>
          <w:p>
            <w:pPr>
              <w:spacing w:after="0"/>
              <w:rPr>
                <w:sz w:val="9"/>
                <w:szCs w:val="9"/>
                <w:color w:val="auto"/>
              </w:rPr>
            </w:pPr>
          </w:p>
        </w:tc>
        <w:tc>
          <w:tcPr>
            <w:tcW w:w="520" w:type="dxa"/>
            <w:vAlign w:val="bottom"/>
            <w:gridSpan w:val="2"/>
          </w:tcPr>
          <w:p>
            <w:pPr>
              <w:jc w:val="right"/>
              <w:spacing w:after="0"/>
              <w:rPr>
                <w:sz w:val="20"/>
                <w:szCs w:val="20"/>
                <w:color w:val="auto"/>
              </w:rPr>
            </w:pPr>
            <w:r>
              <w:rPr>
                <w:rFonts w:ascii="Arial" w:cs="Arial" w:eastAsia="Arial" w:hAnsi="Arial"/>
                <w:sz w:val="9"/>
                <w:szCs w:val="9"/>
                <w:b w:val="1"/>
                <w:bCs w:val="1"/>
                <w:color w:val="auto"/>
                <w:w w:val="90"/>
              </w:rPr>
              <w:t>Amortization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b w:val="1"/>
                <w:bCs w:val="1"/>
                <w:color w:val="auto"/>
              </w:rPr>
              <w:t>Value</w:t>
            </w:r>
          </w:p>
        </w:tc>
        <w:tc>
          <w:tcPr>
            <w:tcW w:w="580" w:type="dxa"/>
            <w:vAlign w:val="bottom"/>
          </w:tcPr>
          <w:p>
            <w:pPr>
              <w:spacing w:after="0"/>
              <w:rPr>
                <w:sz w:val="9"/>
                <w:szCs w:val="9"/>
                <w:color w:val="auto"/>
              </w:rPr>
            </w:pPr>
          </w:p>
        </w:tc>
        <w:tc>
          <w:tcPr>
            <w:tcW w:w="740" w:type="dxa"/>
            <w:vAlign w:val="bottom"/>
            <w:gridSpan w:val="3"/>
          </w:tcPr>
          <w:p>
            <w:pPr>
              <w:ind w:left="20"/>
              <w:spacing w:after="0"/>
              <w:rPr>
                <w:sz w:val="20"/>
                <w:szCs w:val="20"/>
                <w:color w:val="auto"/>
              </w:rPr>
            </w:pPr>
            <w:r>
              <w:rPr>
                <w:rFonts w:ascii="Arial" w:cs="Arial" w:eastAsia="Arial" w:hAnsi="Arial"/>
                <w:sz w:val="9"/>
                <w:szCs w:val="9"/>
                <w:b w:val="1"/>
                <w:bCs w:val="1"/>
                <w:color w:val="auto"/>
              </w:rPr>
              <w:t>Book Value</w:t>
            </w:r>
          </w:p>
        </w:tc>
        <w:tc>
          <w:tcPr>
            <w:tcW w:w="300" w:type="dxa"/>
            <w:vAlign w:val="bottom"/>
          </w:tcPr>
          <w:p>
            <w:pPr>
              <w:spacing w:after="0"/>
              <w:rPr>
                <w:sz w:val="9"/>
                <w:szCs w:val="9"/>
                <w:color w:val="auto"/>
              </w:rPr>
            </w:pPr>
          </w:p>
        </w:tc>
        <w:tc>
          <w:tcPr>
            <w:tcW w:w="680" w:type="dxa"/>
            <w:vAlign w:val="bottom"/>
            <w:gridSpan w:val="3"/>
          </w:tcPr>
          <w:p>
            <w:pPr>
              <w:ind w:left="20"/>
              <w:spacing w:after="0"/>
              <w:rPr>
                <w:sz w:val="20"/>
                <w:szCs w:val="20"/>
                <w:color w:val="auto"/>
              </w:rPr>
            </w:pPr>
            <w:r>
              <w:rPr>
                <w:rFonts w:ascii="Arial" w:cs="Arial" w:eastAsia="Arial" w:hAnsi="Arial"/>
                <w:sz w:val="9"/>
                <w:szCs w:val="9"/>
                <w:b w:val="1"/>
                <w:bCs w:val="1"/>
                <w:color w:val="auto"/>
              </w:rPr>
              <w:t>Amortization</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Value</w:t>
            </w:r>
          </w:p>
        </w:tc>
      </w:tr>
      <w:tr>
        <w:trPr>
          <w:trHeight w:val="88"/>
        </w:trPr>
        <w:tc>
          <w:tcPr>
            <w:tcW w:w="344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Technology/Technical Know-How</w:t>
            </w:r>
          </w:p>
        </w:tc>
        <w:tc>
          <w:tcPr>
            <w:tcW w:w="22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5"/>
                <w:szCs w:val="5"/>
                <w:b w:val="1"/>
                <w:bCs w:val="1"/>
                <w:color w:val="auto"/>
                <w:w w:val="70"/>
              </w:rPr>
              <w:t>$</w:t>
            </w: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1,875</w:t>
            </w:r>
          </w:p>
        </w:tc>
        <w:tc>
          <w:tcPr>
            <w:tcW w:w="28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15"/>
              <w:spacing w:after="0" w:line="88" w:lineRule="exact"/>
              <w:rPr>
                <w:sz w:val="20"/>
                <w:szCs w:val="20"/>
                <w:color w:val="auto"/>
              </w:rPr>
            </w:pPr>
            <w:r>
              <w:rPr>
                <w:rFonts w:ascii="Arial" w:cs="Arial" w:eastAsia="Arial" w:hAnsi="Arial"/>
                <w:sz w:val="9"/>
                <w:szCs w:val="9"/>
                <w:b w:val="1"/>
                <w:bCs w:val="1"/>
                <w:color w:val="auto"/>
                <w:w w:val="78"/>
              </w:rPr>
              <w:t>$</w:t>
            </w: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341</w:t>
            </w:r>
          </w:p>
        </w:tc>
        <w:tc>
          <w:tcPr>
            <w:tcW w:w="6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3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1,534</w:t>
            </w:r>
          </w:p>
        </w:tc>
        <w:tc>
          <w:tcPr>
            <w:tcW w:w="5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1,846</w:t>
            </w:r>
          </w:p>
        </w:tc>
        <w:tc>
          <w:tcPr>
            <w:tcW w:w="3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215</w:t>
            </w:r>
          </w:p>
        </w:tc>
        <w:tc>
          <w:tcPr>
            <w:tcW w:w="1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1,631</w:t>
            </w:r>
          </w:p>
        </w:tc>
        <w:tc>
          <w:tcPr>
            <w:tcW w:w="40" w:type="dxa"/>
            <w:vAlign w:val="bottom"/>
            <w:tcBorders>
              <w:top w:val="single" w:sz="8" w:color="CCEEFF"/>
            </w:tcBorders>
            <w:shd w:val="clear" w:color="auto" w:fill="CCEEFF"/>
          </w:tcPr>
          <w:p>
            <w:pPr>
              <w:spacing w:after="0"/>
              <w:rPr>
                <w:sz w:val="7"/>
                <w:szCs w:val="7"/>
                <w:color w:val="auto"/>
              </w:rPr>
            </w:pPr>
          </w:p>
        </w:tc>
      </w:tr>
      <w:tr>
        <w:trPr>
          <w:trHeight w:val="99"/>
        </w:trPr>
        <w:tc>
          <w:tcPr>
            <w:tcW w:w="3440" w:type="dxa"/>
            <w:vAlign w:val="bottom"/>
          </w:tcPr>
          <w:p>
            <w:pPr>
              <w:spacing w:after="0" w:line="99" w:lineRule="exact"/>
              <w:rPr>
                <w:sz w:val="20"/>
                <w:szCs w:val="20"/>
                <w:color w:val="auto"/>
              </w:rPr>
            </w:pPr>
            <w:r>
              <w:rPr>
                <w:rFonts w:ascii="Arial" w:cs="Arial" w:eastAsia="Arial" w:hAnsi="Arial"/>
                <w:sz w:val="9"/>
                <w:szCs w:val="9"/>
                <w:color w:val="auto"/>
              </w:rPr>
              <w:t>Tradenames</w:t>
            </w: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1,677</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131</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1,546</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1,678</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61</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1,617</w:t>
            </w:r>
          </w:p>
        </w:tc>
      </w:tr>
      <w:tr>
        <w:trPr>
          <w:trHeight w:val="99"/>
        </w:trPr>
        <w:tc>
          <w:tcPr>
            <w:tcW w:w="344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Customer Relationships</w:t>
            </w:r>
          </w:p>
        </w:tc>
        <w:tc>
          <w:tcPr>
            <w:tcW w:w="2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1,954</w:t>
            </w: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209</w:t>
            </w: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1,745</w:t>
            </w: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1,963</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129</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1,834</w:t>
            </w:r>
          </w:p>
        </w:tc>
      </w:tr>
      <w:tr>
        <w:trPr>
          <w:trHeight w:val="99"/>
        </w:trPr>
        <w:tc>
          <w:tcPr>
            <w:tcW w:w="3440" w:type="dxa"/>
            <w:vAlign w:val="bottom"/>
          </w:tcPr>
          <w:p>
            <w:pPr>
              <w:spacing w:after="0" w:line="99" w:lineRule="exact"/>
              <w:rPr>
                <w:sz w:val="20"/>
                <w:szCs w:val="20"/>
                <w:color w:val="auto"/>
              </w:rPr>
            </w:pPr>
            <w:r>
              <w:rPr>
                <w:rFonts w:ascii="Arial" w:cs="Arial" w:eastAsia="Arial" w:hAnsi="Arial"/>
                <w:sz w:val="9"/>
                <w:szCs w:val="9"/>
                <w:color w:val="auto"/>
              </w:rPr>
              <w:t>Other</w:t>
            </w: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356</w:t>
            </w: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299</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57</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378</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298</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80</w:t>
            </w:r>
          </w:p>
        </w:tc>
      </w:tr>
      <w:tr>
        <w:trPr>
          <w:trHeight w:val="20"/>
        </w:trPr>
        <w:tc>
          <w:tcPr>
            <w:tcW w:w="344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7"/>
        </w:trPr>
        <w:tc>
          <w:tcPr>
            <w:tcW w:w="3440" w:type="dxa"/>
            <w:vAlign w:val="bottom"/>
            <w:shd w:val="clear" w:color="auto" w:fill="CCEEFF"/>
          </w:tcPr>
          <w:p>
            <w:pPr>
              <w:spacing w:after="0"/>
              <w:rPr>
                <w:sz w:val="8"/>
                <w:szCs w:val="8"/>
                <w:color w:val="auto"/>
              </w:rPr>
            </w:pPr>
          </w:p>
        </w:tc>
        <w:tc>
          <w:tcPr>
            <w:tcW w:w="2320" w:type="dxa"/>
            <w:vAlign w:val="bottom"/>
            <w:gridSpan w:val="2"/>
            <w:shd w:val="clear" w:color="auto" w:fill="CCEEFF"/>
          </w:tcPr>
          <w:p>
            <w:pPr>
              <w:jc w:val="right"/>
              <w:ind w:right="46"/>
              <w:spacing w:after="0" w:line="98" w:lineRule="exact"/>
              <w:rPr>
                <w:sz w:val="20"/>
                <w:szCs w:val="20"/>
                <w:color w:val="auto"/>
              </w:rPr>
            </w:pPr>
            <w:r>
              <w:rPr>
                <w:rFonts w:ascii="Arial" w:cs="Arial" w:eastAsia="Arial" w:hAnsi="Arial"/>
                <w:sz w:val="9"/>
                <w:szCs w:val="9"/>
                <w:b w:val="1"/>
                <w:bCs w:val="1"/>
                <w:color w:val="auto"/>
              </w:rPr>
              <w:t>$</w:t>
            </w:r>
          </w:p>
        </w:tc>
        <w:tc>
          <w:tcPr>
            <w:tcW w:w="32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5,862</w:t>
            </w:r>
          </w:p>
        </w:tc>
        <w:tc>
          <w:tcPr>
            <w:tcW w:w="2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15"/>
              <w:spacing w:after="0" w:line="98" w:lineRule="exact"/>
              <w:rPr>
                <w:sz w:val="20"/>
                <w:szCs w:val="20"/>
                <w:color w:val="auto"/>
              </w:rPr>
            </w:pPr>
            <w:r>
              <w:rPr>
                <w:rFonts w:ascii="Arial" w:cs="Arial" w:eastAsia="Arial" w:hAnsi="Arial"/>
                <w:sz w:val="9"/>
                <w:szCs w:val="9"/>
                <w:b w:val="1"/>
                <w:bCs w:val="1"/>
                <w:color w:val="auto"/>
                <w:w w:val="78"/>
              </w:rPr>
              <w:t>$</w:t>
            </w:r>
          </w:p>
        </w:tc>
        <w:tc>
          <w:tcPr>
            <w:tcW w:w="40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980</w:t>
            </w: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4,882</w:t>
            </w: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5,865</w:t>
            </w: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703</w:t>
            </w: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5,162</w:t>
            </w:r>
          </w:p>
        </w:tc>
      </w:tr>
      <w:tr>
        <w:trPr>
          <w:trHeight w:val="20"/>
        </w:trPr>
        <w:tc>
          <w:tcPr>
            <w:tcW w:w="3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7" w:lineRule="exact"/>
        <w:rPr>
          <w:sz w:val="20"/>
          <w:szCs w:val="20"/>
          <w:color w:val="auto"/>
        </w:rPr>
      </w:pPr>
    </w:p>
    <w:p>
      <w:pPr>
        <w:ind w:left="228"/>
        <w:spacing w:after="0"/>
        <w:rPr>
          <w:sz w:val="20"/>
          <w:szCs w:val="20"/>
          <w:color w:val="auto"/>
        </w:rPr>
      </w:pPr>
      <w:r>
        <w:rPr>
          <w:rFonts w:ascii="Arial" w:cs="Arial" w:eastAsia="Arial" w:hAnsi="Arial"/>
          <w:sz w:val="12"/>
          <w:szCs w:val="12"/>
          <w:color w:val="auto"/>
        </w:rPr>
        <w:t>Amortization expense was $325 million in 2011, $190 million in 2010 and $114 million in 2009.</w:t>
      </w:r>
    </w:p>
    <w:p>
      <w:pPr>
        <w:spacing w:after="0" w:line="10" w:lineRule="exact"/>
        <w:rPr>
          <w:sz w:val="20"/>
          <w:szCs w:val="20"/>
          <w:color w:val="auto"/>
        </w:rPr>
      </w:pPr>
    </w:p>
    <w:p>
      <w:pPr>
        <w:ind w:left="228"/>
        <w:spacing w:after="0"/>
        <w:rPr>
          <w:sz w:val="20"/>
          <w:szCs w:val="20"/>
          <w:color w:val="auto"/>
        </w:rPr>
      </w:pPr>
      <w:r>
        <w:rPr>
          <w:rFonts w:ascii="Arial" w:cs="Arial" w:eastAsia="Arial" w:hAnsi="Arial"/>
          <w:sz w:val="12"/>
          <w:szCs w:val="12"/>
          <w:color w:val="auto"/>
        </w:rPr>
        <w:t>The weighted average amortization period for all intangible assets is approximately 21 years.</w:t>
      </w:r>
    </w:p>
    <w:p>
      <w:pPr>
        <w:spacing w:after="0" w:line="6" w:lineRule="exact"/>
        <w:rPr>
          <w:sz w:val="20"/>
          <w:szCs w:val="20"/>
          <w:color w:val="auto"/>
        </w:rPr>
      </w:pPr>
    </w:p>
    <w:p>
      <w:pPr>
        <w:ind w:left="228"/>
        <w:spacing w:after="0"/>
        <w:rPr>
          <w:sz w:val="20"/>
          <w:szCs w:val="20"/>
          <w:color w:val="auto"/>
        </w:rPr>
      </w:pPr>
      <w:r>
        <w:rPr>
          <w:rFonts w:ascii="Arial" w:cs="Arial" w:eastAsia="Arial" w:hAnsi="Arial"/>
          <w:sz w:val="12"/>
          <w:szCs w:val="12"/>
          <w:color w:val="auto"/>
        </w:rPr>
        <w:t>Amortization expense for the subsequent five years is estimated to be as follows: 2012—$323 million, 2013—$304 million, 2014—$298 million, 2015—$287 million and 2016—$268 million.</w:t>
      </w:r>
    </w:p>
    <w:p>
      <w:pPr>
        <w:spacing w:after="0" w:line="108" w:lineRule="exact"/>
        <w:rPr>
          <w:sz w:val="20"/>
          <w:szCs w:val="20"/>
          <w:color w:val="auto"/>
        </w:rPr>
      </w:pPr>
    </w:p>
    <w:p>
      <w:pPr>
        <w:ind w:left="8" w:right="8860" w:hanging="8"/>
        <w:spacing w:after="0" w:line="458" w:lineRule="auto"/>
        <w:tabs>
          <w:tab w:leader="none" w:pos="301" w:val="left"/>
        </w:tabs>
        <w:numPr>
          <w:ilvl w:val="0"/>
          <w:numId w:val="34"/>
        </w:numPr>
        <w:rPr>
          <w:rFonts w:ascii="Arial" w:cs="Arial" w:eastAsia="Arial" w:hAnsi="Arial"/>
          <w:sz w:val="9"/>
          <w:szCs w:val="9"/>
          <w:b w:val="1"/>
          <w:bCs w:val="1"/>
          <w:color w:val="auto"/>
        </w:rPr>
      </w:pPr>
      <w:r>
        <w:rPr>
          <w:rFonts w:ascii="Arial" w:cs="Arial" w:eastAsia="Arial" w:hAnsi="Arial"/>
          <w:sz w:val="9"/>
          <w:szCs w:val="9"/>
          <w:b w:val="1"/>
          <w:bCs w:val="1"/>
          <w:u w:val="single" w:color="auto"/>
          <w:color w:val="auto"/>
        </w:rPr>
        <w:t xml:space="preserve">Long-term Debt and Debt Facility Agreements </w:t>
      </w:r>
      <w:r>
        <w:rPr>
          <w:rFonts w:ascii="Arial" w:cs="Arial" w:eastAsia="Arial" w:hAnsi="Arial"/>
          <w:sz w:val="9"/>
          <w:szCs w:val="9"/>
          <w:i w:val="1"/>
          <w:iCs w:val="1"/>
          <w:color w:val="auto"/>
        </w:rPr>
        <w:t xml:space="preserve">Long-term Debt </w:t>
      </w:r>
      <w:r>
        <w:rPr>
          <w:rFonts w:ascii="Arial" w:cs="Arial" w:eastAsia="Arial" w:hAnsi="Arial"/>
          <w:sz w:val="9"/>
          <w:szCs w:val="9"/>
          <w:color w:val="auto"/>
        </w:rPr>
        <w:t>consists of the following:</w:t>
      </w:r>
    </w:p>
    <w:tbl>
      <w:tblPr>
        <w:tblLayout w:type="fixed"/>
        <w:tblInd w:w="8" w:type="dxa"/>
        <w:tblCellMar>
          <w:top w:w="0" w:type="dxa"/>
          <w:left w:w="0" w:type="dxa"/>
          <w:bottom w:w="0" w:type="dxa"/>
          <w:right w:w="0" w:type="dxa"/>
        </w:tblCellMar>
      </w:tblPr>
      <w:tr>
        <w:trPr>
          <w:trHeight w:val="116"/>
        </w:trPr>
        <w:tc>
          <w:tcPr>
            <w:tcW w:w="240" w:type="dxa"/>
            <w:vAlign w:val="bottom"/>
          </w:tcPr>
          <w:p>
            <w:pPr>
              <w:spacing w:after="0"/>
              <w:rPr>
                <w:sz w:val="10"/>
                <w:szCs w:val="10"/>
                <w:color w:val="auto"/>
              </w:rPr>
            </w:pPr>
          </w:p>
        </w:tc>
        <w:tc>
          <w:tcPr>
            <w:tcW w:w="10080" w:type="dxa"/>
            <w:vAlign w:val="bottom"/>
          </w:tcPr>
          <w:p>
            <w:pPr>
              <w:spacing w:after="0"/>
              <w:rPr>
                <w:sz w:val="10"/>
                <w:szCs w:val="10"/>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9"/>
                <w:szCs w:val="9"/>
                <w:b w:val="1"/>
                <w:bCs w:val="1"/>
                <w:color w:val="auto"/>
              </w:rPr>
              <w:t>(Stated in millions)</w:t>
            </w:r>
          </w:p>
        </w:tc>
      </w:tr>
      <w:tr>
        <w:trPr>
          <w:trHeight w:val="199"/>
        </w:trPr>
        <w:tc>
          <w:tcPr>
            <w:tcW w:w="10320" w:type="dxa"/>
            <w:vAlign w:val="bottom"/>
            <w:gridSpan w:val="2"/>
          </w:tcPr>
          <w:p>
            <w:pPr>
              <w:spacing w:after="0"/>
              <w:rPr>
                <w:sz w:val="20"/>
                <w:szCs w:val="20"/>
                <w:color w:val="auto"/>
              </w:rPr>
            </w:pPr>
            <w:r>
              <w:rPr>
                <w:rFonts w:ascii="Arial" w:cs="Arial" w:eastAsia="Arial" w:hAnsi="Arial"/>
                <w:sz w:val="9"/>
                <w:szCs w:val="9"/>
                <w:b w:val="1"/>
                <w:bCs w:val="1"/>
                <w:color w:val="auto"/>
              </w:rPr>
              <w:t>As at December 31,</w:t>
            </w:r>
          </w:p>
        </w:tc>
        <w:tc>
          <w:tcPr>
            <w:tcW w:w="68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2011</w:t>
            </w: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rPr>
              <w:t>2010</w:t>
            </w:r>
          </w:p>
        </w:tc>
        <w:tc>
          <w:tcPr>
            <w:tcW w:w="80" w:type="dxa"/>
            <w:vAlign w:val="bottom"/>
          </w:tcPr>
          <w:p>
            <w:pPr>
              <w:spacing w:after="0"/>
              <w:rPr>
                <w:sz w:val="17"/>
                <w:szCs w:val="17"/>
                <w:color w:val="auto"/>
              </w:rPr>
            </w:pPr>
          </w:p>
        </w:tc>
      </w:tr>
      <w:tr>
        <w:trPr>
          <w:trHeight w:val="88"/>
        </w:trPr>
        <w:tc>
          <w:tcPr>
            <w:tcW w:w="10320" w:type="dxa"/>
            <w:vAlign w:val="bottom"/>
            <w:tcBorders>
              <w:top w:val="single" w:sz="8" w:color="CCEEFF"/>
            </w:tcBorders>
            <w:gridSpan w:val="2"/>
            <w:shd w:val="clear" w:color="auto" w:fill="CCEEFF"/>
          </w:tcPr>
          <w:p>
            <w:pPr>
              <w:spacing w:after="0" w:line="88" w:lineRule="exact"/>
              <w:rPr>
                <w:sz w:val="20"/>
                <w:szCs w:val="20"/>
                <w:color w:val="auto"/>
              </w:rPr>
            </w:pPr>
            <w:r>
              <w:rPr>
                <w:rFonts w:ascii="Arial" w:cs="Arial" w:eastAsia="Arial" w:hAnsi="Arial"/>
                <w:sz w:val="9"/>
                <w:szCs w:val="9"/>
                <w:color w:val="auto"/>
              </w:rPr>
              <w:t>3.300% Senior Notes due 2021</w:t>
            </w: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$1,595</w:t>
            </w:r>
          </w:p>
        </w:tc>
        <w:tc>
          <w:tcPr>
            <w:tcW w:w="2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240" w:type="dxa"/>
            <w:vAlign w:val="bottom"/>
          </w:tcPr>
          <w:p>
            <w:pPr>
              <w:spacing w:after="0" w:line="99" w:lineRule="exact"/>
              <w:rPr>
                <w:sz w:val="20"/>
                <w:szCs w:val="20"/>
                <w:color w:val="auto"/>
              </w:rPr>
            </w:pPr>
            <w:r>
              <w:rPr>
                <w:rFonts w:ascii="Arial" w:cs="Arial" w:eastAsia="Arial" w:hAnsi="Arial"/>
                <w:sz w:val="9"/>
                <w:szCs w:val="9"/>
                <w:color w:val="auto"/>
                <w:w w:val="86"/>
              </w:rPr>
              <w:t>4.50%</w:t>
            </w:r>
          </w:p>
        </w:tc>
        <w:tc>
          <w:tcPr>
            <w:tcW w:w="10080" w:type="dxa"/>
            <w:vAlign w:val="bottom"/>
          </w:tcPr>
          <w:p>
            <w:pPr>
              <w:spacing w:after="0" w:line="99" w:lineRule="exact"/>
              <w:rPr>
                <w:sz w:val="20"/>
                <w:szCs w:val="20"/>
                <w:color w:val="auto"/>
              </w:rPr>
            </w:pPr>
            <w:r>
              <w:rPr>
                <w:rFonts w:ascii="Arial" w:cs="Arial" w:eastAsia="Arial" w:hAnsi="Arial"/>
                <w:sz w:val="9"/>
                <w:szCs w:val="9"/>
                <w:color w:val="auto"/>
              </w:rPr>
              <w:t>Guaranteed Notes due 2014</w:t>
            </w:r>
          </w:p>
        </w:tc>
        <w:tc>
          <w:tcPr>
            <w:tcW w:w="68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1,297</w:t>
            </w:r>
          </w:p>
        </w:tc>
        <w:tc>
          <w:tcPr>
            <w:tcW w:w="400" w:type="dxa"/>
            <w:vAlign w:val="bottom"/>
          </w:tcPr>
          <w:p>
            <w:pPr>
              <w:jc w:val="right"/>
              <w:spacing w:after="0" w:line="99" w:lineRule="exact"/>
              <w:rPr>
                <w:sz w:val="20"/>
                <w:szCs w:val="20"/>
                <w:color w:val="auto"/>
              </w:rPr>
            </w:pPr>
            <w:r>
              <w:rPr>
                <w:rFonts w:ascii="Arial" w:cs="Arial" w:eastAsia="Arial" w:hAnsi="Arial"/>
                <w:sz w:val="9"/>
                <w:szCs w:val="9"/>
                <w:color w:val="auto"/>
              </w:rPr>
              <w:t>1,319</w:t>
            </w:r>
          </w:p>
        </w:tc>
        <w:tc>
          <w:tcPr>
            <w:tcW w:w="80" w:type="dxa"/>
            <w:vAlign w:val="bottom"/>
          </w:tcPr>
          <w:p>
            <w:pPr>
              <w:spacing w:after="0"/>
              <w:rPr>
                <w:sz w:val="8"/>
                <w:szCs w:val="8"/>
                <w:color w:val="auto"/>
              </w:rPr>
            </w:pPr>
          </w:p>
        </w:tc>
      </w:tr>
      <w:tr>
        <w:trPr>
          <w:trHeight w:val="99"/>
        </w:trPr>
        <w:tc>
          <w:tcPr>
            <w:tcW w:w="24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w w:val="86"/>
              </w:rPr>
              <w:t>2.75%</w:t>
            </w:r>
          </w:p>
        </w:tc>
        <w:tc>
          <w:tcPr>
            <w:tcW w:w="100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Guaranteed Notes due 2015</w:t>
            </w:r>
          </w:p>
        </w:tc>
        <w:tc>
          <w:tcPr>
            <w:tcW w:w="6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1,290</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1,310</w:t>
            </w:r>
          </w:p>
        </w:tc>
        <w:tc>
          <w:tcPr>
            <w:tcW w:w="80" w:type="dxa"/>
            <w:vAlign w:val="bottom"/>
            <w:shd w:val="clear" w:color="auto" w:fill="CCEEFF"/>
          </w:tcPr>
          <w:p>
            <w:pPr>
              <w:spacing w:after="0"/>
              <w:rPr>
                <w:sz w:val="8"/>
                <w:szCs w:val="8"/>
                <w:color w:val="auto"/>
              </w:rPr>
            </w:pPr>
          </w:p>
        </w:tc>
      </w:tr>
      <w:tr>
        <w:trPr>
          <w:trHeight w:val="99"/>
        </w:trPr>
        <w:tc>
          <w:tcPr>
            <w:tcW w:w="10320" w:type="dxa"/>
            <w:vAlign w:val="bottom"/>
            <w:gridSpan w:val="2"/>
          </w:tcPr>
          <w:p>
            <w:pPr>
              <w:spacing w:after="0" w:line="99" w:lineRule="exact"/>
              <w:rPr>
                <w:sz w:val="20"/>
                <w:szCs w:val="20"/>
                <w:color w:val="auto"/>
              </w:rPr>
            </w:pPr>
            <w:r>
              <w:rPr>
                <w:rFonts w:ascii="Arial" w:cs="Arial" w:eastAsia="Arial" w:hAnsi="Arial"/>
                <w:sz w:val="9"/>
                <w:szCs w:val="9"/>
                <w:color w:val="auto"/>
              </w:rPr>
              <w:t>1.950% Senior Notes due 2016</w:t>
            </w:r>
          </w:p>
        </w:tc>
        <w:tc>
          <w:tcPr>
            <w:tcW w:w="68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1,099</w:t>
            </w:r>
          </w:p>
        </w:tc>
        <w:tc>
          <w:tcPr>
            <w:tcW w:w="48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r>
      <w:tr>
        <w:trPr>
          <w:trHeight w:val="99"/>
        </w:trPr>
        <w:tc>
          <w:tcPr>
            <w:tcW w:w="103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4.200% Senior Notes due 2021</w:t>
            </w:r>
          </w:p>
        </w:tc>
        <w:tc>
          <w:tcPr>
            <w:tcW w:w="6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1,099</w:t>
            </w:r>
          </w:p>
        </w:tc>
        <w:tc>
          <w:tcPr>
            <w:tcW w:w="48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r>
      <w:tr>
        <w:trPr>
          <w:trHeight w:val="99"/>
        </w:trPr>
        <w:tc>
          <w:tcPr>
            <w:tcW w:w="240" w:type="dxa"/>
            <w:vAlign w:val="bottom"/>
          </w:tcPr>
          <w:p>
            <w:pPr>
              <w:spacing w:after="0" w:line="99" w:lineRule="exact"/>
              <w:rPr>
                <w:sz w:val="20"/>
                <w:szCs w:val="20"/>
                <w:color w:val="auto"/>
              </w:rPr>
            </w:pPr>
            <w:r>
              <w:rPr>
                <w:rFonts w:ascii="Arial" w:cs="Arial" w:eastAsia="Arial" w:hAnsi="Arial"/>
                <w:sz w:val="9"/>
                <w:szCs w:val="9"/>
                <w:color w:val="auto"/>
                <w:w w:val="86"/>
              </w:rPr>
              <w:t>5.25%</w:t>
            </w:r>
          </w:p>
        </w:tc>
        <w:tc>
          <w:tcPr>
            <w:tcW w:w="10080" w:type="dxa"/>
            <w:vAlign w:val="bottom"/>
          </w:tcPr>
          <w:p>
            <w:pPr>
              <w:spacing w:after="0" w:line="99" w:lineRule="exact"/>
              <w:rPr>
                <w:sz w:val="20"/>
                <w:szCs w:val="20"/>
                <w:color w:val="auto"/>
              </w:rPr>
            </w:pPr>
            <w:r>
              <w:rPr>
                <w:rFonts w:ascii="Arial" w:cs="Arial" w:eastAsia="Arial" w:hAnsi="Arial"/>
                <w:sz w:val="9"/>
                <w:szCs w:val="9"/>
                <w:color w:val="auto"/>
              </w:rPr>
              <w:t>Guaranteed Notes due 2013</w:t>
            </w:r>
          </w:p>
        </w:tc>
        <w:tc>
          <w:tcPr>
            <w:tcW w:w="68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649</w:t>
            </w:r>
          </w:p>
        </w:tc>
        <w:tc>
          <w:tcPr>
            <w:tcW w:w="400" w:type="dxa"/>
            <w:vAlign w:val="bottom"/>
          </w:tcPr>
          <w:p>
            <w:pPr>
              <w:jc w:val="right"/>
              <w:spacing w:after="0" w:line="99" w:lineRule="exact"/>
              <w:rPr>
                <w:sz w:val="20"/>
                <w:szCs w:val="20"/>
                <w:color w:val="auto"/>
              </w:rPr>
            </w:pPr>
            <w:r>
              <w:rPr>
                <w:rFonts w:ascii="Arial" w:cs="Arial" w:eastAsia="Arial" w:hAnsi="Arial"/>
                <w:sz w:val="9"/>
                <w:szCs w:val="9"/>
                <w:color w:val="auto"/>
              </w:rPr>
              <w:t>659</w:t>
            </w:r>
          </w:p>
        </w:tc>
        <w:tc>
          <w:tcPr>
            <w:tcW w:w="80" w:type="dxa"/>
            <w:vAlign w:val="bottom"/>
          </w:tcPr>
          <w:p>
            <w:pPr>
              <w:spacing w:after="0"/>
              <w:rPr>
                <w:sz w:val="8"/>
                <w:szCs w:val="8"/>
                <w:color w:val="auto"/>
              </w:rPr>
            </w:pPr>
          </w:p>
        </w:tc>
      </w:tr>
      <w:tr>
        <w:trPr>
          <w:trHeight w:val="99"/>
        </w:trPr>
        <w:tc>
          <w:tcPr>
            <w:tcW w:w="103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2.650% Senior Notes due 2016</w:t>
            </w:r>
          </w:p>
        </w:tc>
        <w:tc>
          <w:tcPr>
            <w:tcW w:w="6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498</w:t>
            </w:r>
          </w:p>
        </w:tc>
        <w:tc>
          <w:tcPr>
            <w:tcW w:w="48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r>
      <w:tr>
        <w:trPr>
          <w:trHeight w:val="99"/>
        </w:trPr>
        <w:tc>
          <w:tcPr>
            <w:tcW w:w="240" w:type="dxa"/>
            <w:vAlign w:val="bottom"/>
          </w:tcPr>
          <w:p>
            <w:pPr>
              <w:spacing w:after="0" w:line="99" w:lineRule="exact"/>
              <w:rPr>
                <w:sz w:val="20"/>
                <w:szCs w:val="20"/>
                <w:color w:val="auto"/>
              </w:rPr>
            </w:pPr>
            <w:r>
              <w:rPr>
                <w:rFonts w:ascii="Arial" w:cs="Arial" w:eastAsia="Arial" w:hAnsi="Arial"/>
                <w:sz w:val="9"/>
                <w:szCs w:val="9"/>
                <w:color w:val="auto"/>
                <w:w w:val="86"/>
              </w:rPr>
              <w:t>3.00%</w:t>
            </w:r>
          </w:p>
        </w:tc>
        <w:tc>
          <w:tcPr>
            <w:tcW w:w="10080" w:type="dxa"/>
            <w:vAlign w:val="bottom"/>
          </w:tcPr>
          <w:p>
            <w:pPr>
              <w:spacing w:after="0" w:line="99" w:lineRule="exact"/>
              <w:rPr>
                <w:sz w:val="20"/>
                <w:szCs w:val="20"/>
                <w:color w:val="auto"/>
              </w:rPr>
            </w:pPr>
            <w:r>
              <w:rPr>
                <w:rFonts w:ascii="Arial" w:cs="Arial" w:eastAsia="Arial" w:hAnsi="Arial"/>
                <w:sz w:val="9"/>
                <w:szCs w:val="9"/>
                <w:color w:val="auto"/>
              </w:rPr>
              <w:t>Guaranteed Notes due 2013</w:t>
            </w:r>
          </w:p>
        </w:tc>
        <w:tc>
          <w:tcPr>
            <w:tcW w:w="68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450</w:t>
            </w:r>
          </w:p>
        </w:tc>
        <w:tc>
          <w:tcPr>
            <w:tcW w:w="400" w:type="dxa"/>
            <w:vAlign w:val="bottom"/>
          </w:tcPr>
          <w:p>
            <w:pPr>
              <w:jc w:val="right"/>
              <w:spacing w:after="0" w:line="99" w:lineRule="exact"/>
              <w:rPr>
                <w:sz w:val="20"/>
                <w:szCs w:val="20"/>
                <w:color w:val="auto"/>
              </w:rPr>
            </w:pPr>
            <w:r>
              <w:rPr>
                <w:rFonts w:ascii="Arial" w:cs="Arial" w:eastAsia="Arial" w:hAnsi="Arial"/>
                <w:sz w:val="9"/>
                <w:szCs w:val="9"/>
                <w:color w:val="auto"/>
              </w:rPr>
              <w:t>450</w:t>
            </w:r>
          </w:p>
        </w:tc>
        <w:tc>
          <w:tcPr>
            <w:tcW w:w="80" w:type="dxa"/>
            <w:vAlign w:val="bottom"/>
          </w:tcPr>
          <w:p>
            <w:pPr>
              <w:spacing w:after="0"/>
              <w:rPr>
                <w:sz w:val="8"/>
                <w:szCs w:val="8"/>
                <w:color w:val="auto"/>
              </w:rPr>
            </w:pPr>
          </w:p>
        </w:tc>
      </w:tr>
      <w:tr>
        <w:trPr>
          <w:trHeight w:val="99"/>
        </w:trPr>
        <w:tc>
          <w:tcPr>
            <w:tcW w:w="103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Floating Rate Senior Notes due 2014</w:t>
            </w:r>
          </w:p>
        </w:tc>
        <w:tc>
          <w:tcPr>
            <w:tcW w:w="6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300</w:t>
            </w:r>
          </w:p>
        </w:tc>
        <w:tc>
          <w:tcPr>
            <w:tcW w:w="48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r>
      <w:tr>
        <w:trPr>
          <w:trHeight w:val="99"/>
        </w:trPr>
        <w:tc>
          <w:tcPr>
            <w:tcW w:w="240" w:type="dxa"/>
            <w:vAlign w:val="bottom"/>
          </w:tcPr>
          <w:p>
            <w:pPr>
              <w:spacing w:after="0" w:line="99" w:lineRule="exact"/>
              <w:rPr>
                <w:sz w:val="20"/>
                <w:szCs w:val="20"/>
                <w:color w:val="auto"/>
              </w:rPr>
            </w:pPr>
            <w:r>
              <w:rPr>
                <w:rFonts w:ascii="Arial" w:cs="Arial" w:eastAsia="Arial" w:hAnsi="Arial"/>
                <w:sz w:val="9"/>
                <w:szCs w:val="9"/>
                <w:color w:val="auto"/>
                <w:w w:val="86"/>
              </w:rPr>
              <w:t>9.75%</w:t>
            </w:r>
          </w:p>
        </w:tc>
        <w:tc>
          <w:tcPr>
            <w:tcW w:w="10080" w:type="dxa"/>
            <w:vAlign w:val="bottom"/>
          </w:tcPr>
          <w:p>
            <w:pPr>
              <w:spacing w:after="0" w:line="99" w:lineRule="exact"/>
              <w:rPr>
                <w:sz w:val="20"/>
                <w:szCs w:val="20"/>
                <w:color w:val="auto"/>
              </w:rPr>
            </w:pPr>
            <w:r>
              <w:rPr>
                <w:rFonts w:ascii="Arial" w:cs="Arial" w:eastAsia="Arial" w:hAnsi="Arial"/>
                <w:sz w:val="9"/>
                <w:szCs w:val="9"/>
                <w:color w:val="auto"/>
              </w:rPr>
              <w:t>Senior Notes due 2019</w:t>
            </w:r>
          </w:p>
        </w:tc>
        <w:tc>
          <w:tcPr>
            <w:tcW w:w="68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tcPr>
          <w:p>
            <w:pPr>
              <w:jc w:val="right"/>
              <w:spacing w:after="0" w:line="99" w:lineRule="exact"/>
              <w:rPr>
                <w:sz w:val="20"/>
                <w:szCs w:val="20"/>
                <w:color w:val="auto"/>
              </w:rPr>
            </w:pPr>
            <w:r>
              <w:rPr>
                <w:rFonts w:ascii="Arial" w:cs="Arial" w:eastAsia="Arial" w:hAnsi="Arial"/>
                <w:sz w:val="9"/>
                <w:szCs w:val="9"/>
                <w:color w:val="auto"/>
              </w:rPr>
              <w:t>776</w:t>
            </w:r>
          </w:p>
        </w:tc>
        <w:tc>
          <w:tcPr>
            <w:tcW w:w="80" w:type="dxa"/>
            <w:vAlign w:val="bottom"/>
          </w:tcPr>
          <w:p>
            <w:pPr>
              <w:spacing w:after="0"/>
              <w:rPr>
                <w:sz w:val="8"/>
                <w:szCs w:val="8"/>
                <w:color w:val="auto"/>
              </w:rPr>
            </w:pPr>
          </w:p>
        </w:tc>
      </w:tr>
      <w:tr>
        <w:trPr>
          <w:trHeight w:val="99"/>
        </w:trPr>
        <w:tc>
          <w:tcPr>
            <w:tcW w:w="103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8.625% Senior Notes due 2014</w:t>
            </w:r>
          </w:p>
        </w:tc>
        <w:tc>
          <w:tcPr>
            <w:tcW w:w="6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272</w:t>
            </w:r>
          </w:p>
        </w:tc>
        <w:tc>
          <w:tcPr>
            <w:tcW w:w="80" w:type="dxa"/>
            <w:vAlign w:val="bottom"/>
            <w:shd w:val="clear" w:color="auto" w:fill="CCEEFF"/>
          </w:tcPr>
          <w:p>
            <w:pPr>
              <w:spacing w:after="0"/>
              <w:rPr>
                <w:sz w:val="8"/>
                <w:szCs w:val="8"/>
                <w:color w:val="auto"/>
              </w:rPr>
            </w:pPr>
          </w:p>
        </w:tc>
      </w:tr>
      <w:tr>
        <w:trPr>
          <w:trHeight w:val="99"/>
        </w:trPr>
        <w:tc>
          <w:tcPr>
            <w:tcW w:w="240" w:type="dxa"/>
            <w:vAlign w:val="bottom"/>
          </w:tcPr>
          <w:p>
            <w:pPr>
              <w:spacing w:after="0" w:line="99" w:lineRule="exact"/>
              <w:rPr>
                <w:sz w:val="20"/>
                <w:szCs w:val="20"/>
                <w:color w:val="auto"/>
              </w:rPr>
            </w:pPr>
            <w:r>
              <w:rPr>
                <w:rFonts w:ascii="Arial" w:cs="Arial" w:eastAsia="Arial" w:hAnsi="Arial"/>
                <w:sz w:val="9"/>
                <w:szCs w:val="9"/>
                <w:color w:val="auto"/>
                <w:w w:val="86"/>
              </w:rPr>
              <w:t>6.00%</w:t>
            </w:r>
          </w:p>
        </w:tc>
        <w:tc>
          <w:tcPr>
            <w:tcW w:w="10080" w:type="dxa"/>
            <w:vAlign w:val="bottom"/>
          </w:tcPr>
          <w:p>
            <w:pPr>
              <w:spacing w:after="0" w:line="99" w:lineRule="exact"/>
              <w:rPr>
                <w:sz w:val="20"/>
                <w:szCs w:val="20"/>
                <w:color w:val="auto"/>
              </w:rPr>
            </w:pPr>
            <w:r>
              <w:rPr>
                <w:rFonts w:ascii="Arial" w:cs="Arial" w:eastAsia="Arial" w:hAnsi="Arial"/>
                <w:sz w:val="9"/>
                <w:szCs w:val="9"/>
                <w:color w:val="auto"/>
              </w:rPr>
              <w:t>Senior Notes due 2016</w:t>
            </w:r>
          </w:p>
        </w:tc>
        <w:tc>
          <w:tcPr>
            <w:tcW w:w="68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tcPr>
          <w:p>
            <w:pPr>
              <w:jc w:val="right"/>
              <w:spacing w:after="0" w:line="99" w:lineRule="exact"/>
              <w:rPr>
                <w:sz w:val="20"/>
                <w:szCs w:val="20"/>
                <w:color w:val="auto"/>
              </w:rPr>
            </w:pPr>
            <w:r>
              <w:rPr>
                <w:rFonts w:ascii="Arial" w:cs="Arial" w:eastAsia="Arial" w:hAnsi="Arial"/>
                <w:sz w:val="9"/>
                <w:szCs w:val="9"/>
                <w:color w:val="auto"/>
              </w:rPr>
              <w:t>218</w:t>
            </w:r>
          </w:p>
        </w:tc>
        <w:tc>
          <w:tcPr>
            <w:tcW w:w="80" w:type="dxa"/>
            <w:vAlign w:val="bottom"/>
          </w:tcPr>
          <w:p>
            <w:pPr>
              <w:spacing w:after="0"/>
              <w:rPr>
                <w:sz w:val="8"/>
                <w:szCs w:val="8"/>
                <w:color w:val="auto"/>
              </w:rPr>
            </w:pPr>
          </w:p>
        </w:tc>
      </w:tr>
      <w:tr>
        <w:trPr>
          <w:trHeight w:val="99"/>
        </w:trPr>
        <w:tc>
          <w:tcPr>
            <w:tcW w:w="103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Commercial paper borrowings</w:t>
            </w:r>
          </w:p>
        </w:tc>
        <w:tc>
          <w:tcPr>
            <w:tcW w:w="6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367</w:t>
            </w:r>
          </w:p>
        </w:tc>
        <w:tc>
          <w:tcPr>
            <w:tcW w:w="80" w:type="dxa"/>
            <w:vAlign w:val="bottom"/>
            <w:shd w:val="clear" w:color="auto" w:fill="CCEEFF"/>
          </w:tcPr>
          <w:p>
            <w:pPr>
              <w:spacing w:after="0"/>
              <w:rPr>
                <w:sz w:val="8"/>
                <w:szCs w:val="8"/>
                <w:color w:val="auto"/>
              </w:rPr>
            </w:pPr>
          </w:p>
        </w:tc>
      </w:tr>
      <w:tr>
        <w:trPr>
          <w:trHeight w:val="99"/>
        </w:trPr>
        <w:tc>
          <w:tcPr>
            <w:tcW w:w="10320" w:type="dxa"/>
            <w:vAlign w:val="bottom"/>
            <w:tcBorders>
              <w:bottom w:val="single" w:sz="8" w:color="auto"/>
            </w:tcBorders>
            <w:gridSpan w:val="2"/>
          </w:tcPr>
          <w:p>
            <w:pPr>
              <w:spacing w:after="0" w:line="99" w:lineRule="exact"/>
              <w:rPr>
                <w:sz w:val="20"/>
                <w:szCs w:val="20"/>
                <w:color w:val="auto"/>
              </w:rPr>
            </w:pPr>
            <w:r>
              <w:rPr>
                <w:rFonts w:ascii="Arial" w:cs="Arial" w:eastAsia="Arial" w:hAnsi="Arial"/>
                <w:sz w:val="9"/>
                <w:szCs w:val="9"/>
                <w:color w:val="auto"/>
              </w:rPr>
              <w:t>Other variable rate debt</w:t>
            </w:r>
          </w:p>
        </w:tc>
        <w:tc>
          <w:tcPr>
            <w:tcW w:w="4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b w:val="1"/>
                <w:bCs w:val="1"/>
                <w:color w:val="auto"/>
              </w:rPr>
              <w:t>271</w:t>
            </w:r>
          </w:p>
        </w:tc>
        <w:tc>
          <w:tcPr>
            <w:tcW w:w="280" w:type="dxa"/>
            <w:vAlign w:val="bottom"/>
          </w:tcPr>
          <w:p>
            <w:pPr>
              <w:spacing w:after="0"/>
              <w:rPr>
                <w:sz w:val="8"/>
                <w:szCs w:val="8"/>
                <w:color w:val="auto"/>
              </w:rPr>
            </w:pPr>
          </w:p>
        </w:tc>
        <w:tc>
          <w:tcPr>
            <w:tcW w:w="4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133</w:t>
            </w:r>
          </w:p>
        </w:tc>
        <w:tc>
          <w:tcPr>
            <w:tcW w:w="80" w:type="dxa"/>
            <w:vAlign w:val="bottom"/>
          </w:tcPr>
          <w:p>
            <w:pPr>
              <w:spacing w:after="0"/>
              <w:rPr>
                <w:sz w:val="8"/>
                <w:szCs w:val="8"/>
                <w:color w:val="auto"/>
              </w:rPr>
            </w:pPr>
          </w:p>
        </w:tc>
      </w:tr>
      <w:tr>
        <w:trPr>
          <w:trHeight w:val="97"/>
        </w:trPr>
        <w:tc>
          <w:tcPr>
            <w:tcW w:w="240" w:type="dxa"/>
            <w:vAlign w:val="bottom"/>
            <w:shd w:val="clear" w:color="auto" w:fill="CCEEFF"/>
          </w:tcPr>
          <w:p>
            <w:pPr>
              <w:spacing w:after="0"/>
              <w:rPr>
                <w:sz w:val="8"/>
                <w:szCs w:val="8"/>
                <w:color w:val="auto"/>
              </w:rPr>
            </w:pPr>
          </w:p>
        </w:tc>
        <w:tc>
          <w:tcPr>
            <w:tcW w:w="100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b w:val="1"/>
                <w:bCs w:val="1"/>
                <w:color w:val="auto"/>
              </w:rPr>
              <w:t>8,548</w:t>
            </w:r>
          </w:p>
        </w:tc>
        <w:tc>
          <w:tcPr>
            <w:tcW w:w="4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5,504</w:t>
            </w:r>
          </w:p>
        </w:tc>
        <w:tc>
          <w:tcPr>
            <w:tcW w:w="80" w:type="dxa"/>
            <w:vAlign w:val="bottom"/>
            <w:shd w:val="clear" w:color="auto" w:fill="CCEEFF"/>
          </w:tcPr>
          <w:p>
            <w:pPr>
              <w:spacing w:after="0"/>
              <w:rPr>
                <w:sz w:val="8"/>
                <w:szCs w:val="8"/>
                <w:color w:val="auto"/>
              </w:rPr>
            </w:pPr>
          </w:p>
        </w:tc>
      </w:tr>
      <w:tr>
        <w:trPr>
          <w:trHeight w:val="99"/>
        </w:trPr>
        <w:tc>
          <w:tcPr>
            <w:tcW w:w="10320" w:type="dxa"/>
            <w:vAlign w:val="bottom"/>
            <w:tcBorders>
              <w:bottom w:val="single" w:sz="8" w:color="auto"/>
            </w:tcBorders>
            <w:gridSpan w:val="2"/>
          </w:tcPr>
          <w:p>
            <w:pPr>
              <w:spacing w:after="0" w:line="99" w:lineRule="exact"/>
              <w:rPr>
                <w:sz w:val="20"/>
                <w:szCs w:val="20"/>
                <w:color w:val="auto"/>
              </w:rPr>
            </w:pPr>
            <w:r>
              <w:rPr>
                <w:rFonts w:ascii="Arial" w:cs="Arial" w:eastAsia="Arial" w:hAnsi="Arial"/>
                <w:sz w:val="7"/>
                <w:szCs w:val="7"/>
                <w:color w:val="auto"/>
              </w:rPr>
              <w:t xml:space="preserve">Fair value adjustment – hedging </w:t>
            </w:r>
            <w:r>
              <w:rPr>
                <w:rFonts w:ascii="Arial" w:cs="Arial" w:eastAsia="Arial" w:hAnsi="Arial"/>
                <w:sz w:val="11"/>
                <w:szCs w:val="11"/>
                <w:color w:val="auto"/>
                <w:vertAlign w:val="superscript"/>
              </w:rPr>
              <w:t>(1)</w:t>
            </w:r>
          </w:p>
        </w:tc>
        <w:tc>
          <w:tcPr>
            <w:tcW w:w="4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b w:val="1"/>
                <w:bCs w:val="1"/>
                <w:color w:val="auto"/>
              </w:rPr>
              <w:t>8</w:t>
            </w:r>
          </w:p>
        </w:tc>
        <w:tc>
          <w:tcPr>
            <w:tcW w:w="280" w:type="dxa"/>
            <w:vAlign w:val="bottom"/>
          </w:tcPr>
          <w:p>
            <w:pPr>
              <w:spacing w:after="0"/>
              <w:rPr>
                <w:sz w:val="8"/>
                <w:szCs w:val="8"/>
                <w:color w:val="auto"/>
              </w:rPr>
            </w:pPr>
          </w:p>
        </w:tc>
        <w:tc>
          <w:tcPr>
            <w:tcW w:w="4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13</w:t>
            </w:r>
          </w:p>
        </w:tc>
        <w:tc>
          <w:tcPr>
            <w:tcW w:w="80" w:type="dxa"/>
            <w:vAlign w:val="bottom"/>
          </w:tcPr>
          <w:p>
            <w:pPr>
              <w:spacing w:after="0"/>
              <w:rPr>
                <w:sz w:val="8"/>
                <w:szCs w:val="8"/>
                <w:color w:val="auto"/>
              </w:rPr>
            </w:pPr>
          </w:p>
        </w:tc>
      </w:tr>
      <w:tr>
        <w:trPr>
          <w:trHeight w:val="97"/>
        </w:trPr>
        <w:tc>
          <w:tcPr>
            <w:tcW w:w="240" w:type="dxa"/>
            <w:vAlign w:val="bottom"/>
            <w:shd w:val="clear" w:color="auto" w:fill="CCEEFF"/>
          </w:tcPr>
          <w:p>
            <w:pPr>
              <w:spacing w:after="0"/>
              <w:rPr>
                <w:sz w:val="8"/>
                <w:szCs w:val="8"/>
                <w:color w:val="auto"/>
              </w:rPr>
            </w:pPr>
          </w:p>
        </w:tc>
        <w:tc>
          <w:tcPr>
            <w:tcW w:w="10080" w:type="dxa"/>
            <w:vAlign w:val="bottom"/>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$8,556</w:t>
            </w:r>
          </w:p>
        </w:tc>
        <w:tc>
          <w:tcPr>
            <w:tcW w:w="280" w:type="dxa"/>
            <w:vAlign w:val="bottom"/>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$5,517</w:t>
            </w:r>
          </w:p>
        </w:tc>
        <w:tc>
          <w:tcPr>
            <w:tcW w:w="80" w:type="dxa"/>
            <w:vAlign w:val="bottom"/>
            <w:shd w:val="clear" w:color="auto" w:fill="CCEEFF"/>
          </w:tcPr>
          <w:p>
            <w:pPr>
              <w:spacing w:after="0"/>
              <w:rPr>
                <w:sz w:val="8"/>
                <w:szCs w:val="8"/>
                <w:color w:val="auto"/>
              </w:rPr>
            </w:pPr>
          </w:p>
        </w:tc>
      </w:tr>
    </w:tbl>
    <w:p>
      <w:pPr>
        <w:spacing w:after="0" w:line="102" w:lineRule="exact"/>
        <w:rPr>
          <w:sz w:val="20"/>
          <w:szCs w:val="20"/>
          <w:color w:val="auto"/>
        </w:rPr>
      </w:pPr>
    </w:p>
    <w:p>
      <w:pPr>
        <w:ind w:left="108" w:hanging="108"/>
        <w:spacing w:after="0"/>
        <w:tabs>
          <w:tab w:leader="none" w:pos="108" w:val="left"/>
        </w:tabs>
        <w:numPr>
          <w:ilvl w:val="0"/>
          <w:numId w:val="35"/>
        </w:numPr>
        <w:rPr>
          <w:rFonts w:ascii="Arial" w:cs="Arial" w:eastAsia="Arial" w:hAnsi="Arial"/>
          <w:sz w:val="13"/>
          <w:szCs w:val="13"/>
          <w:color w:val="auto"/>
          <w:vertAlign w:val="superscript"/>
        </w:rPr>
      </w:pPr>
      <w:r>
        <w:rPr>
          <w:rFonts w:ascii="Arial" w:cs="Arial" w:eastAsia="Arial" w:hAnsi="Arial"/>
          <w:sz w:val="8"/>
          <w:szCs w:val="8"/>
          <w:color w:val="auto"/>
        </w:rPr>
        <w:t>Represents changes in the fair value of the portion of Schlumberger’s fixed rate debt that is hedged through the use of interest rate swaps.</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51</w:t>
      </w:r>
    </w:p>
    <w:p>
      <w:pPr>
        <w:sectPr>
          <w:pgSz w:w="11900" w:h="16838" w:orient="portrait"/>
          <w:cols w:equalWidth="0" w:num="1">
            <w:col w:w="11488"/>
          </w:cols>
          <w:pgMar w:left="212" w:top="354" w:right="199"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100" w:firstLine="230"/>
        <w:spacing w:after="0" w:line="258" w:lineRule="auto"/>
        <w:rPr>
          <w:sz w:val="20"/>
          <w:szCs w:val="20"/>
          <w:color w:val="auto"/>
        </w:rPr>
      </w:pPr>
      <w:r>
        <w:rPr>
          <w:rFonts w:ascii="Arial" w:cs="Arial" w:eastAsia="Arial" w:hAnsi="Arial"/>
          <w:sz w:val="12"/>
          <w:szCs w:val="12"/>
          <w:color w:val="auto"/>
        </w:rPr>
        <w:t>During the third quarter of 2011, Schlumberger issued $1.1 billion of 1.950% Senior Notes due 2016, $1.6 billion of 3.300% Senior Notes due 2021 and $300 million of Floating Rate Senior Notes due 2014 that bear interest at a rate equal to three-month LIBOR plus 55 basis points per year.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During the first quarter of 2011, Schlumberger issued $1.1 billion of 4.200% Senior Notes due 2021.</w:t>
      </w:r>
    </w:p>
    <w:p>
      <w:pPr>
        <w:spacing w:after="0" w:line="15" w:lineRule="exact"/>
        <w:rPr>
          <w:sz w:val="20"/>
          <w:szCs w:val="20"/>
          <w:color w:val="auto"/>
        </w:rPr>
      </w:pPr>
    </w:p>
    <w:p>
      <w:pPr>
        <w:ind w:right="140" w:firstLine="230"/>
        <w:spacing w:after="0" w:line="258" w:lineRule="auto"/>
        <w:rPr>
          <w:sz w:val="20"/>
          <w:szCs w:val="20"/>
          <w:color w:val="auto"/>
        </w:rPr>
      </w:pPr>
      <w:r>
        <w:rPr>
          <w:rFonts w:ascii="Arial" w:cs="Arial" w:eastAsia="Arial" w:hAnsi="Arial"/>
          <w:sz w:val="12"/>
          <w:szCs w:val="12"/>
          <w:color w:val="auto"/>
        </w:rPr>
        <w:t>During the first quarter of 2011, Schlumberger issued $500 million of 2.650% Senior Notes due 2016. Schlumberger entered into agreements to swap these dollar notes for euros on the date of issue until maturity, effectively making this a euro denominated debt on which Schlumberger will pay interest in euros at a rate of 2.39%.</w:t>
      </w:r>
    </w:p>
    <w:p>
      <w:pPr>
        <w:spacing w:after="0" w:line="1" w:lineRule="exact"/>
        <w:rPr>
          <w:sz w:val="20"/>
          <w:szCs w:val="20"/>
          <w:color w:val="auto"/>
        </w:rPr>
      </w:pPr>
    </w:p>
    <w:p>
      <w:pPr>
        <w:ind w:right="120" w:firstLine="230"/>
        <w:spacing w:after="0" w:line="258" w:lineRule="auto"/>
        <w:rPr>
          <w:sz w:val="20"/>
          <w:szCs w:val="20"/>
          <w:color w:val="auto"/>
        </w:rPr>
      </w:pPr>
      <w:r>
        <w:rPr>
          <w:rFonts w:ascii="Arial" w:cs="Arial" w:eastAsia="Arial" w:hAnsi="Arial"/>
          <w:sz w:val="12"/>
          <w:szCs w:val="12"/>
          <w:color w:val="auto"/>
        </w:rPr>
        <w:t>During the first quarter of 2011, Schlumberger repurchased all of the outstanding 9.75% Senior Notes due 2019, the 8.625% Senior Notes due 2014 and the 6.00% Senior Notes due 2016 for approximately $1.26 billion. These transactions did not result in any significant gains or losses.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During the third and fourth quarters of 2010, Schlumberger repurchased all of its $650 million 6.50% Notes due 2012.</w:t>
      </w:r>
    </w:p>
    <w:p>
      <w:pPr>
        <w:spacing w:after="0" w:line="15" w:lineRule="exact"/>
        <w:rPr>
          <w:sz w:val="20"/>
          <w:szCs w:val="20"/>
          <w:color w:val="auto"/>
        </w:rPr>
      </w:pPr>
    </w:p>
    <w:p>
      <w:pPr>
        <w:ind w:right="20" w:firstLine="230"/>
        <w:spacing w:after="0" w:line="339" w:lineRule="auto"/>
        <w:rPr>
          <w:sz w:val="20"/>
          <w:szCs w:val="20"/>
          <w:color w:val="auto"/>
        </w:rPr>
      </w:pPr>
      <w:r>
        <w:rPr>
          <w:rFonts w:ascii="Arial" w:cs="Arial" w:eastAsia="Arial" w:hAnsi="Arial"/>
          <w:sz w:val="9"/>
          <w:szCs w:val="9"/>
          <w:color w:val="auto"/>
        </w:rPr>
        <w:t>Schlumberger maintains a €3.0 billion Euro Medium Term Note program that provides for the issuance of various types of debt instruments such as fixed or floating rate notes in euro, US dollar or other currencies. Schlumberger issued €1.0 billion 2.75% Guaranteed Notes due 2015 in the fourth quarter of 2010 under this program. Schlumberger entered into agreements to swap these euro notes for US dollars on the date of issue until maturity, effectively making this a US dollar denominated debt on which Schlumberger will pay interest in US dollars at a rate of 2.56%. Schlumberger also issued €1.0 billion 4.50% Guaranteed Notes due 2014 in the first quarter of 2009 under this program. Schlumberger entered into agreements to swap these euro notes for US dollars on the date of issue until maturity, effectively making this a US dollar denominated debt on which Schlumberger will pay interest in US dollars at a rate of 4.95%.</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During the third quarter of 2009, Schlumberger issued $450 million of 3.00% Guaranteed Notes due 2013.</w:t>
      </w:r>
    </w:p>
    <w:p>
      <w:pPr>
        <w:spacing w:after="0" w:line="15" w:lineRule="exact"/>
        <w:rPr>
          <w:sz w:val="20"/>
          <w:szCs w:val="20"/>
          <w:color w:val="auto"/>
        </w:rPr>
      </w:pPr>
    </w:p>
    <w:p>
      <w:pPr>
        <w:jc w:val="both"/>
        <w:ind w:right="360" w:firstLine="230"/>
        <w:spacing w:after="0" w:line="255" w:lineRule="auto"/>
        <w:rPr>
          <w:sz w:val="20"/>
          <w:szCs w:val="20"/>
          <w:color w:val="auto"/>
        </w:rPr>
      </w:pPr>
      <w:r>
        <w:rPr>
          <w:rFonts w:ascii="Arial" w:cs="Arial" w:eastAsia="Arial" w:hAnsi="Arial"/>
          <w:sz w:val="12"/>
          <w:szCs w:val="12"/>
          <w:color w:val="auto"/>
        </w:rPr>
        <w:t>Commercial paper borrowings outstanding at December 31, 2011 and 2010 include certain notes issued in currencies other than the US dollar which were swapped for US dollars and pounds sterling on the date of issue until maturity. Commercial paper borrowings are classified as long-term debt to the extent of their backup by available and unused committed credit facilities maturing in more than one year and to the extent it is Schlumberger’s intent to maintain these obligations for longer than one year.</w:t>
      </w:r>
    </w:p>
    <w:p>
      <w:pPr>
        <w:spacing w:after="0" w:line="1" w:lineRule="exact"/>
        <w:rPr>
          <w:sz w:val="20"/>
          <w:szCs w:val="20"/>
          <w:color w:val="auto"/>
        </w:rPr>
      </w:pPr>
    </w:p>
    <w:p>
      <w:pPr>
        <w:ind w:right="60" w:firstLine="230"/>
        <w:spacing w:after="0" w:line="254" w:lineRule="auto"/>
        <w:rPr>
          <w:sz w:val="20"/>
          <w:szCs w:val="20"/>
          <w:color w:val="auto"/>
        </w:rPr>
      </w:pPr>
      <w:r>
        <w:rPr>
          <w:rFonts w:ascii="Arial" w:cs="Arial" w:eastAsia="Arial" w:hAnsi="Arial"/>
          <w:sz w:val="12"/>
          <w:szCs w:val="12"/>
          <w:color w:val="auto"/>
        </w:rPr>
        <w:t xml:space="preserve">At December 31, 2011, Schlumberger had separate committed debt facility agreements aggregating $4.1 billion with commercial banks, of which $2.8 billion was available and unused. This included $3.5 billion of committed facilities which support commercial paper programs in the United States and Europe, of which $0.5 billion mature in December 2012 and $3.0 billion mature in July 2016. Interest rates and other terms of borrowing under these lines of credit vary from country to country. Borrowings under the commercial paper programs at December 31, 2011 were $0.9 billion ($1.9 billion at December 31, 2010). At December 31, 2011, all of the $0.9 billion of outstanding commercial paper borrowings were classified within </w:t>
      </w:r>
      <w:r>
        <w:rPr>
          <w:rFonts w:ascii="Arial" w:cs="Arial" w:eastAsia="Arial" w:hAnsi="Arial"/>
          <w:sz w:val="12"/>
          <w:szCs w:val="12"/>
          <w:i w:val="1"/>
          <w:iCs w:val="1"/>
          <w:color w:val="auto"/>
        </w:rPr>
        <w:t>Long-term debt – current portion</w:t>
      </w:r>
      <w:r>
        <w:rPr>
          <w:rFonts w:ascii="Arial" w:cs="Arial" w:eastAsia="Arial" w:hAnsi="Arial"/>
          <w:sz w:val="12"/>
          <w:szCs w:val="12"/>
          <w:color w:val="auto"/>
        </w:rPr>
        <w:t xml:space="preserve"> in the </w:t>
      </w:r>
      <w:r>
        <w:rPr>
          <w:rFonts w:ascii="Arial" w:cs="Arial" w:eastAsia="Arial" w:hAnsi="Arial"/>
          <w:sz w:val="12"/>
          <w:szCs w:val="12"/>
          <w:i w:val="1"/>
          <w:iCs w:val="1"/>
          <w:color w:val="auto"/>
        </w:rPr>
        <w:t>Consolidated Balance Sheet</w:t>
      </w:r>
      <w:r>
        <w:rPr>
          <w:rFonts w:ascii="Arial" w:cs="Arial" w:eastAsia="Arial" w:hAnsi="Arial"/>
          <w:sz w:val="12"/>
          <w:szCs w:val="12"/>
          <w:color w:val="auto"/>
        </w:rPr>
        <w:t>.</w:t>
      </w:r>
    </w:p>
    <w:p>
      <w:pPr>
        <w:spacing w:after="0" w:line="1" w:lineRule="exact"/>
        <w:rPr>
          <w:sz w:val="20"/>
          <w:szCs w:val="20"/>
          <w:color w:val="auto"/>
        </w:rPr>
      </w:pPr>
    </w:p>
    <w:p>
      <w:pPr>
        <w:ind w:right="220" w:firstLine="230"/>
        <w:spacing w:after="0" w:line="268" w:lineRule="auto"/>
        <w:rPr>
          <w:sz w:val="20"/>
          <w:szCs w:val="20"/>
          <w:color w:val="auto"/>
        </w:rPr>
      </w:pPr>
      <w:r>
        <w:rPr>
          <w:rFonts w:ascii="Arial" w:cs="Arial" w:eastAsia="Arial" w:hAnsi="Arial"/>
          <w:sz w:val="12"/>
          <w:szCs w:val="12"/>
          <w:color w:val="auto"/>
        </w:rPr>
        <w:t xml:space="preserve">A summary of </w:t>
      </w:r>
      <w:r>
        <w:rPr>
          <w:rFonts w:ascii="Arial" w:cs="Arial" w:eastAsia="Arial" w:hAnsi="Arial"/>
          <w:sz w:val="12"/>
          <w:szCs w:val="12"/>
          <w:i w:val="1"/>
          <w:iCs w:val="1"/>
          <w:color w:val="auto"/>
        </w:rPr>
        <w:t>Long-term Debt</w:t>
      </w:r>
      <w:r>
        <w:rPr>
          <w:rFonts w:ascii="Arial" w:cs="Arial" w:eastAsia="Arial" w:hAnsi="Arial"/>
          <w:sz w:val="12"/>
          <w:szCs w:val="12"/>
          <w:color w:val="auto"/>
        </w:rPr>
        <w:t xml:space="preserve"> by currency, analyzed by Bonds and Notes, Commercial Paper (CP) and Other, at December 31 follows. As described in further detail above, the currencies are presented after taking into account currency swaps entered into on the date of issuance until maturity.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9"/>
                <w:szCs w:val="9"/>
                <w:b w:val="1"/>
                <w:bCs w:val="1"/>
                <w:color w:val="auto"/>
              </w:rPr>
              <w:t>(Stated in millions)</w:t>
            </w:r>
          </w:p>
        </w:tc>
      </w:tr>
      <w:tr>
        <w:trPr>
          <w:trHeight w:val="199"/>
        </w:trPr>
        <w:tc>
          <w:tcPr>
            <w:tcW w:w="59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9"/>
                <w:szCs w:val="9"/>
                <w:b w:val="1"/>
                <w:bCs w:val="1"/>
                <w:color w:val="auto"/>
              </w:rPr>
              <w:t>2011</w:t>
            </w: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ind w:left="460"/>
              <w:spacing w:after="0"/>
              <w:rPr>
                <w:sz w:val="20"/>
                <w:szCs w:val="20"/>
                <w:color w:val="auto"/>
              </w:rPr>
            </w:pPr>
            <w:r>
              <w:rPr>
                <w:rFonts w:ascii="Arial" w:cs="Arial" w:eastAsia="Arial" w:hAnsi="Arial"/>
                <w:sz w:val="9"/>
                <w:szCs w:val="9"/>
                <w:b w:val="1"/>
                <w:bCs w:val="1"/>
                <w:color w:val="auto"/>
              </w:rPr>
              <w:t>2010</w:t>
            </w: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79"/>
        </w:trPr>
        <w:tc>
          <w:tcPr>
            <w:tcW w:w="5960" w:type="dxa"/>
            <w:vAlign w:val="bottom"/>
          </w:tcPr>
          <w:p>
            <w:pPr>
              <w:spacing w:after="0"/>
              <w:rPr>
                <w:sz w:val="6"/>
                <w:szCs w:val="6"/>
                <w:color w:val="auto"/>
              </w:rPr>
            </w:pPr>
          </w:p>
        </w:tc>
        <w:tc>
          <w:tcPr>
            <w:tcW w:w="1040" w:type="dxa"/>
            <w:vAlign w:val="bottom"/>
            <w:gridSpan w:val="2"/>
          </w:tcPr>
          <w:p>
            <w:pPr>
              <w:jc w:val="right"/>
              <w:ind w:right="280"/>
              <w:spacing w:after="0" w:line="79" w:lineRule="exact"/>
              <w:rPr>
                <w:sz w:val="20"/>
                <w:szCs w:val="20"/>
                <w:color w:val="auto"/>
              </w:rPr>
            </w:pPr>
            <w:r>
              <w:rPr>
                <w:rFonts w:ascii="Arial" w:cs="Arial" w:eastAsia="Arial" w:hAnsi="Arial"/>
                <w:sz w:val="9"/>
                <w:szCs w:val="9"/>
                <w:b w:val="1"/>
                <w:bCs w:val="1"/>
                <w:color w:val="auto"/>
              </w:rPr>
              <w:t>Bonds and</w:t>
            </w: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jc w:val="right"/>
              <w:spacing w:after="0" w:line="79" w:lineRule="exact"/>
              <w:rPr>
                <w:sz w:val="20"/>
                <w:szCs w:val="20"/>
                <w:color w:val="auto"/>
              </w:rPr>
            </w:pPr>
            <w:r>
              <w:rPr>
                <w:rFonts w:ascii="Arial" w:cs="Arial" w:eastAsia="Arial" w:hAnsi="Arial"/>
                <w:sz w:val="9"/>
                <w:szCs w:val="9"/>
                <w:b w:val="1"/>
                <w:bCs w:val="1"/>
                <w:color w:val="auto"/>
              </w:rPr>
              <w:t>Bonds and</w:t>
            </w: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08"/>
        </w:trPr>
        <w:tc>
          <w:tcPr>
            <w:tcW w:w="5960" w:type="dxa"/>
            <w:vAlign w:val="bottom"/>
          </w:tcPr>
          <w:p>
            <w:pPr>
              <w:spacing w:after="0"/>
              <w:rPr>
                <w:sz w:val="9"/>
                <w:szCs w:val="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Notes</w:t>
            </w:r>
          </w:p>
        </w:tc>
        <w:tc>
          <w:tcPr>
            <w:tcW w:w="46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CP</w:t>
            </w:r>
          </w:p>
        </w:tc>
        <w:tc>
          <w:tcPr>
            <w:tcW w:w="62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Other</w:t>
            </w:r>
          </w:p>
        </w:tc>
        <w:tc>
          <w:tcPr>
            <w:tcW w:w="380" w:type="dxa"/>
            <w:vAlign w:val="bottom"/>
          </w:tcPr>
          <w:p>
            <w:pPr>
              <w:jc w:val="right"/>
              <w:spacing w:after="0"/>
              <w:rPr>
                <w:sz w:val="20"/>
                <w:szCs w:val="20"/>
                <w:color w:val="auto"/>
              </w:rPr>
            </w:pPr>
            <w:r>
              <w:rPr>
                <w:rFonts w:ascii="Arial" w:cs="Arial" w:eastAsia="Arial" w:hAnsi="Arial"/>
                <w:sz w:val="9"/>
                <w:szCs w:val="9"/>
                <w:b w:val="1"/>
                <w:bCs w:val="1"/>
                <w:color w:val="auto"/>
              </w:rPr>
              <w:t>Total</w:t>
            </w:r>
          </w:p>
        </w:tc>
        <w:tc>
          <w:tcPr>
            <w:tcW w:w="28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b w:val="1"/>
                <w:bCs w:val="1"/>
                <w:color w:val="auto"/>
              </w:rPr>
              <w:t>Notes</w:t>
            </w:r>
          </w:p>
        </w:tc>
        <w:tc>
          <w:tcPr>
            <w:tcW w:w="280" w:type="dxa"/>
            <w:vAlign w:val="bottom"/>
          </w:tcPr>
          <w:p>
            <w:pPr>
              <w:spacing w:after="0"/>
              <w:rPr>
                <w:sz w:val="9"/>
                <w:szCs w:val="9"/>
                <w:color w:val="auto"/>
              </w:rPr>
            </w:pPr>
          </w:p>
        </w:tc>
        <w:tc>
          <w:tcPr>
            <w:tcW w:w="580" w:type="dxa"/>
            <w:vAlign w:val="bottom"/>
            <w:gridSpan w:val="2"/>
          </w:tcPr>
          <w:p>
            <w:pPr>
              <w:ind w:left="180"/>
              <w:spacing w:after="0"/>
              <w:rPr>
                <w:sz w:val="20"/>
                <w:szCs w:val="20"/>
                <w:color w:val="auto"/>
              </w:rPr>
            </w:pPr>
            <w:r>
              <w:rPr>
                <w:rFonts w:ascii="Arial" w:cs="Arial" w:eastAsia="Arial" w:hAnsi="Arial"/>
                <w:sz w:val="9"/>
                <w:szCs w:val="9"/>
                <w:b w:val="1"/>
                <w:bCs w:val="1"/>
                <w:color w:val="auto"/>
              </w:rPr>
              <w:t>CP</w:t>
            </w:r>
          </w:p>
        </w:tc>
        <w:tc>
          <w:tcPr>
            <w:tcW w:w="620" w:type="dxa"/>
            <w:vAlign w:val="bottom"/>
            <w:gridSpan w:val="2"/>
          </w:tcPr>
          <w:p>
            <w:pPr>
              <w:ind w:left="100"/>
              <w:spacing w:after="0"/>
              <w:rPr>
                <w:sz w:val="20"/>
                <w:szCs w:val="20"/>
                <w:color w:val="auto"/>
              </w:rPr>
            </w:pPr>
            <w:r>
              <w:rPr>
                <w:rFonts w:ascii="Arial" w:cs="Arial" w:eastAsia="Arial" w:hAnsi="Arial"/>
                <w:sz w:val="9"/>
                <w:szCs w:val="9"/>
                <w:b w:val="1"/>
                <w:bCs w:val="1"/>
                <w:color w:val="auto"/>
              </w:rPr>
              <w:t>Other</w:t>
            </w:r>
          </w:p>
        </w:tc>
        <w:tc>
          <w:tcPr>
            <w:tcW w:w="48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Total</w:t>
            </w:r>
          </w:p>
        </w:tc>
      </w:tr>
      <w:tr>
        <w:trPr>
          <w:trHeight w:val="88"/>
        </w:trPr>
        <w:tc>
          <w:tcPr>
            <w:tcW w:w="596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US dollar</w:t>
            </w:r>
          </w:p>
        </w:tc>
        <w:tc>
          <w:tcPr>
            <w:tcW w:w="7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$7,787</w:t>
            </w:r>
          </w:p>
        </w:tc>
        <w:tc>
          <w:tcPr>
            <w:tcW w:w="28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w:t>
            </w:r>
          </w:p>
        </w:tc>
        <w:tc>
          <w:tcPr>
            <w:tcW w:w="28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$47</w:t>
            </w:r>
          </w:p>
        </w:tc>
        <w:tc>
          <w:tcPr>
            <w:tcW w:w="3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$7,834</w:t>
            </w:r>
          </w:p>
        </w:tc>
        <w:tc>
          <w:tcPr>
            <w:tcW w:w="28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$5,017</w:t>
            </w:r>
          </w:p>
        </w:tc>
        <w:tc>
          <w:tcPr>
            <w:tcW w:w="28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28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$104</w:t>
            </w:r>
          </w:p>
        </w:tc>
        <w:tc>
          <w:tcPr>
            <w:tcW w:w="2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$5,121</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5960" w:type="dxa"/>
            <w:vAlign w:val="bottom"/>
          </w:tcPr>
          <w:p>
            <w:pPr>
              <w:spacing w:after="0" w:line="99" w:lineRule="exact"/>
              <w:rPr>
                <w:sz w:val="20"/>
                <w:szCs w:val="20"/>
                <w:color w:val="auto"/>
              </w:rPr>
            </w:pPr>
            <w:r>
              <w:rPr>
                <w:rFonts w:ascii="Arial" w:cs="Arial" w:eastAsia="Arial" w:hAnsi="Arial"/>
                <w:sz w:val="9"/>
                <w:szCs w:val="9"/>
                <w:color w:val="auto"/>
              </w:rPr>
              <w:t>Euro</w:t>
            </w:r>
          </w:p>
        </w:tc>
        <w:tc>
          <w:tcPr>
            <w:tcW w:w="7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498</w:t>
            </w:r>
          </w:p>
        </w:tc>
        <w:tc>
          <w:tcPr>
            <w:tcW w:w="280" w:type="dxa"/>
            <w:vAlign w:val="bottom"/>
          </w:tcPr>
          <w:p>
            <w:pPr>
              <w:spacing w:after="0"/>
              <w:rPr>
                <w:sz w:val="8"/>
                <w:szCs w:val="8"/>
                <w:color w:val="auto"/>
              </w:rPr>
            </w:pPr>
          </w:p>
        </w:tc>
        <w:tc>
          <w:tcPr>
            <w:tcW w:w="46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w:t>
            </w:r>
          </w:p>
        </w:tc>
        <w:tc>
          <w:tcPr>
            <w:tcW w:w="3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151</w:t>
            </w:r>
          </w:p>
        </w:tc>
        <w:tc>
          <w:tcPr>
            <w:tcW w:w="30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649</w:t>
            </w:r>
          </w:p>
        </w:tc>
        <w:tc>
          <w:tcPr>
            <w:tcW w:w="28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spacing w:after="0" w:line="99" w:lineRule="exact"/>
              <w:rPr>
                <w:sz w:val="20"/>
                <w:szCs w:val="20"/>
                <w:color w:val="auto"/>
              </w:rPr>
            </w:pPr>
            <w:r>
              <w:rPr>
                <w:rFonts w:ascii="Arial" w:cs="Arial" w:eastAsia="Arial" w:hAnsi="Arial"/>
                <w:sz w:val="9"/>
                <w:szCs w:val="9"/>
                <w:color w:val="auto"/>
              </w:rPr>
              <w:t>183</w:t>
            </w:r>
          </w:p>
        </w:tc>
        <w:tc>
          <w:tcPr>
            <w:tcW w:w="280" w:type="dxa"/>
            <w:vAlign w:val="bottom"/>
          </w:tcPr>
          <w:p>
            <w:pPr>
              <w:spacing w:after="0"/>
              <w:rPr>
                <w:sz w:val="8"/>
                <w:szCs w:val="8"/>
                <w:color w:val="auto"/>
              </w:rPr>
            </w:pPr>
          </w:p>
        </w:tc>
        <w:tc>
          <w:tcPr>
            <w:tcW w:w="6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w:t>
            </w:r>
          </w:p>
        </w:tc>
        <w:tc>
          <w:tcPr>
            <w:tcW w:w="400" w:type="dxa"/>
            <w:vAlign w:val="bottom"/>
          </w:tcPr>
          <w:p>
            <w:pPr>
              <w:jc w:val="right"/>
              <w:spacing w:after="0" w:line="99" w:lineRule="exact"/>
              <w:rPr>
                <w:sz w:val="20"/>
                <w:szCs w:val="20"/>
                <w:color w:val="auto"/>
              </w:rPr>
            </w:pPr>
            <w:r>
              <w:rPr>
                <w:rFonts w:ascii="Arial" w:cs="Arial" w:eastAsia="Arial" w:hAnsi="Arial"/>
                <w:sz w:val="9"/>
                <w:szCs w:val="9"/>
                <w:color w:val="auto"/>
              </w:rPr>
              <w:t>183</w:t>
            </w:r>
          </w:p>
        </w:tc>
        <w:tc>
          <w:tcPr>
            <w:tcW w:w="80" w:type="dxa"/>
            <w:vAlign w:val="bottom"/>
          </w:tcPr>
          <w:p>
            <w:pPr>
              <w:spacing w:after="0"/>
              <w:rPr>
                <w:sz w:val="8"/>
                <w:szCs w:val="8"/>
                <w:color w:val="auto"/>
              </w:rPr>
            </w:pPr>
          </w:p>
        </w:tc>
      </w:tr>
      <w:tr>
        <w:trPr>
          <w:trHeight w:val="99"/>
        </w:trPr>
        <w:tc>
          <w:tcPr>
            <w:tcW w:w="59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Norwegian kroner</w:t>
            </w:r>
          </w:p>
        </w:tc>
        <w:tc>
          <w:tcPr>
            <w:tcW w:w="104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w:t>
            </w:r>
          </w:p>
        </w:tc>
        <w:tc>
          <w:tcPr>
            <w:tcW w:w="46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w:t>
            </w: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16</w:t>
            </w:r>
          </w:p>
        </w:tc>
        <w:tc>
          <w:tcPr>
            <w:tcW w:w="3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16</w:t>
            </w:r>
          </w:p>
        </w:tc>
        <w:tc>
          <w:tcPr>
            <w:tcW w:w="28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17</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17</w:t>
            </w:r>
          </w:p>
        </w:tc>
        <w:tc>
          <w:tcPr>
            <w:tcW w:w="80" w:type="dxa"/>
            <w:vAlign w:val="bottom"/>
            <w:shd w:val="clear" w:color="auto" w:fill="CCEEFF"/>
          </w:tcPr>
          <w:p>
            <w:pPr>
              <w:spacing w:after="0"/>
              <w:rPr>
                <w:sz w:val="8"/>
                <w:szCs w:val="8"/>
                <w:color w:val="auto"/>
              </w:rPr>
            </w:pPr>
          </w:p>
        </w:tc>
      </w:tr>
      <w:tr>
        <w:trPr>
          <w:trHeight w:val="99"/>
        </w:trPr>
        <w:tc>
          <w:tcPr>
            <w:tcW w:w="5960" w:type="dxa"/>
            <w:vAlign w:val="bottom"/>
          </w:tcPr>
          <w:p>
            <w:pPr>
              <w:spacing w:after="0" w:line="99" w:lineRule="exact"/>
              <w:rPr>
                <w:sz w:val="20"/>
                <w:szCs w:val="20"/>
                <w:color w:val="auto"/>
              </w:rPr>
            </w:pPr>
            <w:r>
              <w:rPr>
                <w:rFonts w:ascii="Arial" w:cs="Arial" w:eastAsia="Arial" w:hAnsi="Arial"/>
                <w:sz w:val="9"/>
                <w:szCs w:val="9"/>
                <w:color w:val="auto"/>
              </w:rPr>
              <w:t>Pound sterling</w:t>
            </w:r>
          </w:p>
        </w:tc>
        <w:tc>
          <w:tcPr>
            <w:tcW w:w="104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w:t>
            </w:r>
          </w:p>
        </w:tc>
        <w:tc>
          <w:tcPr>
            <w:tcW w:w="46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w:t>
            </w:r>
          </w:p>
        </w:tc>
        <w:tc>
          <w:tcPr>
            <w:tcW w:w="620" w:type="dxa"/>
            <w:vAlign w:val="bottom"/>
            <w:gridSpan w:val="2"/>
          </w:tcPr>
          <w:p>
            <w:pPr>
              <w:jc w:val="right"/>
              <w:ind w:right="300"/>
              <w:spacing w:after="0" w:line="99" w:lineRule="exact"/>
              <w:rPr>
                <w:sz w:val="20"/>
                <w:szCs w:val="20"/>
                <w:color w:val="auto"/>
              </w:rPr>
            </w:pPr>
            <w:r>
              <w:rPr>
                <w:rFonts w:ascii="Arial" w:cs="Arial" w:eastAsia="Arial" w:hAnsi="Arial"/>
                <w:sz w:val="9"/>
                <w:szCs w:val="9"/>
                <w:b w:val="1"/>
                <w:bCs w:val="1"/>
                <w:color w:val="auto"/>
              </w:rPr>
              <w:t>–</w:t>
            </w:r>
          </w:p>
        </w:tc>
        <w:tc>
          <w:tcPr>
            <w:tcW w:w="3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spacing w:after="0" w:line="99" w:lineRule="exact"/>
              <w:rPr>
                <w:sz w:val="20"/>
                <w:szCs w:val="20"/>
                <w:color w:val="auto"/>
              </w:rPr>
            </w:pPr>
            <w:r>
              <w:rPr>
                <w:rFonts w:ascii="Arial" w:cs="Arial" w:eastAsia="Arial" w:hAnsi="Arial"/>
                <w:sz w:val="9"/>
                <w:szCs w:val="9"/>
                <w:color w:val="auto"/>
              </w:rPr>
              <w:t>184</w:t>
            </w:r>
          </w:p>
        </w:tc>
        <w:tc>
          <w:tcPr>
            <w:tcW w:w="280" w:type="dxa"/>
            <w:vAlign w:val="bottom"/>
          </w:tcPr>
          <w:p>
            <w:pPr>
              <w:spacing w:after="0"/>
              <w:rPr>
                <w:sz w:val="8"/>
                <w:szCs w:val="8"/>
                <w:color w:val="auto"/>
              </w:rPr>
            </w:pPr>
          </w:p>
        </w:tc>
        <w:tc>
          <w:tcPr>
            <w:tcW w:w="6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w:t>
            </w:r>
          </w:p>
        </w:tc>
        <w:tc>
          <w:tcPr>
            <w:tcW w:w="400" w:type="dxa"/>
            <w:vAlign w:val="bottom"/>
          </w:tcPr>
          <w:p>
            <w:pPr>
              <w:jc w:val="right"/>
              <w:spacing w:after="0" w:line="99" w:lineRule="exact"/>
              <w:rPr>
                <w:sz w:val="20"/>
                <w:szCs w:val="20"/>
                <w:color w:val="auto"/>
              </w:rPr>
            </w:pPr>
            <w:r>
              <w:rPr>
                <w:rFonts w:ascii="Arial" w:cs="Arial" w:eastAsia="Arial" w:hAnsi="Arial"/>
                <w:sz w:val="9"/>
                <w:szCs w:val="9"/>
                <w:color w:val="auto"/>
              </w:rPr>
              <w:t>184</w:t>
            </w:r>
          </w:p>
        </w:tc>
        <w:tc>
          <w:tcPr>
            <w:tcW w:w="80" w:type="dxa"/>
            <w:vAlign w:val="bottom"/>
          </w:tcPr>
          <w:p>
            <w:pPr>
              <w:spacing w:after="0"/>
              <w:rPr>
                <w:sz w:val="8"/>
                <w:szCs w:val="8"/>
                <w:color w:val="auto"/>
              </w:rPr>
            </w:pPr>
          </w:p>
        </w:tc>
      </w:tr>
      <w:tr>
        <w:trPr>
          <w:trHeight w:val="99"/>
        </w:trPr>
        <w:tc>
          <w:tcPr>
            <w:tcW w:w="5960" w:type="dxa"/>
            <w:vAlign w:val="bottom"/>
            <w:tcBorders>
              <w:bottom w:val="single" w:sz="8" w:color="auto"/>
            </w:tcBorders>
            <w:shd w:val="clear" w:color="auto" w:fill="CCEEFF"/>
          </w:tcPr>
          <w:p>
            <w:pPr>
              <w:spacing w:after="0" w:line="99" w:lineRule="exact"/>
              <w:rPr>
                <w:sz w:val="20"/>
                <w:szCs w:val="20"/>
                <w:color w:val="auto"/>
              </w:rPr>
            </w:pPr>
            <w:r>
              <w:rPr>
                <w:rFonts w:ascii="Arial" w:cs="Arial" w:eastAsia="Arial" w:hAnsi="Arial"/>
                <w:sz w:val="9"/>
                <w:szCs w:val="9"/>
                <w:color w:val="auto"/>
              </w:rPr>
              <w:t>Other</w:t>
            </w:r>
          </w:p>
        </w:tc>
        <w:tc>
          <w:tcPr>
            <w:tcW w:w="7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28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280" w:type="dxa"/>
            <w:vAlign w:val="bottom"/>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57</w:t>
            </w:r>
          </w:p>
        </w:tc>
        <w:tc>
          <w:tcPr>
            <w:tcW w:w="300" w:type="dxa"/>
            <w:vAlign w:val="bottom"/>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57</w:t>
            </w:r>
          </w:p>
        </w:tc>
        <w:tc>
          <w:tcPr>
            <w:tcW w:w="280" w:type="dxa"/>
            <w:vAlign w:val="bottom"/>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12</w:t>
            </w:r>
          </w:p>
        </w:tc>
        <w:tc>
          <w:tcPr>
            <w:tcW w:w="280" w:type="dxa"/>
            <w:vAlign w:val="bottom"/>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12</w:t>
            </w:r>
          </w:p>
        </w:tc>
        <w:tc>
          <w:tcPr>
            <w:tcW w:w="80" w:type="dxa"/>
            <w:vAlign w:val="bottom"/>
            <w:shd w:val="clear" w:color="auto" w:fill="CCEEFF"/>
          </w:tcPr>
          <w:p>
            <w:pPr>
              <w:spacing w:after="0"/>
              <w:rPr>
                <w:sz w:val="8"/>
                <w:szCs w:val="8"/>
                <w:color w:val="auto"/>
              </w:rPr>
            </w:pPr>
          </w:p>
        </w:tc>
      </w:tr>
      <w:tr>
        <w:trPr>
          <w:trHeight w:val="97"/>
        </w:trPr>
        <w:tc>
          <w:tcPr>
            <w:tcW w:w="5960" w:type="dxa"/>
            <w:vAlign w:val="bottom"/>
          </w:tcPr>
          <w:p>
            <w:pPr>
              <w:spacing w:after="0"/>
              <w:rPr>
                <w:sz w:val="8"/>
                <w:szCs w:val="8"/>
                <w:color w:val="auto"/>
              </w:rPr>
            </w:pPr>
          </w:p>
        </w:tc>
        <w:tc>
          <w:tcPr>
            <w:tcW w:w="7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$8,285</w:t>
            </w:r>
          </w:p>
        </w:tc>
        <w:tc>
          <w:tcPr>
            <w:tcW w:w="280" w:type="dxa"/>
            <w:vAlign w:val="bottom"/>
          </w:tcPr>
          <w:p>
            <w:pPr>
              <w:spacing w:after="0"/>
              <w:rPr>
                <w:sz w:val="8"/>
                <w:szCs w:val="8"/>
                <w:color w:val="auto"/>
              </w:rPr>
            </w:pPr>
          </w:p>
        </w:tc>
        <w:tc>
          <w:tcPr>
            <w:tcW w:w="1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$271</w:t>
            </w:r>
          </w:p>
        </w:tc>
        <w:tc>
          <w:tcPr>
            <w:tcW w:w="300" w:type="dxa"/>
            <w:vAlign w:val="bottom"/>
          </w:tcPr>
          <w:p>
            <w:pPr>
              <w:spacing w:after="0"/>
              <w:rPr>
                <w:sz w:val="8"/>
                <w:szCs w:val="8"/>
                <w:color w:val="auto"/>
              </w:rPr>
            </w:pPr>
          </w:p>
        </w:tc>
        <w:tc>
          <w:tcPr>
            <w:tcW w:w="3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$8,556</w:t>
            </w:r>
          </w:p>
        </w:tc>
        <w:tc>
          <w:tcPr>
            <w:tcW w:w="280" w:type="dxa"/>
            <w:vAlign w:val="bottom"/>
          </w:tcPr>
          <w:p>
            <w:pPr>
              <w:spacing w:after="0"/>
              <w:rPr>
                <w:sz w:val="8"/>
                <w:szCs w:val="8"/>
                <w:color w:val="auto"/>
              </w:rPr>
            </w:pPr>
          </w:p>
        </w:tc>
        <w:tc>
          <w:tcPr>
            <w:tcW w:w="7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$5,017</w:t>
            </w:r>
          </w:p>
        </w:tc>
        <w:tc>
          <w:tcPr>
            <w:tcW w:w="28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$367</w:t>
            </w:r>
          </w:p>
        </w:tc>
        <w:tc>
          <w:tcPr>
            <w:tcW w:w="28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$133</w:t>
            </w:r>
          </w:p>
        </w:tc>
        <w:tc>
          <w:tcPr>
            <w:tcW w:w="280" w:type="dxa"/>
            <w:vAlign w:val="bottom"/>
          </w:tcPr>
          <w:p>
            <w:pPr>
              <w:spacing w:after="0"/>
              <w:rPr>
                <w:sz w:val="8"/>
                <w:szCs w:val="8"/>
                <w:color w:val="auto"/>
              </w:rPr>
            </w:pPr>
          </w:p>
        </w:tc>
        <w:tc>
          <w:tcPr>
            <w:tcW w:w="4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$5,517</w:t>
            </w:r>
          </w:p>
        </w:tc>
        <w:tc>
          <w:tcPr>
            <w:tcW w:w="80" w:type="dxa"/>
            <w:vAlign w:val="bottom"/>
          </w:tcPr>
          <w:p>
            <w:pPr>
              <w:spacing w:after="0"/>
              <w:rPr>
                <w:sz w:val="8"/>
                <w:szCs w:val="8"/>
                <w:color w:val="auto"/>
              </w:rPr>
            </w:pPr>
          </w:p>
        </w:tc>
      </w:tr>
    </w:tbl>
    <w:p>
      <w:pPr>
        <w:spacing w:after="0" w:line="11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weighted average interest rate on variable rate debt as of December 31, 2011 was 2.8%.</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Long-term Debt </w:t>
      </w:r>
      <w:r>
        <w:rPr>
          <w:rFonts w:ascii="Arial" w:cs="Arial" w:eastAsia="Arial" w:hAnsi="Arial"/>
          <w:sz w:val="12"/>
          <w:szCs w:val="12"/>
          <w:color w:val="auto"/>
        </w:rPr>
        <w:t>as of December 31, 2011, is due as follows: $1.168 billion in 2013, $1.605 billion in 2014, $1.297 billion in 2015, $1.792 billion in 2016 and $2.694 billion after 2016.</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xml:space="preserve">The fair value of Schlumberger’s </w:t>
      </w:r>
      <w:r>
        <w:rPr>
          <w:rFonts w:ascii="Arial" w:cs="Arial" w:eastAsia="Arial" w:hAnsi="Arial"/>
          <w:sz w:val="12"/>
          <w:szCs w:val="12"/>
          <w:i w:val="1"/>
          <w:iCs w:val="1"/>
          <w:color w:val="auto"/>
        </w:rPr>
        <w:t>Long-term Debt</w:t>
      </w:r>
      <w:r>
        <w:rPr>
          <w:rFonts w:ascii="Arial" w:cs="Arial" w:eastAsia="Arial" w:hAnsi="Arial"/>
          <w:sz w:val="12"/>
          <w:szCs w:val="12"/>
          <w:color w:val="auto"/>
        </w:rPr>
        <w:t xml:space="preserve"> at December 31, 2011 and December 31, 2010 was $8.9 billion and $5.6 billion, respectively, and was estimated based on quoted market prices.</w:t>
      </w:r>
    </w:p>
    <w:p>
      <w:pPr>
        <w:spacing w:after="0" w:line="104" w:lineRule="exact"/>
        <w:rPr>
          <w:sz w:val="20"/>
          <w:szCs w:val="20"/>
          <w:color w:val="auto"/>
        </w:rPr>
      </w:pPr>
    </w:p>
    <w:p>
      <w:pPr>
        <w:ind w:left="5680"/>
        <w:spacing w:after="0"/>
        <w:rPr>
          <w:sz w:val="20"/>
          <w:szCs w:val="20"/>
          <w:color w:val="auto"/>
        </w:rPr>
      </w:pPr>
      <w:r>
        <w:rPr>
          <w:rFonts w:ascii="Arial" w:cs="Arial" w:eastAsia="Arial" w:hAnsi="Arial"/>
          <w:sz w:val="9"/>
          <w:szCs w:val="9"/>
          <w:color w:val="auto"/>
        </w:rPr>
        <w:t>52</w:t>
      </w:r>
    </w:p>
    <w:p>
      <w:pPr>
        <w:sectPr>
          <w:pgSz w:w="11900" w:h="16838" w:orient="portrait"/>
          <w:cols w:equalWidth="0" w:num="1">
            <w:col w:w="11480"/>
          </w:cols>
          <w:pgMar w:left="220" w:top="354" w:right="199" w:bottom="1440" w:gutter="0" w:footer="0" w:header="0"/>
        </w:sectPr>
      </w:pPr>
    </w:p>
    <w:bookmarkStart w:id="52" w:name="page53"/>
    <w:bookmarkEnd w:id="52"/>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Convertible Debentures</w:t>
      </w:r>
    </w:p>
    <w:p>
      <w:pPr>
        <w:spacing w:after="0" w:line="60" w:lineRule="exact"/>
        <w:rPr>
          <w:sz w:val="20"/>
          <w:szCs w:val="20"/>
          <w:color w:val="auto"/>
        </w:rPr>
      </w:pPr>
    </w:p>
    <w:p>
      <w:pPr>
        <w:ind w:left="8" w:firstLine="230"/>
        <w:spacing w:after="0" w:line="258" w:lineRule="auto"/>
        <w:rPr>
          <w:sz w:val="20"/>
          <w:szCs w:val="20"/>
          <w:color w:val="auto"/>
        </w:rPr>
      </w:pPr>
      <w:r>
        <w:rPr>
          <w:rFonts w:ascii="Arial" w:cs="Arial" w:eastAsia="Arial" w:hAnsi="Arial"/>
          <w:sz w:val="12"/>
          <w:szCs w:val="12"/>
          <w:color w:val="auto"/>
        </w:rPr>
        <w:t>During 2003, Schlumberger Limited issued $450 million aggregate principal amount of 2.125% Series B Convertible Debentures due June 1, 2023. The Series B debentures were convertible into common stock at a conversion rate of 25.000 shares for each $1,000 of principal (equivalent to an initial conversion price of $40.00 per share).</w:t>
      </w:r>
    </w:p>
    <w:p>
      <w:pPr>
        <w:spacing w:after="0" w:line="1" w:lineRule="exact"/>
        <w:rPr>
          <w:sz w:val="20"/>
          <w:szCs w:val="20"/>
          <w:color w:val="auto"/>
        </w:rPr>
      </w:pPr>
    </w:p>
    <w:p>
      <w:pPr>
        <w:ind w:left="8" w:right="20" w:firstLine="230"/>
        <w:spacing w:after="0" w:line="268" w:lineRule="auto"/>
        <w:rPr>
          <w:sz w:val="20"/>
          <w:szCs w:val="20"/>
          <w:color w:val="auto"/>
        </w:rPr>
      </w:pPr>
      <w:r>
        <w:rPr>
          <w:rFonts w:ascii="Arial" w:cs="Arial" w:eastAsia="Arial" w:hAnsi="Arial"/>
          <w:sz w:val="12"/>
          <w:szCs w:val="12"/>
          <w:color w:val="auto"/>
        </w:rPr>
        <w:t>At December 31, 2009, there were $321 million of the Series B debentures outstanding. During 2010, $320 million of these debentures were converted by holders into 8.0 million shares of Schlumberger common stock and the remaining $1 million of outstanding Series B convertible debentures were redeemed for cash. Consequently, there were no convertible debentures outstanding at December 31, 2010.</w:t>
      </w:r>
    </w:p>
    <w:p>
      <w:pPr>
        <w:spacing w:after="0" w:line="86" w:lineRule="exact"/>
        <w:rPr>
          <w:sz w:val="20"/>
          <w:szCs w:val="20"/>
          <w:color w:val="auto"/>
        </w:rPr>
      </w:pPr>
    </w:p>
    <w:p>
      <w:pPr>
        <w:ind w:left="288" w:hanging="288"/>
        <w:spacing w:after="0"/>
        <w:tabs>
          <w:tab w:leader="none" w:pos="288"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Derivative Instruments and Hedging Activities</w:t>
      </w:r>
    </w:p>
    <w:p>
      <w:pPr>
        <w:spacing w:after="0" w:line="62" w:lineRule="exact"/>
        <w:rPr>
          <w:sz w:val="20"/>
          <w:szCs w:val="20"/>
          <w:color w:val="auto"/>
        </w:rPr>
      </w:pPr>
    </w:p>
    <w:p>
      <w:pPr>
        <w:ind w:left="8" w:right="40" w:firstLine="230"/>
        <w:spacing w:after="0" w:line="268" w:lineRule="auto"/>
        <w:rPr>
          <w:sz w:val="20"/>
          <w:szCs w:val="20"/>
          <w:color w:val="auto"/>
        </w:rPr>
      </w:pPr>
      <w:r>
        <w:rPr>
          <w:rFonts w:ascii="Arial" w:cs="Arial" w:eastAsia="Arial" w:hAnsi="Arial"/>
          <w:sz w:val="12"/>
          <w:szCs w:val="12"/>
          <w:color w:val="auto"/>
        </w:rPr>
        <w:t>Schlumberger is exposed to market risks related to fluctuations in foreign currency exchange rates, commodity prices and interest rates. To mitigate these risks, Schlumberger utilizes derivative instruments. Schlumberger does not enter into derivatives for speculative purposes.</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Foreign Currency Exchange Rate Risk</w:t>
      </w:r>
    </w:p>
    <w:p>
      <w:pPr>
        <w:spacing w:after="0" w:line="60" w:lineRule="exact"/>
        <w:rPr>
          <w:sz w:val="20"/>
          <w:szCs w:val="20"/>
          <w:color w:val="auto"/>
        </w:rPr>
      </w:pPr>
    </w:p>
    <w:p>
      <w:pPr>
        <w:ind w:left="8" w:right="200" w:firstLine="230"/>
        <w:spacing w:after="0" w:line="255" w:lineRule="auto"/>
        <w:rPr>
          <w:sz w:val="20"/>
          <w:szCs w:val="20"/>
          <w:color w:val="auto"/>
        </w:rPr>
      </w:pPr>
      <w:r>
        <w:rPr>
          <w:rFonts w:ascii="Arial" w:cs="Arial" w:eastAsia="Arial" w:hAnsi="Arial"/>
          <w:sz w:val="12"/>
          <w:szCs w:val="12"/>
          <w:color w:val="auto"/>
        </w:rPr>
        <w:t>As a multinational company, Schlumberger conducts its business in approximately 85 countries. Schlumberger’s functional currency is primarily the US dollar, which is consistent with the oil and gas industry. Approximately 75% of Schlumberger’s revenue in 2011 was denominated in US dollars.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 w:lineRule="exact"/>
        <w:rPr>
          <w:sz w:val="20"/>
          <w:szCs w:val="20"/>
          <w:color w:val="auto"/>
        </w:rPr>
      </w:pPr>
    </w:p>
    <w:p>
      <w:pPr>
        <w:ind w:left="8" w:right="100" w:firstLine="230"/>
        <w:spacing w:after="0" w:line="254" w:lineRule="auto"/>
        <w:rPr>
          <w:sz w:val="20"/>
          <w:szCs w:val="20"/>
          <w:color w:val="auto"/>
        </w:rPr>
      </w:pPr>
      <w:r>
        <w:rPr>
          <w:rFonts w:ascii="Arial" w:cs="Arial" w:eastAsia="Arial" w:hAnsi="Arial"/>
          <w:sz w:val="12"/>
          <w:szCs w:val="12"/>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2"/>
          <w:szCs w:val="12"/>
          <w:i w:val="1"/>
          <w:iCs w:val="1"/>
          <w:color w:val="auto"/>
        </w:rPr>
        <w:t xml:space="preserve">Consolidated Balance Sheet </w:t>
      </w:r>
      <w:r>
        <w:rPr>
          <w:rFonts w:ascii="Arial" w:cs="Arial" w:eastAsia="Arial" w:hAnsi="Arial"/>
          <w:sz w:val="12"/>
          <w:szCs w:val="12"/>
          <w:color w:val="auto"/>
        </w:rPr>
        <w:t>and in</w:t>
      </w:r>
      <w:r>
        <w:rPr>
          <w:rFonts w:ascii="Arial" w:cs="Arial" w:eastAsia="Arial" w:hAnsi="Arial"/>
          <w:sz w:val="12"/>
          <w:szCs w:val="12"/>
          <w:i w:val="1"/>
          <w:iCs w:val="1"/>
          <w:color w:val="auto"/>
        </w:rPr>
        <w:t xml:space="preserve"> Accumulated other comprehensive loss. </w:t>
      </w:r>
      <w:r>
        <w:rPr>
          <w:rFonts w:ascii="Arial" w:cs="Arial" w:eastAsia="Arial" w:hAnsi="Arial"/>
          <w:sz w:val="12"/>
          <w:szCs w:val="12"/>
          <w:color w:val="auto"/>
        </w:rPr>
        <w:t>Amounts recorded in</w:t>
      </w:r>
      <w:r>
        <w:rPr>
          <w:rFonts w:ascii="Arial" w:cs="Arial" w:eastAsia="Arial" w:hAnsi="Arial"/>
          <w:sz w:val="12"/>
          <w:szCs w:val="12"/>
          <w:i w:val="1"/>
          <w:iCs w:val="1"/>
          <w:color w:val="auto"/>
        </w:rPr>
        <w:t xml:space="preserve"> Accumulated other comprehensive loss </w:t>
      </w:r>
      <w:r>
        <w:rPr>
          <w:rFonts w:ascii="Arial" w:cs="Arial" w:eastAsia="Arial" w:hAnsi="Arial"/>
          <w:sz w:val="12"/>
          <w:szCs w:val="12"/>
          <w:color w:val="auto"/>
        </w:rPr>
        <w:t>are reclassified into earnings in the same period or periods that the hedged item is recognized in earnings.</w:t>
      </w:r>
      <w:r>
        <w:rPr>
          <w:rFonts w:ascii="Arial" w:cs="Arial" w:eastAsia="Arial" w:hAnsi="Arial"/>
          <w:sz w:val="12"/>
          <w:szCs w:val="12"/>
          <w:i w:val="1"/>
          <w:iCs w:val="1"/>
          <w:color w:val="auto"/>
        </w:rPr>
        <w:t xml:space="preserve"> </w:t>
      </w:r>
      <w:r>
        <w:rPr>
          <w:rFonts w:ascii="Arial" w:cs="Arial" w:eastAsia="Arial" w:hAnsi="Arial"/>
          <w:sz w:val="12"/>
          <w:szCs w:val="12"/>
          <w:color w:val="auto"/>
        </w:rPr>
        <w:t>The ineffective portion of changes in the fair value of hedging instruments, if any, is recorded directly to earnings.</w:t>
      </w:r>
    </w:p>
    <w:p>
      <w:pPr>
        <w:spacing w:after="0" w:line="1" w:lineRule="exact"/>
        <w:rPr>
          <w:sz w:val="20"/>
          <w:szCs w:val="20"/>
          <w:color w:val="auto"/>
        </w:rPr>
      </w:pPr>
    </w:p>
    <w:p>
      <w:pPr>
        <w:ind w:left="8" w:firstLine="230"/>
        <w:spacing w:after="0" w:line="258" w:lineRule="auto"/>
        <w:rPr>
          <w:sz w:val="20"/>
          <w:szCs w:val="20"/>
          <w:color w:val="auto"/>
        </w:rPr>
      </w:pPr>
      <w:r>
        <w:rPr>
          <w:rFonts w:ascii="Arial" w:cs="Arial" w:eastAsia="Arial" w:hAnsi="Arial"/>
          <w:sz w:val="12"/>
          <w:szCs w:val="12"/>
          <w:color w:val="auto"/>
        </w:rPr>
        <w:t xml:space="preserve">At December 31, 2011, Schlumberger recognized a cumulative net $26 million loss in </w:t>
      </w:r>
      <w:r>
        <w:rPr>
          <w:rFonts w:ascii="Arial" w:cs="Arial" w:eastAsia="Arial" w:hAnsi="Arial"/>
          <w:sz w:val="12"/>
          <w:szCs w:val="12"/>
          <w:i w:val="1"/>
          <w:iCs w:val="1"/>
          <w:color w:val="auto"/>
        </w:rPr>
        <w:t>Accumulated other comprehensive loss</w:t>
      </w:r>
      <w:r>
        <w:rPr>
          <w:rFonts w:ascii="Arial" w:cs="Arial" w:eastAsia="Arial" w:hAnsi="Arial"/>
          <w:sz w:val="12"/>
          <w:szCs w:val="12"/>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1" w:lineRule="exact"/>
        <w:rPr>
          <w:sz w:val="20"/>
          <w:szCs w:val="20"/>
          <w:color w:val="auto"/>
        </w:rPr>
      </w:pPr>
    </w:p>
    <w:p>
      <w:pPr>
        <w:ind w:left="8" w:right="80" w:firstLine="230"/>
        <w:spacing w:after="0" w:line="255" w:lineRule="auto"/>
        <w:rPr>
          <w:sz w:val="20"/>
          <w:szCs w:val="20"/>
          <w:color w:val="auto"/>
        </w:rPr>
      </w:pPr>
      <w:r>
        <w:rPr>
          <w:rFonts w:ascii="Arial" w:cs="Arial" w:eastAsia="Arial" w:hAnsi="Arial"/>
          <w:sz w:val="12"/>
          <w:szCs w:val="12"/>
          <w:color w:val="auto"/>
        </w:rPr>
        <w:t>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for certain currencies. The fair value of these contracts are recorded on the Consolidated Balance Sheet and changes in the fair value recognized in the Consolidated Statement of Income along with the change in fair value of the hedged item.</w:t>
      </w:r>
    </w:p>
    <w:p>
      <w:pPr>
        <w:spacing w:after="0" w:line="1" w:lineRule="exact"/>
        <w:rPr>
          <w:sz w:val="20"/>
          <w:szCs w:val="20"/>
          <w:color w:val="auto"/>
        </w:rPr>
      </w:pPr>
    </w:p>
    <w:p>
      <w:pPr>
        <w:ind w:left="8" w:right="400" w:firstLine="230"/>
        <w:spacing w:after="0" w:line="391" w:lineRule="auto"/>
        <w:rPr>
          <w:sz w:val="20"/>
          <w:szCs w:val="20"/>
          <w:color w:val="auto"/>
        </w:rPr>
      </w:pPr>
      <w:r>
        <w:rPr>
          <w:rFonts w:ascii="Arial" w:cs="Arial" w:eastAsia="Arial" w:hAnsi="Arial"/>
          <w:sz w:val="12"/>
          <w:szCs w:val="12"/>
          <w:color w:val="auto"/>
        </w:rPr>
        <w:t xml:space="preserve">At December 31, 2011, contracts were outstanding for the US dollar equivalent of $6.9 billion in various foreign currencies, of which $3.9 billion relate to hedges of debt denominated in currencies other than the functional currency. </w:t>
      </w:r>
      <w:r>
        <w:rPr>
          <w:rFonts w:ascii="Arial" w:cs="Arial" w:eastAsia="Arial" w:hAnsi="Arial"/>
          <w:sz w:val="12"/>
          <w:szCs w:val="12"/>
          <w:i w:val="1"/>
          <w:iCs w:val="1"/>
          <w:color w:val="auto"/>
        </w:rPr>
        <w:t>Commodity Price Risk</w:t>
      </w:r>
    </w:p>
    <w:p>
      <w:pPr>
        <w:spacing w:after="0" w:line="1" w:lineRule="exact"/>
        <w:rPr>
          <w:sz w:val="20"/>
          <w:szCs w:val="20"/>
          <w:color w:val="auto"/>
        </w:rPr>
      </w:pPr>
    </w:p>
    <w:p>
      <w:pPr>
        <w:ind w:left="8" w:firstLine="230"/>
        <w:spacing w:after="0" w:line="255" w:lineRule="auto"/>
        <w:rPr>
          <w:sz w:val="20"/>
          <w:szCs w:val="20"/>
          <w:color w:val="auto"/>
        </w:rPr>
      </w:pPr>
      <w:r>
        <w:rPr>
          <w:rFonts w:ascii="Arial" w:cs="Arial" w:eastAsia="Arial" w:hAnsi="Arial"/>
          <w:sz w:val="12"/>
          <w:szCs w:val="12"/>
          <w:color w:val="auto"/>
        </w:rPr>
        <w:t>Schlumberger is exposed to the impact of market fluctuations in the price of certain commodities, such as metals and fuel. Schlumberger utilizes forward contracts to manage a small percentage of the price risk associated with forecasted metal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1" w:lineRule="exact"/>
        <w:rPr>
          <w:sz w:val="20"/>
          <w:szCs w:val="20"/>
          <w:color w:val="auto"/>
        </w:rPr>
      </w:pPr>
    </w:p>
    <w:p>
      <w:pPr>
        <w:ind w:left="228"/>
        <w:spacing w:after="0"/>
        <w:rPr>
          <w:sz w:val="20"/>
          <w:szCs w:val="20"/>
          <w:color w:val="auto"/>
        </w:rPr>
      </w:pPr>
      <w:r>
        <w:rPr>
          <w:rFonts w:ascii="Arial" w:cs="Arial" w:eastAsia="Arial" w:hAnsi="Arial"/>
          <w:sz w:val="12"/>
          <w:szCs w:val="12"/>
          <w:color w:val="auto"/>
        </w:rPr>
        <w:t>At December 31, 2011, $27 million of commodity forward contracts were outstanding.</w:t>
      </w:r>
    </w:p>
    <w:p>
      <w:pPr>
        <w:spacing w:after="0" w:line="203"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53</w:t>
      </w:r>
    </w:p>
    <w:p>
      <w:pPr>
        <w:sectPr>
          <w:pgSz w:w="11900" w:h="16838" w:orient="portrait"/>
          <w:cols w:equalWidth="0" w:num="1">
            <w:col w:w="11468"/>
          </w:cols>
          <w:pgMar w:left="212" w:top="354" w:right="219"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Rate Risk</w:t>
      </w:r>
    </w:p>
    <w:p>
      <w:pPr>
        <w:spacing w:after="0" w:line="60" w:lineRule="exact"/>
        <w:rPr>
          <w:sz w:val="20"/>
          <w:szCs w:val="20"/>
          <w:color w:val="auto"/>
        </w:rPr>
      </w:pPr>
    </w:p>
    <w:p>
      <w:pPr>
        <w:ind w:right="40" w:firstLine="230"/>
        <w:spacing w:after="0" w:line="258" w:lineRule="auto"/>
        <w:rPr>
          <w:sz w:val="20"/>
          <w:szCs w:val="20"/>
          <w:color w:val="auto"/>
        </w:rPr>
      </w:pPr>
      <w:r>
        <w:rPr>
          <w:rFonts w:ascii="Arial" w:cs="Arial" w:eastAsia="Arial" w:hAnsi="Arial"/>
          <w:sz w:val="12"/>
          <w:szCs w:val="12"/>
          <w:color w:val="auto"/>
        </w:rPr>
        <w:t>Schlumberger is subject to interest rate risk on its debt and its investment portfolio. Schlumberger maintains an interest rate risk management strategy that uses a mix of variable and fixed rate debt combined with its investment portfolio and interest rate swaps to mitigate the exposure to changes in interest rates.</w:t>
      </w:r>
    </w:p>
    <w:p>
      <w:pPr>
        <w:spacing w:after="0" w:line="1" w:lineRule="exact"/>
        <w:rPr>
          <w:sz w:val="20"/>
          <w:szCs w:val="20"/>
          <w:color w:val="auto"/>
        </w:rPr>
      </w:pPr>
    </w:p>
    <w:p>
      <w:pPr>
        <w:ind w:right="40" w:firstLine="230"/>
        <w:spacing w:after="0" w:line="254" w:lineRule="auto"/>
        <w:rPr>
          <w:sz w:val="20"/>
          <w:szCs w:val="20"/>
          <w:color w:val="auto"/>
        </w:rPr>
      </w:pPr>
      <w:r>
        <w:rPr>
          <w:rFonts w:ascii="Arial" w:cs="Arial" w:eastAsia="Arial" w:hAnsi="Arial"/>
          <w:sz w:val="12"/>
          <w:szCs w:val="12"/>
          <w:color w:val="auto"/>
        </w:rPr>
        <w:t xml:space="preserve">During the third quarter of 2009, Schlumberger entered into interest rate swaps relating to two of its debt instruments. The first swap was for a notional amount of $450 million in order to hedge changes in the fair value of Schlumberger’s $450 million 3.00% Notes due 2013. Under the terms of this swap, Schlumberger receives interest at a fixed rate of 3.0% annually and will pay interest quarterly at a floating rate of three-month LIBOR plus a spread of 0.765%. This interest rate swap is designated as a fair value hedge of the underlying debt. This derivative instrument is marked to market with gains and losses recognized currently in income to offset the respective losses and gains recognized on changes in the fair value of the hedged debt. This results in no net gain or loss being recognized in the </w:t>
      </w:r>
      <w:r>
        <w:rPr>
          <w:rFonts w:ascii="Arial" w:cs="Arial" w:eastAsia="Arial" w:hAnsi="Arial"/>
          <w:sz w:val="12"/>
          <w:szCs w:val="12"/>
          <w:i w:val="1"/>
          <w:iCs w:val="1"/>
          <w:color w:val="auto"/>
        </w:rPr>
        <w:t>Consolidated Statement of Income</w:t>
      </w:r>
      <w:r>
        <w:rPr>
          <w:rFonts w:ascii="Arial" w:cs="Arial" w:eastAsia="Arial" w:hAnsi="Arial"/>
          <w:sz w:val="12"/>
          <w:szCs w:val="12"/>
          <w:color w:val="auto"/>
        </w:rPr>
        <w:t>.</w:t>
      </w:r>
    </w:p>
    <w:p>
      <w:pPr>
        <w:spacing w:after="0" w:line="1" w:lineRule="exact"/>
        <w:rPr>
          <w:sz w:val="20"/>
          <w:szCs w:val="20"/>
          <w:color w:val="auto"/>
        </w:rPr>
      </w:pPr>
    </w:p>
    <w:p>
      <w:pPr>
        <w:ind w:right="180" w:firstLine="230"/>
        <w:spacing w:after="0" w:line="254" w:lineRule="auto"/>
        <w:rPr>
          <w:sz w:val="20"/>
          <w:szCs w:val="20"/>
          <w:color w:val="auto"/>
        </w:rPr>
      </w:pPr>
      <w:r>
        <w:rPr>
          <w:rFonts w:ascii="Arial" w:cs="Arial" w:eastAsia="Arial" w:hAnsi="Arial"/>
          <w:sz w:val="12"/>
          <w:szCs w:val="12"/>
          <w:color w:val="auto"/>
        </w:rPr>
        <w:t>The second swap was for a notional amount of $600 million in order to hedge a portion of the changes in fair value of Schlumberger’s $650 million 6.50% Notes due 2012. Under the terms of this swap agreement, Schlumberger received interest at a fixed rate of 6.50% semi-annually and paid interest semi-annually at a floating rate of one-month LIBOR plus a spread of 4.84%. During the third and fourth quarters of 2010, Schlumberger repurchased all of the outstanding $650 million 6.50% Notes due 2012. Accordingly, this interest rate swap, which had previously been designated as a fair value hedge of the underlying debt, was settled during the fourth quarter and resulted in Schlumberger receiving proceeds of approximately $10 million.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1"/>
          <w:szCs w:val="11"/>
          <w:color w:val="auto"/>
        </w:rPr>
        <w:t>At December 31, 2011, Schlumberger had fixed rate debt aggregating approximately $7.5 billion and variable rate debt aggregating approximately $2.4 billion, after taking into account the effects of the interest rate swaps.</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fair values of outstanding derivative instruments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9"/>
                <w:szCs w:val="9"/>
                <w:b w:val="1"/>
                <w:bCs w:val="1"/>
                <w:color w:val="auto"/>
              </w:rPr>
              <w:t>(Stated in millions)</w:t>
            </w:r>
          </w:p>
        </w:tc>
        <w:tc>
          <w:tcPr>
            <w:tcW w:w="4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ind w:right="980"/>
              <w:spacing w:after="0"/>
              <w:rPr>
                <w:sz w:val="20"/>
                <w:szCs w:val="20"/>
                <w:color w:val="auto"/>
              </w:rPr>
            </w:pPr>
            <w:r>
              <w:rPr>
                <w:rFonts w:ascii="Arial" w:cs="Arial" w:eastAsia="Arial" w:hAnsi="Arial"/>
                <w:sz w:val="9"/>
                <w:szCs w:val="9"/>
                <w:b w:val="1"/>
                <w:bCs w:val="1"/>
                <w:color w:val="auto"/>
              </w:rPr>
              <w:t>Fair Value of</w:t>
            </w:r>
          </w:p>
        </w:tc>
        <w:tc>
          <w:tcPr>
            <w:tcW w:w="4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gridSpan w:val="3"/>
          </w:tcPr>
          <w:p>
            <w:pPr>
              <w:jc w:val="right"/>
              <w:ind w:right="1000"/>
              <w:spacing w:after="0"/>
              <w:rPr>
                <w:sz w:val="20"/>
                <w:szCs w:val="20"/>
                <w:color w:val="auto"/>
              </w:rPr>
            </w:pPr>
            <w:r>
              <w:rPr>
                <w:rFonts w:ascii="Arial" w:cs="Arial" w:eastAsia="Arial" w:hAnsi="Arial"/>
                <w:sz w:val="9"/>
                <w:szCs w:val="9"/>
                <w:b w:val="1"/>
                <w:bCs w:val="1"/>
                <w:color w:val="auto"/>
              </w:rPr>
              <w:t>Derivatives</w:t>
            </w:r>
          </w:p>
        </w:tc>
        <w:tc>
          <w:tcPr>
            <w:tcW w:w="4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260" w:type="dxa"/>
            <w:vAlign w:val="bottom"/>
            <w:vMerge w:val="restart"/>
          </w:tcPr>
          <w:p>
            <w:pPr>
              <w:spacing w:after="0"/>
              <w:rPr>
                <w:sz w:val="20"/>
                <w:szCs w:val="20"/>
                <w:color w:val="auto"/>
              </w:rPr>
            </w:pPr>
            <w:r>
              <w:rPr>
                <w:rFonts w:ascii="Arial" w:cs="Arial" w:eastAsia="Arial" w:hAnsi="Arial"/>
                <w:sz w:val="9"/>
                <w:szCs w:val="9"/>
                <w:b w:val="1"/>
                <w:bCs w:val="1"/>
                <w:color w:val="auto"/>
              </w:rPr>
              <w:t>Derivative assets</w:t>
            </w:r>
          </w:p>
        </w:tc>
        <w:tc>
          <w:tcPr>
            <w:tcW w:w="3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b w:val="1"/>
                <w:bCs w:val="1"/>
                <w:color w:val="auto"/>
                <w:w w:val="82"/>
              </w:rPr>
              <w:t>Dec. 31,</w:t>
            </w:r>
          </w:p>
        </w:tc>
        <w:tc>
          <w:tcPr>
            <w:tcW w:w="6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b w:val="1"/>
                <w:bCs w:val="1"/>
                <w:color w:val="auto"/>
                <w:w w:val="88"/>
              </w:rPr>
              <w:t>Dec. 31,</w:t>
            </w:r>
          </w:p>
        </w:tc>
        <w:tc>
          <w:tcPr>
            <w:tcW w:w="620" w:type="dxa"/>
            <w:vAlign w:val="bottom"/>
          </w:tcPr>
          <w:p>
            <w:pPr>
              <w:spacing w:after="0"/>
              <w:rPr>
                <w:sz w:val="6"/>
                <w:szCs w:val="6"/>
                <w:color w:val="auto"/>
              </w:rPr>
            </w:pPr>
          </w:p>
        </w:tc>
        <w:tc>
          <w:tcPr>
            <w:tcW w:w="4360" w:type="dxa"/>
            <w:vAlign w:val="bottom"/>
            <w:vMerge w:val="restart"/>
          </w:tcPr>
          <w:p>
            <w:pPr>
              <w:spacing w:after="0"/>
              <w:rPr>
                <w:sz w:val="20"/>
                <w:szCs w:val="20"/>
                <w:color w:val="auto"/>
              </w:rPr>
            </w:pPr>
            <w:r>
              <w:rPr>
                <w:rFonts w:ascii="Arial" w:cs="Arial" w:eastAsia="Arial" w:hAnsi="Arial"/>
                <w:sz w:val="9"/>
                <w:szCs w:val="9"/>
                <w:b w:val="1"/>
                <w:bCs w:val="1"/>
                <w:color w:val="auto"/>
              </w:rPr>
              <w:t>Consolidated Balance Sheet Classification</w:t>
            </w:r>
          </w:p>
        </w:tc>
        <w:tc>
          <w:tcPr>
            <w:tcW w:w="0" w:type="dxa"/>
            <w:vAlign w:val="bottom"/>
          </w:tcPr>
          <w:p>
            <w:pPr>
              <w:spacing w:after="0"/>
              <w:rPr>
                <w:sz w:val="1"/>
                <w:szCs w:val="1"/>
                <w:color w:val="auto"/>
              </w:rPr>
            </w:pPr>
          </w:p>
        </w:tc>
      </w:tr>
      <w:tr>
        <w:trPr>
          <w:trHeight w:val="108"/>
        </w:trPr>
        <w:tc>
          <w:tcPr>
            <w:tcW w:w="5260" w:type="dxa"/>
            <w:vAlign w:val="bottom"/>
            <w:vMerge w:val="continue"/>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rPr>
              <w:t>2011</w:t>
            </w:r>
          </w:p>
        </w:tc>
        <w:tc>
          <w:tcPr>
            <w:tcW w:w="940" w:type="dxa"/>
            <w:vAlign w:val="bottom"/>
            <w:gridSpan w:val="2"/>
          </w:tcPr>
          <w:p>
            <w:pPr>
              <w:jc w:val="right"/>
              <w:spacing w:after="0"/>
              <w:rPr>
                <w:sz w:val="20"/>
                <w:szCs w:val="20"/>
                <w:color w:val="auto"/>
              </w:rPr>
            </w:pPr>
            <w:r>
              <w:rPr>
                <w:rFonts w:ascii="Arial" w:cs="Arial" w:eastAsia="Arial" w:hAnsi="Arial"/>
                <w:sz w:val="9"/>
                <w:szCs w:val="9"/>
                <w:b w:val="1"/>
                <w:bCs w:val="1"/>
                <w:color w:val="auto"/>
              </w:rPr>
              <w:t>2010</w:t>
            </w:r>
          </w:p>
        </w:tc>
        <w:tc>
          <w:tcPr>
            <w:tcW w:w="62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26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color w:val="auto"/>
              </w:rPr>
              <w:t>Derivative designated as hedges:</w:t>
            </w:r>
          </w:p>
        </w:tc>
        <w:tc>
          <w:tcPr>
            <w:tcW w:w="30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436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260" w:type="dxa"/>
            <w:vAlign w:val="bottom"/>
          </w:tcPr>
          <w:p>
            <w:pPr>
              <w:ind w:left="280"/>
              <w:spacing w:after="0" w:line="99" w:lineRule="exact"/>
              <w:rPr>
                <w:sz w:val="20"/>
                <w:szCs w:val="20"/>
                <w:color w:val="auto"/>
              </w:rPr>
            </w:pPr>
            <w:r>
              <w:rPr>
                <w:rFonts w:ascii="Arial" w:cs="Arial" w:eastAsia="Arial" w:hAnsi="Arial"/>
                <w:sz w:val="9"/>
                <w:szCs w:val="9"/>
                <w:color w:val="auto"/>
              </w:rPr>
              <w:t>Foreign exchange contracts</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$2</w:t>
            </w:r>
          </w:p>
        </w:tc>
        <w:tc>
          <w:tcPr>
            <w:tcW w:w="940" w:type="dxa"/>
            <w:vAlign w:val="bottom"/>
            <w:gridSpan w:val="2"/>
          </w:tcPr>
          <w:p>
            <w:pPr>
              <w:jc w:val="right"/>
              <w:spacing w:after="0" w:line="99" w:lineRule="exact"/>
              <w:rPr>
                <w:sz w:val="20"/>
                <w:szCs w:val="20"/>
                <w:color w:val="auto"/>
              </w:rPr>
            </w:pPr>
            <w:r>
              <w:rPr>
                <w:rFonts w:ascii="Arial" w:cs="Arial" w:eastAsia="Arial" w:hAnsi="Arial"/>
                <w:sz w:val="9"/>
                <w:szCs w:val="9"/>
                <w:color w:val="auto"/>
              </w:rPr>
              <w:t>$4</w:t>
            </w:r>
          </w:p>
        </w:tc>
        <w:tc>
          <w:tcPr>
            <w:tcW w:w="620" w:type="dxa"/>
            <w:vAlign w:val="bottom"/>
          </w:tcPr>
          <w:p>
            <w:pPr>
              <w:spacing w:after="0"/>
              <w:rPr>
                <w:sz w:val="8"/>
                <w:szCs w:val="8"/>
                <w:color w:val="auto"/>
              </w:rPr>
            </w:pPr>
          </w:p>
        </w:tc>
        <w:tc>
          <w:tcPr>
            <w:tcW w:w="4360" w:type="dxa"/>
            <w:vAlign w:val="bottom"/>
          </w:tcPr>
          <w:p>
            <w:pPr>
              <w:spacing w:after="0" w:line="99" w:lineRule="exact"/>
              <w:rPr>
                <w:sz w:val="20"/>
                <w:szCs w:val="20"/>
                <w:color w:val="auto"/>
              </w:rPr>
            </w:pPr>
            <w:r>
              <w:rPr>
                <w:rFonts w:ascii="Arial" w:cs="Arial" w:eastAsia="Arial" w:hAnsi="Arial"/>
                <w:sz w:val="9"/>
                <w:szCs w:val="9"/>
                <w:i w:val="1"/>
                <w:iCs w:val="1"/>
                <w:color w:val="auto"/>
              </w:rPr>
              <w:t>Other current assets</w:t>
            </w:r>
          </w:p>
        </w:tc>
        <w:tc>
          <w:tcPr>
            <w:tcW w:w="0" w:type="dxa"/>
            <w:vAlign w:val="bottom"/>
          </w:tcPr>
          <w:p>
            <w:pPr>
              <w:spacing w:after="0"/>
              <w:rPr>
                <w:sz w:val="1"/>
                <w:szCs w:val="1"/>
                <w:color w:val="auto"/>
              </w:rPr>
            </w:pPr>
          </w:p>
        </w:tc>
      </w:tr>
      <w:tr>
        <w:trPr>
          <w:trHeight w:val="99"/>
        </w:trPr>
        <w:tc>
          <w:tcPr>
            <w:tcW w:w="526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Foreign exchange contracts</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w:t>
            </w:r>
          </w:p>
        </w:tc>
        <w:tc>
          <w:tcPr>
            <w:tcW w:w="9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37</w:t>
            </w:r>
          </w:p>
        </w:tc>
        <w:tc>
          <w:tcPr>
            <w:tcW w:w="620" w:type="dxa"/>
            <w:vAlign w:val="bottom"/>
            <w:shd w:val="clear" w:color="auto" w:fill="CCEEFF"/>
          </w:tcPr>
          <w:p>
            <w:pPr>
              <w:spacing w:after="0"/>
              <w:rPr>
                <w:sz w:val="8"/>
                <w:szCs w:val="8"/>
                <w:color w:val="auto"/>
              </w:rPr>
            </w:pPr>
          </w:p>
        </w:tc>
        <w:tc>
          <w:tcPr>
            <w:tcW w:w="4360" w:type="dxa"/>
            <w:vAlign w:val="bottom"/>
            <w:shd w:val="clear" w:color="auto" w:fill="CCEEFF"/>
          </w:tcPr>
          <w:p>
            <w:pPr>
              <w:spacing w:after="0" w:line="99" w:lineRule="exact"/>
              <w:rPr>
                <w:sz w:val="20"/>
                <w:szCs w:val="20"/>
                <w:color w:val="auto"/>
              </w:rPr>
            </w:pPr>
            <w:r>
              <w:rPr>
                <w:rFonts w:ascii="Arial" w:cs="Arial" w:eastAsia="Arial" w:hAnsi="Arial"/>
                <w:sz w:val="9"/>
                <w:szCs w:val="9"/>
                <w:i w:val="1"/>
                <w:iCs w:val="1"/>
                <w:color w:val="auto"/>
              </w:rPr>
              <w:t>Other Assets</w:t>
            </w:r>
          </w:p>
        </w:tc>
        <w:tc>
          <w:tcPr>
            <w:tcW w:w="0" w:type="dxa"/>
            <w:vAlign w:val="bottom"/>
          </w:tcPr>
          <w:p>
            <w:pPr>
              <w:spacing w:after="0"/>
              <w:rPr>
                <w:sz w:val="1"/>
                <w:szCs w:val="1"/>
                <w:color w:val="auto"/>
              </w:rPr>
            </w:pPr>
          </w:p>
        </w:tc>
      </w:tr>
      <w:tr>
        <w:trPr>
          <w:trHeight w:val="99"/>
        </w:trPr>
        <w:tc>
          <w:tcPr>
            <w:tcW w:w="5260" w:type="dxa"/>
            <w:vAlign w:val="bottom"/>
            <w:tcBorders>
              <w:bottom w:val="single" w:sz="8" w:color="auto"/>
            </w:tcBorders>
          </w:tcPr>
          <w:p>
            <w:pPr>
              <w:ind w:left="280"/>
              <w:spacing w:after="0" w:line="99" w:lineRule="exact"/>
              <w:rPr>
                <w:sz w:val="20"/>
                <w:szCs w:val="20"/>
                <w:color w:val="auto"/>
              </w:rPr>
            </w:pPr>
            <w:r>
              <w:rPr>
                <w:rFonts w:ascii="Arial" w:cs="Arial" w:eastAsia="Arial" w:hAnsi="Arial"/>
                <w:sz w:val="9"/>
                <w:szCs w:val="9"/>
                <w:color w:val="auto"/>
              </w:rPr>
              <w:t>Interest rate swaps</w:t>
            </w:r>
          </w:p>
        </w:tc>
        <w:tc>
          <w:tcPr>
            <w:tcW w:w="3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9</w:t>
            </w:r>
          </w:p>
        </w:tc>
        <w:tc>
          <w:tcPr>
            <w:tcW w:w="620" w:type="dxa"/>
            <w:vAlign w:val="bottom"/>
          </w:tcPr>
          <w:p>
            <w:pPr>
              <w:spacing w:after="0"/>
              <w:rPr>
                <w:sz w:val="8"/>
                <w:szCs w:val="8"/>
                <w:color w:val="auto"/>
              </w:rPr>
            </w:pPr>
          </w:p>
        </w:tc>
        <w:tc>
          <w:tcPr>
            <w:tcW w:w="32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14</w:t>
            </w:r>
          </w:p>
        </w:tc>
        <w:tc>
          <w:tcPr>
            <w:tcW w:w="620" w:type="dxa"/>
            <w:vAlign w:val="bottom"/>
          </w:tcPr>
          <w:p>
            <w:pPr>
              <w:spacing w:after="0"/>
              <w:rPr>
                <w:sz w:val="8"/>
                <w:szCs w:val="8"/>
                <w:color w:val="auto"/>
              </w:rPr>
            </w:pPr>
          </w:p>
        </w:tc>
        <w:tc>
          <w:tcPr>
            <w:tcW w:w="4360" w:type="dxa"/>
            <w:vAlign w:val="bottom"/>
          </w:tcPr>
          <w:p>
            <w:pPr>
              <w:spacing w:after="0" w:line="99" w:lineRule="exact"/>
              <w:rPr>
                <w:sz w:val="20"/>
                <w:szCs w:val="20"/>
                <w:color w:val="auto"/>
              </w:rPr>
            </w:pPr>
            <w:r>
              <w:rPr>
                <w:rFonts w:ascii="Arial" w:cs="Arial" w:eastAsia="Arial" w:hAnsi="Arial"/>
                <w:sz w:val="9"/>
                <w:szCs w:val="9"/>
                <w:i w:val="1"/>
                <w:iCs w:val="1"/>
                <w:color w:val="auto"/>
              </w:rPr>
              <w:t>Other Assets</w:t>
            </w:r>
          </w:p>
        </w:tc>
        <w:tc>
          <w:tcPr>
            <w:tcW w:w="0" w:type="dxa"/>
            <w:vAlign w:val="bottom"/>
          </w:tcPr>
          <w:p>
            <w:pPr>
              <w:spacing w:after="0"/>
              <w:rPr>
                <w:sz w:val="1"/>
                <w:szCs w:val="1"/>
                <w:color w:val="auto"/>
              </w:rPr>
            </w:pPr>
          </w:p>
        </w:tc>
      </w:tr>
      <w:tr>
        <w:trPr>
          <w:trHeight w:val="97"/>
        </w:trPr>
        <w:tc>
          <w:tcPr>
            <w:tcW w:w="52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w:t>
            </w:r>
          </w:p>
        </w:tc>
        <w:tc>
          <w:tcPr>
            <w:tcW w:w="9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55</w:t>
            </w:r>
          </w:p>
        </w:tc>
        <w:tc>
          <w:tcPr>
            <w:tcW w:w="620" w:type="dxa"/>
            <w:vAlign w:val="bottom"/>
            <w:shd w:val="clear" w:color="auto" w:fill="CCEEFF"/>
          </w:tcPr>
          <w:p>
            <w:pPr>
              <w:spacing w:after="0"/>
              <w:rPr>
                <w:sz w:val="8"/>
                <w:szCs w:val="8"/>
                <w:color w:val="auto"/>
              </w:rPr>
            </w:pPr>
          </w:p>
        </w:tc>
        <w:tc>
          <w:tcPr>
            <w:tcW w:w="4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26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rPr>
              <w:t>Derivative not designated as hedges:</w:t>
            </w:r>
          </w:p>
        </w:tc>
        <w:tc>
          <w:tcPr>
            <w:tcW w:w="30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6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Commodity contracts</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9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3</w:t>
            </w:r>
          </w:p>
        </w:tc>
        <w:tc>
          <w:tcPr>
            <w:tcW w:w="620" w:type="dxa"/>
            <w:vAlign w:val="bottom"/>
            <w:shd w:val="clear" w:color="auto" w:fill="CCEEFF"/>
          </w:tcPr>
          <w:p>
            <w:pPr>
              <w:spacing w:after="0"/>
              <w:rPr>
                <w:sz w:val="8"/>
                <w:szCs w:val="8"/>
                <w:color w:val="auto"/>
              </w:rPr>
            </w:pPr>
          </w:p>
        </w:tc>
        <w:tc>
          <w:tcPr>
            <w:tcW w:w="4360" w:type="dxa"/>
            <w:vAlign w:val="bottom"/>
            <w:shd w:val="clear" w:color="auto" w:fill="CCEEFF"/>
          </w:tcPr>
          <w:p>
            <w:pPr>
              <w:spacing w:after="0" w:line="99" w:lineRule="exact"/>
              <w:rPr>
                <w:sz w:val="20"/>
                <w:szCs w:val="20"/>
                <w:color w:val="auto"/>
              </w:rPr>
            </w:pPr>
            <w:r>
              <w:rPr>
                <w:rFonts w:ascii="Arial" w:cs="Arial" w:eastAsia="Arial" w:hAnsi="Arial"/>
                <w:sz w:val="9"/>
                <w:szCs w:val="9"/>
                <w:i w:val="1"/>
                <w:iCs w:val="1"/>
                <w:color w:val="auto"/>
              </w:rPr>
              <w:t>Other current assets</w:t>
            </w:r>
          </w:p>
        </w:tc>
        <w:tc>
          <w:tcPr>
            <w:tcW w:w="0" w:type="dxa"/>
            <w:vAlign w:val="bottom"/>
          </w:tcPr>
          <w:p>
            <w:pPr>
              <w:spacing w:after="0"/>
              <w:rPr>
                <w:sz w:val="1"/>
                <w:szCs w:val="1"/>
                <w:color w:val="auto"/>
              </w:rPr>
            </w:pPr>
          </w:p>
        </w:tc>
      </w:tr>
      <w:tr>
        <w:trPr>
          <w:trHeight w:val="99"/>
        </w:trPr>
        <w:tc>
          <w:tcPr>
            <w:tcW w:w="5260" w:type="dxa"/>
            <w:vAlign w:val="bottom"/>
          </w:tcPr>
          <w:p>
            <w:pPr>
              <w:ind w:left="280"/>
              <w:spacing w:after="0" w:line="99" w:lineRule="exact"/>
              <w:rPr>
                <w:sz w:val="20"/>
                <w:szCs w:val="20"/>
                <w:color w:val="auto"/>
              </w:rPr>
            </w:pPr>
            <w:r>
              <w:rPr>
                <w:rFonts w:ascii="Arial" w:cs="Arial" w:eastAsia="Arial" w:hAnsi="Arial"/>
                <w:sz w:val="9"/>
                <w:szCs w:val="9"/>
                <w:color w:val="auto"/>
              </w:rPr>
              <w:t>Foreign exchange contracts</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8</w:t>
            </w:r>
          </w:p>
        </w:tc>
        <w:tc>
          <w:tcPr>
            <w:tcW w:w="940" w:type="dxa"/>
            <w:vAlign w:val="bottom"/>
            <w:gridSpan w:val="2"/>
          </w:tcPr>
          <w:p>
            <w:pPr>
              <w:jc w:val="right"/>
              <w:spacing w:after="0" w:line="99" w:lineRule="exact"/>
              <w:rPr>
                <w:sz w:val="20"/>
                <w:szCs w:val="20"/>
                <w:color w:val="auto"/>
              </w:rPr>
            </w:pPr>
            <w:r>
              <w:rPr>
                <w:rFonts w:ascii="Arial" w:cs="Arial" w:eastAsia="Arial" w:hAnsi="Arial"/>
                <w:sz w:val="9"/>
                <w:szCs w:val="9"/>
                <w:color w:val="auto"/>
              </w:rPr>
              <w:t>9</w:t>
            </w:r>
          </w:p>
        </w:tc>
        <w:tc>
          <w:tcPr>
            <w:tcW w:w="620" w:type="dxa"/>
            <w:vAlign w:val="bottom"/>
          </w:tcPr>
          <w:p>
            <w:pPr>
              <w:spacing w:after="0"/>
              <w:rPr>
                <w:sz w:val="8"/>
                <w:szCs w:val="8"/>
                <w:color w:val="auto"/>
              </w:rPr>
            </w:pPr>
          </w:p>
        </w:tc>
        <w:tc>
          <w:tcPr>
            <w:tcW w:w="4360" w:type="dxa"/>
            <w:vAlign w:val="bottom"/>
          </w:tcPr>
          <w:p>
            <w:pPr>
              <w:spacing w:after="0" w:line="99" w:lineRule="exact"/>
              <w:rPr>
                <w:sz w:val="20"/>
                <w:szCs w:val="20"/>
                <w:color w:val="auto"/>
              </w:rPr>
            </w:pPr>
            <w:r>
              <w:rPr>
                <w:rFonts w:ascii="Arial" w:cs="Arial" w:eastAsia="Arial" w:hAnsi="Arial"/>
                <w:sz w:val="9"/>
                <w:szCs w:val="9"/>
                <w:i w:val="1"/>
                <w:iCs w:val="1"/>
                <w:color w:val="auto"/>
              </w:rPr>
              <w:t>Other current assets</w:t>
            </w:r>
          </w:p>
        </w:tc>
        <w:tc>
          <w:tcPr>
            <w:tcW w:w="0" w:type="dxa"/>
            <w:vAlign w:val="bottom"/>
          </w:tcPr>
          <w:p>
            <w:pPr>
              <w:spacing w:after="0"/>
              <w:rPr>
                <w:sz w:val="1"/>
                <w:szCs w:val="1"/>
                <w:color w:val="auto"/>
              </w:rPr>
            </w:pPr>
          </w:p>
        </w:tc>
      </w:tr>
      <w:tr>
        <w:trPr>
          <w:trHeight w:val="99"/>
        </w:trPr>
        <w:tc>
          <w:tcPr>
            <w:tcW w:w="5260" w:type="dxa"/>
            <w:vAlign w:val="bottom"/>
            <w:tcBorders>
              <w:bottom w:val="single" w:sz="8" w:color="auto"/>
            </w:tcBorders>
            <w:shd w:val="clear" w:color="auto" w:fill="CCEEFF"/>
          </w:tcPr>
          <w:p>
            <w:pPr>
              <w:ind w:left="280"/>
              <w:spacing w:after="0" w:line="99" w:lineRule="exact"/>
              <w:rPr>
                <w:sz w:val="20"/>
                <w:szCs w:val="20"/>
                <w:color w:val="auto"/>
              </w:rPr>
            </w:pPr>
            <w:r>
              <w:rPr>
                <w:rFonts w:ascii="Arial" w:cs="Arial" w:eastAsia="Arial" w:hAnsi="Arial"/>
                <w:sz w:val="9"/>
                <w:szCs w:val="9"/>
                <w:color w:val="auto"/>
              </w:rPr>
              <w:t>Foreign exchange contracts</w:t>
            </w: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9</w:t>
            </w:r>
          </w:p>
        </w:tc>
        <w:tc>
          <w:tcPr>
            <w:tcW w:w="620" w:type="dxa"/>
            <w:vAlign w:val="bottom"/>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9</w:t>
            </w:r>
          </w:p>
        </w:tc>
        <w:tc>
          <w:tcPr>
            <w:tcW w:w="620" w:type="dxa"/>
            <w:vAlign w:val="bottom"/>
            <w:shd w:val="clear" w:color="auto" w:fill="CCEEFF"/>
          </w:tcPr>
          <w:p>
            <w:pPr>
              <w:spacing w:after="0"/>
              <w:rPr>
                <w:sz w:val="8"/>
                <w:szCs w:val="8"/>
                <w:color w:val="auto"/>
              </w:rPr>
            </w:pPr>
          </w:p>
        </w:tc>
        <w:tc>
          <w:tcPr>
            <w:tcW w:w="4360" w:type="dxa"/>
            <w:vAlign w:val="bottom"/>
            <w:shd w:val="clear" w:color="auto" w:fill="CCEEFF"/>
          </w:tcPr>
          <w:p>
            <w:pPr>
              <w:spacing w:after="0" w:line="99" w:lineRule="exact"/>
              <w:rPr>
                <w:sz w:val="20"/>
                <w:szCs w:val="20"/>
                <w:color w:val="auto"/>
              </w:rPr>
            </w:pPr>
            <w:r>
              <w:rPr>
                <w:rFonts w:ascii="Arial" w:cs="Arial" w:eastAsia="Arial" w:hAnsi="Arial"/>
                <w:sz w:val="9"/>
                <w:szCs w:val="9"/>
                <w:i w:val="1"/>
                <w:iCs w:val="1"/>
                <w:color w:val="auto"/>
              </w:rPr>
              <w:t>Other Assets</w:t>
            </w:r>
          </w:p>
        </w:tc>
        <w:tc>
          <w:tcPr>
            <w:tcW w:w="0" w:type="dxa"/>
            <w:vAlign w:val="bottom"/>
          </w:tcPr>
          <w:p>
            <w:pPr>
              <w:spacing w:after="0"/>
              <w:rPr>
                <w:sz w:val="1"/>
                <w:szCs w:val="1"/>
                <w:color w:val="auto"/>
              </w:rPr>
            </w:pPr>
          </w:p>
        </w:tc>
      </w:tr>
      <w:tr>
        <w:trPr>
          <w:trHeight w:val="97"/>
        </w:trPr>
        <w:tc>
          <w:tcPr>
            <w:tcW w:w="5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17</w:t>
            </w:r>
          </w:p>
        </w:tc>
        <w:tc>
          <w:tcPr>
            <w:tcW w:w="620" w:type="dxa"/>
            <w:vAlign w:val="bottom"/>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21</w:t>
            </w:r>
          </w:p>
        </w:tc>
        <w:tc>
          <w:tcPr>
            <w:tcW w:w="6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2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$32</w:t>
            </w:r>
          </w:p>
        </w:tc>
        <w:tc>
          <w:tcPr>
            <w:tcW w:w="9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$76</w:t>
            </w:r>
          </w:p>
        </w:tc>
        <w:tc>
          <w:tcPr>
            <w:tcW w:w="620" w:type="dxa"/>
            <w:vAlign w:val="bottom"/>
            <w:shd w:val="clear" w:color="auto" w:fill="CCEEFF"/>
          </w:tcPr>
          <w:p>
            <w:pPr>
              <w:spacing w:after="0"/>
              <w:rPr>
                <w:sz w:val="8"/>
                <w:szCs w:val="8"/>
                <w:color w:val="auto"/>
              </w:rPr>
            </w:pPr>
          </w:p>
        </w:tc>
        <w:tc>
          <w:tcPr>
            <w:tcW w:w="4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260" w:type="dxa"/>
            <w:vAlign w:val="bottom"/>
          </w:tcPr>
          <w:p>
            <w:pPr>
              <w:spacing w:after="0"/>
              <w:rPr>
                <w:sz w:val="20"/>
                <w:szCs w:val="20"/>
                <w:color w:val="auto"/>
              </w:rPr>
            </w:pPr>
            <w:r>
              <w:rPr>
                <w:rFonts w:ascii="Arial" w:cs="Arial" w:eastAsia="Arial" w:hAnsi="Arial"/>
                <w:sz w:val="9"/>
                <w:szCs w:val="9"/>
                <w:b w:val="1"/>
                <w:bCs w:val="1"/>
                <w:color w:val="auto"/>
              </w:rPr>
              <w:t>Derivative Liabilities</w:t>
            </w:r>
          </w:p>
        </w:tc>
        <w:tc>
          <w:tcPr>
            <w:tcW w:w="300" w:type="dxa"/>
            <w:vAlign w:val="bottom"/>
            <w:tcBorders>
              <w:top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2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Derivative designated as hedges:</w:t>
            </w:r>
          </w:p>
        </w:tc>
        <w:tc>
          <w:tcPr>
            <w:tcW w:w="3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60" w:type="dxa"/>
            <w:vAlign w:val="bottom"/>
          </w:tcPr>
          <w:p>
            <w:pPr>
              <w:ind w:left="280"/>
              <w:spacing w:after="0" w:line="99" w:lineRule="exact"/>
              <w:rPr>
                <w:sz w:val="20"/>
                <w:szCs w:val="20"/>
                <w:color w:val="auto"/>
              </w:rPr>
            </w:pPr>
            <w:r>
              <w:rPr>
                <w:rFonts w:ascii="Arial" w:cs="Arial" w:eastAsia="Arial" w:hAnsi="Arial"/>
                <w:sz w:val="9"/>
                <w:szCs w:val="9"/>
                <w:color w:val="auto"/>
              </w:rPr>
              <w:t>Foreign exchange contracts</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$47</w:t>
            </w:r>
          </w:p>
        </w:tc>
        <w:tc>
          <w:tcPr>
            <w:tcW w:w="940" w:type="dxa"/>
            <w:vAlign w:val="bottom"/>
            <w:gridSpan w:val="2"/>
          </w:tcPr>
          <w:p>
            <w:pPr>
              <w:jc w:val="right"/>
              <w:spacing w:after="0" w:line="99" w:lineRule="exact"/>
              <w:rPr>
                <w:sz w:val="20"/>
                <w:szCs w:val="20"/>
                <w:color w:val="auto"/>
              </w:rPr>
            </w:pPr>
            <w:r>
              <w:rPr>
                <w:rFonts w:ascii="Arial" w:cs="Arial" w:eastAsia="Arial" w:hAnsi="Arial"/>
                <w:sz w:val="9"/>
                <w:szCs w:val="9"/>
                <w:color w:val="auto"/>
              </w:rPr>
              <w:t>$9</w:t>
            </w:r>
          </w:p>
        </w:tc>
        <w:tc>
          <w:tcPr>
            <w:tcW w:w="620" w:type="dxa"/>
            <w:vAlign w:val="bottom"/>
          </w:tcPr>
          <w:p>
            <w:pPr>
              <w:spacing w:after="0"/>
              <w:rPr>
                <w:sz w:val="8"/>
                <w:szCs w:val="8"/>
                <w:color w:val="auto"/>
              </w:rPr>
            </w:pPr>
          </w:p>
        </w:tc>
        <w:tc>
          <w:tcPr>
            <w:tcW w:w="4360" w:type="dxa"/>
            <w:vAlign w:val="bottom"/>
          </w:tcPr>
          <w:p>
            <w:pPr>
              <w:spacing w:after="0" w:line="99" w:lineRule="exact"/>
              <w:rPr>
                <w:sz w:val="20"/>
                <w:szCs w:val="20"/>
                <w:color w:val="auto"/>
              </w:rPr>
            </w:pPr>
            <w:r>
              <w:rPr>
                <w:rFonts w:ascii="Arial" w:cs="Arial" w:eastAsia="Arial" w:hAnsi="Arial"/>
                <w:sz w:val="9"/>
                <w:szCs w:val="9"/>
                <w:i w:val="1"/>
                <w:iCs w:val="1"/>
                <w:color w:val="auto"/>
              </w:rPr>
              <w:t>Accounts payable and accrued liabilities</w:t>
            </w:r>
          </w:p>
        </w:tc>
        <w:tc>
          <w:tcPr>
            <w:tcW w:w="0" w:type="dxa"/>
            <w:vAlign w:val="bottom"/>
          </w:tcPr>
          <w:p>
            <w:pPr>
              <w:spacing w:after="0"/>
              <w:rPr>
                <w:sz w:val="1"/>
                <w:szCs w:val="1"/>
                <w:color w:val="auto"/>
              </w:rPr>
            </w:pPr>
          </w:p>
        </w:tc>
      </w:tr>
      <w:tr>
        <w:trPr>
          <w:trHeight w:val="99"/>
        </w:trPr>
        <w:tc>
          <w:tcPr>
            <w:tcW w:w="526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Foreign exchange contracts</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130</w:t>
            </w:r>
          </w:p>
        </w:tc>
        <w:tc>
          <w:tcPr>
            <w:tcW w:w="9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77</w:t>
            </w:r>
          </w:p>
        </w:tc>
        <w:tc>
          <w:tcPr>
            <w:tcW w:w="620" w:type="dxa"/>
            <w:vAlign w:val="bottom"/>
            <w:shd w:val="clear" w:color="auto" w:fill="CCEEFF"/>
          </w:tcPr>
          <w:p>
            <w:pPr>
              <w:spacing w:after="0"/>
              <w:rPr>
                <w:sz w:val="8"/>
                <w:szCs w:val="8"/>
                <w:color w:val="auto"/>
              </w:rPr>
            </w:pPr>
          </w:p>
        </w:tc>
        <w:tc>
          <w:tcPr>
            <w:tcW w:w="4360" w:type="dxa"/>
            <w:vAlign w:val="bottom"/>
            <w:shd w:val="clear" w:color="auto" w:fill="CCEEFF"/>
          </w:tcPr>
          <w:p>
            <w:pPr>
              <w:spacing w:after="0" w:line="99" w:lineRule="exact"/>
              <w:rPr>
                <w:sz w:val="20"/>
                <w:szCs w:val="20"/>
                <w:color w:val="auto"/>
              </w:rPr>
            </w:pPr>
            <w:r>
              <w:rPr>
                <w:rFonts w:ascii="Arial" w:cs="Arial" w:eastAsia="Arial" w:hAnsi="Arial"/>
                <w:sz w:val="9"/>
                <w:szCs w:val="9"/>
                <w:i w:val="1"/>
                <w:iCs w:val="1"/>
                <w:color w:val="auto"/>
              </w:rPr>
              <w:t>Other Liabilities</w:t>
            </w:r>
          </w:p>
        </w:tc>
        <w:tc>
          <w:tcPr>
            <w:tcW w:w="0" w:type="dxa"/>
            <w:vAlign w:val="bottom"/>
          </w:tcPr>
          <w:p>
            <w:pPr>
              <w:spacing w:after="0"/>
              <w:rPr>
                <w:sz w:val="1"/>
                <w:szCs w:val="1"/>
                <w:color w:val="auto"/>
              </w:rPr>
            </w:pPr>
          </w:p>
        </w:tc>
      </w:tr>
      <w:tr>
        <w:trPr>
          <w:trHeight w:val="99"/>
        </w:trPr>
        <w:tc>
          <w:tcPr>
            <w:tcW w:w="5260" w:type="dxa"/>
            <w:vAlign w:val="bottom"/>
            <w:tcBorders>
              <w:bottom w:val="single" w:sz="8" w:color="auto"/>
            </w:tcBorders>
          </w:tcPr>
          <w:p>
            <w:pPr>
              <w:ind w:left="280"/>
              <w:spacing w:after="0" w:line="99" w:lineRule="exact"/>
              <w:rPr>
                <w:sz w:val="20"/>
                <w:szCs w:val="20"/>
                <w:color w:val="auto"/>
              </w:rPr>
            </w:pPr>
            <w:r>
              <w:rPr>
                <w:rFonts w:ascii="Arial" w:cs="Arial" w:eastAsia="Arial" w:hAnsi="Arial"/>
                <w:sz w:val="9"/>
                <w:szCs w:val="9"/>
                <w:color w:val="auto"/>
              </w:rPr>
              <w:t>Interest rate swaps</w:t>
            </w:r>
          </w:p>
        </w:tc>
        <w:tc>
          <w:tcPr>
            <w:tcW w:w="3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32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7</w:t>
            </w:r>
          </w:p>
        </w:tc>
        <w:tc>
          <w:tcPr>
            <w:tcW w:w="620" w:type="dxa"/>
            <w:vAlign w:val="bottom"/>
          </w:tcPr>
          <w:p>
            <w:pPr>
              <w:spacing w:after="0"/>
              <w:rPr>
                <w:sz w:val="8"/>
                <w:szCs w:val="8"/>
                <w:color w:val="auto"/>
              </w:rPr>
            </w:pPr>
          </w:p>
        </w:tc>
        <w:tc>
          <w:tcPr>
            <w:tcW w:w="4360" w:type="dxa"/>
            <w:vAlign w:val="bottom"/>
          </w:tcPr>
          <w:p>
            <w:pPr>
              <w:spacing w:after="0" w:line="99" w:lineRule="exact"/>
              <w:rPr>
                <w:sz w:val="20"/>
                <w:szCs w:val="20"/>
                <w:color w:val="auto"/>
              </w:rPr>
            </w:pPr>
            <w:r>
              <w:rPr>
                <w:rFonts w:ascii="Arial" w:cs="Arial" w:eastAsia="Arial" w:hAnsi="Arial"/>
                <w:sz w:val="9"/>
                <w:szCs w:val="9"/>
                <w:i w:val="1"/>
                <w:iCs w:val="1"/>
                <w:color w:val="auto"/>
              </w:rPr>
              <w:t>Accounts payable and accrued liabilities</w:t>
            </w:r>
          </w:p>
        </w:tc>
        <w:tc>
          <w:tcPr>
            <w:tcW w:w="0" w:type="dxa"/>
            <w:vAlign w:val="bottom"/>
          </w:tcPr>
          <w:p>
            <w:pPr>
              <w:spacing w:after="0"/>
              <w:rPr>
                <w:sz w:val="1"/>
                <w:szCs w:val="1"/>
                <w:color w:val="auto"/>
              </w:rPr>
            </w:pPr>
          </w:p>
        </w:tc>
      </w:tr>
      <w:tr>
        <w:trPr>
          <w:trHeight w:val="97"/>
        </w:trPr>
        <w:tc>
          <w:tcPr>
            <w:tcW w:w="52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177</w:t>
            </w:r>
          </w:p>
        </w:tc>
        <w:tc>
          <w:tcPr>
            <w:tcW w:w="9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93</w:t>
            </w:r>
          </w:p>
        </w:tc>
        <w:tc>
          <w:tcPr>
            <w:tcW w:w="620" w:type="dxa"/>
            <w:vAlign w:val="bottom"/>
            <w:shd w:val="clear" w:color="auto" w:fill="CCEEFF"/>
          </w:tcPr>
          <w:p>
            <w:pPr>
              <w:spacing w:after="0"/>
              <w:rPr>
                <w:sz w:val="8"/>
                <w:szCs w:val="8"/>
                <w:color w:val="auto"/>
              </w:rPr>
            </w:pPr>
          </w:p>
        </w:tc>
        <w:tc>
          <w:tcPr>
            <w:tcW w:w="4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26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rPr>
              <w:t>Derivative not designated as hedges:</w:t>
            </w:r>
          </w:p>
        </w:tc>
        <w:tc>
          <w:tcPr>
            <w:tcW w:w="30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6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Commodity contracts</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w:t>
            </w:r>
          </w:p>
        </w:tc>
        <w:tc>
          <w:tcPr>
            <w:tcW w:w="62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620"/>
              <w:spacing w:after="0" w:line="99" w:lineRule="exact"/>
              <w:rPr>
                <w:sz w:val="20"/>
                <w:szCs w:val="20"/>
                <w:color w:val="auto"/>
              </w:rPr>
            </w:pPr>
            <w:r>
              <w:rPr>
                <w:rFonts w:ascii="Arial" w:cs="Arial" w:eastAsia="Arial" w:hAnsi="Arial"/>
                <w:sz w:val="9"/>
                <w:szCs w:val="9"/>
                <w:color w:val="auto"/>
              </w:rPr>
              <w:t>–</w:t>
            </w:r>
          </w:p>
        </w:tc>
        <w:tc>
          <w:tcPr>
            <w:tcW w:w="4360" w:type="dxa"/>
            <w:vAlign w:val="bottom"/>
            <w:shd w:val="clear" w:color="auto" w:fill="CCEEFF"/>
          </w:tcPr>
          <w:p>
            <w:pPr>
              <w:spacing w:after="0" w:line="99" w:lineRule="exact"/>
              <w:rPr>
                <w:sz w:val="20"/>
                <w:szCs w:val="20"/>
                <w:color w:val="auto"/>
              </w:rPr>
            </w:pPr>
            <w:r>
              <w:rPr>
                <w:rFonts w:ascii="Arial" w:cs="Arial" w:eastAsia="Arial" w:hAnsi="Arial"/>
                <w:sz w:val="9"/>
                <w:szCs w:val="9"/>
                <w:i w:val="1"/>
                <w:iCs w:val="1"/>
                <w:color w:val="auto"/>
              </w:rPr>
              <w:t>Accounts payable and accrued liabilities</w:t>
            </w:r>
          </w:p>
        </w:tc>
        <w:tc>
          <w:tcPr>
            <w:tcW w:w="0" w:type="dxa"/>
            <w:vAlign w:val="bottom"/>
          </w:tcPr>
          <w:p>
            <w:pPr>
              <w:spacing w:after="0"/>
              <w:rPr>
                <w:sz w:val="1"/>
                <w:szCs w:val="1"/>
                <w:color w:val="auto"/>
              </w:rPr>
            </w:pPr>
          </w:p>
        </w:tc>
      </w:tr>
      <w:tr>
        <w:trPr>
          <w:trHeight w:val="99"/>
        </w:trPr>
        <w:tc>
          <w:tcPr>
            <w:tcW w:w="5260" w:type="dxa"/>
            <w:vAlign w:val="bottom"/>
            <w:tcBorders>
              <w:bottom w:val="single" w:sz="8" w:color="auto"/>
            </w:tcBorders>
          </w:tcPr>
          <w:p>
            <w:pPr>
              <w:ind w:left="280"/>
              <w:spacing w:after="0" w:line="99" w:lineRule="exact"/>
              <w:rPr>
                <w:sz w:val="20"/>
                <w:szCs w:val="20"/>
                <w:color w:val="auto"/>
              </w:rPr>
            </w:pPr>
            <w:r>
              <w:rPr>
                <w:rFonts w:ascii="Arial" w:cs="Arial" w:eastAsia="Arial" w:hAnsi="Arial"/>
                <w:sz w:val="9"/>
                <w:szCs w:val="9"/>
                <w:color w:val="auto"/>
              </w:rPr>
              <w:t>Foreign exchange contracts</w:t>
            </w:r>
          </w:p>
        </w:tc>
        <w:tc>
          <w:tcPr>
            <w:tcW w:w="3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9</w:t>
            </w:r>
          </w:p>
        </w:tc>
        <w:tc>
          <w:tcPr>
            <w:tcW w:w="620" w:type="dxa"/>
            <w:vAlign w:val="bottom"/>
          </w:tcPr>
          <w:p>
            <w:pPr>
              <w:spacing w:after="0"/>
              <w:rPr>
                <w:sz w:val="8"/>
                <w:szCs w:val="8"/>
                <w:color w:val="auto"/>
              </w:rPr>
            </w:pPr>
          </w:p>
        </w:tc>
        <w:tc>
          <w:tcPr>
            <w:tcW w:w="32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14</w:t>
            </w:r>
          </w:p>
        </w:tc>
        <w:tc>
          <w:tcPr>
            <w:tcW w:w="620" w:type="dxa"/>
            <w:vAlign w:val="bottom"/>
          </w:tcPr>
          <w:p>
            <w:pPr>
              <w:spacing w:after="0"/>
              <w:rPr>
                <w:sz w:val="8"/>
                <w:szCs w:val="8"/>
                <w:color w:val="auto"/>
              </w:rPr>
            </w:pPr>
          </w:p>
        </w:tc>
        <w:tc>
          <w:tcPr>
            <w:tcW w:w="4360" w:type="dxa"/>
            <w:vAlign w:val="bottom"/>
          </w:tcPr>
          <w:p>
            <w:pPr>
              <w:spacing w:after="0" w:line="99" w:lineRule="exact"/>
              <w:rPr>
                <w:sz w:val="20"/>
                <w:szCs w:val="20"/>
                <w:color w:val="auto"/>
              </w:rPr>
            </w:pPr>
            <w:r>
              <w:rPr>
                <w:rFonts w:ascii="Arial" w:cs="Arial" w:eastAsia="Arial" w:hAnsi="Arial"/>
                <w:sz w:val="9"/>
                <w:szCs w:val="9"/>
                <w:i w:val="1"/>
                <w:iCs w:val="1"/>
                <w:color w:val="auto"/>
              </w:rPr>
              <w:t>Accounts payable and accrued liabilities</w:t>
            </w:r>
          </w:p>
        </w:tc>
        <w:tc>
          <w:tcPr>
            <w:tcW w:w="0" w:type="dxa"/>
            <w:vAlign w:val="bottom"/>
          </w:tcPr>
          <w:p>
            <w:pPr>
              <w:spacing w:after="0"/>
              <w:rPr>
                <w:sz w:val="1"/>
                <w:szCs w:val="1"/>
                <w:color w:val="auto"/>
              </w:rPr>
            </w:pPr>
          </w:p>
        </w:tc>
      </w:tr>
      <w:tr>
        <w:trPr>
          <w:trHeight w:val="97"/>
        </w:trPr>
        <w:tc>
          <w:tcPr>
            <w:tcW w:w="526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12</w:t>
            </w:r>
          </w:p>
        </w:tc>
        <w:tc>
          <w:tcPr>
            <w:tcW w:w="620" w:type="dxa"/>
            <w:vAlign w:val="bottom"/>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14</w:t>
            </w:r>
          </w:p>
        </w:tc>
        <w:tc>
          <w:tcPr>
            <w:tcW w:w="620" w:type="dxa"/>
            <w:vAlign w:val="bottom"/>
            <w:shd w:val="clear" w:color="auto" w:fill="CCEEFF"/>
          </w:tcPr>
          <w:p>
            <w:pPr>
              <w:spacing w:after="0"/>
              <w:rPr>
                <w:sz w:val="8"/>
                <w:szCs w:val="8"/>
                <w:color w:val="auto"/>
              </w:rPr>
            </w:pPr>
          </w:p>
        </w:tc>
        <w:tc>
          <w:tcPr>
            <w:tcW w:w="4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26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$189</w:t>
            </w:r>
          </w:p>
        </w:tc>
        <w:tc>
          <w:tcPr>
            <w:tcW w:w="620" w:type="dxa"/>
            <w:vAlign w:val="bottom"/>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$107</w:t>
            </w:r>
          </w:p>
        </w:tc>
        <w:tc>
          <w:tcPr>
            <w:tcW w:w="6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fair value of all outstanding derivatives is determined using a model with inputs that are observable in the market or can be derived from or corroborated by observable data.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9"/>
          <w:szCs w:val="9"/>
          <w:color w:val="auto"/>
        </w:rPr>
        <w:t>54</w:t>
      </w:r>
    </w:p>
    <w:p>
      <w:pPr>
        <w:sectPr>
          <w:pgSz w:w="11900" w:h="16838" w:orient="portrait"/>
          <w:cols w:equalWidth="0" w:num="1">
            <w:col w:w="11480"/>
          </w:cols>
          <w:pgMar w:left="220" w:top="354" w:right="199"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xml:space="preserve">The effect of derivative instruments designated as fair value hedges and not designated as hedges on the </w:t>
      </w:r>
      <w:r>
        <w:rPr>
          <w:rFonts w:ascii="Arial" w:cs="Arial" w:eastAsia="Arial" w:hAnsi="Arial"/>
          <w:sz w:val="12"/>
          <w:szCs w:val="12"/>
          <w:i w:val="1"/>
          <w:iCs w:val="1"/>
          <w:color w:val="auto"/>
        </w:rPr>
        <w:t>Consolidated Statement of Income</w:t>
      </w:r>
      <w:r>
        <w:rPr>
          <w:rFonts w:ascii="Arial" w:cs="Arial" w:eastAsia="Arial" w:hAnsi="Arial"/>
          <w:sz w:val="12"/>
          <w:szCs w:val="12"/>
          <w:color w:val="auto"/>
        </w:rPr>
        <w:t xml:space="preserve"> was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4"/>
          </w:tcPr>
          <w:p>
            <w:pPr>
              <w:ind w:left="20"/>
              <w:spacing w:after="0"/>
              <w:rPr>
                <w:sz w:val="20"/>
                <w:szCs w:val="20"/>
                <w:color w:val="auto"/>
              </w:rPr>
            </w:pPr>
            <w:r>
              <w:rPr>
                <w:rFonts w:ascii="Arial" w:cs="Arial" w:eastAsia="Arial" w:hAnsi="Arial"/>
                <w:sz w:val="9"/>
                <w:szCs w:val="9"/>
                <w:b w:val="1"/>
                <w:bCs w:val="1"/>
                <w:color w:val="auto"/>
              </w:rPr>
              <w:t>(Stated in millions)</w:t>
            </w:r>
          </w:p>
        </w:tc>
        <w:tc>
          <w:tcPr>
            <w:tcW w:w="24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6"/>
          </w:tcPr>
          <w:p>
            <w:pPr>
              <w:jc w:val="right"/>
              <w:ind w:right="280"/>
              <w:spacing w:after="0"/>
              <w:rPr>
                <w:sz w:val="20"/>
                <w:szCs w:val="20"/>
                <w:color w:val="auto"/>
              </w:rPr>
            </w:pPr>
            <w:r>
              <w:rPr>
                <w:rFonts w:ascii="Arial" w:cs="Arial" w:eastAsia="Arial" w:hAnsi="Arial"/>
                <w:sz w:val="9"/>
                <w:szCs w:val="9"/>
                <w:b w:val="1"/>
                <w:bCs w:val="1"/>
                <w:color w:val="auto"/>
                <w:w w:val="95"/>
              </w:rPr>
              <w:t>Gain (Loss) Recognized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9"/>
                <w:szCs w:val="9"/>
                <w:b w:val="1"/>
                <w:bCs w:val="1"/>
                <w:color w:val="auto"/>
              </w:rPr>
              <w:t>in Income</w:t>
            </w: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gridSpan w:val="2"/>
            <w:vMerge w:val="restart"/>
          </w:tcPr>
          <w:p>
            <w:pPr>
              <w:ind w:left="240"/>
              <w:spacing w:after="0"/>
              <w:rPr>
                <w:sz w:val="20"/>
                <w:szCs w:val="20"/>
                <w:color w:val="auto"/>
              </w:rPr>
            </w:pPr>
            <w:r>
              <w:rPr>
                <w:rFonts w:ascii="Arial" w:cs="Arial" w:eastAsia="Arial" w:hAnsi="Arial"/>
                <w:sz w:val="9"/>
                <w:szCs w:val="9"/>
                <w:b w:val="1"/>
                <w:bCs w:val="1"/>
                <w:color w:val="auto"/>
              </w:rPr>
              <w:t>Consolidated Statement of Income Classifiaction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gridSpan w:val="2"/>
          </w:tcPr>
          <w:p>
            <w:pPr>
              <w:jc w:val="right"/>
              <w:ind w:right="100"/>
              <w:spacing w:after="0" w:line="88" w:lineRule="exact"/>
              <w:rPr>
                <w:sz w:val="20"/>
                <w:szCs w:val="20"/>
                <w:color w:val="auto"/>
              </w:rPr>
            </w:pPr>
            <w:r>
              <w:rPr>
                <w:rFonts w:ascii="Arial" w:cs="Arial" w:eastAsia="Arial" w:hAnsi="Arial"/>
                <w:sz w:val="9"/>
                <w:szCs w:val="9"/>
                <w:b w:val="1"/>
                <w:bCs w:val="1"/>
                <w:color w:val="auto"/>
              </w:rPr>
              <w:t>2011</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jc w:val="right"/>
              <w:spacing w:after="0" w:line="88" w:lineRule="exact"/>
              <w:rPr>
                <w:sz w:val="20"/>
                <w:szCs w:val="20"/>
                <w:color w:val="auto"/>
              </w:rPr>
            </w:pPr>
            <w:r>
              <w:rPr>
                <w:rFonts w:ascii="Arial" w:cs="Arial" w:eastAsia="Arial" w:hAnsi="Arial"/>
                <w:sz w:val="9"/>
                <w:szCs w:val="9"/>
                <w:b w:val="1"/>
                <w:bCs w:val="1"/>
                <w:color w:val="auto"/>
                <w:w w:val="99"/>
              </w:rPr>
              <w:t>2010</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jc w:val="right"/>
              <w:spacing w:after="0" w:line="88" w:lineRule="exact"/>
              <w:rPr>
                <w:sz w:val="20"/>
                <w:szCs w:val="20"/>
                <w:color w:val="auto"/>
              </w:rPr>
            </w:pPr>
            <w:r>
              <w:rPr>
                <w:rFonts w:ascii="Arial" w:cs="Arial" w:eastAsia="Arial" w:hAnsi="Arial"/>
                <w:sz w:val="9"/>
                <w:szCs w:val="9"/>
                <w:b w:val="1"/>
                <w:bCs w:val="1"/>
                <w:color w:val="auto"/>
              </w:rPr>
              <w:t>2009</w:t>
            </w:r>
          </w:p>
        </w:tc>
        <w:tc>
          <w:tcPr>
            <w:tcW w:w="240" w:type="dxa"/>
            <w:vAlign w:val="bottom"/>
          </w:tcPr>
          <w:p>
            <w:pPr>
              <w:spacing w:after="0"/>
              <w:rPr>
                <w:sz w:val="7"/>
                <w:szCs w:val="7"/>
                <w:color w:val="auto"/>
              </w:rPr>
            </w:pPr>
          </w:p>
        </w:tc>
        <w:tc>
          <w:tcPr>
            <w:tcW w:w="4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84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color w:val="auto"/>
              </w:rPr>
              <w:t>Derivatives designated as fair value hedges:</w:t>
            </w:r>
          </w:p>
        </w:tc>
        <w:tc>
          <w:tcPr>
            <w:tcW w:w="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20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840" w:type="dxa"/>
            <w:vAlign w:val="bottom"/>
          </w:tcPr>
          <w:p>
            <w:pPr>
              <w:ind w:left="120"/>
              <w:spacing w:after="0" w:line="99" w:lineRule="exact"/>
              <w:rPr>
                <w:sz w:val="20"/>
                <w:szCs w:val="20"/>
                <w:color w:val="auto"/>
              </w:rPr>
            </w:pPr>
            <w:r>
              <w:rPr>
                <w:rFonts w:ascii="Arial" w:cs="Arial" w:eastAsia="Arial" w:hAnsi="Arial"/>
                <w:sz w:val="9"/>
                <w:szCs w:val="9"/>
                <w:color w:val="auto"/>
              </w:rPr>
              <w:t>Foreign exchange contracts</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(8)</w:t>
            </w:r>
          </w:p>
        </w:tc>
        <w:tc>
          <w:tcPr>
            <w:tcW w:w="52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40"/>
              <w:spacing w:after="0" w:line="99" w:lineRule="exact"/>
              <w:rPr>
                <w:sz w:val="20"/>
                <w:szCs w:val="20"/>
                <w:color w:val="auto"/>
              </w:rPr>
            </w:pPr>
            <w:r>
              <w:rPr>
                <w:rFonts w:ascii="Arial" w:cs="Arial" w:eastAsia="Arial" w:hAnsi="Arial"/>
                <w:sz w:val="9"/>
                <w:szCs w:val="9"/>
                <w:color w:val="auto"/>
              </w:rPr>
              <w:t>105</w:t>
            </w:r>
          </w:p>
        </w:tc>
        <w:tc>
          <w:tcPr>
            <w:tcW w:w="4440" w:type="dxa"/>
            <w:vAlign w:val="bottom"/>
            <w:gridSpan w:val="2"/>
          </w:tcPr>
          <w:p>
            <w:pPr>
              <w:ind w:left="240"/>
              <w:spacing w:after="0" w:line="99" w:lineRule="exact"/>
              <w:rPr>
                <w:sz w:val="20"/>
                <w:szCs w:val="20"/>
                <w:color w:val="auto"/>
              </w:rPr>
            </w:pPr>
            <w:r>
              <w:rPr>
                <w:rFonts w:ascii="Arial" w:cs="Arial" w:eastAsia="Arial" w:hAnsi="Arial"/>
                <w:sz w:val="9"/>
                <w:szCs w:val="9"/>
                <w:i w:val="1"/>
                <w:iCs w:val="1"/>
                <w:color w:val="auto"/>
              </w:rPr>
              <w:t>Cost of revenue - Oilfield Services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840" w:type="dxa"/>
            <w:vAlign w:val="bottom"/>
            <w:shd w:val="clear" w:color="auto" w:fill="CCEEFF"/>
          </w:tcPr>
          <w:p>
            <w:pPr>
              <w:ind w:left="120"/>
              <w:spacing w:after="0" w:line="99" w:lineRule="exact"/>
              <w:rPr>
                <w:sz w:val="20"/>
                <w:szCs w:val="20"/>
                <w:color w:val="auto"/>
              </w:rPr>
            </w:pPr>
            <w:r>
              <w:rPr>
                <w:rFonts w:ascii="Arial" w:cs="Arial" w:eastAsia="Arial" w:hAnsi="Arial"/>
                <w:sz w:val="9"/>
                <w:szCs w:val="9"/>
                <w:color w:val="auto"/>
              </w:rPr>
              <w:t>Interest rate swaps</w:t>
            </w:r>
          </w:p>
        </w:tc>
        <w:tc>
          <w:tcPr>
            <w:tcW w:w="8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9</w:t>
            </w: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22</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6</w:t>
            </w:r>
          </w:p>
        </w:tc>
        <w:tc>
          <w:tcPr>
            <w:tcW w:w="240" w:type="dxa"/>
            <w:vAlign w:val="bottom"/>
            <w:shd w:val="clear" w:color="auto" w:fill="CCEEFF"/>
          </w:tcPr>
          <w:p>
            <w:pPr>
              <w:spacing w:after="0"/>
              <w:rPr>
                <w:sz w:val="8"/>
                <w:szCs w:val="8"/>
                <w:color w:val="auto"/>
              </w:rPr>
            </w:pPr>
          </w:p>
        </w:tc>
        <w:tc>
          <w:tcPr>
            <w:tcW w:w="4440" w:type="dxa"/>
            <w:vAlign w:val="bottom"/>
            <w:gridSpan w:val="2"/>
            <w:shd w:val="clear" w:color="auto" w:fill="CCEEFF"/>
          </w:tcPr>
          <w:p>
            <w:pPr>
              <w:ind w:left="240"/>
              <w:spacing w:after="0" w:line="99" w:lineRule="exact"/>
              <w:rPr>
                <w:sz w:val="20"/>
                <w:szCs w:val="20"/>
                <w:color w:val="auto"/>
              </w:rPr>
            </w:pPr>
            <w:r>
              <w:rPr>
                <w:rFonts w:ascii="Arial" w:cs="Arial" w:eastAsia="Arial" w:hAnsi="Arial"/>
                <w:sz w:val="9"/>
                <w:szCs w:val="9"/>
                <w:i w:val="1"/>
                <w:iCs w:val="1"/>
                <w:color w:val="auto"/>
              </w:rPr>
              <w:t>Interest expense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9</w:t>
            </w:r>
          </w:p>
        </w:tc>
        <w:tc>
          <w:tcPr>
            <w:tcW w:w="100" w:type="dxa"/>
            <w:vAlign w:val="bottom"/>
          </w:tcPr>
          <w:p>
            <w:pPr>
              <w:spacing w:after="0"/>
              <w:rPr>
                <w:sz w:val="9"/>
                <w:szCs w:val="9"/>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20" w:type="dxa"/>
            <w:vAlign w:val="bottom"/>
          </w:tcPr>
          <w:p>
            <w:pPr>
              <w:jc w:val="right"/>
              <w:spacing w:after="0" w:line="98" w:lineRule="exact"/>
              <w:rPr>
                <w:sz w:val="20"/>
                <w:szCs w:val="20"/>
                <w:color w:val="auto"/>
              </w:rPr>
            </w:pPr>
            <w:r>
              <w:rPr>
                <w:rFonts w:ascii="Arial" w:cs="Arial" w:eastAsia="Arial" w:hAnsi="Arial"/>
                <w:sz w:val="9"/>
                <w:szCs w:val="9"/>
                <w:color w:val="auto"/>
              </w:rPr>
              <w:t>14</w:t>
            </w:r>
          </w:p>
        </w:tc>
        <w:tc>
          <w:tcPr>
            <w:tcW w:w="60" w:type="dxa"/>
            <w:vAlign w:val="bottom"/>
          </w:tcPr>
          <w:p>
            <w:pPr>
              <w:spacing w:after="0"/>
              <w:rPr>
                <w:sz w:val="9"/>
                <w:szCs w:val="9"/>
                <w:color w:val="auto"/>
              </w:rPr>
            </w:pPr>
          </w:p>
        </w:tc>
        <w:tc>
          <w:tcPr>
            <w:tcW w:w="5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111</w:t>
            </w:r>
          </w:p>
        </w:tc>
        <w:tc>
          <w:tcPr>
            <w:tcW w:w="240" w:type="dxa"/>
            <w:vAlign w:val="bottom"/>
          </w:tcPr>
          <w:p>
            <w:pPr>
              <w:spacing w:after="0"/>
              <w:rPr>
                <w:sz w:val="9"/>
                <w:szCs w:val="9"/>
                <w:color w:val="auto"/>
              </w:rPr>
            </w:pPr>
          </w:p>
        </w:tc>
        <w:tc>
          <w:tcPr>
            <w:tcW w:w="4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84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Derivatives not designated as hedges:</w:t>
            </w:r>
          </w:p>
        </w:tc>
        <w:tc>
          <w:tcPr>
            <w:tcW w:w="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840" w:type="dxa"/>
            <w:vAlign w:val="bottom"/>
          </w:tcPr>
          <w:p>
            <w:pPr>
              <w:ind w:left="120"/>
              <w:spacing w:after="0" w:line="99" w:lineRule="exact"/>
              <w:rPr>
                <w:sz w:val="20"/>
                <w:szCs w:val="20"/>
                <w:color w:val="auto"/>
              </w:rPr>
            </w:pPr>
            <w:r>
              <w:rPr>
                <w:rFonts w:ascii="Arial" w:cs="Arial" w:eastAsia="Arial" w:hAnsi="Arial"/>
                <w:sz w:val="9"/>
                <w:szCs w:val="9"/>
                <w:color w:val="auto"/>
              </w:rPr>
              <w:t>Foreign exchange contracts</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(17)</w:t>
            </w:r>
          </w:p>
        </w:tc>
        <w:tc>
          <w:tcPr>
            <w:tcW w:w="4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(13)</w:t>
            </w:r>
          </w:p>
        </w:tc>
        <w:tc>
          <w:tcPr>
            <w:tcW w:w="52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40"/>
              <w:spacing w:after="0" w:line="99" w:lineRule="exact"/>
              <w:rPr>
                <w:sz w:val="20"/>
                <w:szCs w:val="20"/>
                <w:color w:val="auto"/>
              </w:rPr>
            </w:pPr>
            <w:r>
              <w:rPr>
                <w:rFonts w:ascii="Arial" w:cs="Arial" w:eastAsia="Arial" w:hAnsi="Arial"/>
                <w:sz w:val="9"/>
                <w:szCs w:val="9"/>
                <w:color w:val="auto"/>
              </w:rPr>
              <w:t>32</w:t>
            </w:r>
          </w:p>
        </w:tc>
        <w:tc>
          <w:tcPr>
            <w:tcW w:w="4440" w:type="dxa"/>
            <w:vAlign w:val="bottom"/>
            <w:gridSpan w:val="2"/>
          </w:tcPr>
          <w:p>
            <w:pPr>
              <w:ind w:left="240"/>
              <w:spacing w:after="0" w:line="99" w:lineRule="exact"/>
              <w:rPr>
                <w:sz w:val="20"/>
                <w:szCs w:val="20"/>
                <w:color w:val="auto"/>
              </w:rPr>
            </w:pPr>
            <w:r>
              <w:rPr>
                <w:rFonts w:ascii="Arial" w:cs="Arial" w:eastAsia="Arial" w:hAnsi="Arial"/>
                <w:sz w:val="9"/>
                <w:szCs w:val="9"/>
                <w:i w:val="1"/>
                <w:iCs w:val="1"/>
                <w:color w:val="auto"/>
              </w:rPr>
              <w:t>Cost of revenue - Oilfield Services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840" w:type="dxa"/>
            <w:vAlign w:val="bottom"/>
            <w:shd w:val="clear" w:color="auto" w:fill="CCEEFF"/>
          </w:tcPr>
          <w:p>
            <w:pPr>
              <w:ind w:left="120"/>
              <w:spacing w:after="0" w:line="99" w:lineRule="exact"/>
              <w:rPr>
                <w:sz w:val="20"/>
                <w:szCs w:val="20"/>
                <w:color w:val="auto"/>
              </w:rPr>
            </w:pPr>
            <w:r>
              <w:rPr>
                <w:rFonts w:ascii="Arial" w:cs="Arial" w:eastAsia="Arial" w:hAnsi="Arial"/>
                <w:sz w:val="9"/>
                <w:szCs w:val="9"/>
                <w:color w:val="auto"/>
              </w:rPr>
              <w:t>Commodity contracts</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(5)</w:t>
            </w: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2</w:t>
            </w:r>
          </w:p>
        </w:tc>
        <w:tc>
          <w:tcPr>
            <w:tcW w:w="4440" w:type="dxa"/>
            <w:vAlign w:val="bottom"/>
            <w:gridSpan w:val="2"/>
            <w:shd w:val="clear" w:color="auto" w:fill="CCEEFF"/>
          </w:tcPr>
          <w:p>
            <w:pPr>
              <w:ind w:left="240"/>
              <w:spacing w:after="0" w:line="99" w:lineRule="exact"/>
              <w:rPr>
                <w:sz w:val="20"/>
                <w:szCs w:val="20"/>
                <w:color w:val="auto"/>
              </w:rPr>
            </w:pPr>
            <w:r>
              <w:rPr>
                <w:rFonts w:ascii="Arial" w:cs="Arial" w:eastAsia="Arial" w:hAnsi="Arial"/>
                <w:sz w:val="9"/>
                <w:szCs w:val="9"/>
                <w:i w:val="1"/>
                <w:iCs w:val="1"/>
                <w:color w:val="auto"/>
              </w:rPr>
              <w:t>Cost of revenue - Oilfield Services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(22)</w:t>
            </w: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(12)</w:t>
            </w:r>
          </w:p>
        </w:tc>
        <w:tc>
          <w:tcPr>
            <w:tcW w:w="5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34</w:t>
            </w:r>
          </w:p>
        </w:tc>
        <w:tc>
          <w:tcPr>
            <w:tcW w:w="2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effect of derivative instruments in cash flow hedging relationships on income and </w:t>
      </w:r>
      <w:r>
        <w:rPr>
          <w:rFonts w:ascii="Arial" w:cs="Arial" w:eastAsia="Arial" w:hAnsi="Arial"/>
          <w:sz w:val="12"/>
          <w:szCs w:val="12"/>
          <w:i w:val="1"/>
          <w:iCs w:val="1"/>
          <w:color w:val="auto"/>
        </w:rPr>
        <w:t>Accumulated other comprehensive loss</w:t>
      </w:r>
      <w:r>
        <w:rPr>
          <w:rFonts w:ascii="Arial" w:cs="Arial" w:eastAsia="Arial" w:hAnsi="Arial"/>
          <w:sz w:val="12"/>
          <w:szCs w:val="12"/>
          <w:color w:val="auto"/>
        </w:rPr>
        <w:t xml:space="preserve"> (AOCL)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5"/>
          </w:tcPr>
          <w:p>
            <w:pPr>
              <w:jc w:val="right"/>
              <w:ind w:right="280"/>
              <w:spacing w:after="0"/>
              <w:rPr>
                <w:sz w:val="20"/>
                <w:szCs w:val="20"/>
                <w:color w:val="auto"/>
              </w:rPr>
            </w:pPr>
            <w:r>
              <w:rPr>
                <w:rFonts w:ascii="Arial" w:cs="Arial" w:eastAsia="Arial" w:hAnsi="Arial"/>
                <w:sz w:val="9"/>
                <w:szCs w:val="9"/>
                <w:b w:val="1"/>
                <w:bCs w:val="1"/>
                <w:color w:val="auto"/>
                <w:w w:val="99"/>
              </w:rPr>
              <w:t>(Stated in millions)</w:t>
            </w:r>
          </w:p>
        </w:tc>
        <w:tc>
          <w:tcPr>
            <w:tcW w:w="24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4"/>
          </w:tcPr>
          <w:p>
            <w:pPr>
              <w:jc w:val="right"/>
              <w:spacing w:after="0"/>
              <w:rPr>
                <w:sz w:val="20"/>
                <w:szCs w:val="20"/>
                <w:color w:val="auto"/>
              </w:rPr>
            </w:pPr>
            <w:r>
              <w:rPr>
                <w:rFonts w:ascii="Arial" w:cs="Arial" w:eastAsia="Arial" w:hAnsi="Arial"/>
                <w:sz w:val="9"/>
                <w:szCs w:val="9"/>
                <w:b w:val="1"/>
                <w:bCs w:val="1"/>
                <w:color w:val="auto"/>
                <w:w w:val="89"/>
              </w:rPr>
              <w:t>Gain (Loss) Reclassified from</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9"/>
                <w:szCs w:val="9"/>
                <w:b w:val="1"/>
                <w:bCs w:val="1"/>
                <w:color w:val="auto"/>
              </w:rPr>
              <w:t>AOCL into Income</w:t>
            </w: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480" w:type="dxa"/>
            <w:vAlign w:val="bottom"/>
            <w:gridSpan w:val="2"/>
            <w:vMerge w:val="restart"/>
          </w:tcPr>
          <w:p>
            <w:pPr>
              <w:ind w:left="240"/>
              <w:spacing w:after="0"/>
              <w:rPr>
                <w:sz w:val="20"/>
                <w:szCs w:val="20"/>
                <w:color w:val="auto"/>
              </w:rPr>
            </w:pPr>
            <w:r>
              <w:rPr>
                <w:rFonts w:ascii="Arial" w:cs="Arial" w:eastAsia="Arial" w:hAnsi="Arial"/>
                <w:sz w:val="9"/>
                <w:szCs w:val="9"/>
                <w:b w:val="1"/>
                <w:bCs w:val="1"/>
                <w:color w:val="auto"/>
              </w:rPr>
              <w:t>Consolidated Statement of Income Classification</w:t>
            </w:r>
          </w:p>
        </w:tc>
        <w:tc>
          <w:tcPr>
            <w:tcW w:w="0" w:type="dxa"/>
            <w:vAlign w:val="bottom"/>
          </w:tcPr>
          <w:p>
            <w:pPr>
              <w:spacing w:after="0"/>
              <w:rPr>
                <w:sz w:val="1"/>
                <w:szCs w:val="1"/>
                <w:color w:val="auto"/>
              </w:rPr>
            </w:pPr>
          </w:p>
        </w:tc>
      </w:tr>
      <w:tr>
        <w:trPr>
          <w:trHeight w:val="88"/>
        </w:trPr>
        <w:tc>
          <w:tcPr>
            <w:tcW w:w="4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jc w:val="right"/>
              <w:spacing w:after="0" w:line="88" w:lineRule="exact"/>
              <w:rPr>
                <w:sz w:val="20"/>
                <w:szCs w:val="20"/>
                <w:color w:val="auto"/>
              </w:rPr>
            </w:pPr>
            <w:r>
              <w:rPr>
                <w:rFonts w:ascii="Arial" w:cs="Arial" w:eastAsia="Arial" w:hAnsi="Arial"/>
                <w:sz w:val="9"/>
                <w:szCs w:val="9"/>
                <w:b w:val="1"/>
                <w:bCs w:val="1"/>
                <w:color w:val="auto"/>
              </w:rPr>
              <w:t>2011</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jc w:val="right"/>
              <w:spacing w:after="0" w:line="88" w:lineRule="exact"/>
              <w:rPr>
                <w:sz w:val="20"/>
                <w:szCs w:val="20"/>
                <w:color w:val="auto"/>
              </w:rPr>
            </w:pPr>
            <w:r>
              <w:rPr>
                <w:rFonts w:ascii="Arial" w:cs="Arial" w:eastAsia="Arial" w:hAnsi="Arial"/>
                <w:sz w:val="9"/>
                <w:szCs w:val="9"/>
                <w:b w:val="1"/>
                <w:bCs w:val="1"/>
                <w:color w:val="auto"/>
              </w:rPr>
              <w:t>2010</w:t>
            </w: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jc w:val="right"/>
              <w:spacing w:after="0" w:line="88" w:lineRule="exact"/>
              <w:rPr>
                <w:sz w:val="20"/>
                <w:szCs w:val="20"/>
                <w:color w:val="auto"/>
              </w:rPr>
            </w:pPr>
            <w:r>
              <w:rPr>
                <w:rFonts w:ascii="Arial" w:cs="Arial" w:eastAsia="Arial" w:hAnsi="Arial"/>
                <w:sz w:val="9"/>
                <w:szCs w:val="9"/>
                <w:b w:val="1"/>
                <w:bCs w:val="1"/>
                <w:color w:val="auto"/>
                <w:w w:val="99"/>
              </w:rPr>
              <w:t>2009</w:t>
            </w:r>
          </w:p>
        </w:tc>
        <w:tc>
          <w:tcPr>
            <w:tcW w:w="280" w:type="dxa"/>
            <w:vAlign w:val="bottom"/>
          </w:tcPr>
          <w:p>
            <w:pPr>
              <w:spacing w:after="0"/>
              <w:rPr>
                <w:sz w:val="7"/>
                <w:szCs w:val="7"/>
                <w:color w:val="auto"/>
              </w:rPr>
            </w:pPr>
          </w:p>
        </w:tc>
        <w:tc>
          <w:tcPr>
            <w:tcW w:w="4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7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Foreign exchange contracts</w:t>
            </w:r>
          </w:p>
        </w:tc>
        <w:tc>
          <w:tcPr>
            <w:tcW w:w="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(25)</w:t>
            </w: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(260)</w:t>
            </w:r>
          </w:p>
        </w:tc>
        <w:tc>
          <w:tcPr>
            <w:tcW w:w="4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2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95</w:t>
            </w:r>
          </w:p>
        </w:tc>
        <w:tc>
          <w:tcPr>
            <w:tcW w:w="2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424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i w:val="1"/>
                <w:iCs w:val="1"/>
                <w:color w:val="auto"/>
              </w:rPr>
              <w:t>Cost of revenue - Oilfield Services</w:t>
            </w:r>
          </w:p>
        </w:tc>
        <w:tc>
          <w:tcPr>
            <w:tcW w:w="0" w:type="dxa"/>
            <w:vAlign w:val="bottom"/>
          </w:tcPr>
          <w:p>
            <w:pPr>
              <w:spacing w:after="0"/>
              <w:rPr>
                <w:sz w:val="1"/>
                <w:szCs w:val="1"/>
                <w:color w:val="auto"/>
              </w:rPr>
            </w:pPr>
          </w:p>
        </w:tc>
      </w:tr>
      <w:tr>
        <w:trPr>
          <w:trHeight w:val="99"/>
        </w:trPr>
        <w:tc>
          <w:tcPr>
            <w:tcW w:w="4780" w:type="dxa"/>
            <w:vAlign w:val="bottom"/>
          </w:tcPr>
          <w:p>
            <w:pPr>
              <w:spacing w:after="0" w:line="99" w:lineRule="exact"/>
              <w:rPr>
                <w:sz w:val="20"/>
                <w:szCs w:val="20"/>
                <w:color w:val="auto"/>
              </w:rPr>
            </w:pPr>
            <w:r>
              <w:rPr>
                <w:rFonts w:ascii="Arial" w:cs="Arial" w:eastAsia="Arial" w:hAnsi="Arial"/>
                <w:sz w:val="9"/>
                <w:szCs w:val="9"/>
                <w:color w:val="auto"/>
              </w:rPr>
              <w:t>Foreign exchange contracts</w:t>
            </w:r>
          </w:p>
        </w:tc>
        <w:tc>
          <w:tcPr>
            <w:tcW w:w="8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17</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375"/>
              <w:spacing w:after="0" w:line="99" w:lineRule="exact"/>
              <w:rPr>
                <w:sz w:val="20"/>
                <w:szCs w:val="20"/>
                <w:color w:val="auto"/>
              </w:rPr>
            </w:pPr>
            <w:r>
              <w:rPr>
                <w:rFonts w:ascii="Arial" w:cs="Arial" w:eastAsia="Arial" w:hAnsi="Arial"/>
                <w:sz w:val="9"/>
                <w:szCs w:val="9"/>
                <w:color w:val="auto"/>
              </w:rPr>
              <w:t>(14)</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ind w:right="240"/>
              <w:spacing w:after="0" w:line="99" w:lineRule="exact"/>
              <w:rPr>
                <w:sz w:val="20"/>
                <w:szCs w:val="20"/>
                <w:color w:val="auto"/>
              </w:rPr>
            </w:pPr>
            <w:r>
              <w:rPr>
                <w:rFonts w:ascii="Arial" w:cs="Arial" w:eastAsia="Arial" w:hAnsi="Arial"/>
                <w:sz w:val="9"/>
                <w:szCs w:val="9"/>
                <w:color w:val="auto"/>
              </w:rPr>
              <w:t>(15)</w:t>
            </w:r>
          </w:p>
        </w:tc>
        <w:tc>
          <w:tcPr>
            <w:tcW w:w="4480" w:type="dxa"/>
            <w:vAlign w:val="bottom"/>
            <w:gridSpan w:val="2"/>
          </w:tcPr>
          <w:p>
            <w:pPr>
              <w:ind w:left="240"/>
              <w:spacing w:after="0" w:line="99" w:lineRule="exact"/>
              <w:rPr>
                <w:sz w:val="20"/>
                <w:szCs w:val="20"/>
                <w:color w:val="auto"/>
              </w:rPr>
            </w:pPr>
            <w:r>
              <w:rPr>
                <w:rFonts w:ascii="Arial" w:cs="Arial" w:eastAsia="Arial" w:hAnsi="Arial"/>
                <w:sz w:val="9"/>
                <w:szCs w:val="9"/>
                <w:i w:val="1"/>
                <w:iCs w:val="1"/>
                <w:color w:val="auto"/>
              </w:rPr>
              <w:t>Research &amp; engineering</w:t>
            </w:r>
          </w:p>
        </w:tc>
        <w:tc>
          <w:tcPr>
            <w:tcW w:w="0" w:type="dxa"/>
            <w:vAlign w:val="bottom"/>
          </w:tcPr>
          <w:p>
            <w:pPr>
              <w:spacing w:after="0"/>
              <w:rPr>
                <w:sz w:val="1"/>
                <w:szCs w:val="1"/>
                <w:color w:val="auto"/>
              </w:rPr>
            </w:pPr>
          </w:p>
        </w:tc>
      </w:tr>
      <w:tr>
        <w:trPr>
          <w:trHeight w:val="20"/>
        </w:trPr>
        <w:tc>
          <w:tcPr>
            <w:tcW w:w="4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78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3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(8)</w:t>
            </w: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375"/>
              <w:spacing w:after="0" w:line="98" w:lineRule="exact"/>
              <w:rPr>
                <w:sz w:val="20"/>
                <w:szCs w:val="20"/>
                <w:color w:val="auto"/>
              </w:rPr>
            </w:pPr>
            <w:r>
              <w:rPr>
                <w:rFonts w:ascii="Arial" w:cs="Arial" w:eastAsia="Arial" w:hAnsi="Arial"/>
                <w:sz w:val="9"/>
                <w:szCs w:val="9"/>
                <w:color w:val="auto"/>
              </w:rPr>
              <w:t>(274)</w:t>
            </w:r>
          </w:p>
        </w:tc>
        <w:tc>
          <w:tcPr>
            <w:tcW w:w="140" w:type="dxa"/>
            <w:vAlign w:val="bottom"/>
            <w:gridSpan w:val="2"/>
            <w:shd w:val="clear" w:color="auto" w:fill="CCEEFF"/>
          </w:tcPr>
          <w:p>
            <w:pPr>
              <w:jc w:val="right"/>
              <w:ind w:right="17"/>
              <w:spacing w:after="0" w:line="98"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80</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ind w:right="75"/>
              <w:spacing w:after="0"/>
              <w:rPr>
                <w:sz w:val="20"/>
                <w:szCs w:val="20"/>
                <w:color w:val="auto"/>
              </w:rPr>
            </w:pPr>
            <w:r>
              <w:rPr>
                <w:rFonts w:ascii="Arial" w:cs="Arial" w:eastAsia="Arial" w:hAnsi="Arial"/>
                <w:sz w:val="9"/>
                <w:szCs w:val="9"/>
                <w:color w:val="auto"/>
                <w:w w:val="99"/>
              </w:rPr>
              <w:t>55</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55" w:name="page56"/>
    <w:bookmarkEnd w:id="55"/>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9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w w:val="94"/>
              </w:rPr>
              <w:t>(Stated in millions)</w:t>
            </w:r>
          </w:p>
        </w:tc>
        <w:tc>
          <w:tcPr>
            <w:tcW w:w="0" w:type="dxa"/>
            <w:vAlign w:val="bottom"/>
          </w:tcPr>
          <w:p>
            <w:pPr>
              <w:spacing w:after="0"/>
              <w:rPr>
                <w:sz w:val="1"/>
                <w:szCs w:val="1"/>
                <w:color w:val="auto"/>
              </w:rPr>
            </w:pPr>
          </w:p>
        </w:tc>
      </w:tr>
      <w:tr>
        <w:trPr>
          <w:trHeight w:val="192"/>
        </w:trPr>
        <w:tc>
          <w:tcPr>
            <w:tcW w:w="9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9"/>
                <w:szCs w:val="9"/>
                <w:b w:val="1"/>
                <w:bCs w:val="1"/>
                <w:color w:val="auto"/>
                <w:w w:val="99"/>
              </w:rPr>
              <w:t>2011</w:t>
            </w:r>
          </w:p>
        </w:tc>
        <w:tc>
          <w:tcPr>
            <w:tcW w:w="1640" w:type="dxa"/>
            <w:vAlign w:val="bottom"/>
            <w:gridSpan w:val="6"/>
          </w:tcPr>
          <w:p>
            <w:pPr>
              <w:jc w:val="right"/>
              <w:ind w:right="237"/>
              <w:spacing w:after="0"/>
              <w:rPr>
                <w:sz w:val="20"/>
                <w:szCs w:val="20"/>
                <w:color w:val="auto"/>
              </w:rPr>
            </w:pPr>
            <w:r>
              <w:rPr>
                <w:rFonts w:ascii="Arial" w:cs="Arial" w:eastAsia="Arial" w:hAnsi="Arial"/>
                <w:sz w:val="9"/>
                <w:szCs w:val="9"/>
                <w:b w:val="1"/>
                <w:bCs w:val="1"/>
                <w:color w:val="auto"/>
                <w:w w:val="96"/>
              </w:rPr>
              <w:t>Gain (Loss) Recognized in AOCL</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9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gridSpan w:val="2"/>
          </w:tcPr>
          <w:p>
            <w:pPr>
              <w:jc w:val="right"/>
              <w:ind w:right="134"/>
              <w:spacing w:after="0"/>
              <w:rPr>
                <w:sz w:val="20"/>
                <w:szCs w:val="20"/>
                <w:color w:val="auto"/>
              </w:rPr>
            </w:pPr>
            <w:r>
              <w:rPr>
                <w:rFonts w:ascii="Arial" w:cs="Arial" w:eastAsia="Arial" w:hAnsi="Arial"/>
                <w:sz w:val="9"/>
                <w:szCs w:val="9"/>
                <w:color w:val="auto"/>
              </w:rPr>
              <w:t>2010</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9"/>
                <w:szCs w:val="9"/>
                <w:color w:val="auto"/>
              </w:rPr>
              <w:t>2009</w:t>
            </w:r>
          </w:p>
        </w:tc>
        <w:tc>
          <w:tcPr>
            <w:tcW w:w="0" w:type="dxa"/>
            <w:vAlign w:val="bottom"/>
          </w:tcPr>
          <w:p>
            <w:pPr>
              <w:spacing w:after="0"/>
              <w:rPr>
                <w:sz w:val="1"/>
                <w:szCs w:val="1"/>
                <w:color w:val="auto"/>
              </w:rPr>
            </w:pPr>
          </w:p>
        </w:tc>
      </w:tr>
      <w:tr>
        <w:trPr>
          <w:trHeight w:val="88"/>
        </w:trPr>
        <w:tc>
          <w:tcPr>
            <w:tcW w:w="916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Foreign exchange contracts</w:t>
            </w:r>
          </w:p>
        </w:tc>
        <w:tc>
          <w:tcPr>
            <w:tcW w:w="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2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79</w:t>
            </w:r>
          </w:p>
        </w:tc>
        <w:tc>
          <w:tcPr>
            <w:tcW w:w="1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jc w:val="right"/>
              <w:ind w:right="15"/>
              <w:spacing w:after="0" w:line="88" w:lineRule="exact"/>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(269</w:t>
            </w:r>
          </w:p>
        </w:tc>
        <w:tc>
          <w:tcPr>
            <w:tcW w:w="140" w:type="dxa"/>
            <w:vAlign w:val="bottom"/>
            <w:tcBorders>
              <w:top w:val="single" w:sz="8" w:color="CCEEFF"/>
            </w:tcBorders>
            <w:shd w:val="clear" w:color="auto" w:fill="CCEEFF"/>
          </w:tcPr>
          <w:p>
            <w:pPr>
              <w:jc w:val="right"/>
              <w:ind w:right="114"/>
              <w:spacing w:after="0"/>
              <w:rPr>
                <w:sz w:val="20"/>
                <w:szCs w:val="20"/>
                <w:color w:val="auto"/>
              </w:rPr>
            </w:pPr>
            <w:r>
              <w:rPr>
                <w:rFonts w:ascii="Arial" w:cs="Arial" w:eastAsia="Arial" w:hAnsi="Arial"/>
                <w:sz w:val="1"/>
                <w:szCs w:val="1"/>
                <w:color w:val="auto"/>
                <w:w w:val="4294967281"/>
              </w:rPr>
              <w:t>)</w:t>
            </w:r>
          </w:p>
        </w:tc>
        <w:tc>
          <w:tcPr>
            <w:tcW w:w="5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223</w:t>
            </w: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68" w:hanging="168"/>
        <w:spacing w:after="0"/>
        <w:tabs>
          <w:tab w:leader="none" w:pos="168"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Stockholders’ Equity</w:t>
      </w:r>
    </w:p>
    <w:p>
      <w:pPr>
        <w:spacing w:after="0" w:line="62" w:lineRule="exact"/>
        <w:rPr>
          <w:sz w:val="20"/>
          <w:szCs w:val="20"/>
          <w:color w:val="auto"/>
        </w:rPr>
      </w:pPr>
    </w:p>
    <w:p>
      <w:pPr>
        <w:ind w:left="8" w:right="40" w:firstLine="230"/>
        <w:spacing w:after="0" w:line="259" w:lineRule="auto"/>
        <w:rPr>
          <w:sz w:val="20"/>
          <w:szCs w:val="20"/>
          <w:color w:val="auto"/>
        </w:rPr>
      </w:pPr>
      <w:r>
        <w:rPr>
          <w:rFonts w:ascii="Arial" w:cs="Arial" w:eastAsia="Arial" w:hAnsi="Arial"/>
          <w:sz w:val="12"/>
          <w:szCs w:val="12"/>
          <w:color w:val="auto"/>
        </w:rPr>
        <w:t>Schlumberger is authorized to issue 4,500,000,000 shares of common stock, par value $0.01 per share, of which 1,333,775,406 and 1,361,171,428 shares were outstanding on December 31, 2011 and 2010, respectively. Schlumberger is also authorized to issue 200,000,000 shares of preferred stock, par value $0.01 per share, which may be issued in series with terms and conditions determined by the Board of Directors. No shares of preferred stock have been issued. Holders of common stock are entitled to one vote for each share of stock held.</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 xml:space="preserve">Accumulated Other Comprehensive Loss </w:t>
      </w:r>
      <w:r>
        <w:rPr>
          <w:rFonts w:ascii="Arial" w:cs="Arial" w:eastAsia="Arial" w:hAnsi="Arial"/>
          <w:sz w:val="12"/>
          <w:szCs w:val="12"/>
          <w:color w:val="auto"/>
        </w:rPr>
        <w:t>consists of the following:</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9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9"/>
                <w:szCs w:val="9"/>
                <w:b w:val="1"/>
                <w:bCs w:val="1"/>
                <w:color w:val="auto"/>
              </w:rPr>
              <w:t>(Stated in millions)</w:t>
            </w:r>
          </w:p>
        </w:tc>
        <w:tc>
          <w:tcPr>
            <w:tcW w:w="0" w:type="dxa"/>
            <w:vAlign w:val="bottom"/>
          </w:tcPr>
          <w:p>
            <w:pPr>
              <w:spacing w:after="0"/>
              <w:rPr>
                <w:sz w:val="1"/>
                <w:szCs w:val="1"/>
                <w:color w:val="auto"/>
              </w:rPr>
            </w:pPr>
          </w:p>
        </w:tc>
      </w:tr>
      <w:tr>
        <w:trPr>
          <w:trHeight w:val="199"/>
        </w:trPr>
        <w:tc>
          <w:tcPr>
            <w:tcW w:w="9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rPr>
              <w:t>2011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2010</w:t>
            </w: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9620" w:type="dxa"/>
            <w:vAlign w:val="bottom"/>
            <w:tcBorders>
              <w:top w:val="single" w:sz="8" w:color="CCEEFF"/>
            </w:tcBorders>
            <w:gridSpan w:val="2"/>
            <w:shd w:val="clear" w:color="auto" w:fill="CCEEFF"/>
          </w:tcPr>
          <w:p>
            <w:pPr>
              <w:spacing w:after="0" w:line="88" w:lineRule="exact"/>
              <w:rPr>
                <w:sz w:val="20"/>
                <w:szCs w:val="20"/>
                <w:color w:val="auto"/>
              </w:rPr>
            </w:pPr>
            <w:r>
              <w:rPr>
                <w:rFonts w:ascii="Arial" w:cs="Arial" w:eastAsia="Arial" w:hAnsi="Arial"/>
                <w:sz w:val="9"/>
                <w:szCs w:val="9"/>
                <w:color w:val="auto"/>
              </w:rPr>
              <w:t>Currency translation adjustments</w:t>
            </w:r>
          </w:p>
        </w:tc>
        <w:tc>
          <w:tcPr>
            <w:tcW w:w="1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w w:val="78"/>
              </w:rPr>
              <w:t>$</w:t>
            </w:r>
          </w:p>
        </w:tc>
        <w:tc>
          <w:tcPr>
            <w:tcW w:w="2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(993)</w:t>
            </w:r>
          </w:p>
        </w:tc>
        <w:tc>
          <w:tcPr>
            <w:tcW w:w="180" w:type="dxa"/>
            <w:vAlign w:val="bottom"/>
            <w:tcBorders>
              <w:top w:val="single" w:sz="8" w:color="CCEEFF"/>
              <w:left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(912)</w:t>
            </w:r>
          </w:p>
        </w:tc>
        <w:tc>
          <w:tcPr>
            <w:tcW w:w="2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15"/>
              <w:spacing w:after="0" w:line="88" w:lineRule="exact"/>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(886)</w:t>
            </w:r>
          </w:p>
        </w:tc>
        <w:tc>
          <w:tcPr>
            <w:tcW w:w="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9620" w:type="dxa"/>
            <w:vAlign w:val="bottom"/>
            <w:gridSpan w:val="2"/>
          </w:tcPr>
          <w:p>
            <w:pPr>
              <w:spacing w:after="0" w:line="99" w:lineRule="exact"/>
              <w:rPr>
                <w:sz w:val="20"/>
                <w:szCs w:val="20"/>
                <w:color w:val="auto"/>
              </w:rPr>
            </w:pPr>
            <w:r>
              <w:rPr>
                <w:rFonts w:ascii="Arial" w:cs="Arial" w:eastAsia="Arial" w:hAnsi="Arial"/>
                <w:sz w:val="9"/>
                <w:szCs w:val="9"/>
                <w:color w:val="auto"/>
              </w:rPr>
              <w:t>Fair value of derivatives</w:t>
            </w:r>
          </w:p>
        </w:tc>
        <w:tc>
          <w:tcPr>
            <w:tcW w:w="100" w:type="dxa"/>
            <w:vAlign w:val="bottom"/>
          </w:tcPr>
          <w:p>
            <w:pPr>
              <w:spacing w:after="0"/>
              <w:rPr>
                <w:sz w:val="8"/>
                <w:szCs w:val="8"/>
                <w:color w:val="auto"/>
              </w:rPr>
            </w:pPr>
          </w:p>
        </w:tc>
        <w:tc>
          <w:tcPr>
            <w:tcW w:w="460" w:type="dxa"/>
            <w:vAlign w:val="bottom"/>
            <w:gridSpan w:val="2"/>
          </w:tcPr>
          <w:p>
            <w:pPr>
              <w:jc w:val="right"/>
              <w:ind w:right="140"/>
              <w:spacing w:after="0" w:line="99" w:lineRule="exact"/>
              <w:rPr>
                <w:sz w:val="20"/>
                <w:szCs w:val="20"/>
                <w:color w:val="auto"/>
              </w:rPr>
            </w:pPr>
            <w:r>
              <w:rPr>
                <w:rFonts w:ascii="Arial" w:cs="Arial" w:eastAsia="Arial" w:hAnsi="Arial"/>
                <w:sz w:val="9"/>
                <w:szCs w:val="9"/>
                <w:b w:val="1"/>
                <w:bCs w:val="1"/>
                <w:color w:val="auto"/>
              </w:rPr>
              <w:t>(26)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45</w:t>
            </w:r>
          </w:p>
        </w:tc>
        <w:tc>
          <w:tcPr>
            <w:tcW w:w="12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40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Pension and other postretirement benefit plans</w:t>
            </w: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9"/>
                <w:szCs w:val="9"/>
                <w:b w:val="1"/>
                <w:bCs w:val="1"/>
                <w:color w:val="auto"/>
              </w:rPr>
              <w:t>(2,538)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color w:val="auto"/>
              </w:rPr>
              <w:t>(1,901)</w:t>
            </w:r>
          </w:p>
        </w:tc>
        <w:tc>
          <w:tcPr>
            <w:tcW w:w="12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(1,828)</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8"/>
              </w:rPr>
              <w:t>$</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9"/>
                <w:szCs w:val="9"/>
                <w:b w:val="1"/>
                <w:bCs w:val="1"/>
                <w:color w:val="auto"/>
              </w:rPr>
              <w:t>(3,557)</w:t>
            </w:r>
          </w:p>
        </w:tc>
        <w:tc>
          <w:tcPr>
            <w:tcW w:w="22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9"/>
                <w:szCs w:val="9"/>
                <w:color w:val="auto"/>
              </w:rPr>
              <w:t>(2,768)</w:t>
            </w:r>
          </w:p>
        </w:tc>
        <w:tc>
          <w:tcPr>
            <w:tcW w:w="120" w:type="dxa"/>
            <w:vAlign w:val="bottom"/>
            <w:vMerge w:val="restart"/>
          </w:tcPr>
          <w:p>
            <w:pPr>
              <w:jc w:val="right"/>
              <w:ind w:right="15"/>
              <w:spacing w:after="0"/>
              <w:rPr>
                <w:sz w:val="20"/>
                <w:szCs w:val="20"/>
                <w:color w:val="auto"/>
              </w:rPr>
            </w:pPr>
            <w:r>
              <w:rPr>
                <w:rFonts w:ascii="Arial" w:cs="Arial" w:eastAsia="Arial" w:hAnsi="Arial"/>
                <w:sz w:val="9"/>
                <w:szCs w:val="9"/>
                <w:color w:val="auto"/>
                <w:w w:val="78"/>
              </w:rPr>
              <w:t>$</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9"/>
                <w:szCs w:val="9"/>
                <w:color w:val="auto"/>
              </w:rPr>
              <w:t>(2,674)</w:t>
            </w:r>
          </w:p>
        </w:tc>
        <w:tc>
          <w:tcPr>
            <w:tcW w:w="0" w:type="dxa"/>
            <w:vAlign w:val="bottom"/>
          </w:tcPr>
          <w:p>
            <w:pPr>
              <w:spacing w:after="0" w:line="20" w:lineRule="exact"/>
              <w:rPr>
                <w:sz w:val="1"/>
                <w:szCs w:val="1"/>
                <w:color w:val="auto"/>
              </w:rPr>
            </w:pPr>
          </w:p>
        </w:tc>
      </w:tr>
      <w:tr>
        <w:trPr>
          <w:trHeight w:val="66"/>
        </w:trPr>
        <w:tc>
          <w:tcPr>
            <w:tcW w:w="9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168" w:hanging="168"/>
        <w:spacing w:after="0"/>
        <w:tabs>
          <w:tab w:leader="none" w:pos="168"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Stock Compensation Plans</w:t>
      </w:r>
    </w:p>
    <w:p>
      <w:pPr>
        <w:spacing w:after="0" w:line="62" w:lineRule="exact"/>
        <w:rPr>
          <w:sz w:val="20"/>
          <w:szCs w:val="20"/>
          <w:color w:val="auto"/>
        </w:rPr>
      </w:pPr>
    </w:p>
    <w:p>
      <w:pPr>
        <w:ind w:left="8" w:right="480" w:firstLine="230"/>
        <w:spacing w:after="0" w:line="391" w:lineRule="auto"/>
        <w:rPr>
          <w:sz w:val="20"/>
          <w:szCs w:val="20"/>
          <w:color w:val="auto"/>
        </w:rPr>
      </w:pPr>
      <w:r>
        <w:rPr>
          <w:rFonts w:ascii="Arial" w:cs="Arial" w:eastAsia="Arial" w:hAnsi="Arial"/>
          <w:sz w:val="12"/>
          <w:szCs w:val="12"/>
          <w:color w:val="auto"/>
        </w:rPr>
        <w:t xml:space="preserve">Schlumberger has three types of stock-based compensation programs: stock options, a restricted stock and restricted stock unit program (collectively referred to as “restricted stock”) and a discounted stock purchase plan (“DSPP”). </w:t>
      </w:r>
      <w:r>
        <w:rPr>
          <w:rFonts w:ascii="Arial" w:cs="Arial" w:eastAsia="Arial" w:hAnsi="Arial"/>
          <w:sz w:val="12"/>
          <w:szCs w:val="12"/>
          <w:b w:val="1"/>
          <w:bCs w:val="1"/>
          <w:i w:val="1"/>
          <w:iCs w:val="1"/>
          <w:color w:val="auto"/>
        </w:rPr>
        <w:t>Stock Options</w:t>
      </w:r>
    </w:p>
    <w:p>
      <w:pPr>
        <w:spacing w:after="0" w:line="1" w:lineRule="exact"/>
        <w:rPr>
          <w:sz w:val="20"/>
          <w:szCs w:val="20"/>
          <w:color w:val="auto"/>
        </w:rPr>
      </w:pPr>
    </w:p>
    <w:p>
      <w:pPr>
        <w:ind w:left="8" w:right="300" w:firstLine="230"/>
        <w:spacing w:after="0" w:line="268" w:lineRule="auto"/>
        <w:rPr>
          <w:sz w:val="20"/>
          <w:szCs w:val="20"/>
          <w:color w:val="auto"/>
        </w:rPr>
      </w:pPr>
      <w:r>
        <w:rPr>
          <w:rFonts w:ascii="Arial" w:cs="Arial" w:eastAsia="Arial" w:hAnsi="Arial"/>
          <w:sz w:val="12"/>
          <w:szCs w:val="12"/>
          <w:color w:val="auto"/>
        </w:rPr>
        <w:t>Key employees are granted stock options under Schlumberger stock option plans. For all of the stock options granted, the exercise price equals the average of the high and low sales prices of Schlumberger stock on the date of grant; an option’s maximum term is ten years, and options generally vest in increments over four or five years.</w:t>
      </w:r>
    </w:p>
    <w:p>
      <w:pPr>
        <w:spacing w:after="0" w:line="34" w:lineRule="exact"/>
        <w:rPr>
          <w:sz w:val="20"/>
          <w:szCs w:val="20"/>
          <w:color w:val="auto"/>
        </w:rPr>
      </w:pPr>
    </w:p>
    <w:p>
      <w:pPr>
        <w:ind w:left="228"/>
        <w:spacing w:after="0"/>
        <w:rPr>
          <w:sz w:val="20"/>
          <w:szCs w:val="20"/>
          <w:color w:val="auto"/>
        </w:rPr>
      </w:pPr>
      <w:r>
        <w:rPr>
          <w:rFonts w:ascii="Arial" w:cs="Arial" w:eastAsia="Arial" w:hAnsi="Arial"/>
          <w:sz w:val="11"/>
          <w:szCs w:val="11"/>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996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9"/>
              </w:rPr>
              <w:t>2011</w:t>
            </w:r>
          </w:p>
        </w:tc>
        <w:tc>
          <w:tcPr>
            <w:tcW w:w="2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9"/>
              </w:rPr>
              <w:t>2010</w:t>
            </w:r>
          </w:p>
        </w:tc>
        <w:tc>
          <w:tcPr>
            <w:tcW w:w="20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9"/>
              </w:rPr>
              <w:t>2009</w:t>
            </w:r>
          </w:p>
        </w:tc>
        <w:tc>
          <w:tcPr>
            <w:tcW w:w="100" w:type="dxa"/>
            <w:vAlign w:val="bottom"/>
            <w:tcBorders>
              <w:bottom w:val="single" w:sz="8" w:color="CCEEFF"/>
            </w:tcBorders>
          </w:tcPr>
          <w:p>
            <w:pPr>
              <w:spacing w:after="0"/>
              <w:rPr>
                <w:sz w:val="9"/>
                <w:szCs w:val="9"/>
                <w:color w:val="auto"/>
              </w:rPr>
            </w:pPr>
          </w:p>
        </w:tc>
      </w:tr>
      <w:tr>
        <w:trPr>
          <w:trHeight w:val="88"/>
        </w:trPr>
        <w:tc>
          <w:tcPr>
            <w:tcW w:w="9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Dividend yield</w:t>
            </w:r>
          </w:p>
        </w:tc>
        <w:tc>
          <w:tcPr>
            <w:tcW w:w="46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9"/>
                <w:szCs w:val="9"/>
                <w:b w:val="1"/>
                <w:bCs w:val="1"/>
                <w:color w:val="auto"/>
              </w:rPr>
              <w:t>1.2%</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9"/>
                <w:szCs w:val="9"/>
                <w:color w:val="auto"/>
              </w:rPr>
              <w:t>1.3%</w:t>
            </w:r>
          </w:p>
        </w:tc>
        <w:tc>
          <w:tcPr>
            <w:tcW w:w="12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1.2%</w:t>
            </w:r>
          </w:p>
        </w:tc>
      </w:tr>
      <w:tr>
        <w:trPr>
          <w:trHeight w:val="99"/>
        </w:trPr>
        <w:tc>
          <w:tcPr>
            <w:tcW w:w="9960" w:type="dxa"/>
            <w:vAlign w:val="bottom"/>
          </w:tcPr>
          <w:p>
            <w:pPr>
              <w:spacing w:after="0" w:line="99" w:lineRule="exact"/>
              <w:rPr>
                <w:sz w:val="20"/>
                <w:szCs w:val="20"/>
                <w:color w:val="auto"/>
              </w:rPr>
            </w:pPr>
            <w:r>
              <w:rPr>
                <w:rFonts w:ascii="Arial" w:cs="Arial" w:eastAsia="Arial" w:hAnsi="Arial"/>
                <w:sz w:val="9"/>
                <w:szCs w:val="9"/>
                <w:color w:val="auto"/>
              </w:rPr>
              <w:t>Expected volatility</w:t>
            </w: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37%</w:t>
            </w:r>
          </w:p>
        </w:tc>
        <w:tc>
          <w:tcPr>
            <w:tcW w:w="58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35%</w:t>
            </w:r>
          </w:p>
        </w:tc>
        <w:tc>
          <w:tcPr>
            <w:tcW w:w="480" w:type="dxa"/>
            <w:vAlign w:val="bottom"/>
            <w:gridSpan w:val="3"/>
          </w:tcPr>
          <w:p>
            <w:pPr>
              <w:jc w:val="right"/>
              <w:ind w:right="20"/>
              <w:spacing w:after="0" w:line="99" w:lineRule="exact"/>
              <w:rPr>
                <w:sz w:val="20"/>
                <w:szCs w:val="20"/>
                <w:color w:val="auto"/>
              </w:rPr>
            </w:pPr>
            <w:r>
              <w:rPr>
                <w:rFonts w:ascii="Arial" w:cs="Arial" w:eastAsia="Arial" w:hAnsi="Arial"/>
                <w:sz w:val="9"/>
                <w:szCs w:val="9"/>
                <w:color w:val="auto"/>
              </w:rPr>
              <w:t>34%</w:t>
            </w:r>
          </w:p>
        </w:tc>
      </w:tr>
      <w:tr>
        <w:trPr>
          <w:trHeight w:val="99"/>
        </w:trPr>
        <w:tc>
          <w:tcPr>
            <w:tcW w:w="99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Risk free interest rate</w:t>
            </w:r>
          </w:p>
        </w:tc>
        <w:tc>
          <w:tcPr>
            <w:tcW w:w="4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b w:val="1"/>
                <w:bCs w:val="1"/>
                <w:color w:val="auto"/>
              </w:rPr>
              <w:t>2.8%</w:t>
            </w:r>
          </w:p>
        </w:tc>
        <w:tc>
          <w:tcPr>
            <w:tcW w:w="58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2.9%</w:t>
            </w:r>
          </w:p>
        </w:tc>
        <w:tc>
          <w:tcPr>
            <w:tcW w:w="480" w:type="dxa"/>
            <w:vAlign w:val="bottom"/>
            <w:gridSpan w:val="3"/>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2.2%</w:t>
            </w:r>
          </w:p>
        </w:tc>
      </w:tr>
      <w:tr>
        <w:trPr>
          <w:trHeight w:val="99"/>
        </w:trPr>
        <w:tc>
          <w:tcPr>
            <w:tcW w:w="9960" w:type="dxa"/>
            <w:vAlign w:val="bottom"/>
          </w:tcPr>
          <w:p>
            <w:pPr>
              <w:spacing w:after="0" w:line="99" w:lineRule="exact"/>
              <w:rPr>
                <w:sz w:val="20"/>
                <w:szCs w:val="20"/>
                <w:color w:val="auto"/>
              </w:rPr>
            </w:pPr>
            <w:r>
              <w:rPr>
                <w:rFonts w:ascii="Arial" w:cs="Arial" w:eastAsia="Arial" w:hAnsi="Arial"/>
                <w:sz w:val="9"/>
                <w:szCs w:val="9"/>
                <w:color w:val="auto"/>
              </w:rPr>
              <w:t>Expected option life in years</w:t>
            </w:r>
          </w:p>
        </w:tc>
        <w:tc>
          <w:tcPr>
            <w:tcW w:w="46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6.9</w:t>
            </w:r>
          </w:p>
        </w:tc>
        <w:tc>
          <w:tcPr>
            <w:tcW w:w="380" w:type="dxa"/>
            <w:vAlign w:val="bottom"/>
            <w:gridSpan w:val="2"/>
          </w:tcPr>
          <w:p>
            <w:pPr>
              <w:jc w:val="right"/>
              <w:spacing w:after="0" w:line="99" w:lineRule="exact"/>
              <w:rPr>
                <w:sz w:val="20"/>
                <w:szCs w:val="20"/>
                <w:color w:val="auto"/>
              </w:rPr>
            </w:pPr>
            <w:r>
              <w:rPr>
                <w:rFonts w:ascii="Arial" w:cs="Arial" w:eastAsia="Arial" w:hAnsi="Arial"/>
                <w:sz w:val="9"/>
                <w:szCs w:val="9"/>
                <w:color w:val="auto"/>
              </w:rPr>
              <w:t>6.9</w:t>
            </w:r>
          </w:p>
        </w:tc>
        <w:tc>
          <w:tcPr>
            <w:tcW w:w="200" w:type="dxa"/>
            <w:vAlign w:val="bottom"/>
          </w:tcPr>
          <w:p>
            <w:pPr>
              <w:spacing w:after="0"/>
              <w:rPr>
                <w:sz w:val="8"/>
                <w:szCs w:val="8"/>
                <w:color w:val="auto"/>
              </w:rPr>
            </w:pPr>
          </w:p>
        </w:tc>
        <w:tc>
          <w:tcPr>
            <w:tcW w:w="380" w:type="dxa"/>
            <w:vAlign w:val="bottom"/>
            <w:gridSpan w:val="2"/>
          </w:tcPr>
          <w:p>
            <w:pPr>
              <w:jc w:val="right"/>
              <w:spacing w:after="0" w:line="99" w:lineRule="exact"/>
              <w:rPr>
                <w:sz w:val="20"/>
                <w:szCs w:val="20"/>
                <w:color w:val="auto"/>
              </w:rPr>
            </w:pPr>
            <w:r>
              <w:rPr>
                <w:rFonts w:ascii="Arial" w:cs="Arial" w:eastAsia="Arial" w:hAnsi="Arial"/>
                <w:sz w:val="9"/>
                <w:szCs w:val="9"/>
                <w:color w:val="auto"/>
              </w:rPr>
              <w:t>6.9</w:t>
            </w:r>
          </w:p>
        </w:tc>
        <w:tc>
          <w:tcPr>
            <w:tcW w:w="100" w:type="dxa"/>
            <w:vAlign w:val="bottom"/>
          </w:tcPr>
          <w:p>
            <w:pPr>
              <w:spacing w:after="0"/>
              <w:rPr>
                <w:sz w:val="8"/>
                <w:szCs w:val="8"/>
                <w:color w:val="auto"/>
              </w:rPr>
            </w:pPr>
          </w:p>
        </w:tc>
      </w:tr>
      <w:tr>
        <w:trPr>
          <w:trHeight w:val="99"/>
        </w:trPr>
        <w:tc>
          <w:tcPr>
            <w:tcW w:w="99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Weighted-average fair value per share</w:t>
            </w:r>
          </w:p>
        </w:tc>
        <w:tc>
          <w:tcPr>
            <w:tcW w:w="46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w w:val="79"/>
              </w:rPr>
              <w:t>$31.38</w:t>
            </w:r>
          </w:p>
        </w:tc>
        <w:tc>
          <w:tcPr>
            <w:tcW w:w="3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$24.13</w:t>
            </w:r>
          </w:p>
        </w:tc>
        <w:tc>
          <w:tcPr>
            <w:tcW w:w="2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$13.92</w:t>
            </w:r>
          </w:p>
        </w:tc>
        <w:tc>
          <w:tcPr>
            <w:tcW w:w="100" w:type="dxa"/>
            <w:vAlign w:val="bottom"/>
            <w:shd w:val="clear" w:color="auto" w:fill="CCEEFF"/>
          </w:tcPr>
          <w:p>
            <w:pPr>
              <w:spacing w:after="0"/>
              <w:rPr>
                <w:sz w:val="8"/>
                <w:szCs w:val="8"/>
                <w:color w:val="auto"/>
              </w:rPr>
            </w:pPr>
          </w:p>
        </w:tc>
      </w:tr>
    </w:tbl>
    <w:p>
      <w:pPr>
        <w:spacing w:after="0" w:line="48" w:lineRule="exact"/>
        <w:rPr>
          <w:sz w:val="20"/>
          <w:szCs w:val="20"/>
          <w:color w:val="auto"/>
        </w:rPr>
      </w:pPr>
    </w:p>
    <w:p>
      <w:pPr>
        <w:ind w:left="228"/>
        <w:spacing w:after="0"/>
        <w:rPr>
          <w:sz w:val="20"/>
          <w:szCs w:val="20"/>
          <w:color w:val="auto"/>
        </w:rPr>
      </w:pPr>
      <w:r>
        <w:rPr>
          <w:rFonts w:ascii="Arial" w:cs="Arial" w:eastAsia="Arial" w:hAnsi="Arial"/>
          <w:sz w:val="12"/>
          <w:szCs w:val="12"/>
          <w:color w:val="auto"/>
        </w:rPr>
        <w:t>The following table summarizes information concerning options outstanding and options exercisable by five ranges of exercise prices as of December 31, 2011:</w:t>
      </w:r>
    </w:p>
    <w:p>
      <w:pPr>
        <w:spacing w:after="0" w:line="104" w:lineRule="exact"/>
        <w:rPr>
          <w:sz w:val="20"/>
          <w:szCs w:val="20"/>
          <w:color w:val="auto"/>
        </w:rPr>
      </w:pPr>
    </w:p>
    <w:p>
      <w:pPr>
        <w:ind w:left="5688"/>
        <w:spacing w:after="0"/>
        <w:rPr>
          <w:sz w:val="20"/>
          <w:szCs w:val="20"/>
          <w:color w:val="auto"/>
        </w:rPr>
      </w:pPr>
      <w:r>
        <w:rPr>
          <w:rFonts w:ascii="Arial" w:cs="Arial" w:eastAsia="Arial" w:hAnsi="Arial"/>
          <w:sz w:val="9"/>
          <w:szCs w:val="9"/>
          <w:color w:val="auto"/>
        </w:rPr>
        <w:t>56</w:t>
      </w:r>
    </w:p>
    <w:p>
      <w:pPr>
        <w:sectPr>
          <w:pgSz w:w="11900" w:h="16838" w:orient="portrait"/>
          <w:cols w:equalWidth="0" w:num="1">
            <w:col w:w="11488"/>
          </w:cols>
          <w:pgMar w:left="212" w:top="354" w:right="199"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9"/>
                <w:szCs w:val="9"/>
                <w:b w:val="1"/>
                <w:bCs w:val="1"/>
                <w:color w:val="auto"/>
              </w:rPr>
              <w:t>(Shares stated in thousands)</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9"/>
                <w:szCs w:val="9"/>
                <w:b w:val="1"/>
                <w:bCs w:val="1"/>
                <w:color w:val="auto"/>
              </w:rPr>
              <w:t>Options Outstanding</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9"/>
                <w:szCs w:val="9"/>
                <w:b w:val="1"/>
                <w:bCs w:val="1"/>
                <w:color w:val="auto"/>
                <w:w w:val="90"/>
              </w:rPr>
              <w:t>Options Exercisable</w:t>
            </w:r>
          </w:p>
        </w:tc>
        <w:tc>
          <w:tcPr>
            <w:tcW w:w="4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gridSpan w:val="2"/>
          </w:tcPr>
          <w:p>
            <w:pPr>
              <w:jc w:val="right"/>
              <w:ind w:right="420"/>
              <w:spacing w:after="0" w:line="79" w:lineRule="exact"/>
              <w:rPr>
                <w:sz w:val="20"/>
                <w:szCs w:val="20"/>
                <w:color w:val="auto"/>
              </w:rPr>
            </w:pPr>
            <w:r>
              <w:rPr>
                <w:rFonts w:ascii="Arial" w:cs="Arial" w:eastAsia="Arial" w:hAnsi="Arial"/>
                <w:sz w:val="9"/>
                <w:szCs w:val="9"/>
                <w:b w:val="1"/>
                <w:bCs w:val="1"/>
                <w:color w:val="auto"/>
              </w:rPr>
              <w:t>Weighted-</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gridSpan w:val="2"/>
          </w:tcPr>
          <w:p>
            <w:pPr>
              <w:jc w:val="right"/>
              <w:ind w:right="420"/>
              <w:spacing w:after="0" w:line="99" w:lineRule="exact"/>
              <w:rPr>
                <w:sz w:val="20"/>
                <w:szCs w:val="20"/>
                <w:color w:val="auto"/>
              </w:rPr>
            </w:pPr>
            <w:r>
              <w:rPr>
                <w:rFonts w:ascii="Arial" w:cs="Arial" w:eastAsia="Arial" w:hAnsi="Arial"/>
                <w:sz w:val="9"/>
                <w:szCs w:val="9"/>
                <w:b w:val="1"/>
                <w:bCs w:val="1"/>
                <w:color w:val="auto"/>
              </w:rPr>
              <w:t>average</w:t>
            </w:r>
          </w:p>
        </w:tc>
        <w:tc>
          <w:tcPr>
            <w:tcW w:w="360" w:type="dxa"/>
            <w:vAlign w:val="bottom"/>
          </w:tcPr>
          <w:p>
            <w:pPr>
              <w:spacing w:after="0"/>
              <w:rPr>
                <w:sz w:val="8"/>
                <w:szCs w:val="8"/>
                <w:color w:val="auto"/>
              </w:rPr>
            </w:pPr>
          </w:p>
        </w:tc>
        <w:tc>
          <w:tcPr>
            <w:tcW w:w="118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Weighted-</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gridSpan w:val="2"/>
          </w:tcPr>
          <w:p>
            <w:pPr>
              <w:jc w:val="right"/>
              <w:ind w:right="420"/>
              <w:spacing w:after="0" w:line="99" w:lineRule="exact"/>
              <w:rPr>
                <w:sz w:val="20"/>
                <w:szCs w:val="20"/>
                <w:color w:val="auto"/>
              </w:rPr>
            </w:pPr>
            <w:r>
              <w:rPr>
                <w:rFonts w:ascii="Arial" w:cs="Arial" w:eastAsia="Arial" w:hAnsi="Arial"/>
                <w:sz w:val="9"/>
                <w:szCs w:val="9"/>
                <w:b w:val="1"/>
                <w:bCs w:val="1"/>
                <w:color w:val="auto"/>
              </w:rPr>
              <w:t>remaining</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tcPr>
          <w:p>
            <w:pPr>
              <w:jc w:val="right"/>
              <w:ind w:right="780"/>
              <w:spacing w:after="0" w:line="99" w:lineRule="exact"/>
              <w:rPr>
                <w:sz w:val="20"/>
                <w:szCs w:val="20"/>
                <w:color w:val="auto"/>
              </w:rPr>
            </w:pPr>
            <w:r>
              <w:rPr>
                <w:rFonts w:ascii="Arial" w:cs="Arial" w:eastAsia="Arial" w:hAnsi="Arial"/>
                <w:sz w:val="9"/>
                <w:szCs w:val="9"/>
                <w:b w:val="1"/>
                <w:bCs w:val="1"/>
                <w:color w:val="auto"/>
                <w:w w:val="88"/>
              </w:rPr>
              <w:t>average</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9" w:lineRule="exact"/>
              <w:rPr>
                <w:sz w:val="20"/>
                <w:szCs w:val="20"/>
                <w:color w:val="auto"/>
              </w:rPr>
            </w:pPr>
            <w:r>
              <w:rPr>
                <w:rFonts w:ascii="Arial" w:cs="Arial" w:eastAsia="Arial" w:hAnsi="Arial"/>
                <w:sz w:val="9"/>
                <w:szCs w:val="9"/>
                <w:b w:val="1"/>
                <w:bCs w:val="1"/>
                <w:color w:val="auto"/>
                <w:w w:val="96"/>
              </w:rPr>
              <w:t>Weighted-</w:t>
            </w:r>
          </w:p>
        </w:tc>
        <w:tc>
          <w:tcPr>
            <w:tcW w:w="0" w:type="dxa"/>
            <w:vAlign w:val="bottom"/>
          </w:tcPr>
          <w:p>
            <w:pPr>
              <w:spacing w:after="0"/>
              <w:rPr>
                <w:sz w:val="1"/>
                <w:szCs w:val="1"/>
                <w:color w:val="auto"/>
              </w:rPr>
            </w:pPr>
          </w:p>
        </w:tc>
      </w:tr>
      <w:tr>
        <w:trPr>
          <w:trHeight w:val="108"/>
        </w:trPr>
        <w:tc>
          <w:tcPr>
            <w:tcW w:w="82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85"/>
              </w:rPr>
              <w:t>Exercise prices range</w:t>
            </w:r>
          </w:p>
        </w:tc>
        <w:tc>
          <w:tcPr>
            <w:tcW w:w="5060" w:type="dxa"/>
            <w:vAlign w:val="bottom"/>
          </w:tcPr>
          <w:p>
            <w:pPr>
              <w:spacing w:after="0"/>
              <w:rPr>
                <w:sz w:val="9"/>
                <w:szCs w:val="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Options</w:t>
            </w:r>
          </w:p>
        </w:tc>
        <w:tc>
          <w:tcPr>
            <w:tcW w:w="760" w:type="dxa"/>
            <w:vAlign w:val="bottom"/>
          </w:tcPr>
          <w:p>
            <w:pPr>
              <w:spacing w:after="0"/>
              <w:rPr>
                <w:sz w:val="9"/>
                <w:szCs w:val="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w w:val="87"/>
              </w:rPr>
              <w:t>contractual life</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tcPr>
          <w:p>
            <w:pPr>
              <w:jc w:val="right"/>
              <w:ind w:right="780"/>
              <w:spacing w:after="0"/>
              <w:rPr>
                <w:sz w:val="20"/>
                <w:szCs w:val="20"/>
                <w:color w:val="auto"/>
              </w:rPr>
            </w:pPr>
            <w:r>
              <w:rPr>
                <w:rFonts w:ascii="Arial" w:cs="Arial" w:eastAsia="Arial" w:hAnsi="Arial"/>
                <w:sz w:val="9"/>
                <w:szCs w:val="9"/>
                <w:b w:val="1"/>
                <w:bCs w:val="1"/>
                <w:color w:val="auto"/>
                <w:w w:val="83"/>
              </w:rPr>
              <w:t>exercise</w:t>
            </w:r>
          </w:p>
        </w:tc>
        <w:tc>
          <w:tcPr>
            <w:tcW w:w="46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Options</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average</w:t>
            </w:r>
          </w:p>
        </w:tc>
        <w:tc>
          <w:tcPr>
            <w:tcW w:w="0" w:type="dxa"/>
            <w:vAlign w:val="bottom"/>
          </w:tcPr>
          <w:p>
            <w:pPr>
              <w:spacing w:after="0"/>
              <w:rPr>
                <w:sz w:val="1"/>
                <w:szCs w:val="1"/>
                <w:color w:val="auto"/>
              </w:rPr>
            </w:pPr>
          </w:p>
        </w:tc>
      </w:tr>
      <w:tr>
        <w:trPr>
          <w:trHeight w:val="119"/>
        </w:trPr>
        <w:tc>
          <w:tcPr>
            <w:tcW w:w="820" w:type="dxa"/>
            <w:vAlign w:val="bottom"/>
            <w:tcBorders>
              <w:bottom w:val="single" w:sz="8" w:color="auto"/>
            </w:tcBorders>
            <w:gridSpan w:val="2"/>
            <w:vMerge w:val="continue"/>
          </w:tcPr>
          <w:p>
            <w:pPr>
              <w:spacing w:after="0"/>
              <w:rPr>
                <w:sz w:val="10"/>
                <w:szCs w:val="10"/>
                <w:color w:val="auto"/>
              </w:rPr>
            </w:pPr>
          </w:p>
        </w:tc>
        <w:tc>
          <w:tcPr>
            <w:tcW w:w="5060" w:type="dxa"/>
            <w:vAlign w:val="bottom"/>
          </w:tcPr>
          <w:p>
            <w:pPr>
              <w:spacing w:after="0"/>
              <w:rPr>
                <w:sz w:val="10"/>
                <w:szCs w:val="10"/>
                <w:color w:val="auto"/>
              </w:rPr>
            </w:pPr>
          </w:p>
        </w:tc>
        <w:tc>
          <w:tcPr>
            <w:tcW w:w="500" w:type="dxa"/>
            <w:vAlign w:val="bottom"/>
            <w:gridSpan w:val="2"/>
          </w:tcPr>
          <w:p>
            <w:pPr>
              <w:jc w:val="right"/>
              <w:ind w:right="20"/>
              <w:spacing w:after="0" w:line="100" w:lineRule="exact"/>
              <w:rPr>
                <w:sz w:val="20"/>
                <w:szCs w:val="20"/>
                <w:color w:val="auto"/>
              </w:rPr>
            </w:pPr>
            <w:r>
              <w:rPr>
                <w:rFonts w:ascii="Arial" w:cs="Arial" w:eastAsia="Arial" w:hAnsi="Arial"/>
                <w:sz w:val="9"/>
                <w:szCs w:val="9"/>
                <w:b w:val="1"/>
                <w:bCs w:val="1"/>
                <w:color w:val="auto"/>
                <w:w w:val="86"/>
              </w:rPr>
              <w:t>Outstanding</w:t>
            </w:r>
          </w:p>
        </w:tc>
        <w:tc>
          <w:tcPr>
            <w:tcW w:w="760" w:type="dxa"/>
            <w:vAlign w:val="bottom"/>
          </w:tcPr>
          <w:p>
            <w:pPr>
              <w:spacing w:after="0"/>
              <w:rPr>
                <w:sz w:val="10"/>
                <w:szCs w:val="10"/>
                <w:color w:val="auto"/>
              </w:rPr>
            </w:pPr>
          </w:p>
        </w:tc>
        <w:tc>
          <w:tcPr>
            <w:tcW w:w="1000" w:type="dxa"/>
            <w:vAlign w:val="bottom"/>
            <w:gridSpan w:val="2"/>
          </w:tcPr>
          <w:p>
            <w:pPr>
              <w:jc w:val="right"/>
              <w:ind w:right="420"/>
              <w:spacing w:after="0" w:line="100" w:lineRule="exact"/>
              <w:rPr>
                <w:sz w:val="20"/>
                <w:szCs w:val="20"/>
                <w:color w:val="auto"/>
              </w:rPr>
            </w:pPr>
            <w:r>
              <w:rPr>
                <w:rFonts w:ascii="Arial" w:cs="Arial" w:eastAsia="Arial" w:hAnsi="Arial"/>
                <w:sz w:val="9"/>
                <w:szCs w:val="9"/>
                <w:b w:val="1"/>
                <w:bCs w:val="1"/>
                <w:color w:val="auto"/>
              </w:rPr>
              <w:t>(in years)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780"/>
              <w:spacing w:after="0" w:line="100" w:lineRule="exact"/>
              <w:rPr>
                <w:sz w:val="20"/>
                <w:szCs w:val="20"/>
                <w:color w:val="auto"/>
              </w:rPr>
            </w:pPr>
            <w:r>
              <w:rPr>
                <w:rFonts w:ascii="Arial" w:cs="Arial" w:eastAsia="Arial" w:hAnsi="Arial"/>
                <w:sz w:val="9"/>
                <w:szCs w:val="9"/>
                <w:b w:val="1"/>
                <w:bCs w:val="1"/>
                <w:color w:val="auto"/>
              </w:rPr>
              <w:t>price</w:t>
            </w:r>
          </w:p>
        </w:tc>
        <w:tc>
          <w:tcPr>
            <w:tcW w:w="460" w:type="dxa"/>
            <w:vAlign w:val="bottom"/>
            <w:gridSpan w:val="2"/>
          </w:tcPr>
          <w:p>
            <w:pPr>
              <w:jc w:val="right"/>
              <w:ind w:right="20"/>
              <w:spacing w:after="0" w:line="100" w:lineRule="exact"/>
              <w:rPr>
                <w:sz w:val="20"/>
                <w:szCs w:val="20"/>
                <w:color w:val="auto"/>
              </w:rPr>
            </w:pPr>
            <w:r>
              <w:rPr>
                <w:rFonts w:ascii="Arial" w:cs="Arial" w:eastAsia="Arial" w:hAnsi="Arial"/>
                <w:sz w:val="9"/>
                <w:szCs w:val="9"/>
                <w:b w:val="1"/>
                <w:bCs w:val="1"/>
                <w:color w:val="auto"/>
                <w:w w:val="83"/>
              </w:rPr>
              <w:t>Exercisable</w:t>
            </w:r>
          </w:p>
        </w:tc>
        <w:tc>
          <w:tcPr>
            <w:tcW w:w="760" w:type="dxa"/>
            <w:vAlign w:val="bottom"/>
          </w:tcPr>
          <w:p>
            <w:pPr>
              <w:spacing w:after="0"/>
              <w:rPr>
                <w:sz w:val="10"/>
                <w:szCs w:val="10"/>
                <w:color w:val="auto"/>
              </w:rPr>
            </w:pPr>
          </w:p>
        </w:tc>
        <w:tc>
          <w:tcPr>
            <w:tcW w:w="580" w:type="dxa"/>
            <w:vAlign w:val="bottom"/>
            <w:gridSpan w:val="3"/>
          </w:tcPr>
          <w:p>
            <w:pPr>
              <w:jc w:val="right"/>
              <w:ind w:right="40"/>
              <w:spacing w:after="0" w:line="100" w:lineRule="exact"/>
              <w:rPr>
                <w:sz w:val="20"/>
                <w:szCs w:val="20"/>
                <w:color w:val="auto"/>
              </w:rPr>
            </w:pPr>
            <w:r>
              <w:rPr>
                <w:rFonts w:ascii="Arial" w:cs="Arial" w:eastAsia="Arial" w:hAnsi="Arial"/>
                <w:sz w:val="9"/>
                <w:szCs w:val="9"/>
                <w:b w:val="1"/>
                <w:bCs w:val="1"/>
                <w:color w:val="auto"/>
                <w:w w:val="86"/>
              </w:rPr>
              <w:t>exercise price</w:t>
            </w:r>
          </w:p>
        </w:tc>
        <w:tc>
          <w:tcPr>
            <w:tcW w:w="0" w:type="dxa"/>
            <w:vAlign w:val="bottom"/>
          </w:tcPr>
          <w:p>
            <w:pPr>
              <w:spacing w:after="0"/>
              <w:rPr>
                <w:sz w:val="1"/>
                <w:szCs w:val="1"/>
                <w:color w:val="auto"/>
              </w:rPr>
            </w:pPr>
          </w:p>
        </w:tc>
      </w:tr>
      <w:tr>
        <w:trPr>
          <w:trHeight w:val="77"/>
        </w:trPr>
        <w:tc>
          <w:tcPr>
            <w:tcW w:w="820" w:type="dxa"/>
            <w:vAlign w:val="bottom"/>
            <w:tcBorders>
              <w:top w:val="single" w:sz="8" w:color="CCEEFF"/>
            </w:tcBorders>
            <w:gridSpan w:val="2"/>
            <w:shd w:val="clear" w:color="auto" w:fill="CCEEFF"/>
          </w:tcPr>
          <w:p>
            <w:pPr>
              <w:spacing w:after="0" w:line="78" w:lineRule="exact"/>
              <w:rPr>
                <w:sz w:val="20"/>
                <w:szCs w:val="20"/>
                <w:color w:val="auto"/>
              </w:rPr>
            </w:pPr>
            <w:r>
              <w:rPr>
                <w:rFonts w:ascii="Arial" w:cs="Arial" w:eastAsia="Arial" w:hAnsi="Arial"/>
                <w:sz w:val="8"/>
                <w:szCs w:val="8"/>
                <w:color w:val="auto"/>
              </w:rPr>
              <w:t>$19.04 - $32.46</w:t>
            </w:r>
          </w:p>
        </w:tc>
        <w:tc>
          <w:tcPr>
            <w:tcW w:w="50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2,764</w:t>
            </w:r>
          </w:p>
        </w:tc>
        <w:tc>
          <w:tcPr>
            <w:tcW w:w="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0.99</w:t>
            </w:r>
          </w:p>
        </w:tc>
        <w:tc>
          <w:tcPr>
            <w:tcW w:w="4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8" w:lineRule="exact"/>
              <w:rPr>
                <w:sz w:val="20"/>
                <w:szCs w:val="20"/>
                <w:color w:val="auto"/>
              </w:rPr>
            </w:pPr>
            <w:r>
              <w:rPr>
                <w:rFonts w:ascii="Arial" w:cs="Arial" w:eastAsia="Arial" w:hAnsi="Arial"/>
                <w:sz w:val="8"/>
                <w:szCs w:val="8"/>
                <w:color w:val="auto"/>
              </w:rPr>
              <w:t>$</w:t>
            </w:r>
          </w:p>
        </w:tc>
        <w:tc>
          <w:tcPr>
            <w:tcW w:w="32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27.35</w:t>
            </w:r>
          </w:p>
        </w:tc>
        <w:tc>
          <w:tcPr>
            <w:tcW w:w="7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2,764</w:t>
            </w:r>
          </w:p>
        </w:tc>
        <w:tc>
          <w:tcPr>
            <w:tcW w:w="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w w:val="88"/>
              </w:rPr>
              <w:t>$</w:t>
            </w:r>
          </w:p>
        </w:tc>
        <w:tc>
          <w:tcPr>
            <w:tcW w:w="44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27.35</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60" w:type="dxa"/>
            <w:vAlign w:val="bottom"/>
          </w:tcPr>
          <w:p>
            <w:pPr>
              <w:spacing w:after="0" w:line="99" w:lineRule="exact"/>
              <w:rPr>
                <w:sz w:val="20"/>
                <w:szCs w:val="20"/>
                <w:color w:val="auto"/>
              </w:rPr>
            </w:pPr>
            <w:r>
              <w:rPr>
                <w:rFonts w:ascii="Arial" w:cs="Arial" w:eastAsia="Arial" w:hAnsi="Arial"/>
                <w:sz w:val="9"/>
                <w:szCs w:val="9"/>
                <w:color w:val="auto"/>
                <w:w w:val="87"/>
              </w:rPr>
              <w:t>$32.62</w:t>
            </w:r>
          </w:p>
        </w:tc>
        <w:tc>
          <w:tcPr>
            <w:tcW w:w="560" w:type="dxa"/>
            <w:vAlign w:val="bottom"/>
          </w:tcPr>
          <w:p>
            <w:pPr>
              <w:spacing w:after="0" w:line="99" w:lineRule="exact"/>
              <w:rPr>
                <w:sz w:val="20"/>
                <w:szCs w:val="20"/>
                <w:color w:val="auto"/>
              </w:rPr>
            </w:pPr>
            <w:r>
              <w:rPr>
                <w:rFonts w:ascii="Arial" w:cs="Arial" w:eastAsia="Arial" w:hAnsi="Arial"/>
                <w:sz w:val="9"/>
                <w:szCs w:val="9"/>
                <w:color w:val="auto"/>
              </w:rPr>
              <w:t>- $37.85</w:t>
            </w:r>
          </w:p>
        </w:tc>
        <w:tc>
          <w:tcPr>
            <w:tcW w:w="5560" w:type="dxa"/>
            <w:vAlign w:val="bottom"/>
            <w:gridSpan w:val="3"/>
          </w:tcPr>
          <w:p>
            <w:pPr>
              <w:jc w:val="right"/>
              <w:ind w:right="20"/>
              <w:spacing w:after="0" w:line="99" w:lineRule="exact"/>
              <w:rPr>
                <w:sz w:val="20"/>
                <w:szCs w:val="20"/>
                <w:color w:val="auto"/>
              </w:rPr>
            </w:pPr>
            <w:r>
              <w:rPr>
                <w:rFonts w:ascii="Arial" w:cs="Arial" w:eastAsia="Arial" w:hAnsi="Arial"/>
                <w:sz w:val="9"/>
                <w:szCs w:val="9"/>
                <w:color w:val="auto"/>
              </w:rPr>
              <w:t>5,921</w:t>
            </w:r>
          </w:p>
        </w:tc>
        <w:tc>
          <w:tcPr>
            <w:tcW w:w="1340" w:type="dxa"/>
            <w:vAlign w:val="bottom"/>
            <w:gridSpan w:val="2"/>
          </w:tcPr>
          <w:p>
            <w:pPr>
              <w:jc w:val="right"/>
              <w:spacing w:after="0" w:line="99" w:lineRule="exact"/>
              <w:rPr>
                <w:sz w:val="20"/>
                <w:szCs w:val="20"/>
                <w:color w:val="auto"/>
              </w:rPr>
            </w:pPr>
            <w:r>
              <w:rPr>
                <w:rFonts w:ascii="Arial" w:cs="Arial" w:eastAsia="Arial" w:hAnsi="Arial"/>
                <w:sz w:val="9"/>
                <w:szCs w:val="9"/>
                <w:color w:val="auto"/>
              </w:rPr>
              <w:t>6.67</w:t>
            </w:r>
          </w:p>
        </w:tc>
        <w:tc>
          <w:tcPr>
            <w:tcW w:w="420" w:type="dxa"/>
            <w:vAlign w:val="bottom"/>
          </w:tcPr>
          <w:p>
            <w:pPr>
              <w:spacing w:after="0"/>
              <w:rPr>
                <w:sz w:val="8"/>
                <w:szCs w:val="8"/>
                <w:color w:val="auto"/>
              </w:rPr>
            </w:pPr>
          </w:p>
        </w:tc>
        <w:tc>
          <w:tcPr>
            <w:tcW w:w="440" w:type="dxa"/>
            <w:vAlign w:val="bottom"/>
            <w:gridSpan w:val="2"/>
          </w:tcPr>
          <w:p>
            <w:pPr>
              <w:ind w:left="360"/>
              <w:spacing w:after="0" w:line="99" w:lineRule="exact"/>
              <w:rPr>
                <w:sz w:val="20"/>
                <w:szCs w:val="20"/>
                <w:color w:val="auto"/>
              </w:rPr>
            </w:pPr>
            <w:r>
              <w:rPr>
                <w:rFonts w:ascii="Arial" w:cs="Arial" w:eastAsia="Arial" w:hAnsi="Arial"/>
                <w:sz w:val="9"/>
                <w:szCs w:val="9"/>
                <w:color w:val="auto"/>
              </w:rPr>
              <w:t>$</w:t>
            </w:r>
          </w:p>
        </w:tc>
        <w:tc>
          <w:tcPr>
            <w:tcW w:w="1100" w:type="dxa"/>
            <w:vAlign w:val="bottom"/>
            <w:gridSpan w:val="2"/>
          </w:tcPr>
          <w:p>
            <w:pPr>
              <w:jc w:val="right"/>
              <w:ind w:right="780"/>
              <w:spacing w:after="0" w:line="99" w:lineRule="exact"/>
              <w:rPr>
                <w:sz w:val="20"/>
                <w:szCs w:val="20"/>
                <w:color w:val="auto"/>
              </w:rPr>
            </w:pPr>
            <w:r>
              <w:rPr>
                <w:rFonts w:ascii="Arial" w:cs="Arial" w:eastAsia="Arial" w:hAnsi="Arial"/>
                <w:sz w:val="9"/>
                <w:szCs w:val="9"/>
                <w:color w:val="auto"/>
              </w:rPr>
              <w:t>37.43</w:t>
            </w:r>
          </w:p>
        </w:tc>
        <w:tc>
          <w:tcPr>
            <w:tcW w:w="440" w:type="dxa"/>
            <w:vAlign w:val="bottom"/>
          </w:tcPr>
          <w:p>
            <w:pPr>
              <w:jc w:val="right"/>
              <w:spacing w:after="0" w:line="99" w:lineRule="exact"/>
              <w:rPr>
                <w:sz w:val="20"/>
                <w:szCs w:val="20"/>
                <w:color w:val="auto"/>
              </w:rPr>
            </w:pPr>
            <w:r>
              <w:rPr>
                <w:rFonts w:ascii="Arial" w:cs="Arial" w:eastAsia="Arial" w:hAnsi="Arial"/>
                <w:sz w:val="9"/>
                <w:szCs w:val="9"/>
                <w:color w:val="auto"/>
              </w:rPr>
              <w:t>2,109</w:t>
            </w:r>
          </w:p>
        </w:tc>
        <w:tc>
          <w:tcPr>
            <w:tcW w:w="20" w:type="dxa"/>
            <w:vAlign w:val="bottom"/>
          </w:tcPr>
          <w:p>
            <w:pPr>
              <w:spacing w:after="0"/>
              <w:rPr>
                <w:sz w:val="8"/>
                <w:szCs w:val="8"/>
                <w:color w:val="auto"/>
              </w:rPr>
            </w:pPr>
          </w:p>
        </w:tc>
        <w:tc>
          <w:tcPr>
            <w:tcW w:w="86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36.69</w:t>
            </w:r>
          </w:p>
        </w:tc>
        <w:tc>
          <w:tcPr>
            <w:tcW w:w="0" w:type="dxa"/>
            <w:vAlign w:val="bottom"/>
          </w:tcPr>
          <w:p>
            <w:pPr>
              <w:spacing w:after="0"/>
              <w:rPr>
                <w:sz w:val="1"/>
                <w:szCs w:val="1"/>
                <w:color w:val="auto"/>
              </w:rPr>
            </w:pPr>
          </w:p>
        </w:tc>
      </w:tr>
      <w:tr>
        <w:trPr>
          <w:trHeight w:val="99"/>
        </w:trPr>
        <w:tc>
          <w:tcPr>
            <w:tcW w:w="2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w w:val="87"/>
              </w:rPr>
              <w:t>$39.08</w:t>
            </w:r>
          </w:p>
        </w:tc>
        <w:tc>
          <w:tcPr>
            <w:tcW w:w="5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 $55.69</w:t>
            </w:r>
          </w:p>
        </w:tc>
        <w:tc>
          <w:tcPr>
            <w:tcW w:w="5560" w:type="dxa"/>
            <w:vAlign w:val="bottom"/>
            <w:gridSpan w:val="3"/>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6,116</w:t>
            </w:r>
          </w:p>
        </w:tc>
        <w:tc>
          <w:tcPr>
            <w:tcW w:w="13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5.00</w:t>
            </w:r>
          </w:p>
        </w:tc>
        <w:tc>
          <w:tcPr>
            <w:tcW w:w="42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360"/>
              <w:spacing w:after="0" w:line="99" w:lineRule="exact"/>
              <w:rPr>
                <w:sz w:val="20"/>
                <w:szCs w:val="20"/>
                <w:color w:val="auto"/>
              </w:rPr>
            </w:pPr>
            <w:r>
              <w:rPr>
                <w:rFonts w:ascii="Arial" w:cs="Arial" w:eastAsia="Arial" w:hAnsi="Arial"/>
                <w:sz w:val="9"/>
                <w:szCs w:val="9"/>
                <w:color w:val="auto"/>
              </w:rPr>
              <w:t>$</w:t>
            </w:r>
          </w:p>
        </w:tc>
        <w:tc>
          <w:tcPr>
            <w:tcW w:w="1100" w:type="dxa"/>
            <w:vAlign w:val="bottom"/>
            <w:gridSpan w:val="2"/>
            <w:shd w:val="clear" w:color="auto" w:fill="CCEEFF"/>
          </w:tcPr>
          <w:p>
            <w:pPr>
              <w:jc w:val="right"/>
              <w:ind w:right="780"/>
              <w:spacing w:after="0" w:line="99" w:lineRule="exact"/>
              <w:rPr>
                <w:sz w:val="20"/>
                <w:szCs w:val="20"/>
                <w:color w:val="auto"/>
              </w:rPr>
            </w:pPr>
            <w:r>
              <w:rPr>
                <w:rFonts w:ascii="Arial" w:cs="Arial" w:eastAsia="Arial" w:hAnsi="Arial"/>
                <w:sz w:val="9"/>
                <w:szCs w:val="9"/>
                <w:color w:val="auto"/>
              </w:rPr>
              <w:t>52.71</w:t>
            </w: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4,929</w:t>
            </w:r>
          </w:p>
        </w:tc>
        <w:tc>
          <w:tcPr>
            <w:tcW w:w="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53.45</w:t>
            </w:r>
          </w:p>
        </w:tc>
        <w:tc>
          <w:tcPr>
            <w:tcW w:w="0" w:type="dxa"/>
            <w:vAlign w:val="bottom"/>
          </w:tcPr>
          <w:p>
            <w:pPr>
              <w:spacing w:after="0"/>
              <w:rPr>
                <w:sz w:val="1"/>
                <w:szCs w:val="1"/>
                <w:color w:val="auto"/>
              </w:rPr>
            </w:pPr>
          </w:p>
        </w:tc>
      </w:tr>
      <w:tr>
        <w:trPr>
          <w:trHeight w:val="99"/>
        </w:trPr>
        <w:tc>
          <w:tcPr>
            <w:tcW w:w="260" w:type="dxa"/>
            <w:vAlign w:val="bottom"/>
          </w:tcPr>
          <w:p>
            <w:pPr>
              <w:spacing w:after="0" w:line="99" w:lineRule="exact"/>
              <w:rPr>
                <w:sz w:val="20"/>
                <w:szCs w:val="20"/>
                <w:color w:val="auto"/>
              </w:rPr>
            </w:pPr>
            <w:r>
              <w:rPr>
                <w:rFonts w:ascii="Arial" w:cs="Arial" w:eastAsia="Arial" w:hAnsi="Arial"/>
                <w:sz w:val="9"/>
                <w:szCs w:val="9"/>
                <w:color w:val="auto"/>
                <w:w w:val="87"/>
              </w:rPr>
              <w:t>$56.61</w:t>
            </w:r>
          </w:p>
        </w:tc>
        <w:tc>
          <w:tcPr>
            <w:tcW w:w="560" w:type="dxa"/>
            <w:vAlign w:val="bottom"/>
          </w:tcPr>
          <w:p>
            <w:pPr>
              <w:spacing w:after="0" w:line="99" w:lineRule="exact"/>
              <w:rPr>
                <w:sz w:val="20"/>
                <w:szCs w:val="20"/>
                <w:color w:val="auto"/>
              </w:rPr>
            </w:pPr>
            <w:r>
              <w:rPr>
                <w:rFonts w:ascii="Arial" w:cs="Arial" w:eastAsia="Arial" w:hAnsi="Arial"/>
                <w:sz w:val="9"/>
                <w:szCs w:val="9"/>
                <w:color w:val="auto"/>
              </w:rPr>
              <w:t>- $74.00</w:t>
            </w:r>
          </w:p>
        </w:tc>
        <w:tc>
          <w:tcPr>
            <w:tcW w:w="5560" w:type="dxa"/>
            <w:vAlign w:val="bottom"/>
            <w:gridSpan w:val="3"/>
          </w:tcPr>
          <w:p>
            <w:pPr>
              <w:jc w:val="right"/>
              <w:ind w:right="20"/>
              <w:spacing w:after="0" w:line="99" w:lineRule="exact"/>
              <w:rPr>
                <w:sz w:val="20"/>
                <w:szCs w:val="20"/>
                <w:color w:val="auto"/>
              </w:rPr>
            </w:pPr>
            <w:r>
              <w:rPr>
                <w:rFonts w:ascii="Arial" w:cs="Arial" w:eastAsia="Arial" w:hAnsi="Arial"/>
                <w:sz w:val="9"/>
                <w:szCs w:val="9"/>
                <w:color w:val="auto"/>
              </w:rPr>
              <w:t>11,223</w:t>
            </w:r>
          </w:p>
        </w:tc>
        <w:tc>
          <w:tcPr>
            <w:tcW w:w="1340" w:type="dxa"/>
            <w:vAlign w:val="bottom"/>
            <w:gridSpan w:val="2"/>
          </w:tcPr>
          <w:p>
            <w:pPr>
              <w:jc w:val="right"/>
              <w:spacing w:after="0" w:line="99" w:lineRule="exact"/>
              <w:rPr>
                <w:sz w:val="20"/>
                <w:szCs w:val="20"/>
                <w:color w:val="auto"/>
              </w:rPr>
            </w:pPr>
            <w:r>
              <w:rPr>
                <w:rFonts w:ascii="Arial" w:cs="Arial" w:eastAsia="Arial" w:hAnsi="Arial"/>
                <w:sz w:val="9"/>
                <w:szCs w:val="9"/>
                <w:color w:val="auto"/>
              </w:rPr>
              <w:t>7.19</w:t>
            </w:r>
          </w:p>
        </w:tc>
        <w:tc>
          <w:tcPr>
            <w:tcW w:w="420" w:type="dxa"/>
            <w:vAlign w:val="bottom"/>
          </w:tcPr>
          <w:p>
            <w:pPr>
              <w:spacing w:after="0"/>
              <w:rPr>
                <w:sz w:val="8"/>
                <w:szCs w:val="8"/>
                <w:color w:val="auto"/>
              </w:rPr>
            </w:pPr>
          </w:p>
        </w:tc>
        <w:tc>
          <w:tcPr>
            <w:tcW w:w="440" w:type="dxa"/>
            <w:vAlign w:val="bottom"/>
            <w:gridSpan w:val="2"/>
          </w:tcPr>
          <w:p>
            <w:pPr>
              <w:ind w:left="360"/>
              <w:spacing w:after="0" w:line="99" w:lineRule="exact"/>
              <w:rPr>
                <w:sz w:val="20"/>
                <w:szCs w:val="20"/>
                <w:color w:val="auto"/>
              </w:rPr>
            </w:pPr>
            <w:r>
              <w:rPr>
                <w:rFonts w:ascii="Arial" w:cs="Arial" w:eastAsia="Arial" w:hAnsi="Arial"/>
                <w:sz w:val="9"/>
                <w:szCs w:val="9"/>
                <w:color w:val="auto"/>
              </w:rPr>
              <w:t>$</w:t>
            </w:r>
          </w:p>
        </w:tc>
        <w:tc>
          <w:tcPr>
            <w:tcW w:w="1100" w:type="dxa"/>
            <w:vAlign w:val="bottom"/>
            <w:gridSpan w:val="2"/>
          </w:tcPr>
          <w:p>
            <w:pPr>
              <w:jc w:val="right"/>
              <w:ind w:right="780"/>
              <w:spacing w:after="0" w:line="99" w:lineRule="exact"/>
              <w:rPr>
                <w:sz w:val="20"/>
                <w:szCs w:val="20"/>
                <w:color w:val="auto"/>
              </w:rPr>
            </w:pPr>
            <w:r>
              <w:rPr>
                <w:rFonts w:ascii="Arial" w:cs="Arial" w:eastAsia="Arial" w:hAnsi="Arial"/>
                <w:sz w:val="9"/>
                <w:szCs w:val="9"/>
                <w:color w:val="auto"/>
              </w:rPr>
              <w:t>65.09</w:t>
            </w:r>
          </w:p>
        </w:tc>
        <w:tc>
          <w:tcPr>
            <w:tcW w:w="440" w:type="dxa"/>
            <w:vAlign w:val="bottom"/>
          </w:tcPr>
          <w:p>
            <w:pPr>
              <w:jc w:val="right"/>
              <w:spacing w:after="0" w:line="99" w:lineRule="exact"/>
              <w:rPr>
                <w:sz w:val="20"/>
                <w:szCs w:val="20"/>
                <w:color w:val="auto"/>
              </w:rPr>
            </w:pPr>
            <w:r>
              <w:rPr>
                <w:rFonts w:ascii="Arial" w:cs="Arial" w:eastAsia="Arial" w:hAnsi="Arial"/>
                <w:sz w:val="9"/>
                <w:szCs w:val="9"/>
                <w:color w:val="auto"/>
              </w:rPr>
              <w:t>4,199</w:t>
            </w:r>
          </w:p>
        </w:tc>
        <w:tc>
          <w:tcPr>
            <w:tcW w:w="20" w:type="dxa"/>
            <w:vAlign w:val="bottom"/>
          </w:tcPr>
          <w:p>
            <w:pPr>
              <w:spacing w:after="0"/>
              <w:rPr>
                <w:sz w:val="8"/>
                <w:szCs w:val="8"/>
                <w:color w:val="auto"/>
              </w:rPr>
            </w:pPr>
          </w:p>
        </w:tc>
        <w:tc>
          <w:tcPr>
            <w:tcW w:w="86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62.50</w:t>
            </w:r>
          </w:p>
        </w:tc>
        <w:tc>
          <w:tcPr>
            <w:tcW w:w="0" w:type="dxa"/>
            <w:vAlign w:val="bottom"/>
          </w:tcPr>
          <w:p>
            <w:pPr>
              <w:spacing w:after="0"/>
              <w:rPr>
                <w:sz w:val="1"/>
                <w:szCs w:val="1"/>
                <w:color w:val="auto"/>
              </w:rPr>
            </w:pPr>
          </w:p>
        </w:tc>
      </w:tr>
      <w:tr>
        <w:trPr>
          <w:trHeight w:val="99"/>
        </w:trPr>
        <w:tc>
          <w:tcPr>
            <w:tcW w:w="260" w:type="dxa"/>
            <w:vAlign w:val="bottom"/>
            <w:tcBorders>
              <w:bottom w:val="single" w:sz="8" w:color="auto"/>
            </w:tcBorders>
            <w:shd w:val="clear" w:color="auto" w:fill="CCEEFF"/>
          </w:tcPr>
          <w:p>
            <w:pPr>
              <w:spacing w:after="0" w:line="99" w:lineRule="exact"/>
              <w:rPr>
                <w:sz w:val="20"/>
                <w:szCs w:val="20"/>
                <w:color w:val="auto"/>
              </w:rPr>
            </w:pPr>
            <w:r>
              <w:rPr>
                <w:rFonts w:ascii="Arial" w:cs="Arial" w:eastAsia="Arial" w:hAnsi="Arial"/>
                <w:sz w:val="9"/>
                <w:szCs w:val="9"/>
                <w:color w:val="auto"/>
                <w:w w:val="87"/>
              </w:rPr>
              <w:t>$83.89</w:t>
            </w:r>
          </w:p>
        </w:tc>
        <w:tc>
          <w:tcPr>
            <w:tcW w:w="560" w:type="dxa"/>
            <w:vAlign w:val="bottom"/>
            <w:tcBorders>
              <w:bottom w:val="single" w:sz="8" w:color="auto"/>
            </w:tcBorders>
            <w:shd w:val="clear" w:color="auto" w:fill="CCEEFF"/>
          </w:tcPr>
          <w:p>
            <w:pPr>
              <w:spacing w:after="0" w:line="99" w:lineRule="exact"/>
              <w:rPr>
                <w:sz w:val="20"/>
                <w:szCs w:val="20"/>
                <w:color w:val="auto"/>
              </w:rPr>
            </w:pPr>
            <w:r>
              <w:rPr>
                <w:rFonts w:ascii="Arial" w:cs="Arial" w:eastAsia="Arial" w:hAnsi="Arial"/>
                <w:sz w:val="9"/>
                <w:szCs w:val="9"/>
                <w:color w:val="auto"/>
              </w:rPr>
              <w:t>- $110.78</w:t>
            </w:r>
          </w:p>
        </w:tc>
        <w:tc>
          <w:tcPr>
            <w:tcW w:w="5540" w:type="dxa"/>
            <w:vAlign w:val="bottom"/>
            <w:tcBorders>
              <w:bottom w:val="single" w:sz="8" w:color="auto"/>
            </w:tcBorders>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14,003</w:t>
            </w:r>
          </w:p>
        </w:tc>
        <w:tc>
          <w:tcPr>
            <w:tcW w:w="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8.02</w:t>
            </w: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line="99" w:lineRule="exact"/>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86.08</w:t>
            </w:r>
          </w:p>
        </w:tc>
        <w:tc>
          <w:tcPr>
            <w:tcW w:w="780" w:type="dxa"/>
            <w:vAlign w:val="bottom"/>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2,885</w:t>
            </w:r>
          </w:p>
        </w:tc>
        <w:tc>
          <w:tcPr>
            <w:tcW w:w="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4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89.48</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60" w:type="dxa"/>
            <w:vAlign w:val="bottom"/>
          </w:tcPr>
          <w:p>
            <w:pPr>
              <w:spacing w:after="0"/>
              <w:rPr>
                <w:sz w:val="8"/>
                <w:szCs w:val="8"/>
                <w:color w:val="auto"/>
              </w:rPr>
            </w:pPr>
          </w:p>
        </w:tc>
        <w:tc>
          <w:tcPr>
            <w:tcW w:w="500" w:type="dxa"/>
            <w:vAlign w:val="bottom"/>
            <w:tcBorders>
              <w:bottom w:val="single" w:sz="8" w:color="auto"/>
            </w:tcBorders>
            <w:gridSpan w:val="2"/>
          </w:tcPr>
          <w:p>
            <w:pPr>
              <w:jc w:val="right"/>
              <w:ind w:right="20"/>
              <w:spacing w:after="0" w:line="98" w:lineRule="exact"/>
              <w:rPr>
                <w:sz w:val="20"/>
                <w:szCs w:val="20"/>
                <w:color w:val="auto"/>
              </w:rPr>
            </w:pPr>
            <w:r>
              <w:rPr>
                <w:rFonts w:ascii="Arial" w:cs="Arial" w:eastAsia="Arial" w:hAnsi="Arial"/>
                <w:sz w:val="9"/>
                <w:szCs w:val="9"/>
                <w:color w:val="auto"/>
              </w:rPr>
              <w:t>40,027</w:t>
            </w:r>
          </w:p>
        </w:tc>
        <w:tc>
          <w:tcPr>
            <w:tcW w:w="760" w:type="dxa"/>
            <w:vAlign w:val="bottom"/>
          </w:tcPr>
          <w:p>
            <w:pPr>
              <w:spacing w:after="0"/>
              <w:rPr>
                <w:sz w:val="8"/>
                <w:szCs w:val="8"/>
                <w:color w:val="auto"/>
              </w:rPr>
            </w:pPr>
          </w:p>
        </w:tc>
        <w:tc>
          <w:tcPr>
            <w:tcW w:w="5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6.64</w:t>
            </w: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63.84</w:t>
            </w:r>
          </w:p>
        </w:tc>
        <w:tc>
          <w:tcPr>
            <w:tcW w:w="780" w:type="dxa"/>
            <w:vAlign w:val="bottom"/>
          </w:tcPr>
          <w:p>
            <w:pPr>
              <w:spacing w:after="0"/>
              <w:rPr>
                <w:sz w:val="8"/>
                <w:szCs w:val="8"/>
                <w:color w:val="auto"/>
              </w:rPr>
            </w:pPr>
          </w:p>
        </w:tc>
        <w:tc>
          <w:tcPr>
            <w:tcW w:w="4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16,886</w:t>
            </w: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55.49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The weighted average remaining contractual life of stock options exercisable as of December 31, 2011 was 4.7 years.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stock option activity during the years ended December 31, 2011, 2010 and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gridSpan w:val="6"/>
          </w:tcPr>
          <w:p>
            <w:pPr>
              <w:jc w:val="right"/>
              <w:ind w:right="60"/>
              <w:spacing w:after="0"/>
              <w:rPr>
                <w:sz w:val="20"/>
                <w:szCs w:val="20"/>
                <w:color w:val="auto"/>
              </w:rPr>
            </w:pPr>
            <w:r>
              <w:rPr>
                <w:rFonts w:ascii="Arial" w:cs="Arial" w:eastAsia="Arial" w:hAnsi="Arial"/>
                <w:sz w:val="9"/>
                <w:szCs w:val="9"/>
                <w:b w:val="1"/>
                <w:bCs w:val="1"/>
                <w:color w:val="auto"/>
                <w:w w:val="98"/>
              </w:rPr>
              <w:t>(Shares stated in thousands)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2011</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2010</w:t>
            </w:r>
          </w:p>
        </w:tc>
        <w:tc>
          <w:tcPr>
            <w:tcW w:w="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2009</w:t>
            </w: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gridSpan w:val="2"/>
          </w:tcPr>
          <w:p>
            <w:pPr>
              <w:jc w:val="right"/>
              <w:spacing w:after="0" w:line="79"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jc w:val="right"/>
              <w:spacing w:after="0" w:line="79" w:lineRule="exact"/>
              <w:rPr>
                <w:sz w:val="20"/>
                <w:szCs w:val="20"/>
                <w:color w:val="auto"/>
              </w:rPr>
            </w:pPr>
            <w:r>
              <w:rPr>
                <w:rFonts w:ascii="Arial" w:cs="Arial" w:eastAsia="Arial" w:hAnsi="Arial"/>
                <w:sz w:val="9"/>
                <w:szCs w:val="9"/>
                <w:b w:val="1"/>
                <w:bCs w:val="1"/>
                <w:color w:val="auto"/>
                <w:w w:val="91"/>
              </w:rPr>
              <w:t>Weighted-</w:t>
            </w: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gridSpan w:val="2"/>
          </w:tcPr>
          <w:p>
            <w:pPr>
              <w:ind w:left="100"/>
              <w:spacing w:after="0" w:line="79" w:lineRule="exact"/>
              <w:rPr>
                <w:sz w:val="20"/>
                <w:szCs w:val="20"/>
                <w:color w:val="auto"/>
              </w:rPr>
            </w:pPr>
            <w:r>
              <w:rPr>
                <w:rFonts w:ascii="Arial" w:cs="Arial" w:eastAsia="Arial" w:hAnsi="Arial"/>
                <w:sz w:val="9"/>
                <w:szCs w:val="9"/>
                <w:b w:val="1"/>
                <w:bCs w:val="1"/>
                <w:color w:val="auto"/>
                <w:w w:val="87"/>
              </w:rPr>
              <w:t>Weighted-</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2"/>
          </w:tcPr>
          <w:p>
            <w:pPr>
              <w:jc w:val="right"/>
              <w:ind w:right="400"/>
              <w:spacing w:after="0" w:line="99" w:lineRule="exact"/>
              <w:rPr>
                <w:sz w:val="20"/>
                <w:szCs w:val="20"/>
                <w:color w:val="auto"/>
              </w:rPr>
            </w:pPr>
            <w:r>
              <w:rPr>
                <w:rFonts w:ascii="Arial" w:cs="Arial" w:eastAsia="Arial" w:hAnsi="Arial"/>
                <w:sz w:val="9"/>
                <w:szCs w:val="9"/>
                <w:b w:val="1"/>
                <w:bCs w:val="1"/>
                <w:color w:val="auto"/>
                <w:w w:val="82"/>
              </w:rPr>
              <w:t>average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tcPr>
          <w:p>
            <w:pPr>
              <w:jc w:val="right"/>
              <w:ind w:right="380"/>
              <w:spacing w:after="0" w:line="99" w:lineRule="exact"/>
              <w:rPr>
                <w:sz w:val="20"/>
                <w:szCs w:val="20"/>
                <w:color w:val="auto"/>
              </w:rPr>
            </w:pPr>
            <w:r>
              <w:rPr>
                <w:rFonts w:ascii="Arial" w:cs="Arial" w:eastAsia="Arial" w:hAnsi="Arial"/>
                <w:sz w:val="9"/>
                <w:szCs w:val="9"/>
                <w:b w:val="1"/>
                <w:bCs w:val="1"/>
                <w:color w:val="auto"/>
              </w:rPr>
              <w:t>average</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w w:val="93"/>
              </w:rPr>
              <w:t>average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w w:val="77"/>
              </w:rPr>
              <w:t>exercise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exercise</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w w:val="88"/>
              </w:rPr>
              <w:t>exercise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w w:val="99"/>
              </w:rPr>
              <w:t>Shares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price</w:t>
            </w:r>
          </w:p>
        </w:tc>
        <w:tc>
          <w:tcPr>
            <w:tcW w:w="440" w:type="dxa"/>
            <w:vAlign w:val="bottom"/>
            <w:gridSpan w:val="2"/>
          </w:tcPr>
          <w:p>
            <w:pPr>
              <w:ind w:left="80"/>
              <w:spacing w:after="0"/>
              <w:rPr>
                <w:sz w:val="20"/>
                <w:szCs w:val="20"/>
                <w:color w:val="auto"/>
              </w:rPr>
            </w:pPr>
            <w:r>
              <w:rPr>
                <w:rFonts w:ascii="Arial" w:cs="Arial" w:eastAsia="Arial" w:hAnsi="Arial"/>
                <w:sz w:val="9"/>
                <w:szCs w:val="9"/>
                <w:b w:val="1"/>
                <w:bCs w:val="1"/>
                <w:color w:val="auto"/>
              </w:rPr>
              <w:t>Shares</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price</w:t>
            </w:r>
          </w:p>
        </w:tc>
        <w:tc>
          <w:tcPr>
            <w:tcW w:w="46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price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9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Outstanding at beginning of year</w:t>
            </w:r>
          </w:p>
        </w:tc>
        <w:tc>
          <w:tcPr>
            <w:tcW w:w="340" w:type="dxa"/>
            <w:vAlign w:val="bottom"/>
            <w:tcBorders>
              <w:top w:val="single" w:sz="8" w:color="auto"/>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37,499</w:t>
            </w:r>
          </w:p>
        </w:tc>
        <w:tc>
          <w:tcPr>
            <w:tcW w:w="4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55.33</w:t>
            </w:r>
          </w:p>
        </w:tc>
        <w:tc>
          <w:tcPr>
            <w:tcW w:w="4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ind w:left="80"/>
              <w:spacing w:after="0" w:line="88" w:lineRule="exact"/>
              <w:rPr>
                <w:sz w:val="20"/>
                <w:szCs w:val="20"/>
                <w:color w:val="auto"/>
              </w:rPr>
            </w:pPr>
            <w:r>
              <w:rPr>
                <w:rFonts w:ascii="Arial" w:cs="Arial" w:eastAsia="Arial" w:hAnsi="Arial"/>
                <w:sz w:val="9"/>
                <w:szCs w:val="9"/>
                <w:color w:val="auto"/>
                <w:w w:val="79"/>
              </w:rPr>
              <w:t>35,500</w:t>
            </w:r>
          </w:p>
        </w:tc>
        <w:tc>
          <w:tcPr>
            <w:tcW w:w="1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50.30</w:t>
            </w:r>
          </w:p>
        </w:tc>
        <w:tc>
          <w:tcPr>
            <w:tcW w:w="38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32,301</w:t>
            </w:r>
          </w:p>
        </w:tc>
        <w:tc>
          <w:tcPr>
            <w:tcW w:w="1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ind w:left="100"/>
              <w:spacing w:after="0" w:line="8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50.36</w:t>
            </w: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980" w:type="dxa"/>
            <w:vAlign w:val="bottom"/>
          </w:tcPr>
          <w:p>
            <w:pPr>
              <w:spacing w:after="0" w:line="99" w:lineRule="exact"/>
              <w:rPr>
                <w:sz w:val="20"/>
                <w:szCs w:val="20"/>
                <w:color w:val="auto"/>
              </w:rPr>
            </w:pPr>
            <w:r>
              <w:rPr>
                <w:rFonts w:ascii="Arial" w:cs="Arial" w:eastAsia="Arial" w:hAnsi="Arial"/>
                <w:sz w:val="9"/>
                <w:szCs w:val="9"/>
                <w:color w:val="auto"/>
              </w:rPr>
              <w:t>Granted</w:t>
            </w:r>
          </w:p>
        </w:tc>
        <w:tc>
          <w:tcPr>
            <w:tcW w:w="3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9,528</w:t>
            </w:r>
          </w:p>
        </w:tc>
        <w:tc>
          <w:tcPr>
            <w:tcW w:w="40" w:type="dxa"/>
            <w:vAlign w:val="bottom"/>
          </w:tcPr>
          <w:p>
            <w:pPr>
              <w:spacing w:after="0"/>
              <w:rPr>
                <w:sz w:val="8"/>
                <w:szCs w:val="8"/>
                <w:color w:val="auto"/>
              </w:rPr>
            </w:pPr>
          </w:p>
        </w:tc>
        <w:tc>
          <w:tcPr>
            <w:tcW w:w="50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700" w:type="dxa"/>
            <w:vAlign w:val="bottom"/>
            <w:gridSpan w:val="2"/>
          </w:tcPr>
          <w:p>
            <w:pPr>
              <w:jc w:val="right"/>
              <w:ind w:right="400"/>
              <w:spacing w:after="0" w:line="99" w:lineRule="exact"/>
              <w:rPr>
                <w:sz w:val="20"/>
                <w:szCs w:val="20"/>
                <w:color w:val="auto"/>
              </w:rPr>
            </w:pPr>
            <w:r>
              <w:rPr>
                <w:rFonts w:ascii="Arial" w:cs="Arial" w:eastAsia="Arial" w:hAnsi="Arial"/>
                <w:sz w:val="9"/>
                <w:szCs w:val="9"/>
                <w:b w:val="1"/>
                <w:bCs w:val="1"/>
                <w:color w:val="auto"/>
              </w:rPr>
              <w:t>84.29</w:t>
            </w:r>
          </w:p>
        </w:tc>
        <w:tc>
          <w:tcPr>
            <w:tcW w:w="4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8,283</w:t>
            </w:r>
          </w:p>
        </w:tc>
        <w:tc>
          <w:tcPr>
            <w:tcW w:w="36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420" w:type="dxa"/>
            <w:vAlign w:val="bottom"/>
          </w:tcPr>
          <w:p>
            <w:pPr>
              <w:jc w:val="right"/>
              <w:spacing w:after="0" w:line="99" w:lineRule="exact"/>
              <w:rPr>
                <w:sz w:val="20"/>
                <w:szCs w:val="20"/>
                <w:color w:val="auto"/>
              </w:rPr>
            </w:pPr>
            <w:r>
              <w:rPr>
                <w:rFonts w:ascii="Arial" w:cs="Arial" w:eastAsia="Arial" w:hAnsi="Arial"/>
                <w:sz w:val="9"/>
                <w:szCs w:val="9"/>
                <w:color w:val="auto"/>
              </w:rPr>
              <w:t>66.67</w:t>
            </w:r>
          </w:p>
        </w:tc>
        <w:tc>
          <w:tcPr>
            <w:tcW w:w="38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7,981</w:t>
            </w:r>
          </w:p>
        </w:tc>
        <w:tc>
          <w:tcPr>
            <w:tcW w:w="120" w:type="dxa"/>
            <w:vAlign w:val="bottom"/>
          </w:tcPr>
          <w:p>
            <w:pPr>
              <w:spacing w:after="0"/>
              <w:rPr>
                <w:sz w:val="8"/>
                <w:szCs w:val="8"/>
                <w:color w:val="auto"/>
              </w:rPr>
            </w:pPr>
          </w:p>
        </w:tc>
        <w:tc>
          <w:tcPr>
            <w:tcW w:w="440" w:type="dxa"/>
            <w:vAlign w:val="bottom"/>
            <w:gridSpan w:val="2"/>
          </w:tcPr>
          <w:p>
            <w:pPr>
              <w:ind w:left="380"/>
              <w:spacing w:after="0" w:line="99" w:lineRule="exact"/>
              <w:rPr>
                <w:sz w:val="20"/>
                <w:szCs w:val="20"/>
                <w:color w:val="auto"/>
              </w:rPr>
            </w:pPr>
            <w:r>
              <w:rPr>
                <w:rFonts w:ascii="Arial" w:cs="Arial" w:eastAsia="Arial" w:hAnsi="Arial"/>
                <w:sz w:val="9"/>
                <w:szCs w:val="9"/>
                <w:color w:val="auto"/>
                <w:w w:val="78"/>
              </w:rPr>
              <w:t>$</w:t>
            </w: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40.87</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Assumed in Smith transaction</w:t>
            </w: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b w:val="1"/>
                <w:bCs w:val="1"/>
                <w:color w:val="auto"/>
              </w:rPr>
              <w:t>–</w:t>
            </w:r>
          </w:p>
        </w:tc>
        <w:tc>
          <w:tcPr>
            <w:tcW w:w="50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700" w:type="dxa"/>
            <w:vAlign w:val="bottom"/>
            <w:gridSpan w:val="2"/>
            <w:shd w:val="clear" w:color="auto" w:fill="CCEEFF"/>
          </w:tcPr>
          <w:p>
            <w:pPr>
              <w:jc w:val="right"/>
              <w:ind w:right="400"/>
              <w:spacing w:after="0" w:line="99" w:lineRule="exact"/>
              <w:rPr>
                <w:sz w:val="20"/>
                <w:szCs w:val="20"/>
                <w:color w:val="auto"/>
              </w:rPr>
            </w:pPr>
            <w:r>
              <w:rPr>
                <w:rFonts w:ascii="Arial" w:cs="Arial" w:eastAsia="Arial" w:hAnsi="Arial"/>
                <w:sz w:val="9"/>
                <w:szCs w:val="9"/>
                <w:b w:val="1"/>
                <w:bCs w:val="1"/>
                <w:color w:val="auto"/>
              </w:rPr>
              <w:t>–</w:t>
            </w:r>
          </w:p>
        </w:tc>
        <w:tc>
          <w:tcPr>
            <w:tcW w:w="4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581</w:t>
            </w:r>
          </w:p>
        </w:tc>
        <w:tc>
          <w:tcPr>
            <w:tcW w:w="3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28.77</w:t>
            </w:r>
          </w:p>
        </w:tc>
        <w:tc>
          <w:tcPr>
            <w:tcW w:w="3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380"/>
              <w:spacing w:after="0" w:line="99" w:lineRule="exact"/>
              <w:rPr>
                <w:sz w:val="20"/>
                <w:szCs w:val="20"/>
                <w:color w:val="auto"/>
              </w:rPr>
            </w:pPr>
            <w:r>
              <w:rPr>
                <w:rFonts w:ascii="Arial" w:cs="Arial" w:eastAsia="Arial" w:hAnsi="Arial"/>
                <w:sz w:val="9"/>
                <w:szCs w:val="9"/>
                <w:color w:val="auto"/>
                <w:w w:val="78"/>
              </w:rPr>
              <w:t>$</w:t>
            </w:r>
          </w:p>
        </w:tc>
        <w:tc>
          <w:tcPr>
            <w:tcW w:w="4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7000" w:type="dxa"/>
            <w:vAlign w:val="bottom"/>
            <w:gridSpan w:val="2"/>
          </w:tcPr>
          <w:p>
            <w:pPr>
              <w:spacing w:after="0" w:line="99" w:lineRule="exact"/>
              <w:rPr>
                <w:sz w:val="20"/>
                <w:szCs w:val="20"/>
                <w:color w:val="auto"/>
              </w:rPr>
            </w:pPr>
            <w:r>
              <w:rPr>
                <w:rFonts w:ascii="Arial" w:cs="Arial" w:eastAsia="Arial" w:hAnsi="Arial"/>
                <w:sz w:val="9"/>
                <w:szCs w:val="9"/>
                <w:color w:val="auto"/>
              </w:rPr>
              <w:t>Exercised</w:t>
            </w:r>
          </w:p>
        </w:tc>
        <w:tc>
          <w:tcPr>
            <w:tcW w:w="380" w:type="dxa"/>
            <w:vAlign w:val="bottom"/>
            <w:gridSpan w:val="2"/>
          </w:tcPr>
          <w:p>
            <w:pPr>
              <w:jc w:val="right"/>
              <w:ind w:right="40"/>
              <w:spacing w:after="0" w:line="99" w:lineRule="exact"/>
              <w:rPr>
                <w:sz w:val="20"/>
                <w:szCs w:val="20"/>
                <w:color w:val="auto"/>
              </w:rPr>
            </w:pPr>
            <w:r>
              <w:rPr>
                <w:rFonts w:ascii="Arial" w:cs="Arial" w:eastAsia="Arial" w:hAnsi="Arial"/>
                <w:sz w:val="9"/>
                <w:szCs w:val="9"/>
                <w:b w:val="1"/>
                <w:bCs w:val="1"/>
                <w:color w:val="auto"/>
              </w:rPr>
              <w:t>(5,470)</w:t>
            </w:r>
          </w:p>
        </w:tc>
        <w:tc>
          <w:tcPr>
            <w:tcW w:w="50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700" w:type="dxa"/>
            <w:vAlign w:val="bottom"/>
            <w:gridSpan w:val="2"/>
          </w:tcPr>
          <w:p>
            <w:pPr>
              <w:jc w:val="right"/>
              <w:ind w:right="400"/>
              <w:spacing w:after="0" w:line="99" w:lineRule="exact"/>
              <w:rPr>
                <w:sz w:val="20"/>
                <w:szCs w:val="20"/>
                <w:color w:val="auto"/>
              </w:rPr>
            </w:pPr>
            <w:r>
              <w:rPr>
                <w:rFonts w:ascii="Arial" w:cs="Arial" w:eastAsia="Arial" w:hAnsi="Arial"/>
                <w:sz w:val="9"/>
                <w:szCs w:val="9"/>
                <w:b w:val="1"/>
                <w:bCs w:val="1"/>
                <w:color w:val="auto"/>
              </w:rPr>
              <w:t>42.36</w:t>
            </w:r>
          </w:p>
        </w:tc>
        <w:tc>
          <w:tcPr>
            <w:tcW w:w="4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(5,962)</w:t>
            </w:r>
          </w:p>
        </w:tc>
        <w:tc>
          <w:tcPr>
            <w:tcW w:w="36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420" w:type="dxa"/>
            <w:vAlign w:val="bottom"/>
          </w:tcPr>
          <w:p>
            <w:pPr>
              <w:jc w:val="right"/>
              <w:spacing w:after="0" w:line="99" w:lineRule="exact"/>
              <w:rPr>
                <w:sz w:val="20"/>
                <w:szCs w:val="20"/>
                <w:color w:val="auto"/>
              </w:rPr>
            </w:pPr>
            <w:r>
              <w:rPr>
                <w:rFonts w:ascii="Arial" w:cs="Arial" w:eastAsia="Arial" w:hAnsi="Arial"/>
                <w:sz w:val="9"/>
                <w:szCs w:val="9"/>
                <w:color w:val="auto"/>
              </w:rPr>
              <w:t>37.60</w:t>
            </w:r>
          </w:p>
        </w:tc>
        <w:tc>
          <w:tcPr>
            <w:tcW w:w="38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(3,851)</w:t>
            </w:r>
          </w:p>
        </w:tc>
        <w:tc>
          <w:tcPr>
            <w:tcW w:w="440" w:type="dxa"/>
            <w:vAlign w:val="bottom"/>
            <w:gridSpan w:val="2"/>
          </w:tcPr>
          <w:p>
            <w:pPr>
              <w:ind w:left="380"/>
              <w:spacing w:after="0" w:line="99" w:lineRule="exact"/>
              <w:rPr>
                <w:sz w:val="20"/>
                <w:szCs w:val="20"/>
                <w:color w:val="auto"/>
              </w:rPr>
            </w:pPr>
            <w:r>
              <w:rPr>
                <w:rFonts w:ascii="Arial" w:cs="Arial" w:eastAsia="Arial" w:hAnsi="Arial"/>
                <w:sz w:val="9"/>
                <w:szCs w:val="9"/>
                <w:color w:val="auto"/>
                <w:w w:val="78"/>
              </w:rPr>
              <w:t>$</w:t>
            </w: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29.00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Forfeited</w:t>
            </w:r>
          </w:p>
        </w:tc>
        <w:tc>
          <w:tcPr>
            <w:tcW w:w="3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b w:val="1"/>
                <w:bCs w:val="1"/>
                <w:color w:val="auto"/>
              </w:rPr>
              <w:t>(1,530)</w:t>
            </w: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700" w:type="dxa"/>
            <w:vAlign w:val="bottom"/>
            <w:gridSpan w:val="2"/>
            <w:shd w:val="clear" w:color="auto" w:fill="CCEEFF"/>
          </w:tcPr>
          <w:p>
            <w:pPr>
              <w:jc w:val="right"/>
              <w:ind w:right="400"/>
              <w:spacing w:after="0" w:line="99" w:lineRule="exact"/>
              <w:rPr>
                <w:sz w:val="20"/>
                <w:szCs w:val="20"/>
                <w:color w:val="auto"/>
              </w:rPr>
            </w:pPr>
            <w:r>
              <w:rPr>
                <w:rFonts w:ascii="Arial" w:cs="Arial" w:eastAsia="Arial" w:hAnsi="Arial"/>
                <w:sz w:val="9"/>
                <w:szCs w:val="9"/>
                <w:b w:val="1"/>
                <w:bCs w:val="1"/>
                <w:color w:val="auto"/>
              </w:rPr>
              <w:t>58.82</w:t>
            </w:r>
          </w:p>
        </w:tc>
        <w:tc>
          <w:tcPr>
            <w:tcW w:w="4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(903)</w:t>
            </w:r>
          </w:p>
        </w:tc>
        <w:tc>
          <w:tcPr>
            <w:tcW w:w="3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61.28</w:t>
            </w:r>
          </w:p>
        </w:tc>
        <w:tc>
          <w:tcPr>
            <w:tcW w:w="3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(931)</w:t>
            </w:r>
          </w:p>
        </w:tc>
        <w:tc>
          <w:tcPr>
            <w:tcW w:w="440" w:type="dxa"/>
            <w:vAlign w:val="bottom"/>
            <w:gridSpan w:val="2"/>
            <w:shd w:val="clear" w:color="auto" w:fill="CCEEFF"/>
          </w:tcPr>
          <w:p>
            <w:pPr>
              <w:ind w:left="380"/>
              <w:spacing w:after="0" w:line="99" w:lineRule="exact"/>
              <w:rPr>
                <w:sz w:val="20"/>
                <w:szCs w:val="20"/>
                <w:color w:val="auto"/>
              </w:rPr>
            </w:pPr>
            <w:r>
              <w:rPr>
                <w:rFonts w:ascii="Arial" w:cs="Arial" w:eastAsia="Arial" w:hAnsi="Arial"/>
                <w:sz w:val="9"/>
                <w:szCs w:val="9"/>
                <w:color w:val="auto"/>
                <w:w w:val="78"/>
              </w:rPr>
              <w:t>$</w:t>
            </w: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58.82</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b w:val="1"/>
                <w:bCs w:val="1"/>
                <w:color w:val="auto"/>
              </w:rPr>
              <w:t>$</w:t>
            </w:r>
          </w:p>
        </w:tc>
        <w:tc>
          <w:tcPr>
            <w:tcW w:w="700" w:type="dxa"/>
            <w:vAlign w:val="bottom"/>
            <w:gridSpan w:val="2"/>
            <w:vMerge w:val="restart"/>
          </w:tcPr>
          <w:p>
            <w:pPr>
              <w:jc w:val="right"/>
              <w:ind w:right="400"/>
              <w:spacing w:after="0"/>
              <w:rPr>
                <w:sz w:val="20"/>
                <w:szCs w:val="20"/>
                <w:color w:val="auto"/>
              </w:rPr>
            </w:pPr>
            <w:r>
              <w:rPr>
                <w:rFonts w:ascii="Arial" w:cs="Arial" w:eastAsia="Arial" w:hAnsi="Arial"/>
                <w:sz w:val="9"/>
                <w:szCs w:val="9"/>
                <w:b w:val="1"/>
                <w:bCs w:val="1"/>
                <w:color w:val="auto"/>
              </w:rPr>
              <w:t>63.84</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37,499</w:t>
            </w:r>
          </w:p>
        </w:tc>
        <w:tc>
          <w:tcPr>
            <w:tcW w:w="36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55.33</w:t>
            </w:r>
          </w:p>
        </w:tc>
        <w:tc>
          <w:tcPr>
            <w:tcW w:w="38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35,500</w:t>
            </w:r>
          </w:p>
        </w:tc>
        <w:tc>
          <w:tcPr>
            <w:tcW w:w="120" w:type="dxa"/>
            <w:vAlign w:val="bottom"/>
          </w:tcPr>
          <w:p>
            <w:pPr>
              <w:spacing w:after="0" w:line="20" w:lineRule="exact"/>
              <w:rPr>
                <w:sz w:val="1"/>
                <w:szCs w:val="1"/>
                <w:color w:val="auto"/>
              </w:rPr>
            </w:pPr>
          </w:p>
        </w:tc>
        <w:tc>
          <w:tcPr>
            <w:tcW w:w="440" w:type="dxa"/>
            <w:vAlign w:val="bottom"/>
            <w:gridSpan w:val="2"/>
            <w:vMerge w:val="restart"/>
          </w:tcPr>
          <w:p>
            <w:pPr>
              <w:ind w:left="380"/>
              <w:spacing w:after="0"/>
              <w:rPr>
                <w:sz w:val="20"/>
                <w:szCs w:val="20"/>
                <w:color w:val="auto"/>
              </w:rPr>
            </w:pPr>
            <w:r>
              <w:rPr>
                <w:rFonts w:ascii="Arial" w:cs="Arial" w:eastAsia="Arial" w:hAnsi="Arial"/>
                <w:sz w:val="9"/>
                <w:szCs w:val="9"/>
                <w:color w:val="auto"/>
                <w:w w:val="78"/>
              </w:rPr>
              <w:t>$</w:t>
            </w: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50.30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6980" w:type="dxa"/>
            <w:vAlign w:val="bottom"/>
            <w:tcBorders>
              <w:top w:val="single" w:sz="8" w:color="auto"/>
            </w:tcBorders>
          </w:tcPr>
          <w:p>
            <w:pPr>
              <w:spacing w:after="0" w:line="75" w:lineRule="exact"/>
              <w:rPr>
                <w:sz w:val="20"/>
                <w:szCs w:val="20"/>
                <w:color w:val="auto"/>
              </w:rPr>
            </w:pPr>
            <w:r>
              <w:rPr>
                <w:rFonts w:ascii="Arial" w:cs="Arial" w:eastAsia="Arial" w:hAnsi="Arial"/>
                <w:sz w:val="8"/>
                <w:szCs w:val="8"/>
                <w:color w:val="auto"/>
              </w:rPr>
              <w:t>Outstanding at year-end</w:t>
            </w:r>
          </w:p>
        </w:tc>
        <w:tc>
          <w:tcPr>
            <w:tcW w:w="340" w:type="dxa"/>
            <w:vAlign w:val="bottom"/>
            <w:tcBorders>
              <w:top w:val="single" w:sz="8" w:color="auto"/>
            </w:tcBorders>
          </w:tcPr>
          <w:p>
            <w:pPr>
              <w:jc w:val="right"/>
              <w:spacing w:after="0" w:line="75" w:lineRule="exact"/>
              <w:rPr>
                <w:sz w:val="20"/>
                <w:szCs w:val="20"/>
                <w:color w:val="auto"/>
              </w:rPr>
            </w:pPr>
            <w:r>
              <w:rPr>
                <w:rFonts w:ascii="Arial" w:cs="Arial" w:eastAsia="Arial" w:hAnsi="Arial"/>
                <w:sz w:val="8"/>
                <w:szCs w:val="8"/>
                <w:b w:val="1"/>
                <w:bCs w:val="1"/>
                <w:color w:val="auto"/>
              </w:rPr>
              <w:t>40,027</w:t>
            </w:r>
          </w:p>
        </w:tc>
        <w:tc>
          <w:tcPr>
            <w:tcW w:w="40" w:type="dxa"/>
            <w:vAlign w:val="bottom"/>
            <w:tcBorders>
              <w:top w:val="single" w:sz="8" w:color="auto"/>
            </w:tcBorders>
          </w:tcPr>
          <w:p>
            <w:pPr>
              <w:spacing w:after="0"/>
              <w:rPr>
                <w:sz w:val="6"/>
                <w:szCs w:val="6"/>
                <w:color w:val="auto"/>
              </w:rPr>
            </w:pPr>
          </w:p>
        </w:tc>
        <w:tc>
          <w:tcPr>
            <w:tcW w:w="3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aggregate intrinsic value of stock options outstanding as of December 31, 2011 was approximately $428 million.</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aggregate intrinsic value of stock options exercisable as of December 31, 2011 was approximately $278 million.</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total intrinsic value of options exercised during the years ended December 31, 2011, 2010 and 2009, was $246 million, $188 million and $103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Stock</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Restricted stock awards generally vest at the end of three years. There have not been any grants to date that are subject to performance-based vesting.</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summarizes information about restricted stock transactions: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3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40" w:type="dxa"/>
            <w:vAlign w:val="bottom"/>
            <w:gridSpan w:val="6"/>
          </w:tcPr>
          <w:p>
            <w:pPr>
              <w:jc w:val="right"/>
              <w:ind w:right="60"/>
              <w:spacing w:after="0"/>
              <w:rPr>
                <w:sz w:val="20"/>
                <w:szCs w:val="20"/>
                <w:color w:val="auto"/>
              </w:rPr>
            </w:pPr>
            <w:r>
              <w:rPr>
                <w:rFonts w:ascii="Arial" w:cs="Arial" w:eastAsia="Arial" w:hAnsi="Arial"/>
                <w:sz w:val="9"/>
                <w:szCs w:val="9"/>
                <w:b w:val="1"/>
                <w:bCs w:val="1"/>
                <w:color w:val="auto"/>
              </w:rPr>
              <w:t>(Shares stated in thousands)</w:t>
            </w:r>
          </w:p>
        </w:tc>
      </w:tr>
      <w:tr>
        <w:trPr>
          <w:trHeight w:val="199"/>
        </w:trPr>
        <w:tc>
          <w:tcPr>
            <w:tcW w:w="3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9"/>
                <w:szCs w:val="9"/>
                <w:b w:val="1"/>
                <w:bCs w:val="1"/>
                <w:color w:val="auto"/>
              </w:rPr>
              <w:t>2011</w:t>
            </w: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9"/>
                <w:szCs w:val="9"/>
                <w:b w:val="1"/>
                <w:bCs w:val="1"/>
                <w:color w:val="auto"/>
              </w:rPr>
              <w:t>2010</w:t>
            </w: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9"/>
                <w:szCs w:val="9"/>
                <w:b w:val="1"/>
                <w:bCs w:val="1"/>
                <w:color w:val="auto"/>
              </w:rPr>
              <w:t>2009</w:t>
            </w: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79"/>
        </w:trPr>
        <w:tc>
          <w:tcPr>
            <w:tcW w:w="338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gridSpan w:val="2"/>
          </w:tcPr>
          <w:p>
            <w:pPr>
              <w:jc w:val="right"/>
              <w:spacing w:after="0" w:line="79" w:lineRule="exact"/>
              <w:rPr>
                <w:sz w:val="20"/>
                <w:szCs w:val="20"/>
                <w:color w:val="auto"/>
              </w:rPr>
            </w:pPr>
            <w:r>
              <w:rPr>
                <w:rFonts w:ascii="Arial" w:cs="Arial" w:eastAsia="Arial" w:hAnsi="Arial"/>
                <w:sz w:val="9"/>
                <w:szCs w:val="9"/>
                <w:b w:val="1"/>
                <w:bCs w:val="1"/>
                <w:color w:val="auto"/>
              </w:rPr>
              <w:t>Weighted</w:t>
            </w: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gridSpan w:val="2"/>
          </w:tcPr>
          <w:p>
            <w:pPr>
              <w:jc w:val="right"/>
              <w:spacing w:after="0" w:line="79" w:lineRule="exact"/>
              <w:rPr>
                <w:sz w:val="20"/>
                <w:szCs w:val="20"/>
                <w:color w:val="auto"/>
              </w:rPr>
            </w:pPr>
            <w:r>
              <w:rPr>
                <w:rFonts w:ascii="Arial" w:cs="Arial" w:eastAsia="Arial" w:hAnsi="Arial"/>
                <w:sz w:val="9"/>
                <w:szCs w:val="9"/>
                <w:b w:val="1"/>
                <w:bCs w:val="1"/>
                <w:color w:val="auto"/>
              </w:rPr>
              <w:t>Weighted</w:t>
            </w: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gridSpan w:val="2"/>
          </w:tcPr>
          <w:p>
            <w:pPr>
              <w:jc w:val="right"/>
              <w:spacing w:after="0" w:line="79" w:lineRule="exact"/>
              <w:rPr>
                <w:sz w:val="20"/>
                <w:szCs w:val="20"/>
                <w:color w:val="auto"/>
              </w:rPr>
            </w:pPr>
            <w:r>
              <w:rPr>
                <w:rFonts w:ascii="Arial" w:cs="Arial" w:eastAsia="Arial" w:hAnsi="Arial"/>
                <w:sz w:val="9"/>
                <w:szCs w:val="9"/>
                <w:b w:val="1"/>
                <w:bCs w:val="1"/>
                <w:color w:val="auto"/>
              </w:rPr>
              <w:t>Weighted</w:t>
            </w:r>
          </w:p>
        </w:tc>
        <w:tc>
          <w:tcPr>
            <w:tcW w:w="60" w:type="dxa"/>
            <w:vAlign w:val="bottom"/>
          </w:tcPr>
          <w:p>
            <w:pPr>
              <w:spacing w:after="0"/>
              <w:rPr>
                <w:sz w:val="6"/>
                <w:szCs w:val="6"/>
                <w:color w:val="auto"/>
              </w:rPr>
            </w:pPr>
          </w:p>
        </w:tc>
      </w:tr>
      <w:tr>
        <w:trPr>
          <w:trHeight w:val="99"/>
        </w:trPr>
        <w:tc>
          <w:tcPr>
            <w:tcW w:w="3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3"/>
          </w:tcPr>
          <w:p>
            <w:pPr>
              <w:jc w:val="right"/>
              <w:ind w:right="500"/>
              <w:spacing w:after="0" w:line="99" w:lineRule="exact"/>
              <w:rPr>
                <w:sz w:val="20"/>
                <w:szCs w:val="20"/>
                <w:color w:val="auto"/>
              </w:rPr>
            </w:pPr>
            <w:r>
              <w:rPr>
                <w:rFonts w:ascii="Arial" w:cs="Arial" w:eastAsia="Arial" w:hAnsi="Arial"/>
                <w:sz w:val="9"/>
                <w:szCs w:val="9"/>
                <w:b w:val="1"/>
                <w:bCs w:val="1"/>
                <w:color w:val="auto"/>
              </w:rPr>
              <w:t>Average</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right"/>
              <w:ind w:right="500"/>
              <w:spacing w:after="0" w:line="99" w:lineRule="exact"/>
              <w:rPr>
                <w:sz w:val="20"/>
                <w:szCs w:val="20"/>
                <w:color w:val="auto"/>
              </w:rPr>
            </w:pPr>
            <w:r>
              <w:rPr>
                <w:rFonts w:ascii="Arial" w:cs="Arial" w:eastAsia="Arial" w:hAnsi="Arial"/>
                <w:sz w:val="9"/>
                <w:szCs w:val="9"/>
                <w:b w:val="1"/>
                <w:bCs w:val="1"/>
                <w:color w:val="auto"/>
                <w:w w:val="84"/>
              </w:rPr>
              <w:t>Average</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w w:val="84"/>
              </w:rPr>
              <w:t>Average</w:t>
            </w:r>
          </w:p>
        </w:tc>
      </w:tr>
      <w:tr>
        <w:trPr>
          <w:trHeight w:val="116"/>
        </w:trPr>
        <w:tc>
          <w:tcPr>
            <w:tcW w:w="33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w w:val="86"/>
              </w:rPr>
              <w:t>Restricted</w:t>
            </w:r>
          </w:p>
        </w:tc>
        <w:tc>
          <w:tcPr>
            <w:tcW w:w="460" w:type="dxa"/>
            <w:vAlign w:val="bottom"/>
          </w:tcPr>
          <w:p>
            <w:pPr>
              <w:spacing w:after="0"/>
              <w:rPr>
                <w:sz w:val="10"/>
                <w:szCs w:val="10"/>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9"/>
                <w:szCs w:val="9"/>
                <w:b w:val="1"/>
                <w:bCs w:val="1"/>
                <w:color w:val="auto"/>
                <w:w w:val="91"/>
              </w:rPr>
              <w:t>Grant Date</w:t>
            </w:r>
          </w:p>
        </w:tc>
        <w:tc>
          <w:tcPr>
            <w:tcW w:w="52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86"/>
              </w:rPr>
              <w:t>Restricted</w:t>
            </w:r>
          </w:p>
        </w:tc>
        <w:tc>
          <w:tcPr>
            <w:tcW w:w="400" w:type="dxa"/>
            <w:vAlign w:val="bottom"/>
          </w:tcPr>
          <w:p>
            <w:pPr>
              <w:spacing w:after="0"/>
              <w:rPr>
                <w:sz w:val="10"/>
                <w:szCs w:val="10"/>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9"/>
                <w:szCs w:val="9"/>
                <w:b w:val="1"/>
                <w:bCs w:val="1"/>
                <w:color w:val="auto"/>
                <w:w w:val="95"/>
              </w:rPr>
              <w:t>Grant Date</w:t>
            </w:r>
          </w:p>
        </w:tc>
        <w:tc>
          <w:tcPr>
            <w:tcW w:w="52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86"/>
              </w:rPr>
              <w:t>Restricted</w:t>
            </w:r>
          </w:p>
        </w:tc>
        <w:tc>
          <w:tcPr>
            <w:tcW w:w="400" w:type="dxa"/>
            <w:vAlign w:val="bottom"/>
          </w:tcPr>
          <w:p>
            <w:pPr>
              <w:spacing w:after="0"/>
              <w:rPr>
                <w:sz w:val="10"/>
                <w:szCs w:val="10"/>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w w:val="95"/>
              </w:rPr>
              <w:t>Grant Date</w:t>
            </w:r>
          </w:p>
        </w:tc>
      </w:tr>
      <w:tr>
        <w:trPr>
          <w:trHeight w:val="154"/>
        </w:trPr>
        <w:tc>
          <w:tcPr>
            <w:tcW w:w="33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Stock</w:t>
            </w:r>
          </w:p>
        </w:tc>
        <w:tc>
          <w:tcPr>
            <w:tcW w:w="460" w:type="dxa"/>
            <w:vAlign w:val="bottom"/>
          </w:tcPr>
          <w:p>
            <w:pPr>
              <w:spacing w:after="0"/>
              <w:rPr>
                <w:sz w:val="13"/>
                <w:szCs w:val="13"/>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9"/>
                <w:szCs w:val="9"/>
                <w:b w:val="1"/>
                <w:bCs w:val="1"/>
                <w:color w:val="auto"/>
                <w:w w:val="97"/>
              </w:rPr>
              <w:t>Fair Value</w:t>
            </w:r>
          </w:p>
        </w:tc>
        <w:tc>
          <w:tcPr>
            <w:tcW w:w="520" w:type="dxa"/>
            <w:vAlign w:val="bottom"/>
            <w:gridSpan w:val="2"/>
          </w:tcPr>
          <w:p>
            <w:pPr>
              <w:jc w:val="center"/>
              <w:ind w:left="36"/>
              <w:spacing w:after="0"/>
              <w:rPr>
                <w:sz w:val="20"/>
                <w:szCs w:val="20"/>
                <w:color w:val="auto"/>
              </w:rPr>
            </w:pPr>
            <w:r>
              <w:rPr>
                <w:rFonts w:ascii="Arial" w:cs="Arial" w:eastAsia="Arial" w:hAnsi="Arial"/>
                <w:sz w:val="9"/>
                <w:szCs w:val="9"/>
                <w:b w:val="1"/>
                <w:bCs w:val="1"/>
                <w:color w:val="auto"/>
                <w:w w:val="81"/>
              </w:rPr>
              <w:t>Stock</w:t>
            </w:r>
          </w:p>
        </w:tc>
        <w:tc>
          <w:tcPr>
            <w:tcW w:w="400" w:type="dxa"/>
            <w:vAlign w:val="bottom"/>
          </w:tcPr>
          <w:p>
            <w:pPr>
              <w:spacing w:after="0"/>
              <w:rPr>
                <w:sz w:val="13"/>
                <w:szCs w:val="13"/>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9"/>
                <w:szCs w:val="9"/>
                <w:b w:val="1"/>
                <w:bCs w:val="1"/>
                <w:color w:val="auto"/>
              </w:rPr>
              <w:t>Fair Value</w:t>
            </w:r>
          </w:p>
        </w:tc>
        <w:tc>
          <w:tcPr>
            <w:tcW w:w="52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Stock</w:t>
            </w:r>
          </w:p>
        </w:tc>
        <w:tc>
          <w:tcPr>
            <w:tcW w:w="40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rPr>
              <w:t>Fair Value</w:t>
            </w:r>
          </w:p>
        </w:tc>
      </w:tr>
      <w:tr>
        <w:trPr>
          <w:trHeight w:val="88"/>
        </w:trPr>
        <w:tc>
          <w:tcPr>
            <w:tcW w:w="33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Unvested at beginning of year</w:t>
            </w:r>
          </w:p>
        </w:tc>
        <w:tc>
          <w:tcPr>
            <w:tcW w:w="29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2,223</w:t>
            </w: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w:t>
            </w:r>
          </w:p>
        </w:tc>
        <w:tc>
          <w:tcPr>
            <w:tcW w:w="2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64.27</w:t>
            </w:r>
          </w:p>
        </w:tc>
        <w:tc>
          <w:tcPr>
            <w:tcW w:w="5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jc w:val="center"/>
              <w:ind w:left="156"/>
              <w:spacing w:after="0" w:line="88" w:lineRule="exact"/>
              <w:rPr>
                <w:sz w:val="20"/>
                <w:szCs w:val="20"/>
                <w:color w:val="auto"/>
              </w:rPr>
            </w:pPr>
            <w:r>
              <w:rPr>
                <w:rFonts w:ascii="Arial" w:cs="Arial" w:eastAsia="Arial" w:hAnsi="Arial"/>
                <w:sz w:val="9"/>
                <w:szCs w:val="9"/>
                <w:color w:val="auto"/>
                <w:w w:val="88"/>
              </w:rPr>
              <w:t>1,343</w:t>
            </w: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62.75</w:t>
            </w:r>
          </w:p>
        </w:tc>
        <w:tc>
          <w:tcPr>
            <w:tcW w:w="5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1,701</w:t>
            </w: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66.49</w:t>
            </w:r>
          </w:p>
        </w:tc>
        <w:tc>
          <w:tcPr>
            <w:tcW w:w="60" w:type="dxa"/>
            <w:vAlign w:val="bottom"/>
            <w:tcBorders>
              <w:top w:val="single" w:sz="8" w:color="CCEEFF"/>
            </w:tcBorders>
            <w:shd w:val="clear" w:color="auto" w:fill="CCEEFF"/>
          </w:tcPr>
          <w:p>
            <w:pPr>
              <w:spacing w:after="0"/>
              <w:rPr>
                <w:sz w:val="7"/>
                <w:szCs w:val="7"/>
                <w:color w:val="auto"/>
              </w:rPr>
            </w:pPr>
          </w:p>
        </w:tc>
      </w:tr>
      <w:tr>
        <w:trPr>
          <w:trHeight w:val="99"/>
        </w:trPr>
        <w:tc>
          <w:tcPr>
            <w:tcW w:w="3380" w:type="dxa"/>
            <w:vAlign w:val="bottom"/>
          </w:tcPr>
          <w:p>
            <w:pPr>
              <w:spacing w:after="0" w:line="99" w:lineRule="exact"/>
              <w:rPr>
                <w:sz w:val="20"/>
                <w:szCs w:val="20"/>
                <w:color w:val="auto"/>
              </w:rPr>
            </w:pPr>
            <w:r>
              <w:rPr>
                <w:rFonts w:ascii="Arial" w:cs="Arial" w:eastAsia="Arial" w:hAnsi="Arial"/>
                <w:sz w:val="9"/>
                <w:szCs w:val="9"/>
                <w:color w:val="auto"/>
              </w:rPr>
              <w:t>Granted</w:t>
            </w:r>
          </w:p>
        </w:tc>
        <w:tc>
          <w:tcPr>
            <w:tcW w:w="332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1,136</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gridSpan w:val="2"/>
          </w:tcPr>
          <w:p>
            <w:pPr>
              <w:jc w:val="right"/>
              <w:ind w:right="500"/>
              <w:spacing w:after="0" w:line="99" w:lineRule="exact"/>
              <w:rPr>
                <w:sz w:val="20"/>
                <w:szCs w:val="20"/>
                <w:color w:val="auto"/>
              </w:rPr>
            </w:pPr>
            <w:r>
              <w:rPr>
                <w:rFonts w:ascii="Arial" w:cs="Arial" w:eastAsia="Arial" w:hAnsi="Arial"/>
                <w:sz w:val="9"/>
                <w:szCs w:val="9"/>
                <w:b w:val="1"/>
                <w:bCs w:val="1"/>
                <w:color w:val="auto"/>
              </w:rPr>
              <w:t>84.61</w:t>
            </w:r>
          </w:p>
        </w:tc>
        <w:tc>
          <w:tcPr>
            <w:tcW w:w="400" w:type="dxa"/>
            <w:vAlign w:val="bottom"/>
          </w:tcPr>
          <w:p>
            <w:pPr>
              <w:jc w:val="center"/>
              <w:ind w:left="156"/>
              <w:spacing w:after="0" w:line="99" w:lineRule="exact"/>
              <w:rPr>
                <w:sz w:val="20"/>
                <w:szCs w:val="20"/>
                <w:color w:val="auto"/>
              </w:rPr>
            </w:pPr>
            <w:r>
              <w:rPr>
                <w:rFonts w:ascii="Arial" w:cs="Arial" w:eastAsia="Arial" w:hAnsi="Arial"/>
                <w:sz w:val="9"/>
                <w:szCs w:val="9"/>
                <w:color w:val="auto"/>
                <w:w w:val="88"/>
              </w:rPr>
              <w:t>1,261</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9"/>
                <w:szCs w:val="9"/>
                <w:color w:val="auto"/>
              </w:rPr>
              <w:t>65.79</w:t>
            </w:r>
          </w:p>
        </w:tc>
        <w:tc>
          <w:tcPr>
            <w:tcW w:w="500" w:type="dxa"/>
            <w:vAlign w:val="bottom"/>
          </w:tcPr>
          <w:p>
            <w:pPr>
              <w:spacing w:after="0"/>
              <w:rPr>
                <w:sz w:val="8"/>
                <w:szCs w:val="8"/>
                <w:color w:val="auto"/>
              </w:rPr>
            </w:pPr>
          </w:p>
        </w:tc>
        <w:tc>
          <w:tcPr>
            <w:tcW w:w="52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304</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48.14</w:t>
            </w:r>
          </w:p>
        </w:tc>
      </w:tr>
      <w:tr>
        <w:trPr>
          <w:trHeight w:val="99"/>
        </w:trPr>
        <w:tc>
          <w:tcPr>
            <w:tcW w:w="33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Vested</w:t>
            </w:r>
          </w:p>
        </w:tc>
        <w:tc>
          <w:tcPr>
            <w:tcW w:w="3380" w:type="dxa"/>
            <w:vAlign w:val="bottom"/>
            <w:gridSpan w:val="3"/>
            <w:shd w:val="clear" w:color="auto" w:fill="CCEEFF"/>
          </w:tcPr>
          <w:p>
            <w:pPr>
              <w:jc w:val="right"/>
              <w:ind w:right="20"/>
              <w:spacing w:after="0" w:line="99" w:lineRule="exact"/>
              <w:rPr>
                <w:sz w:val="20"/>
                <w:szCs w:val="20"/>
                <w:color w:val="auto"/>
              </w:rPr>
            </w:pPr>
            <w:r>
              <w:rPr>
                <w:rFonts w:ascii="Arial" w:cs="Arial" w:eastAsia="Arial" w:hAnsi="Arial"/>
                <w:sz w:val="9"/>
                <w:szCs w:val="9"/>
                <w:b w:val="1"/>
                <w:bCs w:val="1"/>
                <w:color w:val="auto"/>
              </w:rPr>
              <w:t>(767)</w:t>
            </w: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500"/>
              <w:spacing w:after="0" w:line="99" w:lineRule="exact"/>
              <w:rPr>
                <w:sz w:val="20"/>
                <w:szCs w:val="20"/>
                <w:color w:val="auto"/>
              </w:rPr>
            </w:pPr>
            <w:r>
              <w:rPr>
                <w:rFonts w:ascii="Arial" w:cs="Arial" w:eastAsia="Arial" w:hAnsi="Arial"/>
                <w:sz w:val="9"/>
                <w:szCs w:val="9"/>
                <w:b w:val="1"/>
                <w:bCs w:val="1"/>
                <w:color w:val="auto"/>
              </w:rPr>
              <w:t>67.36</w:t>
            </w: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(286)</w:t>
            </w: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63.92</w:t>
            </w:r>
          </w:p>
        </w:tc>
        <w:tc>
          <w:tcPr>
            <w:tcW w:w="5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(580)</w:t>
            </w: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65.15</w:t>
            </w:r>
          </w:p>
        </w:tc>
      </w:tr>
      <w:tr>
        <w:trPr>
          <w:trHeight w:val="99"/>
        </w:trPr>
        <w:tc>
          <w:tcPr>
            <w:tcW w:w="3380" w:type="dxa"/>
            <w:vAlign w:val="bottom"/>
          </w:tcPr>
          <w:p>
            <w:pPr>
              <w:spacing w:after="0" w:line="99" w:lineRule="exact"/>
              <w:rPr>
                <w:sz w:val="20"/>
                <w:szCs w:val="20"/>
                <w:color w:val="auto"/>
              </w:rPr>
            </w:pPr>
            <w:r>
              <w:rPr>
                <w:rFonts w:ascii="Arial" w:cs="Arial" w:eastAsia="Arial" w:hAnsi="Arial"/>
                <w:sz w:val="9"/>
                <w:szCs w:val="9"/>
                <w:color w:val="auto"/>
              </w:rPr>
              <w:t>Forfeited</w:t>
            </w:r>
          </w:p>
        </w:tc>
        <w:tc>
          <w:tcPr>
            <w:tcW w:w="3380" w:type="dxa"/>
            <w:vAlign w:val="bottom"/>
            <w:gridSpan w:val="3"/>
          </w:tcPr>
          <w:p>
            <w:pPr>
              <w:jc w:val="right"/>
              <w:ind w:right="20"/>
              <w:spacing w:after="0" w:line="99" w:lineRule="exact"/>
              <w:rPr>
                <w:sz w:val="20"/>
                <w:szCs w:val="20"/>
                <w:color w:val="auto"/>
              </w:rPr>
            </w:pPr>
            <w:r>
              <w:rPr>
                <w:rFonts w:ascii="Arial" w:cs="Arial" w:eastAsia="Arial" w:hAnsi="Arial"/>
                <w:sz w:val="9"/>
                <w:szCs w:val="9"/>
                <w:b w:val="1"/>
                <w:bCs w:val="1"/>
                <w:color w:val="auto"/>
              </w:rPr>
              <w:t>(159)</w:t>
            </w: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gridSpan w:val="2"/>
          </w:tcPr>
          <w:p>
            <w:pPr>
              <w:jc w:val="right"/>
              <w:ind w:right="500"/>
              <w:spacing w:after="0" w:line="99" w:lineRule="exact"/>
              <w:rPr>
                <w:sz w:val="20"/>
                <w:szCs w:val="20"/>
                <w:color w:val="auto"/>
              </w:rPr>
            </w:pPr>
            <w:r>
              <w:rPr>
                <w:rFonts w:ascii="Arial" w:cs="Arial" w:eastAsia="Arial" w:hAnsi="Arial"/>
                <w:sz w:val="9"/>
                <w:szCs w:val="9"/>
                <w:b w:val="1"/>
                <w:bCs w:val="1"/>
                <w:color w:val="auto"/>
              </w:rPr>
              <w:t>72.51</w:t>
            </w:r>
          </w:p>
        </w:tc>
        <w:tc>
          <w:tcPr>
            <w:tcW w:w="52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(95)</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9"/>
                <w:szCs w:val="9"/>
                <w:color w:val="auto"/>
              </w:rPr>
              <w:t>64.16</w:t>
            </w:r>
          </w:p>
        </w:tc>
        <w:tc>
          <w:tcPr>
            <w:tcW w:w="500" w:type="dxa"/>
            <w:vAlign w:val="bottom"/>
          </w:tcPr>
          <w:p>
            <w:pPr>
              <w:spacing w:after="0"/>
              <w:rPr>
                <w:sz w:val="8"/>
                <w:szCs w:val="8"/>
                <w:color w:val="auto"/>
              </w:rPr>
            </w:pPr>
          </w:p>
        </w:tc>
        <w:tc>
          <w:tcPr>
            <w:tcW w:w="52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(82)</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69.23</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75"/>
        </w:trPr>
        <w:tc>
          <w:tcPr>
            <w:tcW w:w="3380" w:type="dxa"/>
            <w:vAlign w:val="bottom"/>
            <w:shd w:val="clear" w:color="auto" w:fill="CCEEFF"/>
          </w:tcPr>
          <w:p>
            <w:pPr>
              <w:spacing w:after="0" w:line="75" w:lineRule="exact"/>
              <w:rPr>
                <w:sz w:val="20"/>
                <w:szCs w:val="20"/>
                <w:color w:val="auto"/>
              </w:rPr>
            </w:pPr>
            <w:r>
              <w:rPr>
                <w:rFonts w:ascii="Arial" w:cs="Arial" w:eastAsia="Arial" w:hAnsi="Arial"/>
                <w:sz w:val="8"/>
                <w:szCs w:val="8"/>
                <w:color w:val="auto"/>
              </w:rPr>
              <w:t>Unvested at end of year</w:t>
            </w:r>
          </w:p>
        </w:tc>
        <w:tc>
          <w:tcPr>
            <w:tcW w:w="3320" w:type="dxa"/>
            <w:vAlign w:val="bottom"/>
            <w:gridSpan w:val="2"/>
            <w:shd w:val="clear" w:color="auto" w:fill="CCEEFF"/>
          </w:tcPr>
          <w:p>
            <w:pPr>
              <w:jc w:val="right"/>
              <w:spacing w:after="0" w:line="75" w:lineRule="exact"/>
              <w:rPr>
                <w:sz w:val="20"/>
                <w:szCs w:val="20"/>
                <w:color w:val="auto"/>
              </w:rPr>
            </w:pPr>
            <w:r>
              <w:rPr>
                <w:rFonts w:ascii="Arial" w:cs="Arial" w:eastAsia="Arial" w:hAnsi="Arial"/>
                <w:sz w:val="8"/>
                <w:szCs w:val="8"/>
                <w:b w:val="1"/>
                <w:bCs w:val="1"/>
                <w:color w:val="auto"/>
              </w:rPr>
              <w:t>2,433</w:t>
            </w:r>
          </w:p>
        </w:tc>
        <w:tc>
          <w:tcPr>
            <w:tcW w:w="60" w:type="dxa"/>
            <w:vAlign w:val="bottom"/>
            <w:shd w:val="clear" w:color="auto" w:fill="CCEEFF"/>
          </w:tcPr>
          <w:p>
            <w:pPr>
              <w:spacing w:after="0"/>
              <w:rPr>
                <w:sz w:val="6"/>
                <w:szCs w:val="6"/>
                <w:color w:val="auto"/>
              </w:rPr>
            </w:pPr>
          </w:p>
        </w:tc>
        <w:tc>
          <w:tcPr>
            <w:tcW w:w="640" w:type="dxa"/>
            <w:vAlign w:val="bottom"/>
            <w:gridSpan w:val="2"/>
            <w:shd w:val="clear" w:color="auto" w:fill="CCEEFF"/>
          </w:tcPr>
          <w:p>
            <w:pPr>
              <w:jc w:val="right"/>
              <w:spacing w:after="0" w:line="75" w:lineRule="exact"/>
              <w:rPr>
                <w:sz w:val="20"/>
                <w:szCs w:val="20"/>
                <w:color w:val="auto"/>
              </w:rPr>
            </w:pPr>
            <w:r>
              <w:rPr>
                <w:rFonts w:ascii="Arial" w:cs="Arial" w:eastAsia="Arial" w:hAnsi="Arial"/>
                <w:sz w:val="8"/>
                <w:szCs w:val="8"/>
                <w:b w:val="1"/>
                <w:bCs w:val="1"/>
                <w:color w:val="auto"/>
              </w:rPr>
              <w:t>$</w:t>
            </w:r>
          </w:p>
        </w:tc>
        <w:tc>
          <w:tcPr>
            <w:tcW w:w="760" w:type="dxa"/>
            <w:vAlign w:val="bottom"/>
            <w:gridSpan w:val="2"/>
            <w:shd w:val="clear" w:color="auto" w:fill="CCEEFF"/>
          </w:tcPr>
          <w:p>
            <w:pPr>
              <w:jc w:val="right"/>
              <w:ind w:right="500"/>
              <w:spacing w:after="0" w:line="75" w:lineRule="exact"/>
              <w:rPr>
                <w:sz w:val="20"/>
                <w:szCs w:val="20"/>
                <w:color w:val="auto"/>
              </w:rPr>
            </w:pPr>
            <w:r>
              <w:rPr>
                <w:rFonts w:ascii="Arial" w:cs="Arial" w:eastAsia="Arial" w:hAnsi="Arial"/>
                <w:sz w:val="8"/>
                <w:szCs w:val="8"/>
                <w:b w:val="1"/>
                <w:bCs w:val="1"/>
                <w:color w:val="auto"/>
              </w:rPr>
              <w:t>72.25</w:t>
            </w:r>
          </w:p>
        </w:tc>
        <w:tc>
          <w:tcPr>
            <w:tcW w:w="400" w:type="dxa"/>
            <w:vAlign w:val="bottom"/>
            <w:shd w:val="clear" w:color="auto" w:fill="CCEEFF"/>
          </w:tcPr>
          <w:p>
            <w:pPr>
              <w:jc w:val="center"/>
              <w:ind w:left="156"/>
              <w:spacing w:after="0" w:line="75" w:lineRule="exact"/>
              <w:rPr>
                <w:sz w:val="20"/>
                <w:szCs w:val="20"/>
                <w:color w:val="auto"/>
              </w:rPr>
            </w:pPr>
            <w:r>
              <w:rPr>
                <w:rFonts w:ascii="Arial" w:cs="Arial" w:eastAsia="Arial" w:hAnsi="Arial"/>
                <w:sz w:val="8"/>
                <w:szCs w:val="8"/>
                <w:color w:val="auto"/>
                <w:w w:val="99"/>
              </w:rPr>
              <w:t>2,223</w:t>
            </w:r>
          </w:p>
        </w:tc>
        <w:tc>
          <w:tcPr>
            <w:tcW w:w="120" w:type="dxa"/>
            <w:vAlign w:val="bottom"/>
            <w:shd w:val="clear" w:color="auto" w:fill="CCEEFF"/>
          </w:tcPr>
          <w:p>
            <w:pPr>
              <w:spacing w:after="0"/>
              <w:rPr>
                <w:sz w:val="6"/>
                <w:szCs w:val="6"/>
                <w:color w:val="auto"/>
              </w:rPr>
            </w:pPr>
          </w:p>
        </w:tc>
        <w:tc>
          <w:tcPr>
            <w:tcW w:w="540" w:type="dxa"/>
            <w:vAlign w:val="bottom"/>
            <w:gridSpan w:val="2"/>
            <w:shd w:val="clear" w:color="auto" w:fill="CCEEFF"/>
          </w:tcPr>
          <w:p>
            <w:pPr>
              <w:jc w:val="right"/>
              <w:spacing w:after="0" w:line="75" w:lineRule="exact"/>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line="75" w:lineRule="exact"/>
              <w:rPr>
                <w:sz w:val="20"/>
                <w:szCs w:val="20"/>
                <w:color w:val="auto"/>
              </w:rPr>
            </w:pPr>
            <w:r>
              <w:rPr>
                <w:rFonts w:ascii="Arial" w:cs="Arial" w:eastAsia="Arial" w:hAnsi="Arial"/>
                <w:sz w:val="8"/>
                <w:szCs w:val="8"/>
                <w:color w:val="auto"/>
              </w:rPr>
              <w:t>64.27</w:t>
            </w:r>
          </w:p>
        </w:tc>
        <w:tc>
          <w:tcPr>
            <w:tcW w:w="500" w:type="dxa"/>
            <w:vAlign w:val="bottom"/>
            <w:shd w:val="clear" w:color="auto" w:fill="CCEEFF"/>
          </w:tcPr>
          <w:p>
            <w:pPr>
              <w:spacing w:after="0"/>
              <w:rPr>
                <w:sz w:val="6"/>
                <w:szCs w:val="6"/>
                <w:color w:val="auto"/>
              </w:rPr>
            </w:pPr>
          </w:p>
        </w:tc>
        <w:tc>
          <w:tcPr>
            <w:tcW w:w="520" w:type="dxa"/>
            <w:vAlign w:val="bottom"/>
            <w:gridSpan w:val="2"/>
            <w:shd w:val="clear" w:color="auto" w:fill="CCEEFF"/>
          </w:tcPr>
          <w:p>
            <w:pPr>
              <w:jc w:val="right"/>
              <w:ind w:right="120"/>
              <w:spacing w:after="0" w:line="75" w:lineRule="exact"/>
              <w:rPr>
                <w:sz w:val="20"/>
                <w:szCs w:val="20"/>
                <w:color w:val="auto"/>
              </w:rPr>
            </w:pPr>
            <w:r>
              <w:rPr>
                <w:rFonts w:ascii="Arial" w:cs="Arial" w:eastAsia="Arial" w:hAnsi="Arial"/>
                <w:sz w:val="8"/>
                <w:szCs w:val="8"/>
                <w:color w:val="auto"/>
              </w:rPr>
              <w:t>1,343</w:t>
            </w:r>
          </w:p>
        </w:tc>
        <w:tc>
          <w:tcPr>
            <w:tcW w:w="540" w:type="dxa"/>
            <w:vAlign w:val="bottom"/>
            <w:gridSpan w:val="2"/>
            <w:shd w:val="clear" w:color="auto" w:fill="CCEEFF"/>
          </w:tcPr>
          <w:p>
            <w:pPr>
              <w:jc w:val="right"/>
              <w:spacing w:after="0" w:line="75" w:lineRule="exact"/>
              <w:rPr>
                <w:sz w:val="20"/>
                <w:szCs w:val="20"/>
                <w:color w:val="auto"/>
              </w:rPr>
            </w:pPr>
            <w:r>
              <w:rPr>
                <w:rFonts w:ascii="Arial" w:cs="Arial" w:eastAsia="Arial" w:hAnsi="Arial"/>
                <w:sz w:val="8"/>
                <w:szCs w:val="8"/>
                <w:color w:val="auto"/>
              </w:rPr>
              <w:t>$</w:t>
            </w:r>
          </w:p>
        </w:tc>
        <w:tc>
          <w:tcPr>
            <w:tcW w:w="380" w:type="dxa"/>
            <w:vAlign w:val="bottom"/>
            <w:gridSpan w:val="2"/>
            <w:shd w:val="clear" w:color="auto" w:fill="CCEEFF"/>
          </w:tcPr>
          <w:p>
            <w:pPr>
              <w:jc w:val="right"/>
              <w:ind w:right="60"/>
              <w:spacing w:after="0" w:line="75" w:lineRule="exact"/>
              <w:rPr>
                <w:sz w:val="20"/>
                <w:szCs w:val="20"/>
                <w:color w:val="auto"/>
              </w:rPr>
            </w:pPr>
            <w:r>
              <w:rPr>
                <w:rFonts w:ascii="Arial" w:cs="Arial" w:eastAsia="Arial" w:hAnsi="Arial"/>
                <w:sz w:val="8"/>
                <w:szCs w:val="8"/>
                <w:color w:val="auto"/>
              </w:rPr>
              <w:t>62.75</w:t>
            </w:r>
          </w:p>
        </w:tc>
      </w:tr>
      <w:tr>
        <w:trPr>
          <w:trHeight w:val="213"/>
        </w:trPr>
        <w:tc>
          <w:tcPr>
            <w:tcW w:w="3380" w:type="dxa"/>
            <w:vAlign w:val="bottom"/>
          </w:tcPr>
          <w:p>
            <w:pPr>
              <w:spacing w:after="0"/>
              <w:rPr>
                <w:sz w:val="18"/>
                <w:szCs w:val="18"/>
                <w:color w:val="auto"/>
              </w:rPr>
            </w:pPr>
          </w:p>
        </w:tc>
        <w:tc>
          <w:tcPr>
            <w:tcW w:w="2920" w:type="dxa"/>
            <w:vAlign w:val="bottom"/>
          </w:tcPr>
          <w:p>
            <w:pPr>
              <w:jc w:val="right"/>
              <w:ind w:right="476"/>
              <w:spacing w:after="0"/>
              <w:rPr>
                <w:sz w:val="20"/>
                <w:szCs w:val="20"/>
                <w:color w:val="auto"/>
              </w:rPr>
            </w:pPr>
            <w:r>
              <w:rPr>
                <w:rFonts w:ascii="Arial" w:cs="Arial" w:eastAsia="Arial" w:hAnsi="Arial"/>
                <w:sz w:val="9"/>
                <w:szCs w:val="9"/>
                <w:color w:val="auto"/>
              </w:rPr>
              <w:t>57</w:t>
            </w:r>
          </w:p>
        </w:tc>
        <w:tc>
          <w:tcPr>
            <w:tcW w:w="4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ectPr>
          <w:pgSz w:w="11900" w:h="16838" w:orient="portrait"/>
          <w:cols w:equalWidth="0" w:num="1">
            <w:col w:w="11480"/>
          </w:cols>
          <w:pgMar w:left="220" w:top="354" w:right="199" w:bottom="1440" w:gutter="0" w:footer="0" w:header="0"/>
        </w:sectPr>
      </w:pPr>
    </w:p>
    <w:bookmarkStart w:id="57" w:name="page58"/>
    <w:bookmarkEnd w:id="57"/>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Discounted Stock Purchase Plan</w:t>
      </w:r>
    </w:p>
    <w:p>
      <w:pPr>
        <w:spacing w:after="0" w:line="60" w:lineRule="exact"/>
        <w:rPr>
          <w:sz w:val="20"/>
          <w:szCs w:val="20"/>
          <w:color w:val="auto"/>
        </w:rPr>
      </w:pPr>
    </w:p>
    <w:p>
      <w:pPr>
        <w:ind w:left="8" w:right="220" w:firstLine="230"/>
        <w:spacing w:after="0" w:line="254" w:lineRule="auto"/>
        <w:rPr>
          <w:sz w:val="20"/>
          <w:szCs w:val="20"/>
          <w:color w:val="auto"/>
        </w:rPr>
      </w:pPr>
      <w:r>
        <w:rPr>
          <w:rFonts w:ascii="Arial" w:cs="Arial" w:eastAsia="Arial" w:hAnsi="Arial"/>
          <w:sz w:val="12"/>
          <w:szCs w:val="12"/>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ind w:left="228"/>
        <w:spacing w:after="0"/>
        <w:rPr>
          <w:sz w:val="20"/>
          <w:szCs w:val="20"/>
          <w:color w:val="auto"/>
        </w:rPr>
      </w:pPr>
      <w:r>
        <w:rPr>
          <w:rFonts w:ascii="Arial" w:cs="Arial" w:eastAsia="Arial" w:hAnsi="Arial"/>
          <w:sz w:val="12"/>
          <w:szCs w:val="12"/>
          <w:color w:val="auto"/>
        </w:rPr>
        <w:t>The fair value of the employees’ purchase rights under the DSPP was estimated using the Black-Scholes model with the following assumptions and resulting weighted average fair value per share:</w:t>
      </w:r>
    </w:p>
    <w:p>
      <w:pPr>
        <w:spacing w:after="0" w:line="197"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5560" w:type="dxa"/>
            <w:vAlign w:val="bottom"/>
            <w:tcBorders>
              <w:bottom w:val="single" w:sz="8" w:color="CCEEFF"/>
            </w:tcBorders>
          </w:tcPr>
          <w:p>
            <w:pPr>
              <w:spacing w:after="0"/>
              <w:rPr>
                <w:sz w:val="9"/>
                <w:szCs w:val="9"/>
                <w:color w:val="auto"/>
              </w:rPr>
            </w:pPr>
          </w:p>
        </w:tc>
        <w:tc>
          <w:tcPr>
            <w:tcW w:w="42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9"/>
              </w:rPr>
              <w:t>2011</w:t>
            </w:r>
          </w:p>
        </w:tc>
        <w:tc>
          <w:tcPr>
            <w:tcW w:w="46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9"/>
              </w:rPr>
              <w:t>2010</w:t>
            </w:r>
          </w:p>
        </w:tc>
        <w:tc>
          <w:tcPr>
            <w:tcW w:w="44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89"/>
              </w:rPr>
              <w:t>2009</w:t>
            </w:r>
          </w:p>
        </w:tc>
        <w:tc>
          <w:tcPr>
            <w:tcW w:w="100" w:type="dxa"/>
            <w:vAlign w:val="bottom"/>
            <w:tcBorders>
              <w:bottom w:val="single" w:sz="8" w:color="CCEEFF"/>
            </w:tcBorders>
          </w:tcPr>
          <w:p>
            <w:pPr>
              <w:spacing w:after="0"/>
              <w:rPr>
                <w:sz w:val="9"/>
                <w:szCs w:val="9"/>
                <w:color w:val="auto"/>
              </w:rPr>
            </w:pPr>
          </w:p>
        </w:tc>
      </w:tr>
      <w:tr>
        <w:trPr>
          <w:trHeight w:val="88"/>
        </w:trPr>
        <w:tc>
          <w:tcPr>
            <w:tcW w:w="55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Dividend yield</w:t>
            </w:r>
          </w:p>
        </w:tc>
        <w:tc>
          <w:tcPr>
            <w:tcW w:w="420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380"/>
              <w:spacing w:after="0" w:line="88" w:lineRule="exact"/>
              <w:rPr>
                <w:sz w:val="20"/>
                <w:szCs w:val="20"/>
                <w:color w:val="auto"/>
              </w:rPr>
            </w:pPr>
            <w:r>
              <w:rPr>
                <w:rFonts w:ascii="Arial" w:cs="Arial" w:eastAsia="Arial" w:hAnsi="Arial"/>
                <w:sz w:val="9"/>
                <w:szCs w:val="9"/>
                <w:b w:val="1"/>
                <w:bCs w:val="1"/>
                <w:color w:val="auto"/>
              </w:rPr>
              <w:t>1.2%</w:t>
            </w:r>
          </w:p>
        </w:tc>
        <w:tc>
          <w:tcPr>
            <w:tcW w:w="680" w:type="dxa"/>
            <w:vAlign w:val="bottom"/>
            <w:gridSpan w:val="2"/>
            <w:shd w:val="clear" w:color="auto" w:fill="CCEEFF"/>
          </w:tcPr>
          <w:p>
            <w:pPr>
              <w:jc w:val="right"/>
              <w:ind w:right="360"/>
              <w:spacing w:after="0" w:line="88" w:lineRule="exact"/>
              <w:rPr>
                <w:sz w:val="20"/>
                <w:szCs w:val="20"/>
                <w:color w:val="auto"/>
              </w:rPr>
            </w:pPr>
            <w:r>
              <w:rPr>
                <w:rFonts w:ascii="Arial" w:cs="Arial" w:eastAsia="Arial" w:hAnsi="Arial"/>
                <w:sz w:val="9"/>
                <w:szCs w:val="9"/>
                <w:color w:val="auto"/>
              </w:rPr>
              <w:t>1.6%</w:t>
            </w:r>
          </w:p>
        </w:tc>
        <w:tc>
          <w:tcPr>
            <w:tcW w:w="320" w:type="dxa"/>
            <w:vAlign w:val="bottom"/>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1.1%</w:t>
            </w:r>
          </w:p>
        </w:tc>
      </w:tr>
      <w:tr>
        <w:trPr>
          <w:trHeight w:val="99"/>
        </w:trPr>
        <w:tc>
          <w:tcPr>
            <w:tcW w:w="5560" w:type="dxa"/>
            <w:vAlign w:val="bottom"/>
          </w:tcPr>
          <w:p>
            <w:pPr>
              <w:spacing w:after="0" w:line="99" w:lineRule="exact"/>
              <w:rPr>
                <w:sz w:val="20"/>
                <w:szCs w:val="20"/>
                <w:color w:val="auto"/>
              </w:rPr>
            </w:pPr>
            <w:r>
              <w:rPr>
                <w:rFonts w:ascii="Arial" w:cs="Arial" w:eastAsia="Arial" w:hAnsi="Arial"/>
                <w:sz w:val="9"/>
                <w:szCs w:val="9"/>
                <w:color w:val="auto"/>
              </w:rPr>
              <w:t>Expected volatility</w:t>
            </w:r>
          </w:p>
        </w:tc>
        <w:tc>
          <w:tcPr>
            <w:tcW w:w="4920" w:type="dxa"/>
            <w:vAlign w:val="bottom"/>
            <w:gridSpan w:val="3"/>
          </w:tcPr>
          <w:p>
            <w:pPr>
              <w:jc w:val="right"/>
              <w:ind w:right="380"/>
              <w:spacing w:after="0" w:line="99" w:lineRule="exact"/>
              <w:rPr>
                <w:sz w:val="20"/>
                <w:szCs w:val="20"/>
                <w:color w:val="auto"/>
              </w:rPr>
            </w:pPr>
            <w:r>
              <w:rPr>
                <w:rFonts w:ascii="Arial" w:cs="Arial" w:eastAsia="Arial" w:hAnsi="Arial"/>
                <w:sz w:val="9"/>
                <w:szCs w:val="9"/>
                <w:b w:val="1"/>
                <w:bCs w:val="1"/>
                <w:color w:val="auto"/>
              </w:rPr>
              <w:t>28%</w:t>
            </w:r>
          </w:p>
        </w:tc>
        <w:tc>
          <w:tcPr>
            <w:tcW w:w="680" w:type="dxa"/>
            <w:vAlign w:val="bottom"/>
            <w:gridSpan w:val="2"/>
          </w:tcPr>
          <w:p>
            <w:pPr>
              <w:jc w:val="right"/>
              <w:ind w:right="360"/>
              <w:spacing w:after="0" w:line="99" w:lineRule="exact"/>
              <w:rPr>
                <w:sz w:val="20"/>
                <w:szCs w:val="20"/>
                <w:color w:val="auto"/>
              </w:rPr>
            </w:pPr>
            <w:r>
              <w:rPr>
                <w:rFonts w:ascii="Arial" w:cs="Arial" w:eastAsia="Arial" w:hAnsi="Arial"/>
                <w:sz w:val="9"/>
                <w:szCs w:val="9"/>
                <w:color w:val="auto"/>
              </w:rPr>
              <w:t>36%</w:t>
            </w:r>
          </w:p>
        </w:tc>
        <w:tc>
          <w:tcPr>
            <w:tcW w:w="32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44%</w:t>
            </w:r>
          </w:p>
        </w:tc>
      </w:tr>
      <w:tr>
        <w:trPr>
          <w:trHeight w:val="99"/>
        </w:trPr>
        <w:tc>
          <w:tcPr>
            <w:tcW w:w="55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Risk free interest rate</w:t>
            </w:r>
          </w:p>
        </w:tc>
        <w:tc>
          <w:tcPr>
            <w:tcW w:w="4920" w:type="dxa"/>
            <w:vAlign w:val="bottom"/>
            <w:gridSpan w:val="3"/>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0.2%</w:t>
            </w:r>
          </w:p>
        </w:tc>
        <w:tc>
          <w:tcPr>
            <w:tcW w:w="680" w:type="dxa"/>
            <w:vAlign w:val="bottom"/>
            <w:gridSpan w:val="2"/>
            <w:shd w:val="clear" w:color="auto" w:fill="CCEEFF"/>
          </w:tcPr>
          <w:p>
            <w:pPr>
              <w:jc w:val="right"/>
              <w:ind w:right="360"/>
              <w:spacing w:after="0" w:line="99" w:lineRule="exact"/>
              <w:rPr>
                <w:sz w:val="20"/>
                <w:szCs w:val="20"/>
                <w:color w:val="auto"/>
              </w:rPr>
            </w:pPr>
            <w:r>
              <w:rPr>
                <w:rFonts w:ascii="Arial" w:cs="Arial" w:eastAsia="Arial" w:hAnsi="Arial"/>
                <w:sz w:val="9"/>
                <w:szCs w:val="9"/>
                <w:color w:val="auto"/>
              </w:rPr>
              <w:t>0.3%</w:t>
            </w:r>
          </w:p>
        </w:tc>
        <w:tc>
          <w:tcPr>
            <w:tcW w:w="32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0.3%</w:t>
            </w:r>
          </w:p>
        </w:tc>
      </w:tr>
      <w:tr>
        <w:trPr>
          <w:trHeight w:val="116"/>
        </w:trPr>
        <w:tc>
          <w:tcPr>
            <w:tcW w:w="5560" w:type="dxa"/>
            <w:vAlign w:val="bottom"/>
          </w:tcPr>
          <w:p>
            <w:pPr>
              <w:spacing w:after="0"/>
              <w:rPr>
                <w:sz w:val="20"/>
                <w:szCs w:val="20"/>
                <w:color w:val="auto"/>
              </w:rPr>
            </w:pPr>
            <w:r>
              <w:rPr>
                <w:rFonts w:ascii="Arial" w:cs="Arial" w:eastAsia="Arial" w:hAnsi="Arial"/>
                <w:sz w:val="9"/>
                <w:szCs w:val="9"/>
                <w:color w:val="auto"/>
              </w:rPr>
              <w:t>Weighted average fair value per share</w:t>
            </w:r>
          </w:p>
        </w:tc>
        <w:tc>
          <w:tcPr>
            <w:tcW w:w="4460" w:type="dxa"/>
            <w:vAlign w:val="bottom"/>
            <w:gridSpan w:val="2"/>
          </w:tcPr>
          <w:p>
            <w:pPr>
              <w:jc w:val="right"/>
              <w:spacing w:after="0"/>
              <w:rPr>
                <w:sz w:val="20"/>
                <w:szCs w:val="20"/>
                <w:color w:val="auto"/>
              </w:rPr>
            </w:pPr>
            <w:r>
              <w:rPr>
                <w:rFonts w:ascii="Arial" w:cs="Arial" w:eastAsia="Arial" w:hAnsi="Arial"/>
                <w:sz w:val="9"/>
                <w:szCs w:val="9"/>
                <w:b w:val="1"/>
                <w:bCs w:val="1"/>
                <w:color w:val="auto"/>
              </w:rPr>
              <w:t>$12.83</w:t>
            </w:r>
          </w:p>
        </w:tc>
        <w:tc>
          <w:tcPr>
            <w:tcW w:w="460" w:type="dxa"/>
            <w:vAlign w:val="bottom"/>
          </w:tcPr>
          <w:p>
            <w:pPr>
              <w:spacing w:after="0"/>
              <w:rPr>
                <w:sz w:val="10"/>
                <w:szCs w:val="10"/>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9"/>
                <w:szCs w:val="9"/>
                <w:color w:val="auto"/>
                <w:w w:val="79"/>
              </w:rPr>
              <w:t>$10.30</w:t>
            </w:r>
          </w:p>
        </w:tc>
        <w:tc>
          <w:tcPr>
            <w:tcW w:w="220" w:type="dxa"/>
            <w:vAlign w:val="bottom"/>
          </w:tcPr>
          <w:p>
            <w:pPr>
              <w:jc w:val="right"/>
              <w:spacing w:after="0"/>
              <w:rPr>
                <w:sz w:val="20"/>
                <w:szCs w:val="20"/>
                <w:color w:val="auto"/>
              </w:rPr>
            </w:pPr>
            <w:r>
              <w:rPr>
                <w:rFonts w:ascii="Arial" w:cs="Arial" w:eastAsia="Arial" w:hAnsi="Arial"/>
                <w:sz w:val="9"/>
                <w:szCs w:val="9"/>
                <w:color w:val="auto"/>
                <w:w w:val="88"/>
              </w:rPr>
              <w:t>$9.76</w:t>
            </w:r>
          </w:p>
        </w:tc>
        <w:tc>
          <w:tcPr>
            <w:tcW w:w="100" w:type="dxa"/>
            <w:vAlign w:val="bottom"/>
          </w:tcPr>
          <w:p>
            <w:pPr>
              <w:spacing w:after="0"/>
              <w:rPr>
                <w:sz w:val="10"/>
                <w:szCs w:val="10"/>
                <w:color w:val="auto"/>
              </w:rPr>
            </w:pPr>
          </w:p>
        </w:tc>
      </w:tr>
    </w:tbl>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Total Stock-based Compensation Expense</w:t>
      </w:r>
    </w:p>
    <w:p>
      <w:pPr>
        <w:spacing w:after="0" w:line="60"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The following summarizes stock-based compensation expense recognized in income:</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10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5"/>
          </w:tcPr>
          <w:p>
            <w:pPr>
              <w:jc w:val="right"/>
              <w:ind w:right="60"/>
              <w:spacing w:after="0"/>
              <w:rPr>
                <w:sz w:val="20"/>
                <w:szCs w:val="20"/>
                <w:color w:val="auto"/>
              </w:rPr>
            </w:pPr>
            <w:r>
              <w:rPr>
                <w:rFonts w:ascii="Arial" w:cs="Arial" w:eastAsia="Arial" w:hAnsi="Arial"/>
                <w:sz w:val="9"/>
                <w:szCs w:val="9"/>
                <w:b w:val="1"/>
                <w:bCs w:val="1"/>
                <w:color w:val="auto"/>
              </w:rPr>
              <w:t>(Stated in millions)</w:t>
            </w:r>
          </w:p>
        </w:tc>
        <w:tc>
          <w:tcPr>
            <w:tcW w:w="0" w:type="dxa"/>
            <w:vAlign w:val="bottom"/>
          </w:tcPr>
          <w:p>
            <w:pPr>
              <w:spacing w:after="0"/>
              <w:rPr>
                <w:sz w:val="1"/>
                <w:szCs w:val="1"/>
                <w:color w:val="auto"/>
              </w:rPr>
            </w:pPr>
          </w:p>
        </w:tc>
      </w:tr>
      <w:tr>
        <w:trPr>
          <w:trHeight w:val="262"/>
        </w:trPr>
        <w:tc>
          <w:tcPr>
            <w:tcW w:w="10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8"/>
                <w:szCs w:val="8"/>
                <w:b w:val="1"/>
                <w:bCs w:val="1"/>
                <w:color w:val="auto"/>
                <w:w w:val="78"/>
              </w:rPr>
              <w:t>2011</w:t>
            </w:r>
          </w:p>
        </w:tc>
        <w:tc>
          <w:tcPr>
            <w:tcW w:w="740" w:type="dxa"/>
            <w:vAlign w:val="bottom"/>
            <w:gridSpan w:val="3"/>
          </w:tcPr>
          <w:p>
            <w:pPr>
              <w:jc w:val="right"/>
              <w:ind w:right="280"/>
              <w:spacing w:after="0"/>
              <w:rPr>
                <w:sz w:val="20"/>
                <w:szCs w:val="20"/>
                <w:color w:val="auto"/>
              </w:rPr>
            </w:pPr>
            <w:r>
              <w:rPr>
                <w:rFonts w:ascii="Arial" w:cs="Arial" w:eastAsia="Arial" w:hAnsi="Arial"/>
                <w:sz w:val="9"/>
                <w:szCs w:val="9"/>
                <w:color w:val="auto"/>
              </w:rPr>
              <w:t>2010</w:t>
            </w:r>
          </w:p>
        </w:tc>
        <w:tc>
          <w:tcPr>
            <w:tcW w:w="240" w:type="dxa"/>
            <w:vAlign w:val="bottom"/>
            <w:gridSpan w:val="2"/>
          </w:tcPr>
          <w:p>
            <w:pPr>
              <w:jc w:val="right"/>
              <w:ind w:right="60"/>
              <w:spacing w:after="0"/>
              <w:rPr>
                <w:sz w:val="20"/>
                <w:szCs w:val="20"/>
                <w:color w:val="auto"/>
              </w:rPr>
            </w:pPr>
            <w:r>
              <w:rPr>
                <w:rFonts w:ascii="Arial" w:cs="Arial" w:eastAsia="Arial" w:hAnsi="Arial"/>
                <w:sz w:val="9"/>
                <w:szCs w:val="9"/>
                <w:color w:val="auto"/>
                <w:w w:val="79"/>
              </w:rPr>
              <w:t>2009</w:t>
            </w:r>
          </w:p>
        </w:tc>
        <w:tc>
          <w:tcPr>
            <w:tcW w:w="0" w:type="dxa"/>
            <w:vAlign w:val="bottom"/>
          </w:tcPr>
          <w:p>
            <w:pPr>
              <w:spacing w:after="0"/>
              <w:rPr>
                <w:sz w:val="1"/>
                <w:szCs w:val="1"/>
                <w:color w:val="auto"/>
              </w:rPr>
            </w:pPr>
          </w:p>
        </w:tc>
      </w:tr>
      <w:tr>
        <w:trPr>
          <w:trHeight w:val="88"/>
        </w:trPr>
        <w:tc>
          <w:tcPr>
            <w:tcW w:w="10340" w:type="dxa"/>
            <w:vAlign w:val="bottom"/>
            <w:tcBorders>
              <w:top w:val="single" w:sz="8" w:color="CCEEFF"/>
              <w:right w:val="single" w:sz="8" w:color="CCEEFF"/>
            </w:tcBorders>
            <w:gridSpan w:val="2"/>
            <w:shd w:val="clear" w:color="auto" w:fill="CCEEFF"/>
          </w:tcPr>
          <w:p>
            <w:pPr>
              <w:spacing w:after="0" w:line="88" w:lineRule="exact"/>
              <w:rPr>
                <w:sz w:val="20"/>
                <w:szCs w:val="20"/>
                <w:color w:val="auto"/>
              </w:rPr>
            </w:pPr>
            <w:r>
              <w:rPr>
                <w:rFonts w:ascii="Arial" w:cs="Arial" w:eastAsia="Arial" w:hAnsi="Arial"/>
                <w:sz w:val="9"/>
                <w:szCs w:val="9"/>
                <w:color w:val="auto"/>
              </w:rPr>
              <w:t>Stock options</w:t>
            </w:r>
          </w:p>
        </w:tc>
        <w:tc>
          <w:tcPr>
            <w:tcW w:w="1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8"/>
                <w:szCs w:val="8"/>
                <w:b w:val="1"/>
                <w:bCs w:val="1"/>
                <w:color w:val="auto"/>
                <w:w w:val="78"/>
              </w:rPr>
              <w:t>$176</w:t>
            </w:r>
          </w:p>
        </w:tc>
        <w:tc>
          <w:tcPr>
            <w:tcW w:w="280" w:type="dxa"/>
            <w:vAlign w:val="bottom"/>
            <w:tcBorders>
              <w:top w:val="single" w:sz="8" w:color="CCEEFF"/>
              <w:left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9"/>
              </w:rPr>
              <w:t>$121</w:t>
            </w:r>
          </w:p>
        </w:tc>
        <w:tc>
          <w:tcPr>
            <w:tcW w:w="28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0"/>
              </w:rPr>
              <w:t>$ 118</w:t>
            </w: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0340" w:type="dxa"/>
            <w:vAlign w:val="bottom"/>
            <w:gridSpan w:val="2"/>
          </w:tcPr>
          <w:p>
            <w:pPr>
              <w:spacing w:after="0" w:line="99" w:lineRule="exact"/>
              <w:rPr>
                <w:sz w:val="20"/>
                <w:szCs w:val="20"/>
                <w:color w:val="auto"/>
              </w:rPr>
            </w:pPr>
            <w:r>
              <w:rPr>
                <w:rFonts w:ascii="Arial" w:cs="Arial" w:eastAsia="Arial" w:hAnsi="Arial"/>
                <w:sz w:val="9"/>
                <w:szCs w:val="9"/>
                <w:color w:val="auto"/>
              </w:rPr>
              <w:t>Restricted stock</w:t>
            </w:r>
          </w:p>
        </w:tc>
        <w:tc>
          <w:tcPr>
            <w:tcW w:w="1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60</w:t>
            </w:r>
          </w:p>
        </w:tc>
        <w:tc>
          <w:tcPr>
            <w:tcW w:w="740" w:type="dxa"/>
            <w:vAlign w:val="bottom"/>
            <w:gridSpan w:val="3"/>
          </w:tcPr>
          <w:p>
            <w:pPr>
              <w:jc w:val="right"/>
              <w:ind w:right="280"/>
              <w:spacing w:after="0" w:line="99" w:lineRule="exact"/>
              <w:rPr>
                <w:sz w:val="20"/>
                <w:szCs w:val="20"/>
                <w:color w:val="auto"/>
              </w:rPr>
            </w:pPr>
            <w:r>
              <w:rPr>
                <w:rFonts w:ascii="Arial" w:cs="Arial" w:eastAsia="Arial" w:hAnsi="Arial"/>
                <w:sz w:val="9"/>
                <w:szCs w:val="9"/>
                <w:color w:val="auto"/>
              </w:rPr>
              <w:t>44</w:t>
            </w:r>
          </w:p>
        </w:tc>
        <w:tc>
          <w:tcPr>
            <w:tcW w:w="2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32</w:t>
            </w:r>
          </w:p>
        </w:tc>
        <w:tc>
          <w:tcPr>
            <w:tcW w:w="0" w:type="dxa"/>
            <w:vAlign w:val="bottom"/>
          </w:tcPr>
          <w:p>
            <w:pPr>
              <w:spacing w:after="0"/>
              <w:rPr>
                <w:sz w:val="1"/>
                <w:szCs w:val="1"/>
                <w:color w:val="auto"/>
              </w:rPr>
            </w:pPr>
          </w:p>
        </w:tc>
      </w:tr>
      <w:tr>
        <w:trPr>
          <w:trHeight w:val="99"/>
        </w:trPr>
        <w:tc>
          <w:tcPr>
            <w:tcW w:w="10340" w:type="dxa"/>
            <w:vAlign w:val="bottom"/>
            <w:tcBorders>
              <w:right w:val="single" w:sz="8" w:color="CCEEFF"/>
            </w:tcBorders>
            <w:gridSpan w:val="2"/>
            <w:shd w:val="clear" w:color="auto" w:fill="CCEEFF"/>
          </w:tcPr>
          <w:p>
            <w:pPr>
              <w:spacing w:after="0" w:line="99" w:lineRule="exact"/>
              <w:rPr>
                <w:sz w:val="20"/>
                <w:szCs w:val="20"/>
                <w:color w:val="auto"/>
              </w:rPr>
            </w:pPr>
            <w:r>
              <w:rPr>
                <w:rFonts w:ascii="Arial" w:cs="Arial" w:eastAsia="Arial" w:hAnsi="Arial"/>
                <w:sz w:val="9"/>
                <w:szCs w:val="9"/>
                <w:color w:val="auto"/>
              </w:rPr>
              <w:t>DSPP</w:t>
            </w:r>
          </w:p>
        </w:tc>
        <w:tc>
          <w:tcPr>
            <w:tcW w:w="16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36</w:t>
            </w:r>
          </w:p>
        </w:tc>
        <w:tc>
          <w:tcPr>
            <w:tcW w:w="280" w:type="dxa"/>
            <w:vAlign w:val="bottom"/>
            <w:tcBorders>
              <w:left w:val="single" w:sz="8" w:color="CCEEFF"/>
            </w:tcBorders>
            <w:shd w:val="clear" w:color="auto" w:fill="CCEEFF"/>
          </w:tcPr>
          <w:p>
            <w:pPr>
              <w:spacing w:after="0"/>
              <w:rPr>
                <w:sz w:val="8"/>
                <w:szCs w:val="8"/>
                <w:color w:val="auto"/>
              </w:rPr>
            </w:pPr>
          </w:p>
        </w:tc>
        <w:tc>
          <w:tcPr>
            <w:tcW w:w="46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33</w:t>
            </w:r>
          </w:p>
        </w:tc>
        <w:tc>
          <w:tcPr>
            <w:tcW w:w="2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36</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8"/>
                <w:szCs w:val="8"/>
                <w:b w:val="1"/>
                <w:bCs w:val="1"/>
                <w:u w:val="single" w:color="auto"/>
                <w:color w:val="auto"/>
                <w:w w:val="78"/>
              </w:rPr>
              <w:t>$</w:t>
            </w:r>
            <w:r>
              <w:rPr>
                <w:rFonts w:ascii="Arial" w:cs="Arial" w:eastAsia="Arial" w:hAnsi="Arial"/>
                <w:sz w:val="8"/>
                <w:szCs w:val="8"/>
                <w:b w:val="1"/>
                <w:bCs w:val="1"/>
                <w:color w:val="auto"/>
                <w:w w:val="78"/>
              </w:rPr>
              <w:t>272</w:t>
            </w:r>
          </w:p>
        </w:tc>
        <w:tc>
          <w:tcPr>
            <w:tcW w:w="740" w:type="dxa"/>
            <w:vAlign w:val="bottom"/>
            <w:gridSpan w:val="3"/>
            <w:vMerge w:val="restart"/>
          </w:tcPr>
          <w:p>
            <w:pPr>
              <w:jc w:val="right"/>
              <w:ind w:right="280"/>
              <w:spacing w:after="0"/>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198</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9"/>
                <w:szCs w:val="9"/>
                <w:u w:val="single" w:color="auto"/>
                <w:color w:val="auto"/>
                <w:w w:val="79"/>
              </w:rPr>
              <w:t>$</w:t>
            </w:r>
            <w:r>
              <w:rPr>
                <w:rFonts w:ascii="Arial" w:cs="Arial" w:eastAsia="Arial" w:hAnsi="Arial"/>
                <w:sz w:val="9"/>
                <w:szCs w:val="9"/>
                <w:color w:val="auto"/>
                <w:w w:val="79"/>
              </w:rPr>
              <w:t>186</w:t>
            </w:r>
          </w:p>
        </w:tc>
        <w:tc>
          <w:tcPr>
            <w:tcW w:w="0" w:type="dxa"/>
            <w:vAlign w:val="bottom"/>
          </w:tcPr>
          <w:p>
            <w:pPr>
              <w:spacing w:after="0" w:line="20" w:lineRule="exact"/>
              <w:rPr>
                <w:sz w:val="1"/>
                <w:szCs w:val="1"/>
                <w:color w:val="auto"/>
              </w:rPr>
            </w:pPr>
          </w:p>
        </w:tc>
      </w:tr>
      <w:tr>
        <w:trPr>
          <w:trHeight w:val="66"/>
        </w:trPr>
        <w:tc>
          <w:tcPr>
            <w:tcW w:w="10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8" w:right="100" w:firstLine="230"/>
        <w:spacing w:after="0" w:line="268" w:lineRule="auto"/>
        <w:rPr>
          <w:sz w:val="20"/>
          <w:szCs w:val="20"/>
          <w:color w:val="auto"/>
        </w:rPr>
      </w:pPr>
      <w:r>
        <w:rPr>
          <w:rFonts w:ascii="Arial" w:cs="Arial" w:eastAsia="Arial" w:hAnsi="Arial"/>
          <w:sz w:val="12"/>
          <w:szCs w:val="12"/>
          <w:color w:val="auto"/>
        </w:rPr>
        <w:t>At December 31, 2011, there was $527 million of total unrecognized compensation cost related to nonvested stock-based compensation arrangements of which $218 million is expected to be recognized in 2012, $152 million in 2013, $101 million in 2014, $53 million in 2015 and $3 million in 2016.</w:t>
      </w:r>
    </w:p>
    <w:p>
      <w:pPr>
        <w:spacing w:after="0" w:line="167" w:lineRule="exact"/>
        <w:rPr>
          <w:sz w:val="20"/>
          <w:szCs w:val="20"/>
          <w:color w:val="auto"/>
        </w:rPr>
      </w:pPr>
    </w:p>
    <w:p>
      <w:pPr>
        <w:ind w:left="468" w:hanging="468"/>
        <w:spacing w:after="0"/>
        <w:tabs>
          <w:tab w:leader="none" w:pos="468"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Income Taxes</w:t>
      </w:r>
    </w:p>
    <w:p>
      <w:pPr>
        <w:spacing w:after="0" w:line="62" w:lineRule="exact"/>
        <w:rPr>
          <w:sz w:val="20"/>
          <w:szCs w:val="20"/>
          <w:color w:val="auto"/>
        </w:rPr>
      </w:pPr>
    </w:p>
    <w:p>
      <w:pPr>
        <w:ind w:left="228"/>
        <w:spacing w:after="0"/>
        <w:rPr>
          <w:sz w:val="20"/>
          <w:szCs w:val="20"/>
          <w:color w:val="auto"/>
        </w:rPr>
      </w:pPr>
      <w:r>
        <w:rPr>
          <w:rFonts w:ascii="Arial" w:cs="Arial" w:eastAsia="Arial" w:hAnsi="Arial"/>
          <w:sz w:val="12"/>
          <w:szCs w:val="12"/>
          <w:color w:val="auto"/>
        </w:rPr>
        <w:t>Schlumberger operates in more than 100 jurisdictions, where statutory tax rates generally vary from 0% to 50%.</w:t>
      </w:r>
    </w:p>
    <w:p>
      <w:pPr>
        <w:spacing w:after="0" w:line="10" w:lineRule="exact"/>
        <w:rPr>
          <w:sz w:val="20"/>
          <w:szCs w:val="20"/>
          <w:color w:val="auto"/>
        </w:rPr>
      </w:pPr>
    </w:p>
    <w:p>
      <w:pPr>
        <w:ind w:left="228"/>
        <w:spacing w:after="0"/>
        <w:rPr>
          <w:sz w:val="20"/>
          <w:szCs w:val="20"/>
          <w:color w:val="auto"/>
        </w:rPr>
      </w:pPr>
      <w:r>
        <w:rPr>
          <w:rFonts w:ascii="Arial" w:cs="Arial" w:eastAsia="Arial" w:hAnsi="Arial"/>
          <w:sz w:val="12"/>
          <w:szCs w:val="12"/>
          <w:i w:val="1"/>
          <w:iCs w:val="1"/>
          <w:color w:val="auto"/>
        </w:rPr>
        <w:t xml:space="preserve">Income from continuing operations before taxes </w:t>
      </w:r>
      <w:r>
        <w:rPr>
          <w:rFonts w:ascii="Arial" w:cs="Arial" w:eastAsia="Arial" w:hAnsi="Arial"/>
          <w:sz w:val="12"/>
          <w:szCs w:val="12"/>
          <w:color w:val="auto"/>
        </w:rPr>
        <w:t>which were subject to United States and non-United States income taxes for each of the three years ended December 31, was as follows: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9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5"/>
          </w:tcPr>
          <w:p>
            <w:pPr>
              <w:ind w:left="160"/>
              <w:spacing w:after="0"/>
              <w:rPr>
                <w:sz w:val="20"/>
                <w:szCs w:val="20"/>
                <w:color w:val="auto"/>
              </w:rPr>
            </w:pPr>
            <w:r>
              <w:rPr>
                <w:rFonts w:ascii="Arial" w:cs="Arial" w:eastAsia="Arial" w:hAnsi="Arial"/>
                <w:sz w:val="9"/>
                <w:szCs w:val="9"/>
                <w:b w:val="1"/>
                <w:bCs w:val="1"/>
                <w:color w:val="auto"/>
                <w:w w:val="96"/>
              </w:rPr>
              <w:t>(Stated in millions)</w:t>
            </w:r>
          </w:p>
        </w:tc>
      </w:tr>
      <w:tr>
        <w:trPr>
          <w:trHeight w:val="262"/>
        </w:trPr>
        <w:tc>
          <w:tcPr>
            <w:tcW w:w="96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18"/>
              <w:spacing w:after="0"/>
              <w:rPr>
                <w:sz w:val="20"/>
                <w:szCs w:val="20"/>
                <w:color w:val="auto"/>
              </w:rPr>
            </w:pPr>
            <w:r>
              <w:rPr>
                <w:rFonts w:ascii="Arial" w:cs="Arial" w:eastAsia="Arial" w:hAnsi="Arial"/>
                <w:sz w:val="9"/>
                <w:szCs w:val="9"/>
                <w:b w:val="1"/>
                <w:bCs w:val="1"/>
                <w:color w:val="auto"/>
                <w:w w:val="89"/>
              </w:rPr>
              <w:t>2011</w:t>
            </w:r>
          </w:p>
        </w:tc>
        <w:tc>
          <w:tcPr>
            <w:tcW w:w="28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w w:val="89"/>
              </w:rPr>
              <w:t>2010</w:t>
            </w:r>
          </w:p>
        </w:tc>
        <w:tc>
          <w:tcPr>
            <w:tcW w:w="28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38"/>
              <w:spacing w:after="0"/>
              <w:rPr>
                <w:sz w:val="20"/>
                <w:szCs w:val="20"/>
                <w:color w:val="auto"/>
              </w:rPr>
            </w:pPr>
            <w:r>
              <w:rPr>
                <w:rFonts w:ascii="Arial" w:cs="Arial" w:eastAsia="Arial" w:hAnsi="Arial"/>
                <w:sz w:val="9"/>
                <w:szCs w:val="9"/>
                <w:color w:val="auto"/>
                <w:w w:val="89"/>
              </w:rPr>
              <w:t>2009</w:t>
            </w:r>
          </w:p>
        </w:tc>
        <w:tc>
          <w:tcPr>
            <w:tcW w:w="60" w:type="dxa"/>
            <w:vAlign w:val="bottom"/>
            <w:tcBorders>
              <w:bottom w:val="single" w:sz="8" w:color="CCEEFF"/>
            </w:tcBorders>
          </w:tcPr>
          <w:p>
            <w:pPr>
              <w:spacing w:after="0"/>
              <w:rPr>
                <w:sz w:val="22"/>
                <w:szCs w:val="22"/>
                <w:color w:val="auto"/>
              </w:rPr>
            </w:pPr>
          </w:p>
        </w:tc>
      </w:tr>
      <w:tr>
        <w:trPr>
          <w:trHeight w:val="88"/>
        </w:trPr>
        <w:tc>
          <w:tcPr>
            <w:tcW w:w="964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United States</w:t>
            </w: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260" w:type="dxa"/>
            <w:vAlign w:val="bottom"/>
            <w:shd w:val="clear" w:color="auto" w:fill="CCEEFF"/>
          </w:tcPr>
          <w:p>
            <w:pPr>
              <w:ind w:left="60"/>
              <w:spacing w:after="0" w:line="88" w:lineRule="exact"/>
              <w:rPr>
                <w:sz w:val="20"/>
                <w:szCs w:val="20"/>
                <w:color w:val="auto"/>
              </w:rPr>
            </w:pPr>
            <w:r>
              <w:rPr>
                <w:rFonts w:ascii="Arial" w:cs="Arial" w:eastAsia="Arial" w:hAnsi="Arial"/>
                <w:sz w:val="9"/>
                <w:szCs w:val="9"/>
                <w:b w:val="1"/>
                <w:bCs w:val="1"/>
                <w:color w:val="auto"/>
                <w:w w:val="79"/>
              </w:rPr>
              <w:t>2,325</w:t>
            </w: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638</w:t>
            </w: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86</w:t>
            </w:r>
          </w:p>
        </w:tc>
        <w:tc>
          <w:tcPr>
            <w:tcW w:w="60" w:type="dxa"/>
            <w:vAlign w:val="bottom"/>
            <w:shd w:val="clear" w:color="auto" w:fill="CCEEFF"/>
          </w:tcPr>
          <w:p>
            <w:pPr>
              <w:spacing w:after="0"/>
              <w:rPr>
                <w:sz w:val="7"/>
                <w:szCs w:val="7"/>
                <w:color w:val="auto"/>
              </w:rPr>
            </w:pPr>
          </w:p>
        </w:tc>
      </w:tr>
      <w:tr>
        <w:trPr>
          <w:trHeight w:val="99"/>
        </w:trPr>
        <w:tc>
          <w:tcPr>
            <w:tcW w:w="9640" w:type="dxa"/>
            <w:vAlign w:val="bottom"/>
          </w:tcPr>
          <w:p>
            <w:pPr>
              <w:spacing w:after="0" w:line="99" w:lineRule="exact"/>
              <w:rPr>
                <w:sz w:val="20"/>
                <w:szCs w:val="20"/>
                <w:color w:val="auto"/>
              </w:rPr>
            </w:pPr>
            <w:r>
              <w:rPr>
                <w:rFonts w:ascii="Arial" w:cs="Arial" w:eastAsia="Arial" w:hAnsi="Arial"/>
                <w:sz w:val="9"/>
                <w:szCs w:val="9"/>
                <w:color w:val="auto"/>
              </w:rPr>
              <w:t>Outside United States</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4,013</w:t>
            </w: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4,518</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3,848</w:t>
            </w:r>
          </w:p>
        </w:tc>
        <w:tc>
          <w:tcPr>
            <w:tcW w:w="60" w:type="dxa"/>
            <w:vAlign w:val="bottom"/>
          </w:tcPr>
          <w:p>
            <w:pPr>
              <w:spacing w:after="0"/>
              <w:rPr>
                <w:sz w:val="8"/>
                <w:szCs w:val="8"/>
                <w:color w:val="auto"/>
              </w:rPr>
            </w:pPr>
          </w:p>
        </w:tc>
      </w:tr>
      <w:tr>
        <w:trPr>
          <w:trHeight w:val="20"/>
        </w:trPr>
        <w:tc>
          <w:tcPr>
            <w:tcW w:w="9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66"/>
        </w:trPr>
        <w:tc>
          <w:tcPr>
            <w:tcW w:w="96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540" w:type="dxa"/>
            <w:vAlign w:val="bottom"/>
            <w:gridSpan w:val="2"/>
            <w:shd w:val="clear" w:color="auto" w:fill="CCEEFF"/>
          </w:tcPr>
          <w:p>
            <w:pPr>
              <w:ind w:left="60"/>
              <w:spacing w:after="0" w:line="67" w:lineRule="exact"/>
              <w:rPr>
                <w:sz w:val="20"/>
                <w:szCs w:val="20"/>
                <w:color w:val="auto"/>
              </w:rPr>
            </w:pPr>
            <w:r>
              <w:rPr>
                <w:rFonts w:ascii="Arial" w:cs="Arial" w:eastAsia="Arial" w:hAnsi="Arial"/>
                <w:sz w:val="7"/>
                <w:szCs w:val="7"/>
                <w:b w:val="1"/>
                <w:bCs w:val="1"/>
                <w:color w:val="auto"/>
              </w:rPr>
              <w:t>6,338</w:t>
            </w:r>
          </w:p>
        </w:tc>
        <w:tc>
          <w:tcPr>
            <w:tcW w:w="60" w:type="dxa"/>
            <w:vAlign w:val="bottom"/>
            <w:shd w:val="clear" w:color="auto" w:fill="CCEEFF"/>
          </w:tcPr>
          <w:p>
            <w:pPr>
              <w:jc w:val="right"/>
              <w:spacing w:after="0" w:line="67" w:lineRule="exact"/>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jc w:val="right"/>
              <w:spacing w:after="0" w:line="67" w:lineRule="exact"/>
              <w:rPr>
                <w:sz w:val="20"/>
                <w:szCs w:val="20"/>
                <w:color w:val="auto"/>
              </w:rPr>
            </w:pPr>
            <w:r>
              <w:rPr>
                <w:rFonts w:ascii="Arial" w:cs="Arial" w:eastAsia="Arial" w:hAnsi="Arial"/>
                <w:sz w:val="7"/>
                <w:szCs w:val="7"/>
                <w:color w:val="auto"/>
              </w:rPr>
              <w:t>5,156</w:t>
            </w:r>
          </w:p>
        </w:tc>
        <w:tc>
          <w:tcPr>
            <w:tcW w:w="340" w:type="dxa"/>
            <w:vAlign w:val="bottom"/>
            <w:gridSpan w:val="2"/>
            <w:shd w:val="clear" w:color="auto" w:fill="CCEEFF"/>
          </w:tcPr>
          <w:p>
            <w:pPr>
              <w:jc w:val="right"/>
              <w:spacing w:after="0" w:line="67" w:lineRule="exact"/>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jc w:val="right"/>
              <w:spacing w:after="0" w:line="67" w:lineRule="exact"/>
              <w:rPr>
                <w:sz w:val="20"/>
                <w:szCs w:val="20"/>
                <w:color w:val="auto"/>
              </w:rPr>
            </w:pPr>
            <w:r>
              <w:rPr>
                <w:rFonts w:ascii="Arial" w:cs="Arial" w:eastAsia="Arial" w:hAnsi="Arial"/>
                <w:sz w:val="7"/>
                <w:szCs w:val="7"/>
                <w:color w:val="auto"/>
              </w:rPr>
              <w:t>3,934</w:t>
            </w:r>
          </w:p>
        </w:tc>
        <w:tc>
          <w:tcPr>
            <w:tcW w:w="60" w:type="dxa"/>
            <w:vAlign w:val="bottom"/>
            <w:shd w:val="clear" w:color="auto" w:fill="CCEEFF"/>
          </w:tcPr>
          <w:p>
            <w:pPr>
              <w:spacing w:after="0"/>
              <w:rPr>
                <w:sz w:val="5"/>
                <w:szCs w:val="5"/>
                <w:color w:val="auto"/>
              </w:rPr>
            </w:pPr>
          </w:p>
        </w:tc>
      </w:tr>
      <w:tr>
        <w:trPr>
          <w:trHeight w:val="20"/>
        </w:trPr>
        <w:tc>
          <w:tcPr>
            <w:tcW w:w="9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8" w:right="180" w:firstLine="230"/>
        <w:spacing w:after="0" w:line="253" w:lineRule="auto"/>
        <w:rPr>
          <w:sz w:val="20"/>
          <w:szCs w:val="20"/>
          <w:color w:val="auto"/>
        </w:rPr>
      </w:pPr>
      <w:r>
        <w:rPr>
          <w:rFonts w:ascii="Arial" w:cs="Arial" w:eastAsia="Arial" w:hAnsi="Arial"/>
          <w:sz w:val="12"/>
          <w:szCs w:val="12"/>
          <w:color w:val="auto"/>
        </w:rPr>
        <w:t xml:space="preserve">Schlumberger recorded $225 million of pretax charges in 2011 ($106 million in the US and $119 million outside the US). Schlumberger recorded $621 million of net pretax credits in 2010 ($226 million of net charges in the US and $847 million of net credits outside the US) and $238 million of pretax charges in 2009 ($73 million in the US and $165 million outside the US). These charges and credits are included in the table above and are more fully described in Note 3 – </w:t>
      </w:r>
      <w:r>
        <w:rPr>
          <w:rFonts w:ascii="Arial" w:cs="Arial" w:eastAsia="Arial" w:hAnsi="Arial"/>
          <w:sz w:val="12"/>
          <w:szCs w:val="12"/>
          <w:i w:val="1"/>
          <w:iCs w:val="1"/>
          <w:color w:val="auto"/>
        </w:rPr>
        <w:t>Charges and Credits</w:t>
      </w:r>
      <w:r>
        <w:rPr>
          <w:rFonts w:ascii="Arial" w:cs="Arial" w:eastAsia="Arial" w:hAnsi="Arial"/>
          <w:sz w:val="12"/>
          <w:szCs w:val="12"/>
          <w:color w:val="auto"/>
        </w:rPr>
        <w:t>.</w:t>
      </w:r>
    </w:p>
    <w:p>
      <w:pPr>
        <w:ind w:left="468"/>
        <w:spacing w:after="0"/>
        <w:rPr>
          <w:sz w:val="20"/>
          <w:szCs w:val="20"/>
          <w:color w:val="auto"/>
        </w:rPr>
      </w:pPr>
      <w:r>
        <w:rPr>
          <w:rFonts w:ascii="Arial" w:cs="Arial" w:eastAsia="Arial" w:hAnsi="Arial"/>
          <w:sz w:val="12"/>
          <w:szCs w:val="12"/>
          <w:color w:val="auto"/>
        </w:rPr>
        <w:t>The components of net deferred tax assets (liabilities) were as follows:</w:t>
      </w:r>
    </w:p>
    <w:p>
      <w:pPr>
        <w:spacing w:after="0" w:line="100"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58</w:t>
      </w:r>
    </w:p>
    <w:p>
      <w:pPr>
        <w:sectPr>
          <w:pgSz w:w="11900" w:h="16838" w:orient="portrait"/>
          <w:cols w:equalWidth="0" w:num="1">
            <w:col w:w="11488"/>
          </w:cols>
          <w:pgMar w:left="212" w:top="354" w:right="199"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9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7"/>
          </w:tcPr>
          <w:p>
            <w:pPr>
              <w:jc w:val="right"/>
              <w:ind w:right="80"/>
              <w:spacing w:after="0"/>
              <w:rPr>
                <w:sz w:val="20"/>
                <w:szCs w:val="20"/>
                <w:color w:val="auto"/>
              </w:rPr>
            </w:pPr>
            <w:r>
              <w:rPr>
                <w:rFonts w:ascii="Arial" w:cs="Arial" w:eastAsia="Arial" w:hAnsi="Arial"/>
                <w:sz w:val="9"/>
                <w:szCs w:val="9"/>
                <w:b w:val="1"/>
                <w:bCs w:val="1"/>
                <w:color w:val="auto"/>
                <w:w w:val="84"/>
              </w:rPr>
              <w:t>(Stated in millions)</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99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79"/>
              </w:rPr>
              <w:t>2011</w:t>
            </w: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gridSpan w:val="3"/>
          </w:tcPr>
          <w:p>
            <w:pPr>
              <w:ind w:left="120"/>
              <w:spacing w:after="0"/>
              <w:rPr>
                <w:sz w:val="20"/>
                <w:szCs w:val="20"/>
                <w:color w:val="auto"/>
              </w:rPr>
            </w:pPr>
            <w:r>
              <w:rPr>
                <w:rFonts w:ascii="Arial" w:cs="Arial" w:eastAsia="Arial" w:hAnsi="Arial"/>
                <w:sz w:val="9"/>
                <w:szCs w:val="9"/>
                <w:color w:val="auto"/>
              </w:rPr>
              <w:t>2010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Postretirement benefits</w:t>
            </w: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gridSpan w:val="2"/>
            <w:shd w:val="clear" w:color="auto" w:fill="CCEEFF"/>
          </w:tcPr>
          <w:p>
            <w:pPr>
              <w:jc w:val="right"/>
              <w:ind w:right="60"/>
              <w:spacing w:after="0"/>
              <w:rPr>
                <w:sz w:val="20"/>
                <w:szCs w:val="20"/>
                <w:color w:val="auto"/>
              </w:rPr>
            </w:pPr>
            <w:r>
              <w:rPr>
                <w:rFonts w:ascii="Arial" w:cs="Arial" w:eastAsia="Arial" w:hAnsi="Arial"/>
                <w:sz w:val="5"/>
                <w:szCs w:val="5"/>
                <w:b w:val="1"/>
                <w:bCs w:val="1"/>
                <w:color w:val="auto"/>
                <w:w w:val="70"/>
              </w:rPr>
              <w:t>$</w:t>
            </w:r>
          </w:p>
        </w:tc>
        <w:tc>
          <w:tcPr>
            <w:tcW w:w="280" w:type="dxa"/>
            <w:vAlign w:val="bottom"/>
            <w:tcBorders>
              <w:right w:val="single" w:sz="8" w:color="CCEEFF"/>
            </w:tcBorders>
            <w:gridSpan w:val="3"/>
            <w:shd w:val="clear" w:color="auto" w:fill="CCEEFF"/>
          </w:tcPr>
          <w:p>
            <w:pPr>
              <w:ind w:left="140"/>
              <w:spacing w:after="0" w:line="88" w:lineRule="exact"/>
              <w:rPr>
                <w:sz w:val="20"/>
                <w:szCs w:val="20"/>
                <w:color w:val="auto"/>
              </w:rPr>
            </w:pPr>
            <w:r>
              <w:rPr>
                <w:rFonts w:ascii="Arial" w:cs="Arial" w:eastAsia="Arial" w:hAnsi="Arial"/>
                <w:sz w:val="8"/>
                <w:szCs w:val="8"/>
                <w:b w:val="1"/>
                <w:bCs w:val="1"/>
                <w:color w:val="auto"/>
                <w:w w:val="74"/>
              </w:rPr>
              <w:t>440</w:t>
            </w:r>
          </w:p>
        </w:tc>
        <w:tc>
          <w:tcPr>
            <w:tcW w:w="140" w:type="dxa"/>
            <w:vAlign w:val="bottom"/>
            <w:tcBorders>
              <w:right w:val="single" w:sz="8" w:color="CCEEFF"/>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60" w:type="dxa"/>
            <w:vAlign w:val="bottom"/>
            <w:tcBorders>
              <w:right w:val="single" w:sz="8" w:color="CCEEFF"/>
            </w:tcBorders>
            <w:shd w:val="clear" w:color="auto" w:fill="CCEEFF"/>
          </w:tcPr>
          <w:p>
            <w:pPr>
              <w:spacing w:after="0"/>
              <w:rPr>
                <w:sz w:val="7"/>
                <w:szCs w:val="7"/>
                <w:color w:val="auto"/>
              </w:rPr>
            </w:pPr>
          </w:p>
        </w:tc>
        <w:tc>
          <w:tcPr>
            <w:tcW w:w="22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327</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960" w:type="dxa"/>
            <w:vAlign w:val="bottom"/>
          </w:tcPr>
          <w:p>
            <w:pPr>
              <w:spacing w:after="0" w:line="99" w:lineRule="exact"/>
              <w:rPr>
                <w:sz w:val="20"/>
                <w:szCs w:val="20"/>
                <w:color w:val="auto"/>
              </w:rPr>
            </w:pPr>
            <w:r>
              <w:rPr>
                <w:rFonts w:ascii="Arial" w:cs="Arial" w:eastAsia="Arial" w:hAnsi="Arial"/>
                <w:sz w:val="9"/>
                <w:szCs w:val="9"/>
                <w:color w:val="auto"/>
              </w:rPr>
              <w:t>Intangible assets</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4"/>
          </w:tcPr>
          <w:p>
            <w:pPr>
              <w:jc w:val="right"/>
              <w:ind w:right="58"/>
              <w:spacing w:after="0" w:line="99" w:lineRule="exact"/>
              <w:rPr>
                <w:sz w:val="20"/>
                <w:szCs w:val="20"/>
                <w:color w:val="auto"/>
              </w:rPr>
            </w:pPr>
            <w:r>
              <w:rPr>
                <w:rFonts w:ascii="Arial" w:cs="Arial" w:eastAsia="Arial" w:hAnsi="Arial"/>
                <w:sz w:val="9"/>
                <w:szCs w:val="9"/>
                <w:b w:val="1"/>
                <w:bCs w:val="1"/>
                <w:color w:val="auto"/>
              </w:rPr>
              <w:t>(1,498)</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gridSpan w:val="3"/>
          </w:tcPr>
          <w:p>
            <w:pPr>
              <w:jc w:val="right"/>
              <w:ind w:right="40"/>
              <w:spacing w:after="0" w:line="99" w:lineRule="exact"/>
              <w:rPr>
                <w:sz w:val="20"/>
                <w:szCs w:val="20"/>
                <w:color w:val="auto"/>
              </w:rPr>
            </w:pPr>
            <w:r>
              <w:rPr>
                <w:rFonts w:ascii="Arial" w:cs="Arial" w:eastAsia="Arial" w:hAnsi="Arial"/>
                <w:sz w:val="9"/>
                <w:szCs w:val="9"/>
                <w:color w:val="auto"/>
                <w:w w:val="83"/>
              </w:rPr>
              <w:t>(1,674)</w:t>
            </w:r>
          </w:p>
        </w:tc>
        <w:tc>
          <w:tcPr>
            <w:tcW w:w="0" w:type="dxa"/>
            <w:vAlign w:val="bottom"/>
          </w:tcPr>
          <w:p>
            <w:pPr>
              <w:spacing w:after="0"/>
              <w:rPr>
                <w:sz w:val="1"/>
                <w:szCs w:val="1"/>
                <w:color w:val="auto"/>
              </w:rPr>
            </w:pPr>
          </w:p>
        </w:tc>
      </w:tr>
      <w:tr>
        <w:trPr>
          <w:trHeight w:val="99"/>
        </w:trPr>
        <w:tc>
          <w:tcPr>
            <w:tcW w:w="99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Investments in non-US subsidiaries</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tcBorders>
              <w:right w:val="single" w:sz="8" w:color="CCEEFF"/>
            </w:tcBorders>
            <w:gridSpan w:val="4"/>
            <w:shd w:val="clear" w:color="auto" w:fill="CCEEFF"/>
          </w:tcPr>
          <w:p>
            <w:pPr>
              <w:jc w:val="right"/>
              <w:ind w:right="58"/>
              <w:spacing w:after="0" w:line="99" w:lineRule="exact"/>
              <w:rPr>
                <w:sz w:val="20"/>
                <w:szCs w:val="20"/>
                <w:color w:val="auto"/>
              </w:rPr>
            </w:pPr>
            <w:r>
              <w:rPr>
                <w:rFonts w:ascii="Arial" w:cs="Arial" w:eastAsia="Arial" w:hAnsi="Arial"/>
                <w:sz w:val="9"/>
                <w:szCs w:val="9"/>
                <w:b w:val="1"/>
                <w:bCs w:val="1"/>
                <w:color w:val="auto"/>
              </w:rPr>
              <w:t>(349)</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3"/>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(353)</w:t>
            </w:r>
          </w:p>
        </w:tc>
        <w:tc>
          <w:tcPr>
            <w:tcW w:w="0" w:type="dxa"/>
            <w:vAlign w:val="bottom"/>
          </w:tcPr>
          <w:p>
            <w:pPr>
              <w:spacing w:after="0"/>
              <w:rPr>
                <w:sz w:val="1"/>
                <w:szCs w:val="1"/>
                <w:color w:val="auto"/>
              </w:rPr>
            </w:pPr>
          </w:p>
        </w:tc>
      </w:tr>
      <w:tr>
        <w:trPr>
          <w:trHeight w:val="99"/>
        </w:trPr>
        <w:tc>
          <w:tcPr>
            <w:tcW w:w="9980" w:type="dxa"/>
            <w:vAlign w:val="bottom"/>
            <w:gridSpan w:val="2"/>
          </w:tcPr>
          <w:p>
            <w:pPr>
              <w:spacing w:after="0" w:line="99" w:lineRule="exact"/>
              <w:rPr>
                <w:sz w:val="20"/>
                <w:szCs w:val="20"/>
                <w:color w:val="auto"/>
              </w:rPr>
            </w:pPr>
            <w:r>
              <w:rPr>
                <w:rFonts w:ascii="Arial" w:cs="Arial" w:eastAsia="Arial" w:hAnsi="Arial"/>
                <w:sz w:val="9"/>
                <w:szCs w:val="9"/>
                <w:color w:val="auto"/>
              </w:rPr>
              <w:t>Other, net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4"/>
          </w:tcPr>
          <w:p>
            <w:pPr>
              <w:ind w:left="140"/>
              <w:spacing w:after="0" w:line="99" w:lineRule="exact"/>
              <w:rPr>
                <w:sz w:val="20"/>
                <w:szCs w:val="20"/>
                <w:color w:val="auto"/>
              </w:rPr>
            </w:pPr>
            <w:r>
              <w:rPr>
                <w:rFonts w:ascii="Arial" w:cs="Arial" w:eastAsia="Arial" w:hAnsi="Arial"/>
                <w:sz w:val="9"/>
                <w:szCs w:val="9"/>
                <w:b w:val="1"/>
                <w:bCs w:val="1"/>
                <w:color w:val="auto"/>
              </w:rPr>
              <w:t>132</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gridSpan w:val="3"/>
          </w:tcPr>
          <w:p>
            <w:pPr>
              <w:jc w:val="right"/>
              <w:ind w:right="80"/>
              <w:spacing w:after="0" w:line="99" w:lineRule="exact"/>
              <w:rPr>
                <w:sz w:val="20"/>
                <w:szCs w:val="20"/>
                <w:color w:val="auto"/>
              </w:rPr>
            </w:pPr>
            <w:r>
              <w:rPr>
                <w:rFonts w:ascii="Arial" w:cs="Arial" w:eastAsia="Arial" w:hAnsi="Arial"/>
                <w:sz w:val="9"/>
                <w:szCs w:val="9"/>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99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gridSpan w:val="5"/>
            <w:shd w:val="clear" w:color="auto" w:fill="CCEEFF"/>
          </w:tcPr>
          <w:p>
            <w:pPr>
              <w:jc w:val="right"/>
              <w:ind w:right="60"/>
              <w:spacing w:after="0" w:line="75" w:lineRule="exact"/>
              <w:rPr>
                <w:sz w:val="20"/>
                <w:szCs w:val="20"/>
                <w:color w:val="auto"/>
              </w:rPr>
            </w:pPr>
            <w:r>
              <w:rPr>
                <w:rFonts w:ascii="Arial" w:cs="Arial" w:eastAsia="Arial" w:hAnsi="Arial"/>
                <w:sz w:val="8"/>
                <w:szCs w:val="8"/>
                <w:b w:val="1"/>
                <w:bCs w:val="1"/>
                <w:color w:val="auto"/>
              </w:rPr>
              <w:t>$</w:t>
            </w:r>
          </w:p>
        </w:tc>
        <w:tc>
          <w:tcPr>
            <w:tcW w:w="420" w:type="dxa"/>
            <w:vAlign w:val="bottom"/>
            <w:tcBorders>
              <w:right w:val="single" w:sz="8" w:color="CCEEFF"/>
            </w:tcBorders>
            <w:gridSpan w:val="4"/>
            <w:shd w:val="clear" w:color="auto" w:fill="CCEEFF"/>
          </w:tcPr>
          <w:p>
            <w:pPr>
              <w:jc w:val="right"/>
              <w:ind w:right="58"/>
              <w:spacing w:after="0" w:line="75" w:lineRule="exact"/>
              <w:rPr>
                <w:sz w:val="20"/>
                <w:szCs w:val="20"/>
                <w:color w:val="auto"/>
              </w:rPr>
            </w:pPr>
            <w:r>
              <w:rPr>
                <w:rFonts w:ascii="Arial" w:cs="Arial" w:eastAsia="Arial" w:hAnsi="Arial"/>
                <w:sz w:val="8"/>
                <w:szCs w:val="8"/>
                <w:b w:val="1"/>
                <w:bCs w:val="1"/>
                <w:color w:val="auto"/>
              </w:rPr>
              <w:t>(1,275)</w:t>
            </w: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60" w:type="dxa"/>
            <w:vAlign w:val="bottom"/>
            <w:tcBorders>
              <w:right w:val="single" w:sz="8" w:color="CCEEFF"/>
            </w:tcBorders>
            <w:shd w:val="clear" w:color="auto" w:fill="CCEEFF"/>
          </w:tcPr>
          <w:p>
            <w:pPr>
              <w:spacing w:after="0"/>
              <w:rPr>
                <w:sz w:val="6"/>
                <w:szCs w:val="6"/>
                <w:color w:val="auto"/>
              </w:rPr>
            </w:pPr>
          </w:p>
        </w:tc>
        <w:tc>
          <w:tcPr>
            <w:tcW w:w="300" w:type="dxa"/>
            <w:vAlign w:val="bottom"/>
            <w:gridSpan w:val="3"/>
            <w:shd w:val="clear" w:color="auto" w:fill="CCEEFF"/>
          </w:tcPr>
          <w:p>
            <w:pPr>
              <w:jc w:val="right"/>
              <w:ind w:right="40"/>
              <w:spacing w:after="0" w:line="75" w:lineRule="exact"/>
              <w:rPr>
                <w:sz w:val="20"/>
                <w:szCs w:val="20"/>
                <w:color w:val="auto"/>
              </w:rPr>
            </w:pPr>
            <w:r>
              <w:rPr>
                <w:rFonts w:ascii="Arial" w:cs="Arial" w:eastAsia="Arial" w:hAnsi="Arial"/>
                <w:sz w:val="8"/>
                <w:szCs w:val="8"/>
                <w:color w:val="auto"/>
                <w:w w:val="94"/>
              </w:rPr>
              <w:t>(1,585)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960" w:type="dxa"/>
            <w:vAlign w:val="bottom"/>
          </w:tcPr>
          <w:p>
            <w:pPr>
              <w:ind w:left="200"/>
              <w:spacing w:after="0"/>
              <w:rPr>
                <w:sz w:val="20"/>
                <w:szCs w:val="20"/>
                <w:color w:val="auto"/>
              </w:rPr>
            </w:pPr>
            <w:r>
              <w:rPr>
                <w:rFonts w:ascii="Arial" w:cs="Arial" w:eastAsia="Arial" w:hAnsi="Arial"/>
                <w:sz w:val="12"/>
                <w:szCs w:val="12"/>
                <w:color w:val="auto"/>
                <w:w w:val="93"/>
              </w:rPr>
              <w:t>The above deferred tax balances at December 31, 2011 and 2010 were net of valuation allowances relating to net operating losses in certain countries of $239 million and $263 million, respectively.</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960" w:type="dxa"/>
            <w:vAlign w:val="bottom"/>
          </w:tcPr>
          <w:p>
            <w:pPr>
              <w:ind w:left="200"/>
              <w:spacing w:after="0"/>
              <w:rPr>
                <w:sz w:val="20"/>
                <w:szCs w:val="20"/>
                <w:color w:val="auto"/>
              </w:rPr>
            </w:pPr>
            <w:r>
              <w:rPr>
                <w:rFonts w:ascii="Arial" w:cs="Arial" w:eastAsia="Arial" w:hAnsi="Arial"/>
                <w:sz w:val="12"/>
                <w:szCs w:val="12"/>
                <w:color w:val="auto"/>
              </w:rPr>
              <w:t xml:space="preserve">The components of </w:t>
            </w:r>
            <w:r>
              <w:rPr>
                <w:rFonts w:ascii="Arial" w:cs="Arial" w:eastAsia="Arial" w:hAnsi="Arial"/>
                <w:sz w:val="12"/>
                <w:szCs w:val="12"/>
                <w:i w:val="1"/>
                <w:iCs w:val="1"/>
                <w:color w:val="auto"/>
              </w:rPr>
              <w:t>Taxes on income</w:t>
            </w:r>
            <w:r>
              <w:rPr>
                <w:rFonts w:ascii="Arial" w:cs="Arial" w:eastAsia="Arial" w:hAnsi="Arial"/>
                <w:sz w:val="12"/>
                <w:szCs w:val="12"/>
                <w:color w:val="auto"/>
              </w:rPr>
              <w:t xml:space="preserve"> were as follows: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7"/>
          </w:tcPr>
          <w:p>
            <w:pPr>
              <w:jc w:val="right"/>
              <w:ind w:right="80"/>
              <w:spacing w:after="0"/>
              <w:rPr>
                <w:sz w:val="20"/>
                <w:szCs w:val="20"/>
                <w:color w:val="auto"/>
              </w:rPr>
            </w:pPr>
            <w:r>
              <w:rPr>
                <w:rFonts w:ascii="Arial" w:cs="Arial" w:eastAsia="Arial" w:hAnsi="Arial"/>
                <w:sz w:val="9"/>
                <w:szCs w:val="9"/>
                <w:b w:val="1"/>
                <w:bCs w:val="1"/>
                <w:color w:val="auto"/>
                <w:w w:val="84"/>
              </w:rPr>
              <w:t>(Stated in millions)</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99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9"/>
                <w:szCs w:val="9"/>
                <w:b w:val="1"/>
                <w:bCs w:val="1"/>
                <w:color w:val="auto"/>
                <w:w w:val="89"/>
              </w:rPr>
              <w:t>2011</w:t>
            </w: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w w:val="79"/>
              </w:rPr>
              <w:t>2010</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2009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9960" w:type="dxa"/>
            <w:vAlign w:val="bottom"/>
            <w:shd w:val="clear" w:color="auto" w:fill="CCEEFF"/>
          </w:tcPr>
          <w:p>
            <w:pPr>
              <w:spacing w:after="0" w:line="79" w:lineRule="exact"/>
              <w:rPr>
                <w:sz w:val="20"/>
                <w:szCs w:val="20"/>
                <w:color w:val="auto"/>
              </w:rPr>
            </w:pPr>
            <w:r>
              <w:rPr>
                <w:rFonts w:ascii="Arial" w:cs="Arial" w:eastAsia="Arial" w:hAnsi="Arial"/>
                <w:sz w:val="9"/>
                <w:szCs w:val="9"/>
                <w:color w:val="auto"/>
              </w:rPr>
              <w:t>Current:</w:t>
            </w: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20" w:type="dxa"/>
            <w:vAlign w:val="bottom"/>
            <w:tcBorders>
              <w:right w:val="single" w:sz="8" w:color="CCEEFF"/>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tcBorders>
              <w:right w:val="single" w:sz="8" w:color="CCEEFF"/>
            </w:tcBorders>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tcBorders>
              <w:right w:val="single" w:sz="8" w:color="CCEEFF"/>
            </w:tcBorders>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960" w:type="dxa"/>
            <w:vAlign w:val="bottom"/>
          </w:tcPr>
          <w:p>
            <w:pPr>
              <w:spacing w:after="0" w:line="99" w:lineRule="exact"/>
              <w:rPr>
                <w:sz w:val="20"/>
                <w:szCs w:val="20"/>
                <w:color w:val="auto"/>
              </w:rPr>
            </w:pPr>
            <w:r>
              <w:rPr>
                <w:rFonts w:ascii="Arial" w:cs="Arial" w:eastAsia="Arial" w:hAnsi="Arial"/>
                <w:sz w:val="9"/>
                <w:szCs w:val="9"/>
                <w:color w:val="auto"/>
              </w:rPr>
              <w:t>United States – Federal</w:t>
            </w:r>
          </w:p>
        </w:tc>
        <w:tc>
          <w:tcPr>
            <w:tcW w:w="4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28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842</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2"/>
          </w:tcPr>
          <w:p>
            <w:pPr>
              <w:ind w:left="140"/>
              <w:spacing w:after="0" w:line="99" w:lineRule="exact"/>
              <w:rPr>
                <w:sz w:val="20"/>
                <w:szCs w:val="20"/>
                <w:color w:val="auto"/>
              </w:rPr>
            </w:pPr>
            <w:r>
              <w:rPr>
                <w:rFonts w:ascii="Arial" w:cs="Arial" w:eastAsia="Arial" w:hAnsi="Arial"/>
                <w:sz w:val="9"/>
                <w:szCs w:val="9"/>
                <w:color w:val="auto"/>
                <w:w w:val="78"/>
              </w:rPr>
              <w:t>$</w:t>
            </w:r>
          </w:p>
        </w:tc>
        <w:tc>
          <w:tcPr>
            <w:tcW w:w="220" w:type="dxa"/>
            <w:vAlign w:val="bottom"/>
            <w:gridSpan w:val="2"/>
          </w:tcPr>
          <w:p>
            <w:pPr>
              <w:jc w:val="right"/>
              <w:spacing w:after="0" w:line="99" w:lineRule="exact"/>
              <w:rPr>
                <w:sz w:val="20"/>
                <w:szCs w:val="20"/>
                <w:color w:val="auto"/>
              </w:rPr>
            </w:pPr>
            <w:r>
              <w:rPr>
                <w:rFonts w:ascii="Arial" w:cs="Arial" w:eastAsia="Arial" w:hAnsi="Arial"/>
                <w:sz w:val="9"/>
                <w:szCs w:val="9"/>
                <w:color w:val="auto"/>
              </w:rPr>
              <w:t>76</w:t>
            </w:r>
          </w:p>
        </w:tc>
        <w:tc>
          <w:tcPr>
            <w:tcW w:w="160" w:type="dxa"/>
            <w:vAlign w:val="bottom"/>
          </w:tcPr>
          <w:p>
            <w:pPr>
              <w:spacing w:after="0"/>
              <w:rPr>
                <w:sz w:val="8"/>
                <w:szCs w:val="8"/>
                <w:color w:val="auto"/>
              </w:rPr>
            </w:pPr>
          </w:p>
        </w:tc>
        <w:tc>
          <w:tcPr>
            <w:tcW w:w="180" w:type="dxa"/>
            <w:vAlign w:val="bottom"/>
            <w:gridSpan w:val="2"/>
          </w:tcPr>
          <w:p>
            <w:pPr>
              <w:ind w:left="120"/>
              <w:spacing w:after="0"/>
              <w:rPr>
                <w:sz w:val="20"/>
                <w:szCs w:val="20"/>
                <w:color w:val="auto"/>
              </w:rPr>
            </w:pPr>
            <w:r>
              <w:rPr>
                <w:rFonts w:ascii="Arial" w:cs="Arial" w:eastAsia="Arial" w:hAnsi="Arial"/>
                <w:sz w:val="5"/>
                <w:szCs w:val="5"/>
                <w:color w:val="auto"/>
                <w:w w:val="70"/>
              </w:rPr>
              <w:t>$</w:t>
            </w:r>
          </w:p>
        </w:tc>
        <w:tc>
          <w:tcPr>
            <w:tcW w:w="300" w:type="dxa"/>
            <w:vAlign w:val="bottom"/>
            <w:gridSpan w:val="3"/>
          </w:tcPr>
          <w:p>
            <w:pPr>
              <w:jc w:val="right"/>
              <w:ind w:right="40"/>
              <w:spacing w:after="0" w:line="99" w:lineRule="exact"/>
              <w:rPr>
                <w:sz w:val="20"/>
                <w:szCs w:val="20"/>
                <w:color w:val="auto"/>
              </w:rPr>
            </w:pPr>
            <w:r>
              <w:rPr>
                <w:rFonts w:ascii="Arial" w:cs="Arial" w:eastAsia="Arial" w:hAnsi="Arial"/>
                <w:sz w:val="9"/>
                <w:szCs w:val="9"/>
                <w:color w:val="auto"/>
              </w:rPr>
              <w:t>(191)</w:t>
            </w:r>
          </w:p>
        </w:tc>
        <w:tc>
          <w:tcPr>
            <w:tcW w:w="0" w:type="dxa"/>
            <w:vAlign w:val="bottom"/>
          </w:tcPr>
          <w:p>
            <w:pPr>
              <w:spacing w:after="0"/>
              <w:rPr>
                <w:sz w:val="1"/>
                <w:szCs w:val="1"/>
                <w:color w:val="auto"/>
              </w:rPr>
            </w:pPr>
          </w:p>
        </w:tc>
      </w:tr>
      <w:tr>
        <w:trPr>
          <w:trHeight w:val="99"/>
        </w:trPr>
        <w:tc>
          <w:tcPr>
            <w:tcW w:w="99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United States – State</w:t>
            </w:r>
          </w:p>
        </w:tc>
        <w:tc>
          <w:tcPr>
            <w:tcW w:w="40" w:type="dxa"/>
            <w:vAlign w:val="bottom"/>
            <w:shd w:val="clear" w:color="auto" w:fill="CCEEFF"/>
          </w:tcPr>
          <w:p>
            <w:pPr>
              <w:spacing w:after="0"/>
              <w:rPr>
                <w:sz w:val="8"/>
                <w:szCs w:val="8"/>
                <w:color w:val="auto"/>
              </w:rPr>
            </w:pPr>
          </w:p>
        </w:tc>
        <w:tc>
          <w:tcPr>
            <w:tcW w:w="280" w:type="dxa"/>
            <w:vAlign w:val="bottom"/>
            <w:tcBorders>
              <w:right w:val="single" w:sz="8" w:color="CCEEFF"/>
            </w:tcBorders>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45</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tcBorders>
              <w:right w:val="single" w:sz="8" w:color="CCEEFF"/>
            </w:tcBorders>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14</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3"/>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99"/>
        </w:trPr>
        <w:tc>
          <w:tcPr>
            <w:tcW w:w="9980" w:type="dxa"/>
            <w:vAlign w:val="bottom"/>
            <w:gridSpan w:val="2"/>
          </w:tcPr>
          <w:p>
            <w:pPr>
              <w:spacing w:after="0" w:line="99" w:lineRule="exact"/>
              <w:rPr>
                <w:sz w:val="20"/>
                <w:szCs w:val="20"/>
                <w:color w:val="auto"/>
              </w:rPr>
            </w:pPr>
            <w:r>
              <w:rPr>
                <w:rFonts w:ascii="Arial" w:cs="Arial" w:eastAsia="Arial" w:hAnsi="Arial"/>
                <w:sz w:val="9"/>
                <w:szCs w:val="9"/>
                <w:color w:val="auto"/>
              </w:rPr>
              <w:t>Outside United States</w:t>
            </w:r>
          </w:p>
        </w:tc>
        <w:tc>
          <w:tcPr>
            <w:tcW w:w="40" w:type="dxa"/>
            <w:vAlign w:val="bottom"/>
          </w:tcPr>
          <w:p>
            <w:pPr>
              <w:spacing w:after="0"/>
              <w:rPr>
                <w:sz w:val="8"/>
                <w:szCs w:val="8"/>
                <w:color w:val="auto"/>
              </w:rPr>
            </w:pPr>
          </w:p>
        </w:tc>
        <w:tc>
          <w:tcPr>
            <w:tcW w:w="28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693</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jc w:val="right"/>
              <w:spacing w:after="0" w:line="99" w:lineRule="exact"/>
              <w:rPr>
                <w:sz w:val="20"/>
                <w:szCs w:val="20"/>
                <w:color w:val="auto"/>
              </w:rPr>
            </w:pPr>
            <w:r>
              <w:rPr>
                <w:rFonts w:ascii="Arial" w:cs="Arial" w:eastAsia="Arial" w:hAnsi="Arial"/>
                <w:sz w:val="9"/>
                <w:szCs w:val="9"/>
                <w:color w:val="auto"/>
              </w:rPr>
              <w:t>909</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jc w:val="right"/>
              <w:spacing w:after="0" w:line="99" w:lineRule="exact"/>
              <w:rPr>
                <w:sz w:val="20"/>
                <w:szCs w:val="20"/>
                <w:color w:val="auto"/>
              </w:rPr>
            </w:pPr>
            <w:r>
              <w:rPr>
                <w:rFonts w:ascii="Arial" w:cs="Arial" w:eastAsia="Arial" w:hAnsi="Arial"/>
                <w:sz w:val="9"/>
                <w:szCs w:val="9"/>
                <w:color w:val="auto"/>
              </w:rPr>
              <w:t>594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9960" w:type="dxa"/>
            <w:vAlign w:val="bottom"/>
            <w:shd w:val="clear" w:color="auto" w:fill="CCEEFF"/>
          </w:tcPr>
          <w:p>
            <w:pPr>
              <w:spacing w:after="0"/>
              <w:rPr>
                <w:sz w:val="6"/>
                <w:szCs w:val="6"/>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280" w:type="dxa"/>
            <w:vAlign w:val="bottom"/>
            <w:tcBorders>
              <w:right w:val="single" w:sz="8" w:color="CCEEFF"/>
            </w:tcBorders>
            <w:gridSpan w:val="2"/>
            <w:shd w:val="clear" w:color="auto" w:fill="CCEEFF"/>
          </w:tcPr>
          <w:p>
            <w:pPr>
              <w:jc w:val="right"/>
              <w:spacing w:after="0" w:line="75" w:lineRule="exact"/>
              <w:rPr>
                <w:sz w:val="20"/>
                <w:szCs w:val="20"/>
                <w:color w:val="auto"/>
              </w:rPr>
            </w:pPr>
            <w:r>
              <w:rPr>
                <w:rFonts w:ascii="Arial" w:cs="Arial" w:eastAsia="Arial" w:hAnsi="Arial"/>
                <w:sz w:val="8"/>
                <w:szCs w:val="8"/>
                <w:b w:val="1"/>
                <w:bCs w:val="1"/>
                <w:color w:val="auto"/>
              </w:rPr>
              <w:t>1,580</w:t>
            </w: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gridSpan w:val="2"/>
            <w:shd w:val="clear" w:color="auto" w:fill="CCEEFF"/>
          </w:tcPr>
          <w:p>
            <w:pPr>
              <w:ind w:left="140"/>
              <w:spacing w:after="0" w:line="75" w:lineRule="exact"/>
              <w:rPr>
                <w:sz w:val="20"/>
                <w:szCs w:val="20"/>
                <w:color w:val="auto"/>
              </w:rPr>
            </w:pPr>
            <w:r>
              <w:rPr>
                <w:rFonts w:ascii="Arial" w:cs="Arial" w:eastAsia="Arial" w:hAnsi="Arial"/>
                <w:sz w:val="8"/>
                <w:szCs w:val="8"/>
                <w:color w:val="auto"/>
                <w:w w:val="88"/>
              </w:rPr>
              <w:t>$</w:t>
            </w:r>
          </w:p>
        </w:tc>
        <w:tc>
          <w:tcPr>
            <w:tcW w:w="220" w:type="dxa"/>
            <w:vAlign w:val="bottom"/>
            <w:tcBorders>
              <w:right w:val="single" w:sz="8" w:color="CCEEFF"/>
            </w:tcBorders>
            <w:gridSpan w:val="2"/>
            <w:shd w:val="clear" w:color="auto" w:fill="CCEEFF"/>
          </w:tcPr>
          <w:p>
            <w:pPr>
              <w:jc w:val="right"/>
              <w:spacing w:after="0" w:line="75" w:lineRule="exact"/>
              <w:rPr>
                <w:sz w:val="20"/>
                <w:szCs w:val="20"/>
                <w:color w:val="auto"/>
              </w:rPr>
            </w:pPr>
            <w:r>
              <w:rPr>
                <w:rFonts w:ascii="Arial" w:cs="Arial" w:eastAsia="Arial" w:hAnsi="Arial"/>
                <w:sz w:val="8"/>
                <w:szCs w:val="8"/>
                <w:color w:val="auto"/>
              </w:rPr>
              <w:t>999</w:t>
            </w:r>
          </w:p>
        </w:tc>
        <w:tc>
          <w:tcPr>
            <w:tcW w:w="160" w:type="dxa"/>
            <w:vAlign w:val="bottom"/>
            <w:shd w:val="clear" w:color="auto" w:fill="CCEEFF"/>
          </w:tcPr>
          <w:p>
            <w:pPr>
              <w:spacing w:after="0"/>
              <w:rPr>
                <w:sz w:val="6"/>
                <w:szCs w:val="6"/>
                <w:color w:val="auto"/>
              </w:rPr>
            </w:pPr>
          </w:p>
        </w:tc>
        <w:tc>
          <w:tcPr>
            <w:tcW w:w="18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220" w:type="dxa"/>
            <w:vAlign w:val="bottom"/>
            <w:gridSpan w:val="2"/>
            <w:shd w:val="clear" w:color="auto" w:fill="CCEEFF"/>
          </w:tcPr>
          <w:p>
            <w:pPr>
              <w:jc w:val="right"/>
              <w:spacing w:after="0" w:line="75" w:lineRule="exact"/>
              <w:rPr>
                <w:sz w:val="20"/>
                <w:szCs w:val="20"/>
                <w:color w:val="auto"/>
              </w:rPr>
            </w:pPr>
            <w:r>
              <w:rPr>
                <w:rFonts w:ascii="Arial" w:cs="Arial" w:eastAsia="Arial" w:hAnsi="Arial"/>
                <w:sz w:val="8"/>
                <w:szCs w:val="8"/>
                <w:color w:val="auto"/>
              </w:rPr>
              <w:t>397</w:t>
            </w: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9980" w:type="dxa"/>
            <w:vAlign w:val="bottom"/>
            <w:gridSpan w:val="2"/>
          </w:tcPr>
          <w:p>
            <w:pPr>
              <w:spacing w:after="0" w:line="98" w:lineRule="exact"/>
              <w:rPr>
                <w:sz w:val="20"/>
                <w:szCs w:val="20"/>
                <w:color w:val="auto"/>
              </w:rPr>
            </w:pPr>
            <w:r>
              <w:rPr>
                <w:rFonts w:ascii="Arial" w:cs="Arial" w:eastAsia="Arial" w:hAnsi="Arial"/>
                <w:sz w:val="9"/>
                <w:szCs w:val="9"/>
                <w:color w:val="auto"/>
              </w:rPr>
              <w:t>Deferred:</w:t>
            </w: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9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United States – Federal</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00" w:type="dxa"/>
            <w:vAlign w:val="bottom"/>
            <w:gridSpan w:val="3"/>
            <w:shd w:val="clear" w:color="auto" w:fill="CCEEFF"/>
          </w:tcPr>
          <w:p>
            <w:pPr>
              <w:jc w:val="right"/>
              <w:ind w:right="20"/>
              <w:spacing w:after="0" w:line="99" w:lineRule="exact"/>
              <w:rPr>
                <w:sz w:val="20"/>
                <w:szCs w:val="20"/>
                <w:color w:val="auto"/>
              </w:rPr>
            </w:pPr>
            <w:r>
              <w:rPr>
                <w:rFonts w:ascii="Arial" w:cs="Arial" w:eastAsia="Arial" w:hAnsi="Arial"/>
                <w:sz w:val="9"/>
                <w:szCs w:val="9"/>
                <w:b w:val="1"/>
                <w:bCs w:val="1"/>
                <w:color w:val="auto"/>
              </w:rPr>
              <w:t>(80)</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gridSpan w:val="2"/>
            <w:shd w:val="clear" w:color="auto" w:fill="CCEEFF"/>
          </w:tcPr>
          <w:p>
            <w:pPr>
              <w:ind w:left="140"/>
              <w:spacing w:after="0" w:line="99" w:lineRule="exact"/>
              <w:rPr>
                <w:sz w:val="20"/>
                <w:szCs w:val="20"/>
                <w:color w:val="auto"/>
              </w:rPr>
            </w:pPr>
            <w:r>
              <w:rPr>
                <w:rFonts w:ascii="Arial" w:cs="Arial" w:eastAsia="Arial" w:hAnsi="Arial"/>
                <w:sz w:val="9"/>
                <w:szCs w:val="9"/>
                <w:color w:val="auto"/>
                <w:w w:val="78"/>
              </w:rPr>
              <w:t>$</w:t>
            </w:r>
          </w:p>
        </w:tc>
        <w:tc>
          <w:tcPr>
            <w:tcW w:w="220" w:type="dxa"/>
            <w:vAlign w:val="bottom"/>
            <w:tcBorders>
              <w:right w:val="single" w:sz="8" w:color="CCEEFF"/>
            </w:tcBorders>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183</w:t>
            </w:r>
          </w:p>
        </w:tc>
        <w:tc>
          <w:tcPr>
            <w:tcW w:w="160" w:type="dxa"/>
            <w:vAlign w:val="bottom"/>
            <w:shd w:val="clear" w:color="auto" w:fill="CCEEFF"/>
          </w:tcPr>
          <w:p>
            <w:pPr>
              <w:spacing w:after="0"/>
              <w:rPr>
                <w:sz w:val="8"/>
                <w:szCs w:val="8"/>
                <w:color w:val="auto"/>
              </w:rPr>
            </w:pPr>
          </w:p>
        </w:tc>
        <w:tc>
          <w:tcPr>
            <w:tcW w:w="18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2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247</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980" w:type="dxa"/>
            <w:vAlign w:val="bottom"/>
            <w:gridSpan w:val="2"/>
          </w:tcPr>
          <w:p>
            <w:pPr>
              <w:spacing w:after="0" w:line="99" w:lineRule="exact"/>
              <w:rPr>
                <w:sz w:val="20"/>
                <w:szCs w:val="20"/>
                <w:color w:val="auto"/>
              </w:rPr>
            </w:pPr>
            <w:r>
              <w:rPr>
                <w:rFonts w:ascii="Arial" w:cs="Arial" w:eastAsia="Arial" w:hAnsi="Arial"/>
                <w:sz w:val="9"/>
                <w:szCs w:val="9"/>
                <w:color w:val="auto"/>
              </w:rPr>
              <w:t>United States – State</w:t>
            </w:r>
          </w:p>
        </w:tc>
        <w:tc>
          <w:tcPr>
            <w:tcW w:w="40" w:type="dxa"/>
            <w:vAlign w:val="bottom"/>
          </w:tcPr>
          <w:p>
            <w:pPr>
              <w:spacing w:after="0"/>
              <w:rPr>
                <w:sz w:val="8"/>
                <w:szCs w:val="8"/>
                <w:color w:val="auto"/>
              </w:rPr>
            </w:pPr>
          </w:p>
        </w:tc>
        <w:tc>
          <w:tcPr>
            <w:tcW w:w="300" w:type="dxa"/>
            <w:vAlign w:val="bottom"/>
            <w:gridSpan w:val="3"/>
          </w:tcPr>
          <w:p>
            <w:pPr>
              <w:jc w:val="right"/>
              <w:ind w:right="20"/>
              <w:spacing w:after="0" w:line="99" w:lineRule="exact"/>
              <w:rPr>
                <w:sz w:val="20"/>
                <w:szCs w:val="20"/>
                <w:color w:val="auto"/>
              </w:rPr>
            </w:pPr>
            <w:r>
              <w:rPr>
                <w:rFonts w:ascii="Arial" w:cs="Arial" w:eastAsia="Arial" w:hAnsi="Arial"/>
                <w:sz w:val="9"/>
                <w:szCs w:val="9"/>
                <w:b w:val="1"/>
                <w:bCs w:val="1"/>
                <w:color w:val="auto"/>
              </w:rPr>
              <w:t>(7)</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gridSpan w:val="2"/>
          </w:tcPr>
          <w:p>
            <w:pPr>
              <w:jc w:val="right"/>
              <w:spacing w:after="0" w:line="99" w:lineRule="exact"/>
              <w:rPr>
                <w:sz w:val="20"/>
                <w:szCs w:val="20"/>
                <w:color w:val="auto"/>
              </w:rPr>
            </w:pPr>
            <w:r>
              <w:rPr>
                <w:rFonts w:ascii="Arial" w:cs="Arial" w:eastAsia="Arial" w:hAnsi="Arial"/>
                <w:sz w:val="9"/>
                <w:szCs w:val="9"/>
                <w:color w:val="auto"/>
              </w:rPr>
              <w:t>2</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gridSpan w:val="2"/>
          </w:tcPr>
          <w:p>
            <w:pPr>
              <w:jc w:val="right"/>
              <w:spacing w:after="0" w:line="99" w:lineRule="exact"/>
              <w:rPr>
                <w:sz w:val="20"/>
                <w:szCs w:val="20"/>
                <w:color w:val="auto"/>
              </w:rPr>
            </w:pPr>
            <w:r>
              <w:rPr>
                <w:rFonts w:ascii="Arial" w:cs="Arial" w:eastAsia="Arial" w:hAnsi="Arial"/>
                <w:sz w:val="9"/>
                <w:szCs w:val="9"/>
                <w:color w:val="auto"/>
              </w:rPr>
              <w:t>13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9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Outside United States</w:t>
            </w:r>
          </w:p>
        </w:tc>
        <w:tc>
          <w:tcPr>
            <w:tcW w:w="40" w:type="dxa"/>
            <w:vAlign w:val="bottom"/>
            <w:shd w:val="clear" w:color="auto" w:fill="CCEEFF"/>
          </w:tcPr>
          <w:p>
            <w:pPr>
              <w:spacing w:after="0"/>
              <w:rPr>
                <w:sz w:val="8"/>
                <w:szCs w:val="8"/>
                <w:color w:val="auto"/>
              </w:rPr>
            </w:pPr>
          </w:p>
        </w:tc>
        <w:tc>
          <w:tcPr>
            <w:tcW w:w="280" w:type="dxa"/>
            <w:vAlign w:val="bottom"/>
            <w:tcBorders>
              <w:right w:val="single" w:sz="8" w:color="CCEEFF"/>
            </w:tcBorders>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73</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140"/>
              <w:spacing w:after="0" w:line="99" w:lineRule="exact"/>
              <w:rPr>
                <w:sz w:val="20"/>
                <w:szCs w:val="20"/>
                <w:color w:val="auto"/>
              </w:rPr>
            </w:pPr>
            <w:r>
              <w:rPr>
                <w:rFonts w:ascii="Arial" w:cs="Arial" w:eastAsia="Arial" w:hAnsi="Arial"/>
                <w:sz w:val="9"/>
                <w:szCs w:val="9"/>
                <w:color w:val="auto"/>
              </w:rPr>
              <w:t>(281)</w:t>
            </w:r>
          </w:p>
        </w:tc>
        <w:tc>
          <w:tcPr>
            <w:tcW w:w="120" w:type="dxa"/>
            <w:vAlign w:val="bottom"/>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2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86</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980" w:type="dxa"/>
            <w:vAlign w:val="bottom"/>
            <w:gridSpan w:val="2"/>
          </w:tcPr>
          <w:p>
            <w:pPr>
              <w:spacing w:after="0" w:line="99" w:lineRule="exact"/>
              <w:rPr>
                <w:sz w:val="20"/>
                <w:szCs w:val="20"/>
                <w:color w:val="auto"/>
              </w:rPr>
            </w:pPr>
            <w:r>
              <w:rPr>
                <w:rFonts w:ascii="Arial" w:cs="Arial" w:eastAsia="Arial" w:hAnsi="Arial"/>
                <w:sz w:val="9"/>
                <w:szCs w:val="9"/>
                <w:color w:val="auto"/>
              </w:rPr>
              <w:t>Valuation allowance</w:t>
            </w:r>
          </w:p>
        </w:tc>
        <w:tc>
          <w:tcPr>
            <w:tcW w:w="40" w:type="dxa"/>
            <w:vAlign w:val="bottom"/>
          </w:tcPr>
          <w:p>
            <w:pPr>
              <w:spacing w:after="0"/>
              <w:rPr>
                <w:sz w:val="8"/>
                <w:szCs w:val="8"/>
                <w:color w:val="auto"/>
              </w:rPr>
            </w:pPr>
          </w:p>
        </w:tc>
        <w:tc>
          <w:tcPr>
            <w:tcW w:w="300" w:type="dxa"/>
            <w:vAlign w:val="bottom"/>
            <w:gridSpan w:val="3"/>
          </w:tcPr>
          <w:p>
            <w:pPr>
              <w:jc w:val="right"/>
              <w:ind w:right="20"/>
              <w:spacing w:after="0" w:line="99" w:lineRule="exact"/>
              <w:rPr>
                <w:sz w:val="20"/>
                <w:szCs w:val="20"/>
                <w:color w:val="auto"/>
              </w:rPr>
            </w:pPr>
            <w:r>
              <w:rPr>
                <w:rFonts w:ascii="Arial" w:cs="Arial" w:eastAsia="Arial" w:hAnsi="Arial"/>
                <w:sz w:val="9"/>
                <w:szCs w:val="9"/>
                <w:b w:val="1"/>
                <w:bCs w:val="1"/>
                <w:color w:val="auto"/>
              </w:rPr>
              <w:t>(21)</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140"/>
              <w:spacing w:after="0" w:line="99" w:lineRule="exact"/>
              <w:rPr>
                <w:sz w:val="20"/>
                <w:szCs w:val="20"/>
                <w:color w:val="auto"/>
              </w:rPr>
            </w:pPr>
            <w:r>
              <w:rPr>
                <w:rFonts w:ascii="Arial" w:cs="Arial" w:eastAsia="Arial" w:hAnsi="Arial"/>
                <w:sz w:val="9"/>
                <w:szCs w:val="9"/>
                <w:color w:val="auto"/>
              </w:rPr>
              <w:t>(13)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gridSpan w:val="2"/>
          </w:tcPr>
          <w:p>
            <w:pPr>
              <w:jc w:val="right"/>
              <w:spacing w:after="0" w:line="99" w:lineRule="exact"/>
              <w:rPr>
                <w:sz w:val="20"/>
                <w:szCs w:val="20"/>
                <w:color w:val="auto"/>
              </w:rPr>
            </w:pPr>
            <w:r>
              <w:rPr>
                <w:rFonts w:ascii="Arial" w:cs="Arial" w:eastAsia="Arial" w:hAnsi="Arial"/>
                <w:sz w:val="9"/>
                <w:szCs w:val="9"/>
                <w:color w:val="auto"/>
              </w:rPr>
              <w:t>27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9960" w:type="dxa"/>
            <w:vAlign w:val="bottom"/>
            <w:shd w:val="clear" w:color="auto" w:fill="CCEEFF"/>
          </w:tcPr>
          <w:p>
            <w:pPr>
              <w:spacing w:after="0"/>
              <w:rPr>
                <w:sz w:val="6"/>
                <w:szCs w:val="6"/>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00" w:type="dxa"/>
            <w:vAlign w:val="bottom"/>
            <w:gridSpan w:val="3"/>
            <w:shd w:val="clear" w:color="auto" w:fill="CCEEFF"/>
          </w:tcPr>
          <w:p>
            <w:pPr>
              <w:jc w:val="right"/>
              <w:ind w:right="20"/>
              <w:spacing w:after="0" w:line="75" w:lineRule="exact"/>
              <w:rPr>
                <w:sz w:val="20"/>
                <w:szCs w:val="20"/>
                <w:color w:val="auto"/>
              </w:rPr>
            </w:pPr>
            <w:r>
              <w:rPr>
                <w:rFonts w:ascii="Arial" w:cs="Arial" w:eastAsia="Arial" w:hAnsi="Arial"/>
                <w:sz w:val="8"/>
                <w:szCs w:val="8"/>
                <w:b w:val="1"/>
                <w:bCs w:val="1"/>
                <w:color w:val="auto"/>
              </w:rPr>
              <w:t>(35)</w:t>
            </w: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line="75" w:lineRule="exact"/>
              <w:rPr>
                <w:sz w:val="20"/>
                <w:szCs w:val="20"/>
                <w:color w:val="auto"/>
              </w:rPr>
            </w:pPr>
            <w:r>
              <w:rPr>
                <w:rFonts w:ascii="Arial" w:cs="Arial" w:eastAsia="Arial" w:hAnsi="Arial"/>
                <w:sz w:val="8"/>
                <w:szCs w:val="8"/>
                <w:color w:val="auto"/>
                <w:w w:val="88"/>
              </w:rPr>
              <w:t>$</w:t>
            </w:r>
          </w:p>
        </w:tc>
        <w:tc>
          <w:tcPr>
            <w:tcW w:w="380" w:type="dxa"/>
            <w:vAlign w:val="bottom"/>
            <w:gridSpan w:val="3"/>
            <w:shd w:val="clear" w:color="auto" w:fill="CCEEFF"/>
          </w:tcPr>
          <w:p>
            <w:pPr>
              <w:jc w:val="right"/>
              <w:ind w:right="140"/>
              <w:spacing w:after="0" w:line="75" w:lineRule="exact"/>
              <w:rPr>
                <w:sz w:val="20"/>
                <w:szCs w:val="20"/>
                <w:color w:val="auto"/>
              </w:rPr>
            </w:pPr>
            <w:r>
              <w:rPr>
                <w:rFonts w:ascii="Arial" w:cs="Arial" w:eastAsia="Arial" w:hAnsi="Arial"/>
                <w:sz w:val="8"/>
                <w:szCs w:val="8"/>
                <w:color w:val="auto"/>
              </w:rPr>
              <w:t>(109)</w:t>
            </w:r>
          </w:p>
        </w:tc>
        <w:tc>
          <w:tcPr>
            <w:tcW w:w="18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220" w:type="dxa"/>
            <w:vAlign w:val="bottom"/>
            <w:gridSpan w:val="2"/>
            <w:shd w:val="clear" w:color="auto" w:fill="CCEEFF"/>
          </w:tcPr>
          <w:p>
            <w:pPr>
              <w:jc w:val="right"/>
              <w:spacing w:after="0" w:line="75" w:lineRule="exact"/>
              <w:rPr>
                <w:sz w:val="20"/>
                <w:szCs w:val="20"/>
                <w:color w:val="auto"/>
              </w:rPr>
            </w:pPr>
            <w:r>
              <w:rPr>
                <w:rFonts w:ascii="Arial" w:cs="Arial" w:eastAsia="Arial" w:hAnsi="Arial"/>
                <w:sz w:val="8"/>
                <w:szCs w:val="8"/>
                <w:color w:val="auto"/>
              </w:rPr>
              <w:t>373</w:t>
            </w: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Borders>
              <w:top w:val="single" w:sz="8" w:color="auto"/>
            </w:tcBorders>
            <w:vMerge w:val="restart"/>
          </w:tcPr>
          <w:p>
            <w:pPr>
              <w:spacing w:after="0"/>
              <w:rPr>
                <w:sz w:val="20"/>
                <w:szCs w:val="20"/>
                <w:color w:val="auto"/>
              </w:rPr>
            </w:pPr>
            <w:r>
              <w:rPr>
                <w:rFonts w:ascii="Arial" w:cs="Arial" w:eastAsia="Arial" w:hAnsi="Arial"/>
                <w:sz w:val="9"/>
                <w:szCs w:val="9"/>
                <w:color w:val="auto"/>
                <w:w w:val="78"/>
              </w:rPr>
              <w:t>$</w:t>
            </w:r>
          </w:p>
        </w:tc>
        <w:tc>
          <w:tcPr>
            <w:tcW w:w="2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9"/>
                <w:szCs w:val="9"/>
                <w:color w:val="auto"/>
              </w:rPr>
              <w:t>890</w:t>
            </w: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Borders>
              <w:top w:val="single" w:sz="8" w:color="auto"/>
            </w:tcBorders>
            <w:vMerge w:val="restart"/>
          </w:tcPr>
          <w:p>
            <w:pPr>
              <w:spacing w:after="0"/>
              <w:rPr>
                <w:sz w:val="20"/>
                <w:szCs w:val="20"/>
                <w:color w:val="auto"/>
              </w:rPr>
            </w:pPr>
            <w:r>
              <w:rPr>
                <w:rFonts w:ascii="Arial" w:cs="Arial" w:eastAsia="Arial" w:hAnsi="Arial"/>
                <w:sz w:val="5"/>
                <w:szCs w:val="5"/>
                <w:color w:val="auto"/>
                <w:w w:val="70"/>
              </w:rPr>
              <w:t>$</w:t>
            </w:r>
          </w:p>
        </w:tc>
        <w:tc>
          <w:tcPr>
            <w:tcW w:w="2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9"/>
                <w:szCs w:val="9"/>
                <w:color w:val="auto"/>
              </w:rPr>
              <w:t>770</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9960" w:type="dxa"/>
            <w:vAlign w:val="bottom"/>
            <w:tcBorders>
              <w:top w:val="single" w:sz="8" w:color="auto"/>
            </w:tcBorders>
          </w:tcPr>
          <w:p>
            <w:pPr>
              <w:spacing w:after="0" w:line="75" w:lineRule="exact"/>
              <w:rPr>
                <w:sz w:val="20"/>
                <w:szCs w:val="20"/>
                <w:color w:val="auto"/>
              </w:rPr>
            </w:pPr>
            <w:r>
              <w:rPr>
                <w:rFonts w:ascii="Arial" w:cs="Arial" w:eastAsia="Arial" w:hAnsi="Arial"/>
                <w:sz w:val="8"/>
                <w:szCs w:val="8"/>
                <w:color w:val="auto"/>
              </w:rPr>
              <w:t>Consolidated taxes on income</w:t>
            </w: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280" w:type="dxa"/>
            <w:vAlign w:val="bottom"/>
            <w:tcBorders>
              <w:top w:val="single" w:sz="8" w:color="auto"/>
              <w:bottom w:val="single" w:sz="8" w:color="auto"/>
            </w:tcBorders>
            <w:gridSpan w:val="2"/>
          </w:tcPr>
          <w:p>
            <w:pPr>
              <w:jc w:val="right"/>
              <w:spacing w:after="0" w:line="75" w:lineRule="exact"/>
              <w:rPr>
                <w:sz w:val="20"/>
                <w:szCs w:val="20"/>
                <w:color w:val="auto"/>
              </w:rPr>
            </w:pPr>
            <w:r>
              <w:rPr>
                <w:rFonts w:ascii="Arial" w:cs="Arial" w:eastAsia="Arial" w:hAnsi="Arial"/>
                <w:sz w:val="8"/>
                <w:szCs w:val="8"/>
                <w:b w:val="1"/>
                <w:bCs w:val="1"/>
                <w:color w:val="auto"/>
              </w:rPr>
              <w:t>1,545</w:t>
            </w: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0" w:type="dxa"/>
            <w:vAlign w:val="bottom"/>
            <w:tcBorders>
              <w:top w:val="single" w:sz="8" w:color="auto"/>
              <w:bottom w:val="single" w:sz="8" w:color="auto"/>
            </w:tcBorders>
            <w:vMerge w:val="continue"/>
          </w:tcPr>
          <w:p>
            <w:pPr>
              <w:spacing w:after="0"/>
              <w:rPr>
                <w:sz w:val="6"/>
                <w:szCs w:val="6"/>
                <w:color w:val="auto"/>
              </w:rPr>
            </w:pPr>
          </w:p>
        </w:tc>
        <w:tc>
          <w:tcPr>
            <w:tcW w:w="220" w:type="dxa"/>
            <w:vAlign w:val="bottom"/>
            <w:tcBorders>
              <w:top w:val="single" w:sz="8" w:color="auto"/>
              <w:bottom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0" w:type="dxa"/>
            <w:vAlign w:val="bottom"/>
            <w:tcBorders>
              <w:top w:val="single" w:sz="8" w:color="auto"/>
              <w:bottom w:val="single" w:sz="8" w:color="auto"/>
            </w:tcBorders>
            <w:vMerge w:val="continue"/>
          </w:tcPr>
          <w:p>
            <w:pPr>
              <w:spacing w:after="0"/>
              <w:rPr>
                <w:sz w:val="6"/>
                <w:szCs w:val="6"/>
                <w:color w:val="auto"/>
              </w:rPr>
            </w:pPr>
          </w:p>
        </w:tc>
        <w:tc>
          <w:tcPr>
            <w:tcW w:w="220" w:type="dxa"/>
            <w:vAlign w:val="bottom"/>
            <w:tcBorders>
              <w:top w:val="single" w:sz="8" w:color="auto"/>
              <w:bottom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9960" w:type="dxa"/>
            <w:vAlign w:val="bottom"/>
          </w:tcPr>
          <w:p>
            <w:pPr>
              <w:ind w:left="200"/>
              <w:spacing w:after="0"/>
              <w:rPr>
                <w:sz w:val="20"/>
                <w:szCs w:val="20"/>
                <w:color w:val="auto"/>
              </w:rPr>
            </w:pPr>
            <w:r>
              <w:rPr>
                <w:rFonts w:ascii="Arial" w:cs="Arial" w:eastAsia="Arial" w:hAnsi="Arial"/>
                <w:sz w:val="12"/>
                <w:szCs w:val="12"/>
                <w:color w:val="auto"/>
              </w:rPr>
              <w:t>A reconciliation of the United States statutory federal tax rate (35%) to the consolidated effective tax rate is: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99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9"/>
              </w:rPr>
              <w:t>2011</w:t>
            </w: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w w:val="76"/>
              </w:rPr>
              <w:t>2010</w:t>
            </w: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2009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US statutory federal rate</w:t>
            </w: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gridSpan w:val="4"/>
            <w:shd w:val="clear" w:color="auto" w:fill="CCEEFF"/>
          </w:tcPr>
          <w:p>
            <w:pPr>
              <w:jc w:val="right"/>
              <w:ind w:right="40"/>
              <w:spacing w:after="0" w:line="88" w:lineRule="exact"/>
              <w:rPr>
                <w:sz w:val="20"/>
                <w:szCs w:val="20"/>
                <w:color w:val="auto"/>
              </w:rPr>
            </w:pPr>
            <w:r>
              <w:rPr>
                <w:rFonts w:ascii="Arial" w:cs="Arial" w:eastAsia="Arial" w:hAnsi="Arial"/>
                <w:sz w:val="9"/>
                <w:szCs w:val="9"/>
                <w:b w:val="1"/>
                <w:bCs w:val="1"/>
                <w:color w:val="auto"/>
              </w:rPr>
              <w:t>35%</w:t>
            </w: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3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35%</w:t>
            </w:r>
          </w:p>
        </w:tc>
        <w:tc>
          <w:tcPr>
            <w:tcW w:w="120" w:type="dxa"/>
            <w:vAlign w:val="bottom"/>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300" w:type="dxa"/>
            <w:vAlign w:val="bottom"/>
            <w:gridSpan w:val="3"/>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35%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960" w:type="dxa"/>
            <w:vAlign w:val="bottom"/>
          </w:tcPr>
          <w:p>
            <w:pPr>
              <w:spacing w:after="0" w:line="99" w:lineRule="exact"/>
              <w:rPr>
                <w:sz w:val="20"/>
                <w:szCs w:val="20"/>
                <w:color w:val="auto"/>
              </w:rPr>
            </w:pPr>
            <w:r>
              <w:rPr>
                <w:rFonts w:ascii="Arial" w:cs="Arial" w:eastAsia="Arial" w:hAnsi="Arial"/>
                <w:sz w:val="9"/>
                <w:szCs w:val="9"/>
                <w:color w:val="auto"/>
              </w:rPr>
              <w:t>Non-US income taxed at different rates</w:t>
            </w:r>
          </w:p>
        </w:tc>
        <w:tc>
          <w:tcPr>
            <w:tcW w:w="40" w:type="dxa"/>
            <w:vAlign w:val="bottom"/>
          </w:tcPr>
          <w:p>
            <w:pPr>
              <w:spacing w:after="0"/>
              <w:rPr>
                <w:sz w:val="8"/>
                <w:szCs w:val="8"/>
                <w:color w:val="auto"/>
              </w:rPr>
            </w:pPr>
          </w:p>
        </w:tc>
        <w:tc>
          <w:tcPr>
            <w:tcW w:w="320" w:type="dxa"/>
            <w:vAlign w:val="bottom"/>
            <w:gridSpan w:val="4"/>
          </w:tcPr>
          <w:p>
            <w:pPr>
              <w:jc w:val="right"/>
              <w:spacing w:after="0" w:line="99" w:lineRule="exact"/>
              <w:rPr>
                <w:sz w:val="20"/>
                <w:szCs w:val="20"/>
                <w:color w:val="auto"/>
              </w:rPr>
            </w:pPr>
            <w:r>
              <w:rPr>
                <w:rFonts w:ascii="Arial" w:cs="Arial" w:eastAsia="Arial" w:hAnsi="Arial"/>
                <w:sz w:val="9"/>
                <w:szCs w:val="9"/>
                <w:b w:val="1"/>
                <w:bCs w:val="1"/>
                <w:color w:val="auto"/>
              </w:rPr>
              <w:t>(10)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(14)</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gridSpan w:val="3"/>
          </w:tcPr>
          <w:p>
            <w:pPr>
              <w:jc w:val="right"/>
              <w:ind w:right="80"/>
              <w:spacing w:after="0" w:line="99" w:lineRule="exact"/>
              <w:rPr>
                <w:sz w:val="20"/>
                <w:szCs w:val="20"/>
                <w:color w:val="auto"/>
              </w:rPr>
            </w:pPr>
            <w:r>
              <w:rPr>
                <w:rFonts w:ascii="Arial" w:cs="Arial" w:eastAsia="Arial" w:hAnsi="Arial"/>
                <w:sz w:val="9"/>
                <w:szCs w:val="9"/>
                <w:color w:val="auto"/>
              </w:rPr>
              <w:t>(16)</w:t>
            </w:r>
          </w:p>
        </w:tc>
        <w:tc>
          <w:tcPr>
            <w:tcW w:w="0" w:type="dxa"/>
            <w:vAlign w:val="bottom"/>
          </w:tcPr>
          <w:p>
            <w:pPr>
              <w:spacing w:after="0"/>
              <w:rPr>
                <w:sz w:val="1"/>
                <w:szCs w:val="1"/>
                <w:color w:val="auto"/>
              </w:rPr>
            </w:pPr>
          </w:p>
        </w:tc>
      </w:tr>
      <w:tr>
        <w:trPr>
          <w:trHeight w:val="99"/>
        </w:trPr>
        <w:tc>
          <w:tcPr>
            <w:tcW w:w="99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Charges and credit (See Note 3)</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4"/>
            <w:shd w:val="clear" w:color="auto" w:fill="CCEEFF"/>
          </w:tcPr>
          <w:p>
            <w:pPr>
              <w:jc w:val="right"/>
              <w:ind w:right="120"/>
              <w:spacing w:after="0" w:line="99" w:lineRule="exact"/>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(3)</w:t>
            </w:r>
          </w:p>
        </w:tc>
        <w:tc>
          <w:tcPr>
            <w:tcW w:w="120" w:type="dxa"/>
            <w:vAlign w:val="bottom"/>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980" w:type="dxa"/>
            <w:vAlign w:val="bottom"/>
            <w:gridSpan w:val="2"/>
          </w:tcPr>
          <w:p>
            <w:pPr>
              <w:spacing w:after="0" w:line="99" w:lineRule="exact"/>
              <w:rPr>
                <w:sz w:val="20"/>
                <w:szCs w:val="20"/>
                <w:color w:val="auto"/>
              </w:rPr>
            </w:pPr>
            <w:r>
              <w:rPr>
                <w:rFonts w:ascii="Arial" w:cs="Arial" w:eastAsia="Arial" w:hAnsi="Arial"/>
                <w:sz w:val="9"/>
                <w:szCs w:val="9"/>
                <w:color w:val="auto"/>
              </w:rPr>
              <w:t>Other</w:t>
            </w:r>
          </w:p>
        </w:tc>
        <w:tc>
          <w:tcPr>
            <w:tcW w:w="40" w:type="dxa"/>
            <w:vAlign w:val="bottom"/>
          </w:tcPr>
          <w:p>
            <w:pPr>
              <w:spacing w:after="0"/>
              <w:rPr>
                <w:sz w:val="8"/>
                <w:szCs w:val="8"/>
                <w:color w:val="auto"/>
              </w:rPr>
            </w:pPr>
          </w:p>
        </w:tc>
        <w:tc>
          <w:tcPr>
            <w:tcW w:w="320" w:type="dxa"/>
            <w:vAlign w:val="bottom"/>
            <w:gridSpan w:val="4"/>
          </w:tcPr>
          <w:p>
            <w:pPr>
              <w:jc w:val="right"/>
              <w:spacing w:after="0" w:line="99" w:lineRule="exact"/>
              <w:rPr>
                <w:sz w:val="20"/>
                <w:szCs w:val="20"/>
                <w:color w:val="auto"/>
              </w:rPr>
            </w:pPr>
            <w:r>
              <w:rPr>
                <w:rFonts w:ascii="Arial" w:cs="Arial" w:eastAsia="Arial" w:hAnsi="Arial"/>
                <w:sz w:val="9"/>
                <w:szCs w:val="9"/>
                <w:b w:val="1"/>
                <w:bCs w:val="1"/>
                <w:color w:val="auto"/>
              </w:rPr>
              <w:t>(1)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gridSpan w:val="3"/>
          </w:tcPr>
          <w:p>
            <w:pPr>
              <w:jc w:val="right"/>
              <w:ind w:right="10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9960" w:type="dxa"/>
            <w:vAlign w:val="bottom"/>
            <w:shd w:val="clear" w:color="auto" w:fill="CCEEFF"/>
          </w:tcPr>
          <w:p>
            <w:pPr>
              <w:spacing w:after="0" w:line="75" w:lineRule="exact"/>
              <w:rPr>
                <w:sz w:val="20"/>
                <w:szCs w:val="20"/>
                <w:color w:val="auto"/>
              </w:rPr>
            </w:pPr>
            <w:r>
              <w:rPr>
                <w:rFonts w:ascii="Arial" w:cs="Arial" w:eastAsia="Arial" w:hAnsi="Arial"/>
                <w:sz w:val="8"/>
                <w:szCs w:val="8"/>
                <w:color w:val="auto"/>
              </w:rPr>
              <w:t>Effective income tax rate</w:t>
            </w: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gridSpan w:val="4"/>
            <w:shd w:val="clear" w:color="auto" w:fill="CCEEFF"/>
          </w:tcPr>
          <w:p>
            <w:pPr>
              <w:jc w:val="right"/>
              <w:ind w:right="40"/>
              <w:spacing w:after="0" w:line="75" w:lineRule="exact"/>
              <w:rPr>
                <w:sz w:val="20"/>
                <w:szCs w:val="20"/>
                <w:color w:val="auto"/>
              </w:rPr>
            </w:pPr>
            <w:r>
              <w:rPr>
                <w:rFonts w:ascii="Arial" w:cs="Arial" w:eastAsia="Arial" w:hAnsi="Arial"/>
                <w:sz w:val="8"/>
                <w:szCs w:val="8"/>
                <w:b w:val="1"/>
                <w:bCs w:val="1"/>
                <w:color w:val="auto"/>
              </w:rPr>
              <w:t>24%</w:t>
            </w: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80" w:type="dxa"/>
            <w:vAlign w:val="bottom"/>
            <w:gridSpan w:val="3"/>
            <w:shd w:val="clear" w:color="auto" w:fill="CCEEFF"/>
          </w:tcPr>
          <w:p>
            <w:pPr>
              <w:jc w:val="right"/>
              <w:ind w:right="80"/>
              <w:spacing w:after="0" w:line="75" w:lineRule="exact"/>
              <w:rPr>
                <w:sz w:val="20"/>
                <w:szCs w:val="20"/>
                <w:color w:val="auto"/>
              </w:rPr>
            </w:pPr>
            <w:r>
              <w:rPr>
                <w:rFonts w:ascii="Arial" w:cs="Arial" w:eastAsia="Arial" w:hAnsi="Arial"/>
                <w:sz w:val="8"/>
                <w:szCs w:val="8"/>
                <w:color w:val="auto"/>
              </w:rPr>
              <w:t>17%</w:t>
            </w:r>
          </w:p>
        </w:tc>
        <w:tc>
          <w:tcPr>
            <w:tcW w:w="120" w:type="dxa"/>
            <w:vAlign w:val="bottom"/>
            <w:shd w:val="clear" w:color="auto" w:fill="CCEEFF"/>
          </w:tcPr>
          <w:p>
            <w:pPr>
              <w:spacing w:after="0"/>
              <w:rPr>
                <w:sz w:val="6"/>
                <w:szCs w:val="6"/>
                <w:color w:val="auto"/>
              </w:rPr>
            </w:pPr>
          </w:p>
        </w:tc>
        <w:tc>
          <w:tcPr>
            <w:tcW w:w="60" w:type="dxa"/>
            <w:vAlign w:val="bottom"/>
            <w:tcBorders>
              <w:right w:val="single" w:sz="8" w:color="CCEEFF"/>
            </w:tcBorders>
            <w:shd w:val="clear" w:color="auto" w:fill="CCEEFF"/>
          </w:tcPr>
          <w:p>
            <w:pPr>
              <w:spacing w:after="0"/>
              <w:rPr>
                <w:sz w:val="6"/>
                <w:szCs w:val="6"/>
                <w:color w:val="auto"/>
              </w:rPr>
            </w:pPr>
          </w:p>
        </w:tc>
        <w:tc>
          <w:tcPr>
            <w:tcW w:w="300" w:type="dxa"/>
            <w:vAlign w:val="bottom"/>
            <w:gridSpan w:val="3"/>
            <w:shd w:val="clear" w:color="auto" w:fill="CCEEFF"/>
          </w:tcPr>
          <w:p>
            <w:pPr>
              <w:jc w:val="right"/>
              <w:ind w:right="20"/>
              <w:spacing w:after="0" w:line="75" w:lineRule="exact"/>
              <w:rPr>
                <w:sz w:val="20"/>
                <w:szCs w:val="20"/>
                <w:color w:val="auto"/>
              </w:rPr>
            </w:pPr>
            <w:r>
              <w:rPr>
                <w:rFonts w:ascii="Arial" w:cs="Arial" w:eastAsia="Arial" w:hAnsi="Arial"/>
                <w:sz w:val="8"/>
                <w:szCs w:val="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right="60" w:firstLine="230"/>
        <w:spacing w:after="0" w:line="268" w:lineRule="auto"/>
        <w:rPr>
          <w:sz w:val="20"/>
          <w:szCs w:val="20"/>
          <w:color w:val="auto"/>
        </w:rPr>
      </w:pPr>
      <w:r>
        <w:rPr>
          <w:rFonts w:ascii="Arial" w:cs="Arial" w:eastAsia="Arial" w:hAnsi="Arial"/>
          <w:sz w:val="12"/>
          <w:szCs w:val="12"/>
          <w:color w:val="auto"/>
        </w:rPr>
        <w:t>Schlumberger conducts business in more than 100 tax jurisdictions, a number of which have tax laws that are not fully defined and are evolving. Schlumberger’s tax filings are subject to regular audit by the tax authorities. Tax liabilities are recorded based on estimates of additional taxes which will be due upon the conclusion of these audits.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 reconciliation of the beginning and ending amount of liabilities associated with uncertain tax positions for the years ended December 31, 2011, 2010 and 2009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9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6"/>
          </w:tcPr>
          <w:p>
            <w:pPr>
              <w:jc w:val="right"/>
              <w:ind w:right="80"/>
              <w:spacing w:after="0"/>
              <w:rPr>
                <w:sz w:val="20"/>
                <w:szCs w:val="20"/>
                <w:color w:val="auto"/>
              </w:rPr>
            </w:pPr>
            <w:r>
              <w:rPr>
                <w:rFonts w:ascii="Arial" w:cs="Arial" w:eastAsia="Arial" w:hAnsi="Arial"/>
                <w:sz w:val="9"/>
                <w:szCs w:val="9"/>
                <w:b w:val="1"/>
                <w:bCs w:val="1"/>
                <w:color w:val="auto"/>
                <w:w w:val="99"/>
              </w:rPr>
              <w:t>(Stated in millions)</w:t>
            </w:r>
          </w:p>
        </w:tc>
      </w:tr>
      <w:tr>
        <w:trPr>
          <w:trHeight w:val="262"/>
        </w:trPr>
        <w:tc>
          <w:tcPr>
            <w:tcW w:w="99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w w:val="99"/>
              </w:rPr>
              <w:t>2011</w:t>
            </w: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w w:val="79"/>
              </w:rPr>
              <w:t>2010</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w w:val="79"/>
              </w:rPr>
              <w:t>2009</w:t>
            </w:r>
          </w:p>
        </w:tc>
        <w:tc>
          <w:tcPr>
            <w:tcW w:w="80" w:type="dxa"/>
            <w:vAlign w:val="bottom"/>
            <w:tcBorders>
              <w:bottom w:val="single" w:sz="8" w:color="CCEEFF"/>
            </w:tcBorders>
          </w:tcPr>
          <w:p>
            <w:pPr>
              <w:spacing w:after="0"/>
              <w:rPr>
                <w:sz w:val="22"/>
                <w:szCs w:val="22"/>
                <w:color w:val="auto"/>
              </w:rPr>
            </w:pPr>
          </w:p>
        </w:tc>
      </w:tr>
      <w:tr>
        <w:trPr>
          <w:trHeight w:val="88"/>
        </w:trPr>
        <w:tc>
          <w:tcPr>
            <w:tcW w:w="99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at beginning of year</w:t>
            </w:r>
          </w:p>
        </w:tc>
        <w:tc>
          <w:tcPr>
            <w:tcW w:w="280" w:type="dxa"/>
            <w:vAlign w:val="bottom"/>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w w:val="86"/>
              </w:rPr>
              <w:t>$ 1,338</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w w:val="97"/>
              </w:rPr>
              <w:t>1,026</w:t>
            </w: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w w:val="78"/>
              </w:rPr>
              <w:t>$</w:t>
            </w:r>
          </w:p>
        </w:tc>
        <w:tc>
          <w:tcPr>
            <w:tcW w:w="2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877</w:t>
            </w:r>
          </w:p>
        </w:tc>
        <w:tc>
          <w:tcPr>
            <w:tcW w:w="80" w:type="dxa"/>
            <w:vAlign w:val="bottom"/>
            <w:shd w:val="clear" w:color="auto" w:fill="CCEEFF"/>
          </w:tcPr>
          <w:p>
            <w:pPr>
              <w:spacing w:after="0"/>
              <w:rPr>
                <w:sz w:val="7"/>
                <w:szCs w:val="7"/>
                <w:color w:val="auto"/>
              </w:rPr>
            </w:pPr>
          </w:p>
        </w:tc>
      </w:tr>
      <w:tr>
        <w:trPr>
          <w:trHeight w:val="99"/>
        </w:trPr>
        <w:tc>
          <w:tcPr>
            <w:tcW w:w="9980" w:type="dxa"/>
            <w:vAlign w:val="bottom"/>
          </w:tcPr>
          <w:p>
            <w:pPr>
              <w:spacing w:after="0" w:line="99" w:lineRule="exact"/>
              <w:rPr>
                <w:sz w:val="20"/>
                <w:szCs w:val="20"/>
                <w:color w:val="auto"/>
              </w:rPr>
            </w:pPr>
            <w:r>
              <w:rPr>
                <w:rFonts w:ascii="Arial" w:cs="Arial" w:eastAsia="Arial" w:hAnsi="Arial"/>
                <w:sz w:val="9"/>
                <w:szCs w:val="9"/>
                <w:color w:val="auto"/>
              </w:rPr>
              <w:t>Additions based on tax positions related to the current year</w:t>
            </w:r>
          </w:p>
        </w:tc>
        <w:tc>
          <w:tcPr>
            <w:tcW w:w="320" w:type="dxa"/>
            <w:vAlign w:val="bottom"/>
            <w:gridSpan w:val="2"/>
          </w:tcPr>
          <w:p>
            <w:pPr>
              <w:jc w:val="right"/>
              <w:ind w:right="40"/>
              <w:spacing w:after="0" w:line="99" w:lineRule="exact"/>
              <w:rPr>
                <w:sz w:val="20"/>
                <w:szCs w:val="20"/>
                <w:color w:val="auto"/>
              </w:rPr>
            </w:pPr>
            <w:r>
              <w:rPr>
                <w:rFonts w:ascii="Arial" w:cs="Arial" w:eastAsia="Arial" w:hAnsi="Arial"/>
                <w:sz w:val="9"/>
                <w:szCs w:val="9"/>
                <w:b w:val="1"/>
                <w:bCs w:val="1"/>
                <w:color w:val="auto"/>
              </w:rPr>
              <w:t>153</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190</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178</w:t>
            </w:r>
          </w:p>
        </w:tc>
        <w:tc>
          <w:tcPr>
            <w:tcW w:w="80" w:type="dxa"/>
            <w:vAlign w:val="bottom"/>
          </w:tcPr>
          <w:p>
            <w:pPr>
              <w:spacing w:after="0"/>
              <w:rPr>
                <w:sz w:val="8"/>
                <w:szCs w:val="8"/>
                <w:color w:val="auto"/>
              </w:rPr>
            </w:pPr>
          </w:p>
        </w:tc>
      </w:tr>
      <w:tr>
        <w:trPr>
          <w:trHeight w:val="99"/>
        </w:trPr>
        <w:tc>
          <w:tcPr>
            <w:tcW w:w="99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Additions for tax positions of prior years</w:t>
            </w:r>
          </w:p>
        </w:tc>
        <w:tc>
          <w:tcPr>
            <w:tcW w:w="32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b w:val="1"/>
                <w:bCs w:val="1"/>
                <w:color w:val="auto"/>
              </w:rPr>
              <w:t>49</w:t>
            </w:r>
          </w:p>
        </w:tc>
        <w:tc>
          <w:tcPr>
            <w:tcW w:w="2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8</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36</w:t>
            </w:r>
          </w:p>
        </w:tc>
        <w:tc>
          <w:tcPr>
            <w:tcW w:w="80" w:type="dxa"/>
            <w:vAlign w:val="bottom"/>
            <w:shd w:val="clear" w:color="auto" w:fill="CCEEFF"/>
          </w:tcPr>
          <w:p>
            <w:pPr>
              <w:spacing w:after="0"/>
              <w:rPr>
                <w:sz w:val="8"/>
                <w:szCs w:val="8"/>
                <w:color w:val="auto"/>
              </w:rPr>
            </w:pPr>
          </w:p>
        </w:tc>
      </w:tr>
      <w:tr>
        <w:trPr>
          <w:trHeight w:val="99"/>
        </w:trPr>
        <w:tc>
          <w:tcPr>
            <w:tcW w:w="9980" w:type="dxa"/>
            <w:vAlign w:val="bottom"/>
          </w:tcPr>
          <w:p>
            <w:pPr>
              <w:spacing w:after="0" w:line="99" w:lineRule="exact"/>
              <w:rPr>
                <w:sz w:val="20"/>
                <w:szCs w:val="20"/>
                <w:color w:val="auto"/>
              </w:rPr>
            </w:pPr>
            <w:r>
              <w:rPr>
                <w:rFonts w:ascii="Arial" w:cs="Arial" w:eastAsia="Arial" w:hAnsi="Arial"/>
                <w:sz w:val="9"/>
                <w:szCs w:val="9"/>
                <w:color w:val="auto"/>
              </w:rPr>
              <w:t>Additions related to acquisitions</w:t>
            </w:r>
          </w:p>
        </w:tc>
        <w:tc>
          <w:tcPr>
            <w:tcW w:w="320" w:type="dxa"/>
            <w:vAlign w:val="bottom"/>
            <w:gridSpan w:val="2"/>
          </w:tcPr>
          <w:p>
            <w:pPr>
              <w:jc w:val="right"/>
              <w:ind w:right="40"/>
              <w:spacing w:after="0" w:line="99" w:lineRule="exact"/>
              <w:rPr>
                <w:sz w:val="20"/>
                <w:szCs w:val="20"/>
                <w:color w:val="auto"/>
              </w:rPr>
            </w:pPr>
            <w:r>
              <w:rPr>
                <w:rFonts w:ascii="Arial" w:cs="Arial" w:eastAsia="Arial" w:hAnsi="Arial"/>
                <w:sz w:val="9"/>
                <w:szCs w:val="9"/>
                <w:b w:val="1"/>
                <w:bCs w:val="1"/>
                <w:color w:val="auto"/>
              </w:rPr>
              <w:t>48</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288</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r>
      <w:tr>
        <w:trPr>
          <w:trHeight w:val="99"/>
        </w:trPr>
        <w:tc>
          <w:tcPr>
            <w:tcW w:w="99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Impact of changes in exchange rates</w:t>
            </w:r>
          </w:p>
        </w:tc>
        <w:tc>
          <w:tcPr>
            <w:tcW w:w="32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b w:val="1"/>
                <w:bCs w:val="1"/>
                <w:color w:val="auto"/>
              </w:rPr>
              <w:t>(18)</w:t>
            </w:r>
          </w:p>
        </w:tc>
        <w:tc>
          <w:tcPr>
            <w:tcW w:w="2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9"/>
                <w:szCs w:val="9"/>
                <w:color w:val="auto"/>
              </w:rPr>
              <w:t>(3)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39</w:t>
            </w:r>
          </w:p>
        </w:tc>
        <w:tc>
          <w:tcPr>
            <w:tcW w:w="80" w:type="dxa"/>
            <w:vAlign w:val="bottom"/>
            <w:shd w:val="clear" w:color="auto" w:fill="CCEEFF"/>
          </w:tcPr>
          <w:p>
            <w:pPr>
              <w:spacing w:after="0"/>
              <w:rPr>
                <w:sz w:val="8"/>
                <w:szCs w:val="8"/>
                <w:color w:val="auto"/>
              </w:rPr>
            </w:pPr>
          </w:p>
        </w:tc>
      </w:tr>
      <w:tr>
        <w:trPr>
          <w:trHeight w:val="99"/>
        </w:trPr>
        <w:tc>
          <w:tcPr>
            <w:tcW w:w="9980" w:type="dxa"/>
            <w:vAlign w:val="bottom"/>
          </w:tcPr>
          <w:p>
            <w:pPr>
              <w:spacing w:after="0" w:line="99" w:lineRule="exact"/>
              <w:rPr>
                <w:sz w:val="20"/>
                <w:szCs w:val="20"/>
                <w:color w:val="auto"/>
              </w:rPr>
            </w:pPr>
            <w:r>
              <w:rPr>
                <w:rFonts w:ascii="Arial" w:cs="Arial" w:eastAsia="Arial" w:hAnsi="Arial"/>
                <w:sz w:val="9"/>
                <w:szCs w:val="9"/>
                <w:color w:val="auto"/>
              </w:rPr>
              <w:t>Settlements with tax authorities</w:t>
            </w:r>
          </w:p>
        </w:tc>
        <w:tc>
          <w:tcPr>
            <w:tcW w:w="320" w:type="dxa"/>
            <w:vAlign w:val="bottom"/>
            <w:gridSpan w:val="2"/>
          </w:tcPr>
          <w:p>
            <w:pPr>
              <w:jc w:val="right"/>
              <w:ind w:right="20"/>
              <w:spacing w:after="0" w:line="99" w:lineRule="exact"/>
              <w:rPr>
                <w:sz w:val="20"/>
                <w:szCs w:val="20"/>
                <w:color w:val="auto"/>
              </w:rPr>
            </w:pPr>
            <w:r>
              <w:rPr>
                <w:rFonts w:ascii="Arial" w:cs="Arial" w:eastAsia="Arial" w:hAnsi="Arial"/>
                <w:sz w:val="9"/>
                <w:szCs w:val="9"/>
                <w:b w:val="1"/>
                <w:bCs w:val="1"/>
                <w:color w:val="auto"/>
              </w:rPr>
              <w:t>(77)</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gridSpan w:val="2"/>
          </w:tcPr>
          <w:p>
            <w:pPr>
              <w:jc w:val="right"/>
              <w:ind w:right="140"/>
              <w:spacing w:after="0" w:line="99" w:lineRule="exact"/>
              <w:rPr>
                <w:sz w:val="20"/>
                <w:szCs w:val="20"/>
                <w:color w:val="auto"/>
              </w:rPr>
            </w:pPr>
            <w:r>
              <w:rPr>
                <w:rFonts w:ascii="Arial" w:cs="Arial" w:eastAsia="Arial" w:hAnsi="Arial"/>
                <w:sz w:val="9"/>
                <w:szCs w:val="9"/>
                <w:color w:val="auto"/>
              </w:rPr>
              <w:t>(36)</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(16)</w:t>
            </w:r>
          </w:p>
        </w:tc>
      </w:tr>
      <w:tr>
        <w:trPr>
          <w:trHeight w:val="99"/>
        </w:trPr>
        <w:tc>
          <w:tcPr>
            <w:tcW w:w="99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Reductions for tax positions of prior years</w:t>
            </w:r>
          </w:p>
        </w:tc>
        <w:tc>
          <w:tcPr>
            <w:tcW w:w="32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b w:val="1"/>
                <w:bCs w:val="1"/>
                <w:color w:val="auto"/>
              </w:rPr>
              <w:t>(102)</w:t>
            </w:r>
          </w:p>
        </w:tc>
        <w:tc>
          <w:tcPr>
            <w:tcW w:w="2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9"/>
                <w:szCs w:val="9"/>
                <w:color w:val="auto"/>
              </w:rPr>
              <w:t>(99)</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(68)</w:t>
            </w:r>
          </w:p>
        </w:tc>
      </w:tr>
      <w:tr>
        <w:trPr>
          <w:trHeight w:val="99"/>
        </w:trPr>
        <w:tc>
          <w:tcPr>
            <w:tcW w:w="9980" w:type="dxa"/>
            <w:vAlign w:val="bottom"/>
          </w:tcPr>
          <w:p>
            <w:pPr>
              <w:spacing w:after="0" w:line="99" w:lineRule="exact"/>
              <w:rPr>
                <w:sz w:val="20"/>
                <w:szCs w:val="20"/>
                <w:color w:val="auto"/>
              </w:rPr>
            </w:pPr>
            <w:r>
              <w:rPr>
                <w:rFonts w:ascii="Arial" w:cs="Arial" w:eastAsia="Arial" w:hAnsi="Arial"/>
                <w:sz w:val="9"/>
                <w:szCs w:val="9"/>
                <w:color w:val="auto"/>
              </w:rPr>
              <w:t>Reductions due to the lapse of the applicable statute of limitations</w:t>
            </w:r>
          </w:p>
        </w:tc>
        <w:tc>
          <w:tcPr>
            <w:tcW w:w="320" w:type="dxa"/>
            <w:vAlign w:val="bottom"/>
            <w:gridSpan w:val="2"/>
          </w:tcPr>
          <w:p>
            <w:pPr>
              <w:jc w:val="right"/>
              <w:ind w:right="20"/>
              <w:spacing w:after="0" w:line="99" w:lineRule="exact"/>
              <w:rPr>
                <w:sz w:val="20"/>
                <w:szCs w:val="20"/>
                <w:color w:val="auto"/>
              </w:rPr>
            </w:pPr>
            <w:r>
              <w:rPr>
                <w:rFonts w:ascii="Arial" w:cs="Arial" w:eastAsia="Arial" w:hAnsi="Arial"/>
                <w:sz w:val="9"/>
                <w:szCs w:val="9"/>
                <w:b w:val="1"/>
                <w:bCs w:val="1"/>
                <w:color w:val="auto"/>
              </w:rPr>
              <w:t>(38)</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gridSpan w:val="2"/>
          </w:tcPr>
          <w:p>
            <w:pPr>
              <w:jc w:val="right"/>
              <w:ind w:right="140"/>
              <w:spacing w:after="0" w:line="99" w:lineRule="exact"/>
              <w:rPr>
                <w:sz w:val="20"/>
                <w:szCs w:val="20"/>
                <w:color w:val="auto"/>
              </w:rPr>
            </w:pPr>
            <w:r>
              <w:rPr>
                <w:rFonts w:ascii="Arial" w:cs="Arial" w:eastAsia="Arial" w:hAnsi="Arial"/>
                <w:sz w:val="9"/>
                <w:szCs w:val="9"/>
                <w:color w:val="auto"/>
              </w:rPr>
              <w:t>(36)</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(20)</w:t>
            </w:r>
          </w:p>
        </w:tc>
      </w:tr>
      <w:tr>
        <w:trPr>
          <w:trHeight w:val="20"/>
        </w:trPr>
        <w:tc>
          <w:tcPr>
            <w:tcW w:w="9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75"/>
        </w:trPr>
        <w:tc>
          <w:tcPr>
            <w:tcW w:w="9980" w:type="dxa"/>
            <w:vAlign w:val="bottom"/>
            <w:shd w:val="clear" w:color="auto" w:fill="CCEEFF"/>
          </w:tcPr>
          <w:p>
            <w:pPr>
              <w:spacing w:after="0" w:line="75" w:lineRule="exact"/>
              <w:rPr>
                <w:sz w:val="20"/>
                <w:szCs w:val="20"/>
                <w:color w:val="auto"/>
              </w:rPr>
            </w:pPr>
            <w:r>
              <w:rPr>
                <w:rFonts w:ascii="Arial" w:cs="Arial" w:eastAsia="Arial" w:hAnsi="Arial"/>
                <w:sz w:val="8"/>
                <w:szCs w:val="8"/>
                <w:color w:val="auto"/>
              </w:rPr>
              <w:t>Balance at end of year</w:t>
            </w:r>
          </w:p>
        </w:tc>
        <w:tc>
          <w:tcPr>
            <w:tcW w:w="280" w:type="dxa"/>
            <w:vAlign w:val="bottom"/>
            <w:shd w:val="clear" w:color="auto" w:fill="CCEEFF"/>
          </w:tcPr>
          <w:p>
            <w:pPr>
              <w:jc w:val="right"/>
              <w:spacing w:after="0" w:line="75" w:lineRule="exact"/>
              <w:rPr>
                <w:sz w:val="20"/>
                <w:szCs w:val="20"/>
                <w:color w:val="auto"/>
              </w:rPr>
            </w:pPr>
            <w:r>
              <w:rPr>
                <w:rFonts w:ascii="Arial" w:cs="Arial" w:eastAsia="Arial" w:hAnsi="Arial"/>
                <w:sz w:val="8"/>
                <w:szCs w:val="8"/>
                <w:b w:val="1"/>
                <w:bCs w:val="1"/>
                <w:color w:val="auto"/>
                <w:w w:val="97"/>
              </w:rPr>
              <w:t>$ 1,353</w:t>
            </w:r>
          </w:p>
        </w:tc>
        <w:tc>
          <w:tcPr>
            <w:tcW w:w="40" w:type="dxa"/>
            <w:vAlign w:val="bottom"/>
            <w:shd w:val="clear" w:color="auto" w:fill="CCEEFF"/>
          </w:tcPr>
          <w:p>
            <w:pPr>
              <w:spacing w:after="0"/>
              <w:rPr>
                <w:sz w:val="6"/>
                <w:szCs w:val="6"/>
                <w:color w:val="auto"/>
              </w:rPr>
            </w:pPr>
          </w:p>
        </w:tc>
        <w:tc>
          <w:tcPr>
            <w:tcW w:w="280" w:type="dxa"/>
            <w:vAlign w:val="bottom"/>
            <w:gridSpan w:val="2"/>
            <w:shd w:val="clear" w:color="auto" w:fill="CCEEFF"/>
          </w:tcPr>
          <w:p>
            <w:pPr>
              <w:jc w:val="right"/>
              <w:spacing w:after="0" w:line="75" w:lineRule="exact"/>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jc w:val="right"/>
              <w:spacing w:after="0" w:line="75" w:lineRule="exact"/>
              <w:rPr>
                <w:sz w:val="20"/>
                <w:szCs w:val="20"/>
                <w:color w:val="auto"/>
              </w:rPr>
            </w:pPr>
            <w:r>
              <w:rPr>
                <w:rFonts w:ascii="Arial" w:cs="Arial" w:eastAsia="Arial" w:hAnsi="Arial"/>
                <w:sz w:val="8"/>
                <w:szCs w:val="8"/>
                <w:color w:val="auto"/>
              </w:rPr>
              <w:t>1,338</w:t>
            </w:r>
          </w:p>
        </w:tc>
        <w:tc>
          <w:tcPr>
            <w:tcW w:w="160" w:type="dxa"/>
            <w:vAlign w:val="bottom"/>
            <w:shd w:val="clear" w:color="auto" w:fill="CCEEFF"/>
          </w:tcPr>
          <w:p>
            <w:pPr>
              <w:spacing w:after="0"/>
              <w:rPr>
                <w:sz w:val="6"/>
                <w:szCs w:val="6"/>
                <w:color w:val="auto"/>
              </w:rPr>
            </w:pPr>
          </w:p>
        </w:tc>
        <w:tc>
          <w:tcPr>
            <w:tcW w:w="180" w:type="dxa"/>
            <w:vAlign w:val="bottom"/>
            <w:gridSpan w:val="2"/>
            <w:shd w:val="clear" w:color="auto" w:fill="CCEEFF"/>
          </w:tcPr>
          <w:p>
            <w:pPr>
              <w:jc w:val="right"/>
              <w:spacing w:after="0" w:line="75" w:lineRule="exact"/>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jc w:val="right"/>
              <w:spacing w:after="0" w:line="75" w:lineRule="exact"/>
              <w:rPr>
                <w:sz w:val="20"/>
                <w:szCs w:val="20"/>
                <w:color w:val="auto"/>
              </w:rPr>
            </w:pPr>
            <w:r>
              <w:rPr>
                <w:rFonts w:ascii="Arial" w:cs="Arial" w:eastAsia="Arial" w:hAnsi="Arial"/>
                <w:sz w:val="8"/>
                <w:szCs w:val="8"/>
                <w:color w:val="auto"/>
              </w:rPr>
              <w:t>1,026</w:t>
            </w:r>
          </w:p>
        </w:tc>
        <w:tc>
          <w:tcPr>
            <w:tcW w:w="80" w:type="dxa"/>
            <w:vAlign w:val="bottom"/>
            <w:shd w:val="clear" w:color="auto" w:fill="CCEEFF"/>
          </w:tcPr>
          <w:p>
            <w:pPr>
              <w:spacing w:after="0"/>
              <w:rPr>
                <w:sz w:val="6"/>
                <w:szCs w:val="6"/>
                <w:color w:val="auto"/>
              </w:rPr>
            </w:pPr>
          </w:p>
        </w:tc>
      </w:tr>
      <w:tr>
        <w:trPr>
          <w:trHeight w:val="20"/>
        </w:trPr>
        <w:tc>
          <w:tcPr>
            <w:tcW w:w="9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The amounts above exclude accrued interest and penalties of $225 million, $210 million and $168 million at December 31, 2011, 2010 and 2009 respectively.</w:t>
      </w:r>
    </w:p>
    <w:p>
      <w:pPr>
        <w:spacing w:after="0" w:line="104" w:lineRule="exact"/>
        <w:rPr>
          <w:sz w:val="20"/>
          <w:szCs w:val="20"/>
          <w:color w:val="auto"/>
        </w:rPr>
      </w:pPr>
    </w:p>
    <w:p>
      <w:pPr>
        <w:ind w:left="5680"/>
        <w:spacing w:after="0"/>
        <w:rPr>
          <w:sz w:val="20"/>
          <w:szCs w:val="20"/>
          <w:color w:val="auto"/>
        </w:rPr>
      </w:pPr>
      <w:r>
        <w:rPr>
          <w:rFonts w:ascii="Arial" w:cs="Arial" w:eastAsia="Arial" w:hAnsi="Arial"/>
          <w:sz w:val="9"/>
          <w:szCs w:val="9"/>
          <w:color w:val="auto"/>
        </w:rPr>
        <w:t>59</w:t>
      </w:r>
    </w:p>
    <w:p>
      <w:pPr>
        <w:sectPr>
          <w:pgSz w:w="11900" w:h="16838" w:orient="portrait"/>
          <w:cols w:equalWidth="0" w:num="1">
            <w:col w:w="11480"/>
          </w:cols>
          <w:pgMar w:left="220" w:top="354" w:right="199" w:bottom="1440" w:gutter="0" w:footer="0" w:header="0"/>
        </w:sectPr>
      </w:pPr>
    </w:p>
    <w:bookmarkStart w:id="59" w:name="page60"/>
    <w:bookmarkEnd w:id="59"/>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right="160"/>
        <w:spacing w:after="0" w:line="266" w:lineRule="auto"/>
        <w:rPr>
          <w:sz w:val="20"/>
          <w:szCs w:val="20"/>
          <w:color w:val="auto"/>
        </w:rPr>
      </w:pPr>
      <w:r>
        <w:rPr>
          <w:rFonts w:ascii="Arial" w:cs="Arial" w:eastAsia="Arial" w:hAnsi="Arial"/>
          <w:sz w:val="12"/>
          <w:szCs w:val="12"/>
          <w:color w:val="auto"/>
        </w:rPr>
        <w:t xml:space="preserve">Schlumberger classifies interest and penalties relating to uncertain tax positions within </w:t>
      </w:r>
      <w:r>
        <w:rPr>
          <w:rFonts w:ascii="Arial" w:cs="Arial" w:eastAsia="Arial" w:hAnsi="Arial"/>
          <w:sz w:val="12"/>
          <w:szCs w:val="12"/>
          <w:i w:val="1"/>
          <w:iCs w:val="1"/>
          <w:color w:val="auto"/>
        </w:rPr>
        <w:t>Taxes on income</w:t>
      </w:r>
      <w:r>
        <w:rPr>
          <w:rFonts w:ascii="Arial" w:cs="Arial" w:eastAsia="Arial" w:hAnsi="Arial"/>
          <w:sz w:val="12"/>
          <w:szCs w:val="12"/>
          <w:color w:val="auto"/>
        </w:rPr>
        <w:t xml:space="preserve"> in the </w:t>
      </w:r>
      <w:r>
        <w:rPr>
          <w:rFonts w:ascii="Arial" w:cs="Arial" w:eastAsia="Arial" w:hAnsi="Arial"/>
          <w:sz w:val="12"/>
          <w:szCs w:val="12"/>
          <w:i w:val="1"/>
          <w:iCs w:val="1"/>
          <w:color w:val="auto"/>
        </w:rPr>
        <w:t>Consolidated Statement of Income</w:t>
      </w:r>
      <w:r>
        <w:rPr>
          <w:rFonts w:ascii="Arial" w:cs="Arial" w:eastAsia="Arial" w:hAnsi="Arial"/>
          <w:sz w:val="12"/>
          <w:szCs w:val="12"/>
          <w:color w:val="auto"/>
        </w:rPr>
        <w:t>. During 2011, 2010 and 2009, Schlumberger recognized approximately $15 million, $42 million and $32 million in interest and penalties, respectively.</w:t>
      </w:r>
    </w:p>
    <w:p>
      <w:pPr>
        <w:ind w:left="468"/>
        <w:spacing w:after="0"/>
        <w:rPr>
          <w:sz w:val="20"/>
          <w:szCs w:val="20"/>
          <w:color w:val="auto"/>
        </w:rPr>
      </w:pPr>
      <w:r>
        <w:rPr>
          <w:rFonts w:ascii="Arial" w:cs="Arial" w:eastAsia="Arial" w:hAnsi="Arial"/>
          <w:sz w:val="11"/>
          <w:szCs w:val="11"/>
          <w:color w:val="auto"/>
        </w:rPr>
        <w:t>The following table summarizes the tax years that are either currently under audit or remain open and subject to examination by the tax authorities in the most significant jurisdictions in which Schlumberger operates:</w:t>
      </w:r>
    </w:p>
    <w:p>
      <w:pPr>
        <w:spacing w:after="0" w:line="74" w:lineRule="exact"/>
        <w:rPr>
          <w:sz w:val="20"/>
          <w:szCs w:val="20"/>
          <w:color w:val="auto"/>
        </w:rPr>
      </w:pPr>
    </w:p>
    <w:tbl>
      <w:tblPr>
        <w:tblLayout w:type="fixed"/>
        <w:tblInd w:w="1388" w:type="dxa"/>
        <w:tblCellMar>
          <w:top w:w="0" w:type="dxa"/>
          <w:left w:w="0" w:type="dxa"/>
          <w:bottom w:w="0" w:type="dxa"/>
          <w:right w:w="0" w:type="dxa"/>
        </w:tblCellMar>
      </w:tblPr>
      <w:tr>
        <w:trPr>
          <w:trHeight w:val="103"/>
        </w:trPr>
        <w:tc>
          <w:tcPr>
            <w:tcW w:w="4400" w:type="dxa"/>
            <w:vAlign w:val="bottom"/>
            <w:shd w:val="clear" w:color="auto" w:fill="CCEEFF"/>
          </w:tcPr>
          <w:p>
            <w:pPr>
              <w:spacing w:after="0"/>
              <w:rPr>
                <w:sz w:val="20"/>
                <w:szCs w:val="20"/>
                <w:color w:val="auto"/>
              </w:rPr>
            </w:pPr>
            <w:r>
              <w:rPr>
                <w:rFonts w:ascii="Arial" w:cs="Arial" w:eastAsia="Arial" w:hAnsi="Arial"/>
                <w:sz w:val="9"/>
                <w:szCs w:val="9"/>
                <w:color w:val="auto"/>
              </w:rPr>
              <w:t>Brazil</w:t>
            </w:r>
          </w:p>
        </w:tc>
        <w:tc>
          <w:tcPr>
            <w:tcW w:w="432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2005 –2011</w:t>
            </w:r>
          </w:p>
        </w:tc>
      </w:tr>
      <w:tr>
        <w:trPr>
          <w:trHeight w:val="99"/>
        </w:trPr>
        <w:tc>
          <w:tcPr>
            <w:tcW w:w="4400" w:type="dxa"/>
            <w:vAlign w:val="bottom"/>
          </w:tcPr>
          <w:p>
            <w:pPr>
              <w:spacing w:after="0" w:line="99" w:lineRule="exact"/>
              <w:rPr>
                <w:sz w:val="20"/>
                <w:szCs w:val="20"/>
                <w:color w:val="auto"/>
              </w:rPr>
            </w:pPr>
            <w:r>
              <w:rPr>
                <w:rFonts w:ascii="Arial" w:cs="Arial" w:eastAsia="Arial" w:hAnsi="Arial"/>
                <w:sz w:val="9"/>
                <w:szCs w:val="9"/>
                <w:color w:val="auto"/>
              </w:rPr>
              <w:t>Canada</w:t>
            </w:r>
          </w:p>
        </w:tc>
        <w:tc>
          <w:tcPr>
            <w:tcW w:w="4320" w:type="dxa"/>
            <w:vAlign w:val="bottom"/>
          </w:tcPr>
          <w:p>
            <w:pPr>
              <w:jc w:val="right"/>
              <w:ind w:right="35"/>
              <w:spacing w:after="0" w:line="99" w:lineRule="exact"/>
              <w:rPr>
                <w:sz w:val="20"/>
                <w:szCs w:val="20"/>
                <w:color w:val="auto"/>
              </w:rPr>
            </w:pPr>
            <w:r>
              <w:rPr>
                <w:rFonts w:ascii="Arial" w:cs="Arial" w:eastAsia="Arial" w:hAnsi="Arial"/>
                <w:sz w:val="9"/>
                <w:szCs w:val="9"/>
                <w:color w:val="auto"/>
              </w:rPr>
              <w:t>2004 –2011</w:t>
            </w:r>
          </w:p>
        </w:tc>
      </w:tr>
      <w:tr>
        <w:trPr>
          <w:trHeight w:val="99"/>
        </w:trPr>
        <w:tc>
          <w:tcPr>
            <w:tcW w:w="44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Mexico</w:t>
            </w:r>
          </w:p>
        </w:tc>
        <w:tc>
          <w:tcPr>
            <w:tcW w:w="4320" w:type="dxa"/>
            <w:vAlign w:val="bottom"/>
            <w:shd w:val="clear" w:color="auto" w:fill="CCEEFF"/>
          </w:tcPr>
          <w:p>
            <w:pPr>
              <w:jc w:val="right"/>
              <w:ind w:right="35"/>
              <w:spacing w:after="0" w:line="99" w:lineRule="exact"/>
              <w:rPr>
                <w:sz w:val="20"/>
                <w:szCs w:val="20"/>
                <w:color w:val="auto"/>
              </w:rPr>
            </w:pPr>
            <w:r>
              <w:rPr>
                <w:rFonts w:ascii="Arial" w:cs="Arial" w:eastAsia="Arial" w:hAnsi="Arial"/>
                <w:sz w:val="9"/>
                <w:szCs w:val="9"/>
                <w:color w:val="auto"/>
              </w:rPr>
              <w:t>2006 –2011</w:t>
            </w:r>
          </w:p>
        </w:tc>
      </w:tr>
      <w:tr>
        <w:trPr>
          <w:trHeight w:val="99"/>
        </w:trPr>
        <w:tc>
          <w:tcPr>
            <w:tcW w:w="4400" w:type="dxa"/>
            <w:vAlign w:val="bottom"/>
          </w:tcPr>
          <w:p>
            <w:pPr>
              <w:spacing w:after="0" w:line="99" w:lineRule="exact"/>
              <w:rPr>
                <w:sz w:val="20"/>
                <w:szCs w:val="20"/>
                <w:color w:val="auto"/>
              </w:rPr>
            </w:pPr>
            <w:r>
              <w:rPr>
                <w:rFonts w:ascii="Arial" w:cs="Arial" w:eastAsia="Arial" w:hAnsi="Arial"/>
                <w:sz w:val="9"/>
                <w:szCs w:val="9"/>
                <w:color w:val="auto"/>
              </w:rPr>
              <w:t>Norway</w:t>
            </w:r>
          </w:p>
        </w:tc>
        <w:tc>
          <w:tcPr>
            <w:tcW w:w="4320" w:type="dxa"/>
            <w:vAlign w:val="bottom"/>
          </w:tcPr>
          <w:p>
            <w:pPr>
              <w:jc w:val="right"/>
              <w:ind w:right="35"/>
              <w:spacing w:after="0" w:line="99" w:lineRule="exact"/>
              <w:rPr>
                <w:sz w:val="20"/>
                <w:szCs w:val="20"/>
                <w:color w:val="auto"/>
              </w:rPr>
            </w:pPr>
            <w:r>
              <w:rPr>
                <w:rFonts w:ascii="Arial" w:cs="Arial" w:eastAsia="Arial" w:hAnsi="Arial"/>
                <w:sz w:val="9"/>
                <w:szCs w:val="9"/>
                <w:color w:val="auto"/>
              </w:rPr>
              <w:t>2003 – 2011</w:t>
            </w:r>
          </w:p>
        </w:tc>
      </w:tr>
      <w:tr>
        <w:trPr>
          <w:trHeight w:val="99"/>
        </w:trPr>
        <w:tc>
          <w:tcPr>
            <w:tcW w:w="44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Russia</w:t>
            </w:r>
          </w:p>
        </w:tc>
        <w:tc>
          <w:tcPr>
            <w:tcW w:w="4320" w:type="dxa"/>
            <w:vAlign w:val="bottom"/>
            <w:shd w:val="clear" w:color="auto" w:fill="CCEEFF"/>
          </w:tcPr>
          <w:p>
            <w:pPr>
              <w:jc w:val="right"/>
              <w:ind w:right="35"/>
              <w:spacing w:after="0" w:line="99" w:lineRule="exact"/>
              <w:rPr>
                <w:sz w:val="20"/>
                <w:szCs w:val="20"/>
                <w:color w:val="auto"/>
              </w:rPr>
            </w:pPr>
            <w:r>
              <w:rPr>
                <w:rFonts w:ascii="Arial" w:cs="Arial" w:eastAsia="Arial" w:hAnsi="Arial"/>
                <w:sz w:val="9"/>
                <w:szCs w:val="9"/>
                <w:color w:val="auto"/>
              </w:rPr>
              <w:t>2008 – 2011</w:t>
            </w:r>
          </w:p>
        </w:tc>
      </w:tr>
      <w:tr>
        <w:trPr>
          <w:trHeight w:val="99"/>
        </w:trPr>
        <w:tc>
          <w:tcPr>
            <w:tcW w:w="4400" w:type="dxa"/>
            <w:vAlign w:val="bottom"/>
          </w:tcPr>
          <w:p>
            <w:pPr>
              <w:spacing w:after="0" w:line="99" w:lineRule="exact"/>
              <w:rPr>
                <w:sz w:val="20"/>
                <w:szCs w:val="20"/>
                <w:color w:val="auto"/>
              </w:rPr>
            </w:pPr>
            <w:r>
              <w:rPr>
                <w:rFonts w:ascii="Arial" w:cs="Arial" w:eastAsia="Arial" w:hAnsi="Arial"/>
                <w:sz w:val="9"/>
                <w:szCs w:val="9"/>
                <w:color w:val="auto"/>
              </w:rPr>
              <w:t>Saudi Arabia</w:t>
            </w:r>
          </w:p>
        </w:tc>
        <w:tc>
          <w:tcPr>
            <w:tcW w:w="4320" w:type="dxa"/>
            <w:vAlign w:val="bottom"/>
          </w:tcPr>
          <w:p>
            <w:pPr>
              <w:jc w:val="right"/>
              <w:ind w:right="35"/>
              <w:spacing w:after="0" w:line="99" w:lineRule="exact"/>
              <w:rPr>
                <w:sz w:val="20"/>
                <w:szCs w:val="20"/>
                <w:color w:val="auto"/>
              </w:rPr>
            </w:pPr>
            <w:r>
              <w:rPr>
                <w:rFonts w:ascii="Arial" w:cs="Arial" w:eastAsia="Arial" w:hAnsi="Arial"/>
                <w:sz w:val="9"/>
                <w:szCs w:val="9"/>
                <w:color w:val="auto"/>
              </w:rPr>
              <w:t>2001 – 2011</w:t>
            </w:r>
          </w:p>
        </w:tc>
      </w:tr>
      <w:tr>
        <w:trPr>
          <w:trHeight w:val="99"/>
        </w:trPr>
        <w:tc>
          <w:tcPr>
            <w:tcW w:w="44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United Kingdom</w:t>
            </w:r>
          </w:p>
        </w:tc>
        <w:tc>
          <w:tcPr>
            <w:tcW w:w="4320" w:type="dxa"/>
            <w:vAlign w:val="bottom"/>
            <w:shd w:val="clear" w:color="auto" w:fill="CCEEFF"/>
          </w:tcPr>
          <w:p>
            <w:pPr>
              <w:jc w:val="right"/>
              <w:ind w:right="35"/>
              <w:spacing w:after="0" w:line="99" w:lineRule="exact"/>
              <w:rPr>
                <w:sz w:val="20"/>
                <w:szCs w:val="20"/>
                <w:color w:val="auto"/>
              </w:rPr>
            </w:pPr>
            <w:r>
              <w:rPr>
                <w:rFonts w:ascii="Arial" w:cs="Arial" w:eastAsia="Arial" w:hAnsi="Arial"/>
                <w:sz w:val="9"/>
                <w:szCs w:val="9"/>
                <w:color w:val="auto"/>
              </w:rPr>
              <w:t>2009 – 2011</w:t>
            </w:r>
          </w:p>
        </w:tc>
      </w:tr>
      <w:tr>
        <w:trPr>
          <w:trHeight w:val="114"/>
        </w:trPr>
        <w:tc>
          <w:tcPr>
            <w:tcW w:w="4400" w:type="dxa"/>
            <w:vAlign w:val="bottom"/>
          </w:tcPr>
          <w:p>
            <w:pPr>
              <w:spacing w:after="0"/>
              <w:rPr>
                <w:sz w:val="20"/>
                <w:szCs w:val="20"/>
                <w:color w:val="auto"/>
              </w:rPr>
            </w:pPr>
            <w:r>
              <w:rPr>
                <w:rFonts w:ascii="Arial" w:cs="Arial" w:eastAsia="Arial" w:hAnsi="Arial"/>
                <w:sz w:val="9"/>
                <w:szCs w:val="9"/>
                <w:color w:val="auto"/>
              </w:rPr>
              <w:t>United States</w:t>
            </w:r>
          </w:p>
        </w:tc>
        <w:tc>
          <w:tcPr>
            <w:tcW w:w="4320" w:type="dxa"/>
            <w:vAlign w:val="bottom"/>
          </w:tcPr>
          <w:p>
            <w:pPr>
              <w:jc w:val="right"/>
              <w:ind w:right="35"/>
              <w:spacing w:after="0"/>
              <w:rPr>
                <w:sz w:val="20"/>
                <w:szCs w:val="20"/>
                <w:color w:val="auto"/>
              </w:rPr>
            </w:pPr>
            <w:r>
              <w:rPr>
                <w:rFonts w:ascii="Arial" w:cs="Arial" w:eastAsia="Arial" w:hAnsi="Arial"/>
                <w:sz w:val="9"/>
                <w:szCs w:val="9"/>
                <w:color w:val="auto"/>
              </w:rPr>
              <w:t>2005 – 2011</w:t>
            </w:r>
          </w:p>
        </w:tc>
      </w:tr>
    </w:tbl>
    <w:p>
      <w:pPr>
        <w:spacing w:after="0" w:line="15" w:lineRule="exact"/>
        <w:rPr>
          <w:sz w:val="20"/>
          <w:szCs w:val="20"/>
          <w:color w:val="auto"/>
        </w:rPr>
      </w:pPr>
    </w:p>
    <w:p>
      <w:pPr>
        <w:ind w:left="8" w:right="240" w:firstLine="230"/>
        <w:spacing w:after="0" w:line="259" w:lineRule="auto"/>
        <w:rPr>
          <w:sz w:val="20"/>
          <w:szCs w:val="20"/>
          <w:color w:val="auto"/>
        </w:rPr>
      </w:pPr>
      <w:r>
        <w:rPr>
          <w:rFonts w:ascii="Arial" w:cs="Arial" w:eastAsia="Arial" w:hAnsi="Arial"/>
          <w:sz w:val="12"/>
          <w:szCs w:val="12"/>
          <w:color w:val="auto"/>
        </w:rPr>
        <w:t>In certain of the jurisdictions noted above, Schlumberger operates through more than one legal entity, each of which has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92" w:lineRule="exact"/>
        <w:rPr>
          <w:sz w:val="20"/>
          <w:szCs w:val="20"/>
          <w:color w:val="auto"/>
        </w:rPr>
      </w:pPr>
    </w:p>
    <w:p>
      <w:pPr>
        <w:ind w:left="268" w:hanging="268"/>
        <w:spacing w:after="0"/>
        <w:tabs>
          <w:tab w:leader="none" w:pos="268"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Leases and Lease Commitments</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0" w:type="dxa"/>
            <w:vAlign w:val="bottom"/>
            <w:gridSpan w:val="2"/>
          </w:tcPr>
          <w:p>
            <w:pPr>
              <w:jc w:val="right"/>
              <w:ind w:right="737"/>
              <w:spacing w:after="0"/>
              <w:rPr>
                <w:sz w:val="20"/>
                <w:szCs w:val="20"/>
                <w:color w:val="auto"/>
              </w:rPr>
            </w:pPr>
            <w:r>
              <w:rPr>
                <w:rFonts w:ascii="Arial" w:cs="Arial" w:eastAsia="Arial" w:hAnsi="Arial"/>
                <w:sz w:val="12"/>
                <w:szCs w:val="12"/>
                <w:color w:val="auto"/>
                <w:w w:val="89"/>
              </w:rPr>
              <w:t>Total rental expense was $1.6 billion in 2011, $1.2 billion in 2010, and $1.0 billion in 2009. Future minimum rental commitments under noncancelable operating leases for each of the next five years are as follows: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80" w:type="dxa"/>
            <w:vAlign w:val="bottom"/>
            <w:gridSpan w:val="4"/>
          </w:tcPr>
          <w:p>
            <w:pPr>
              <w:ind w:left="10300"/>
              <w:spacing w:after="0"/>
              <w:rPr>
                <w:sz w:val="20"/>
                <w:szCs w:val="20"/>
                <w:color w:val="auto"/>
              </w:rPr>
            </w:pPr>
            <w:r>
              <w:rPr>
                <w:rFonts w:ascii="Arial" w:cs="Arial" w:eastAsia="Arial" w:hAnsi="Arial"/>
                <w:sz w:val="9"/>
                <w:szCs w:val="9"/>
                <w:b w:val="1"/>
                <w:bCs w:val="1"/>
                <w:color w:val="auto"/>
                <w:w w:val="94"/>
              </w:rPr>
              <w:t>(Stated in millions)</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10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3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2012</w:t>
            </w:r>
          </w:p>
        </w:tc>
        <w:tc>
          <w:tcPr>
            <w:tcW w:w="10800" w:type="dxa"/>
            <w:vAlign w:val="bottom"/>
            <w:gridSpan w:val="2"/>
            <w:shd w:val="clear" w:color="auto" w:fill="CCEEFF"/>
          </w:tcPr>
          <w:p>
            <w:pPr>
              <w:jc w:val="right"/>
              <w:ind w:right="17"/>
              <w:spacing w:after="0" w:line="99"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313</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80" w:type="dxa"/>
            <w:vAlign w:val="bottom"/>
          </w:tcPr>
          <w:p>
            <w:pPr>
              <w:spacing w:after="0" w:line="99" w:lineRule="exact"/>
              <w:rPr>
                <w:sz w:val="20"/>
                <w:szCs w:val="20"/>
                <w:color w:val="auto"/>
              </w:rPr>
            </w:pPr>
            <w:r>
              <w:rPr>
                <w:rFonts w:ascii="Arial" w:cs="Arial" w:eastAsia="Arial" w:hAnsi="Arial"/>
                <w:sz w:val="9"/>
                <w:szCs w:val="9"/>
                <w:color w:val="auto"/>
              </w:rPr>
              <w:t>2013</w:t>
            </w:r>
          </w:p>
        </w:tc>
        <w:tc>
          <w:tcPr>
            <w:tcW w:w="10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239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2014</w:t>
            </w:r>
          </w:p>
        </w:tc>
        <w:tc>
          <w:tcPr>
            <w:tcW w:w="10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181</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0" w:type="dxa"/>
            <w:vAlign w:val="bottom"/>
            <w:gridSpan w:val="2"/>
          </w:tcPr>
          <w:p>
            <w:pPr>
              <w:spacing w:after="0" w:line="99" w:lineRule="exact"/>
              <w:rPr>
                <w:sz w:val="20"/>
                <w:szCs w:val="20"/>
                <w:color w:val="auto"/>
              </w:rPr>
            </w:pPr>
            <w:r>
              <w:rPr>
                <w:rFonts w:ascii="Arial" w:cs="Arial" w:eastAsia="Arial" w:hAnsi="Arial"/>
                <w:sz w:val="9"/>
                <w:szCs w:val="9"/>
                <w:color w:val="auto"/>
              </w:rPr>
              <w:t>2015</w:t>
            </w:r>
          </w:p>
        </w:tc>
        <w:tc>
          <w:tcPr>
            <w:tcW w:w="10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150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2016</w:t>
            </w:r>
          </w:p>
        </w:tc>
        <w:tc>
          <w:tcPr>
            <w:tcW w:w="10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105</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0" w:type="dxa"/>
            <w:vAlign w:val="bottom"/>
            <w:gridSpan w:val="2"/>
          </w:tcPr>
          <w:p>
            <w:pPr>
              <w:spacing w:after="0" w:line="99" w:lineRule="exact"/>
              <w:rPr>
                <w:sz w:val="20"/>
                <w:szCs w:val="20"/>
                <w:color w:val="auto"/>
              </w:rPr>
            </w:pPr>
            <w:r>
              <w:rPr>
                <w:rFonts w:ascii="Arial" w:cs="Arial" w:eastAsia="Arial" w:hAnsi="Arial"/>
                <w:sz w:val="9"/>
                <w:szCs w:val="9"/>
                <w:color w:val="auto"/>
                <w:w w:val="91"/>
              </w:rPr>
              <w:t>Thereafter</w:t>
            </w:r>
          </w:p>
        </w:tc>
        <w:tc>
          <w:tcPr>
            <w:tcW w:w="10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441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072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720" w:type="dxa"/>
            <w:vAlign w:val="bottom"/>
          </w:tcPr>
          <w:p>
            <w:pPr>
              <w:spacing w:after="0"/>
              <w:rPr>
                <w:sz w:val="7"/>
                <w:szCs w:val="7"/>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2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w w:val="88"/>
              </w:rPr>
              <w:t>1,429</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68" w:hanging="268"/>
        <w:spacing w:after="0"/>
        <w:tabs>
          <w:tab w:leader="none" w:pos="268"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Contingencies</w:t>
      </w:r>
    </w:p>
    <w:p>
      <w:pPr>
        <w:spacing w:after="0" w:line="62" w:lineRule="exact"/>
        <w:rPr>
          <w:sz w:val="20"/>
          <w:szCs w:val="20"/>
          <w:color w:val="auto"/>
        </w:rPr>
      </w:pPr>
    </w:p>
    <w:p>
      <w:pPr>
        <w:ind w:left="8" w:right="480" w:firstLine="230"/>
        <w:spacing w:after="0" w:line="277" w:lineRule="auto"/>
        <w:rPr>
          <w:sz w:val="20"/>
          <w:szCs w:val="20"/>
          <w:color w:val="auto"/>
        </w:rPr>
      </w:pPr>
      <w:r>
        <w:rPr>
          <w:rFonts w:ascii="Arial" w:cs="Arial" w:eastAsia="Arial" w:hAnsi="Arial"/>
          <w:sz w:val="11"/>
          <w:szCs w:val="11"/>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governmental authorities.</w:t>
      </w:r>
    </w:p>
    <w:p>
      <w:pPr>
        <w:ind w:left="8" w:right="100" w:firstLine="230"/>
        <w:spacing w:after="0" w:line="250" w:lineRule="auto"/>
        <w:rPr>
          <w:sz w:val="20"/>
          <w:szCs w:val="20"/>
          <w:color w:val="auto"/>
        </w:rPr>
      </w:pPr>
      <w:r>
        <w:rPr>
          <w:rFonts w:ascii="Arial" w:cs="Arial" w:eastAsia="Arial" w:hAnsi="Arial"/>
          <w:sz w:val="12"/>
          <w:szCs w:val="12"/>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Also in 2009, prior to being acquired by Schlumberger, Smith received an administrative subpoena with respect to its historical business practices in certain countries that are subject to United States trade and economic sanctions. Schlumberger is cooperating with the governmental authorities.</w:t>
      </w:r>
    </w:p>
    <w:p>
      <w:pPr>
        <w:spacing w:after="0" w:line="1" w:lineRule="exact"/>
        <w:rPr>
          <w:sz w:val="20"/>
          <w:szCs w:val="20"/>
          <w:color w:val="auto"/>
        </w:rPr>
      </w:pPr>
    </w:p>
    <w:p>
      <w:pPr>
        <w:ind w:left="8" w:right="120" w:firstLine="230"/>
        <w:spacing w:after="0" w:line="250" w:lineRule="auto"/>
        <w:rPr>
          <w:sz w:val="20"/>
          <w:szCs w:val="20"/>
          <w:color w:val="auto"/>
        </w:rPr>
      </w:pPr>
      <w:r>
        <w:rPr>
          <w:rFonts w:ascii="Arial" w:cs="Arial" w:eastAsia="Arial" w:hAnsi="Arial"/>
          <w:sz w:val="12"/>
          <w:szCs w:val="12"/>
          <w:color w:val="auto"/>
        </w:rPr>
        <w:t xml:space="preserve">On April 20, 2010, a fire and explosion occurred onboard the semisubmersible drilling rig </w:t>
      </w:r>
      <w:r>
        <w:rPr>
          <w:rFonts w:ascii="Arial" w:cs="Arial" w:eastAsia="Arial" w:hAnsi="Arial"/>
          <w:sz w:val="12"/>
          <w:szCs w:val="12"/>
          <w:i w:val="1"/>
          <w:iCs w:val="1"/>
          <w:color w:val="auto"/>
        </w:rPr>
        <w:t>Deepwater Horizon</w:t>
      </w:r>
      <w:r>
        <w:rPr>
          <w:rFonts w:ascii="Arial" w:cs="Arial" w:eastAsia="Arial" w:hAnsi="Arial"/>
          <w:sz w:val="12"/>
          <w:szCs w:val="12"/>
          <w:color w:val="auto"/>
        </w:rPr>
        <w:t xml:space="preserve">, owned by Transocean Ltd. and under contract to a subsidiary of BP plc. Pursuant to a contract between M-I SWACO and BP, M-I SWACO provided certain services under the direction of BP. A number of legal actions, certain of which name an M-I SWACO entity as a defendant, have been filed in connection with the </w:t>
      </w:r>
      <w:r>
        <w:rPr>
          <w:rFonts w:ascii="Arial" w:cs="Arial" w:eastAsia="Arial" w:hAnsi="Arial"/>
          <w:sz w:val="12"/>
          <w:szCs w:val="12"/>
          <w:i w:val="1"/>
          <w:iCs w:val="1"/>
          <w:color w:val="auto"/>
        </w:rPr>
        <w:t>Deepwater Horizon</w:t>
      </w:r>
      <w:r>
        <w:rPr>
          <w:rFonts w:ascii="Arial" w:cs="Arial" w:eastAsia="Arial" w:hAnsi="Arial"/>
          <w:sz w:val="12"/>
          <w:szCs w:val="12"/>
          <w:color w:val="auto"/>
        </w:rPr>
        <w:t xml:space="preserve"> incident, and additional legal actions may be filed in the future. Based on information currently known, the amount of any potential loss attributable to M-I SWACO with respect to potential liabilities related to the incident would not be material to Schlumberger’s consolidated financial statements.</w:t>
      </w:r>
    </w:p>
    <w:p>
      <w:pPr>
        <w:spacing w:after="0" w:line="1" w:lineRule="exact"/>
        <w:rPr>
          <w:sz w:val="20"/>
          <w:szCs w:val="20"/>
          <w:color w:val="auto"/>
        </w:rPr>
      </w:pPr>
    </w:p>
    <w:p>
      <w:pPr>
        <w:ind w:left="8" w:right="200" w:firstLine="230"/>
        <w:spacing w:after="0" w:line="261" w:lineRule="auto"/>
        <w:rPr>
          <w:sz w:val="20"/>
          <w:szCs w:val="20"/>
          <w:color w:val="auto"/>
        </w:rPr>
      </w:pPr>
      <w:r>
        <w:rPr>
          <w:rFonts w:ascii="Arial" w:cs="Arial" w:eastAsia="Arial" w:hAnsi="Arial"/>
          <w:sz w:val="12"/>
          <w:szCs w:val="12"/>
          <w:color w:val="auto"/>
        </w:rPr>
        <w:t>Schlumberger and its subsidiaries are party to various other legal proceedings from time to time. A liability is accrued when a loss is both probable and can be reasonably estimated. Management believes that the probability of a material loss is remote. However, litigation is inherently uncertain and it is not possible to predict the ultimate disposition of these proceedings.</w:t>
      </w:r>
    </w:p>
    <w:p>
      <w:pPr>
        <w:spacing w:after="0" w:line="82"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60</w:t>
      </w:r>
    </w:p>
    <w:p>
      <w:pPr>
        <w:sectPr>
          <w:pgSz w:w="11900" w:h="16838" w:orient="portrait"/>
          <w:cols w:equalWidth="0" w:num="1">
            <w:col w:w="11488"/>
          </w:cols>
          <w:pgMar w:left="212" w:top="354" w:right="199" w:bottom="1440" w:gutter="0" w:footer="0" w:header="0"/>
        </w:sectPr>
      </w:pPr>
    </w:p>
    <w:bookmarkStart w:id="60" w:name="page61"/>
    <w:bookmarkEnd w:id="60"/>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268" w:hanging="268"/>
        <w:spacing w:after="0"/>
        <w:tabs>
          <w:tab w:leader="none" w:pos="268"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Segment Information</w:t>
      </w:r>
    </w:p>
    <w:p>
      <w:pPr>
        <w:spacing w:after="0" w:line="62" w:lineRule="exact"/>
        <w:rPr>
          <w:sz w:val="20"/>
          <w:szCs w:val="20"/>
          <w:color w:val="auto"/>
        </w:rPr>
      </w:pPr>
    </w:p>
    <w:p>
      <w:pPr>
        <w:ind w:left="8" w:right="20" w:firstLine="230"/>
        <w:spacing w:after="0" w:line="256" w:lineRule="auto"/>
        <w:rPr>
          <w:sz w:val="20"/>
          <w:szCs w:val="20"/>
          <w:color w:val="auto"/>
        </w:rPr>
      </w:pPr>
      <w:r>
        <w:rPr>
          <w:rFonts w:ascii="Arial" w:cs="Arial" w:eastAsia="Arial" w:hAnsi="Arial"/>
          <w:sz w:val="12"/>
          <w:szCs w:val="12"/>
          <w:color w:val="auto"/>
        </w:rPr>
        <w:t>Schlumberger previously reported its results on the basis of five business segments – Schlumberger Oilfield Services, WesternGeco, M-I SWACO, Smith Oilfield and Distribution and by geographical areas within Schlumberger Oilfield Services. As a result of the acquisitions of Smith and Geoservices, the range of Schlumberger’s activities comprising exploration and production services is so broad that it has changed the primary way in which it allocates resources and assesses performance. Consequently, effective with the first quarter of 2011, Schlumberger changed its primary reporting to product group segments (the “Groups”). The Groups are as follows:</w:t>
      </w:r>
    </w:p>
    <w:p>
      <w:pPr>
        <w:spacing w:after="0" w:line="42" w:lineRule="exact"/>
        <w:rPr>
          <w:sz w:val="20"/>
          <w:szCs w:val="20"/>
          <w:color w:val="auto"/>
        </w:rPr>
      </w:pPr>
    </w:p>
    <w:p>
      <w:pPr>
        <w:ind w:left="788" w:hanging="33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 xml:space="preserve">Reservoir Characterization Group </w:t>
      </w:r>
      <w:r>
        <w:rPr>
          <w:rFonts w:ascii="Arial" w:cs="Arial" w:eastAsia="Arial" w:hAnsi="Arial"/>
          <w:sz w:val="12"/>
          <w:szCs w:val="12"/>
          <w:color w:val="auto"/>
        </w:rPr>
        <w:t>– Consists of the principal technologies involved in finding and defining hydrocarbon deposits. These include WesternGeco, Wireline, Testing Services, Schlumberger Information Services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Data &amp; Consulting Services.</w:t>
      </w:r>
    </w:p>
    <w:p>
      <w:pPr>
        <w:spacing w:after="0" w:line="34" w:lineRule="exact"/>
        <w:rPr>
          <w:sz w:val="20"/>
          <w:szCs w:val="20"/>
          <w:color w:val="auto"/>
        </w:rPr>
      </w:pPr>
    </w:p>
    <w:p>
      <w:pPr>
        <w:ind w:left="788" w:right="240" w:hanging="33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 xml:space="preserve">Drilling Group </w:t>
      </w:r>
      <w:r>
        <w:rPr>
          <w:rFonts w:ascii="Arial" w:cs="Arial" w:eastAsia="Arial" w:hAnsi="Arial"/>
          <w:sz w:val="12"/>
          <w:szCs w:val="12"/>
          <w:color w:val="auto"/>
        </w:rPr>
        <w:t>– Consists of the principal technologies involved in the drilling and positioning of oil and gas wells and is comprised of Bits &amp; Advanced Technologies, M-I SWACO, Geoservices, Drilling &amp; Measurements,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PathFinder, Drilling Tools &amp; Remedial, Dynamic Pressure Management and Integrated Project Management well construction projects.</w:t>
      </w:r>
    </w:p>
    <w:p>
      <w:pPr>
        <w:spacing w:after="0" w:line="34" w:lineRule="exact"/>
        <w:rPr>
          <w:sz w:val="20"/>
          <w:szCs w:val="20"/>
          <w:color w:val="auto"/>
        </w:rPr>
      </w:pPr>
    </w:p>
    <w:p>
      <w:pPr>
        <w:ind w:left="788" w:right="380" w:hanging="33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 xml:space="preserve">Reservoir Production Group </w:t>
      </w:r>
      <w:r>
        <w:rPr>
          <w:rFonts w:ascii="Arial" w:cs="Arial" w:eastAsia="Arial" w:hAnsi="Arial"/>
          <w:sz w:val="12"/>
          <w:szCs w:val="12"/>
          <w:color w:val="auto"/>
        </w:rPr>
        <w:t>– Consists of the principal technologies involved in the lifetime production of oil and gas reservoirs and includes Well Services, Completions, Artificial Lift, Well Intervention, Subsea, Water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Services, Carbon Services and the Schlumberger Production Management field production projects.</w:t>
      </w:r>
    </w:p>
    <w:p>
      <w:pPr>
        <w:spacing w:after="0" w:line="34" w:lineRule="exact"/>
        <w:rPr>
          <w:sz w:val="20"/>
          <w:szCs w:val="20"/>
          <w:color w:val="auto"/>
        </w:rPr>
      </w:pPr>
    </w:p>
    <w:p>
      <w:pPr>
        <w:ind w:left="228"/>
        <w:spacing w:after="0"/>
        <w:rPr>
          <w:sz w:val="20"/>
          <w:szCs w:val="20"/>
          <w:color w:val="auto"/>
        </w:rPr>
      </w:pPr>
      <w:r>
        <w:rPr>
          <w:rFonts w:ascii="Arial" w:cs="Arial" w:eastAsia="Arial" w:hAnsi="Arial"/>
          <w:sz w:val="12"/>
          <w:szCs w:val="12"/>
          <w:color w:val="auto"/>
        </w:rPr>
        <w:t>The Groups are collectively referred to as “Oilfield Services”. Additionally, Schlumberger also reports the Distribution business, acquired in the Smith transaction, as a separate segment.</w:t>
      </w:r>
    </w:p>
    <w:p>
      <w:pPr>
        <w:spacing w:after="0" w:line="60" w:lineRule="exact"/>
        <w:rPr>
          <w:sz w:val="20"/>
          <w:szCs w:val="20"/>
          <w:color w:val="auto"/>
        </w:rPr>
      </w:pPr>
    </w:p>
    <w:p>
      <w:pPr>
        <w:ind w:left="228"/>
        <w:spacing w:after="0"/>
        <w:rPr>
          <w:sz w:val="20"/>
          <w:szCs w:val="20"/>
          <w:color w:val="auto"/>
        </w:rPr>
      </w:pPr>
      <w:r>
        <w:rPr>
          <w:rFonts w:ascii="Arial" w:cs="Arial" w:eastAsia="Arial" w:hAnsi="Arial"/>
          <w:sz w:val="12"/>
          <w:szCs w:val="12"/>
          <w:color w:val="auto"/>
        </w:rPr>
        <w:t>All prior period segment disclosures have been recast to reflect the new segments.</w:t>
      </w:r>
    </w:p>
    <w:p>
      <w:pPr>
        <w:spacing w:after="0" w:line="60" w:lineRule="exact"/>
        <w:rPr>
          <w:sz w:val="20"/>
          <w:szCs w:val="20"/>
          <w:color w:val="auto"/>
        </w:rPr>
      </w:pPr>
    </w:p>
    <w:p>
      <w:pPr>
        <w:ind w:left="228"/>
        <w:spacing w:after="0"/>
        <w:rPr>
          <w:sz w:val="20"/>
          <w:szCs w:val="20"/>
          <w:color w:val="auto"/>
        </w:rPr>
      </w:pPr>
      <w:r>
        <w:rPr>
          <w:rFonts w:ascii="Arial" w:cs="Arial" w:eastAsia="Arial" w:hAnsi="Arial"/>
          <w:sz w:val="12"/>
          <w:szCs w:val="12"/>
          <w:color w:val="auto"/>
        </w:rPr>
        <w:t>Financial information for the years ended December 31, 2011, 2010 and 2009, by segment, is as follows: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ind w:left="140"/>
              <w:spacing w:after="0"/>
              <w:rPr>
                <w:sz w:val="20"/>
                <w:szCs w:val="20"/>
                <w:color w:val="auto"/>
              </w:rPr>
            </w:pPr>
            <w:r>
              <w:rPr>
                <w:rFonts w:ascii="Arial" w:cs="Arial" w:eastAsia="Arial" w:hAnsi="Arial"/>
                <w:sz w:val="9"/>
                <w:szCs w:val="9"/>
                <w:b w:val="1"/>
                <w:bCs w:val="1"/>
                <w:color w:val="auto"/>
                <w:w w:val="94"/>
              </w:rPr>
              <w:t>(Stated in millions)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9"/>
                <w:szCs w:val="9"/>
                <w:b w:val="1"/>
                <w:bCs w:val="1"/>
                <w:color w:val="auto"/>
              </w:rPr>
              <w:t>2011</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440" w:type="dxa"/>
            <w:vAlign w:val="bottom"/>
          </w:tcPr>
          <w:p>
            <w:pPr>
              <w:spacing w:after="0"/>
              <w:rPr>
                <w:sz w:val="6"/>
                <w:szCs w:val="6"/>
                <w:color w:val="auto"/>
              </w:rPr>
            </w:pPr>
          </w:p>
        </w:tc>
        <w:tc>
          <w:tcPr>
            <w:tcW w:w="4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Income</w:t>
            </w: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gridSpan w:val="3"/>
          </w:tcPr>
          <w:p>
            <w:pPr>
              <w:jc w:val="right"/>
              <w:ind w:right="280"/>
              <w:spacing w:after="0" w:line="99" w:lineRule="exact"/>
              <w:rPr>
                <w:sz w:val="20"/>
                <w:szCs w:val="20"/>
                <w:color w:val="auto"/>
              </w:rPr>
            </w:pPr>
            <w:r>
              <w:rPr>
                <w:rFonts w:ascii="Arial" w:cs="Arial" w:eastAsia="Arial" w:hAnsi="Arial"/>
                <w:sz w:val="9"/>
                <w:szCs w:val="9"/>
                <w:b w:val="1"/>
                <w:bCs w:val="1"/>
                <w:color w:val="auto"/>
                <w:w w:val="94"/>
              </w:rPr>
              <w:t>before</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Depn. &amp;</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Capital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160" w:type="dxa"/>
            <w:vAlign w:val="bottom"/>
          </w:tcPr>
          <w:p>
            <w:pPr>
              <w:spacing w:after="0"/>
              <w:rPr>
                <w:sz w:val="9"/>
                <w:szCs w:val="9"/>
                <w:color w:val="auto"/>
              </w:rPr>
            </w:pPr>
          </w:p>
        </w:tc>
        <w:tc>
          <w:tcPr>
            <w:tcW w:w="600" w:type="dxa"/>
            <w:vAlign w:val="bottom"/>
            <w:gridSpan w:val="3"/>
          </w:tcPr>
          <w:p>
            <w:pPr>
              <w:spacing w:after="0"/>
              <w:rPr>
                <w:sz w:val="20"/>
                <w:szCs w:val="20"/>
                <w:color w:val="auto"/>
              </w:rPr>
            </w:pPr>
            <w:r>
              <w:rPr>
                <w:rFonts w:ascii="Arial" w:cs="Arial" w:eastAsia="Arial" w:hAnsi="Arial"/>
                <w:sz w:val="9"/>
                <w:szCs w:val="9"/>
                <w:b w:val="1"/>
                <w:bCs w:val="1"/>
                <w:color w:val="auto"/>
              </w:rPr>
              <w:t>Revenue</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8"/>
                <w:szCs w:val="8"/>
                <w:b w:val="1"/>
                <w:bCs w:val="1"/>
                <w:color w:val="auto"/>
                <w:w w:val="77"/>
              </w:rPr>
              <w:t>taxes</w:t>
            </w:r>
          </w:p>
        </w:tc>
        <w:tc>
          <w:tcPr>
            <w:tcW w:w="240" w:type="dxa"/>
            <w:vAlign w:val="bottom"/>
          </w:tcPr>
          <w:p>
            <w:pPr>
              <w:spacing w:after="0"/>
              <w:rPr>
                <w:sz w:val="9"/>
                <w:szCs w:val="9"/>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9"/>
                <w:szCs w:val="9"/>
                <w:b w:val="1"/>
                <w:bCs w:val="1"/>
                <w:color w:val="auto"/>
                <w:w w:val="87"/>
              </w:rPr>
              <w:t>Assets</w:t>
            </w:r>
          </w:p>
        </w:tc>
        <w:tc>
          <w:tcPr>
            <w:tcW w:w="240" w:type="dxa"/>
            <w:vAlign w:val="bottom"/>
          </w:tcPr>
          <w:p>
            <w:pPr>
              <w:spacing w:after="0"/>
              <w:rPr>
                <w:sz w:val="9"/>
                <w:szCs w:val="9"/>
                <w:color w:val="auto"/>
              </w:rPr>
            </w:pPr>
          </w:p>
        </w:tc>
        <w:tc>
          <w:tcPr>
            <w:tcW w:w="480" w:type="dxa"/>
            <w:vAlign w:val="bottom"/>
            <w:gridSpan w:val="3"/>
          </w:tcPr>
          <w:p>
            <w:pPr>
              <w:spacing w:after="0"/>
              <w:rPr>
                <w:sz w:val="20"/>
                <w:szCs w:val="20"/>
                <w:color w:val="auto"/>
              </w:rPr>
            </w:pPr>
            <w:r>
              <w:rPr>
                <w:rFonts w:ascii="Arial" w:cs="Arial" w:eastAsia="Arial" w:hAnsi="Arial"/>
                <w:sz w:val="9"/>
                <w:szCs w:val="9"/>
                <w:b w:val="1"/>
                <w:bCs w:val="1"/>
                <w:color w:val="auto"/>
              </w:rPr>
              <w:t>Amortn.</w:t>
            </w:r>
          </w:p>
        </w:tc>
        <w:tc>
          <w:tcPr>
            <w:tcW w:w="340" w:type="dxa"/>
            <w:vAlign w:val="bottom"/>
          </w:tcPr>
          <w:p>
            <w:pPr>
              <w:spacing w:after="0"/>
              <w:rPr>
                <w:sz w:val="9"/>
                <w:szCs w:val="9"/>
                <w:color w:val="auto"/>
              </w:rPr>
            </w:pPr>
          </w:p>
        </w:tc>
        <w:tc>
          <w:tcPr>
            <w:tcW w:w="580" w:type="dxa"/>
            <w:vAlign w:val="bottom"/>
            <w:gridSpan w:val="3"/>
          </w:tcPr>
          <w:p>
            <w:pPr>
              <w:ind w:left="20"/>
              <w:spacing w:after="0"/>
              <w:rPr>
                <w:sz w:val="20"/>
                <w:szCs w:val="20"/>
                <w:color w:val="auto"/>
              </w:rPr>
            </w:pPr>
            <w:r>
              <w:rPr>
                <w:rFonts w:ascii="Arial" w:cs="Arial" w:eastAsia="Arial" w:hAnsi="Arial"/>
                <w:sz w:val="9"/>
                <w:szCs w:val="9"/>
                <w:b w:val="1"/>
                <w:bCs w:val="1"/>
                <w:color w:val="auto"/>
                <w:w w:val="94"/>
              </w:rPr>
              <w:t>Expenditures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44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i w:val="1"/>
                <w:iCs w:val="1"/>
                <w:color w:val="auto"/>
              </w:rPr>
              <w:t>OILFIELD SERVICES</w:t>
            </w:r>
          </w:p>
        </w:tc>
        <w:tc>
          <w:tcPr>
            <w:tcW w:w="4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40" w:type="dxa"/>
            <w:vAlign w:val="bottom"/>
          </w:tcPr>
          <w:p>
            <w:pPr>
              <w:ind w:left="260"/>
              <w:spacing w:after="0" w:line="99" w:lineRule="exact"/>
              <w:rPr>
                <w:sz w:val="20"/>
                <w:szCs w:val="20"/>
                <w:color w:val="auto"/>
              </w:rPr>
            </w:pPr>
            <w:r>
              <w:rPr>
                <w:rFonts w:ascii="Arial" w:cs="Arial" w:eastAsia="Arial" w:hAnsi="Arial"/>
                <w:sz w:val="9"/>
                <w:szCs w:val="9"/>
                <w:color w:val="auto"/>
              </w:rPr>
              <w:t>Reservoir Characterization</w:t>
            </w:r>
          </w:p>
        </w:tc>
        <w:tc>
          <w:tcPr>
            <w:tcW w:w="4220" w:type="dxa"/>
            <w:vAlign w:val="bottom"/>
            <w:gridSpan w:val="2"/>
          </w:tcPr>
          <w:p>
            <w:pPr>
              <w:ind w:left="4160"/>
              <w:spacing w:after="0" w:line="99" w:lineRule="exact"/>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9,929</w:t>
            </w:r>
          </w:p>
        </w:tc>
        <w:tc>
          <w:tcPr>
            <w:tcW w:w="260" w:type="dxa"/>
            <w:vAlign w:val="bottom"/>
          </w:tcPr>
          <w:p>
            <w:pPr>
              <w:spacing w:after="0"/>
              <w:rPr>
                <w:sz w:val="8"/>
                <w:szCs w:val="8"/>
                <w:color w:val="auto"/>
              </w:rPr>
            </w:pPr>
          </w:p>
        </w:tc>
        <w:tc>
          <w:tcPr>
            <w:tcW w:w="300" w:type="dxa"/>
            <w:vAlign w:val="bottom"/>
            <w:gridSpan w:val="2"/>
          </w:tcPr>
          <w:p>
            <w:pPr>
              <w:ind w:left="240"/>
              <w:spacing w:after="0" w:line="99" w:lineRule="exact"/>
              <w:rPr>
                <w:sz w:val="20"/>
                <w:szCs w:val="20"/>
                <w:color w:val="auto"/>
              </w:rPr>
            </w:pPr>
            <w:r>
              <w:rPr>
                <w:rFonts w:ascii="Arial" w:cs="Arial" w:eastAsia="Arial" w:hAnsi="Arial"/>
                <w:sz w:val="9"/>
                <w:szCs w:val="9"/>
                <w:color w:val="auto"/>
                <w:w w:val="78"/>
              </w:rPr>
              <w:t>$</w:t>
            </w: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2,449</w:t>
            </w:r>
          </w:p>
        </w:tc>
        <w:tc>
          <w:tcPr>
            <w:tcW w:w="260" w:type="dxa"/>
            <w:vAlign w:val="bottom"/>
          </w:tcPr>
          <w:p>
            <w:pPr>
              <w:spacing w:after="0"/>
              <w:rPr>
                <w:sz w:val="8"/>
                <w:szCs w:val="8"/>
                <w:color w:val="auto"/>
              </w:rPr>
            </w:pPr>
          </w:p>
        </w:tc>
        <w:tc>
          <w:tcPr>
            <w:tcW w:w="30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7,621</w:t>
            </w:r>
          </w:p>
        </w:tc>
        <w:tc>
          <w:tcPr>
            <w:tcW w:w="280" w:type="dxa"/>
            <w:vAlign w:val="bottom"/>
          </w:tcPr>
          <w:p>
            <w:pPr>
              <w:spacing w:after="0"/>
              <w:rPr>
                <w:sz w:val="8"/>
                <w:szCs w:val="8"/>
                <w:color w:val="auto"/>
              </w:rPr>
            </w:pPr>
          </w:p>
        </w:tc>
        <w:tc>
          <w:tcPr>
            <w:tcW w:w="320" w:type="dxa"/>
            <w:vAlign w:val="bottom"/>
            <w:gridSpan w:val="2"/>
          </w:tcPr>
          <w:p>
            <w:pPr>
              <w:ind w:left="240"/>
              <w:spacing w:after="0" w:line="99"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w w:val="97"/>
              </w:rPr>
              <w:t>1,285</w:t>
            </w:r>
          </w:p>
        </w:tc>
        <w:tc>
          <w:tcPr>
            <w:tcW w:w="440" w:type="dxa"/>
            <w:vAlign w:val="bottom"/>
            <w:gridSpan w:val="2"/>
          </w:tcPr>
          <w:p>
            <w:pPr>
              <w:ind w:left="340"/>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1,057</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4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Drilling</w:t>
            </w:r>
          </w:p>
        </w:tc>
        <w:tc>
          <w:tcPr>
            <w:tcW w:w="4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4"/>
              </w:rPr>
              <w:t>14,248</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2,275</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9,268</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w w:val="97"/>
              </w:rPr>
              <w:t>1,026</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1,460</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40" w:type="dxa"/>
            <w:vAlign w:val="bottom"/>
          </w:tcPr>
          <w:p>
            <w:pPr>
              <w:ind w:left="260"/>
              <w:spacing w:after="0" w:line="99" w:lineRule="exact"/>
              <w:rPr>
                <w:sz w:val="20"/>
                <w:szCs w:val="20"/>
                <w:color w:val="auto"/>
              </w:rPr>
            </w:pPr>
            <w:r>
              <w:rPr>
                <w:rFonts w:ascii="Arial" w:cs="Arial" w:eastAsia="Arial" w:hAnsi="Arial"/>
                <w:sz w:val="9"/>
                <w:szCs w:val="9"/>
                <w:color w:val="auto"/>
              </w:rPr>
              <w:t>Reservoir Production</w:t>
            </w:r>
          </w:p>
        </w:tc>
        <w:tc>
          <w:tcPr>
            <w:tcW w:w="4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w w:val="94"/>
              </w:rPr>
              <w:t>12,748</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2,616</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7,834</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598</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1,343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40" w:type="dxa"/>
            <w:vAlign w:val="bottom"/>
            <w:shd w:val="clear" w:color="auto" w:fill="CCEEFF"/>
          </w:tcPr>
          <w:p>
            <w:pPr>
              <w:ind w:left="260"/>
              <w:spacing w:after="0" w:line="99" w:lineRule="exact"/>
              <w:rPr>
                <w:sz w:val="20"/>
                <w:szCs w:val="20"/>
                <w:color w:val="auto"/>
              </w:rPr>
            </w:pPr>
            <w:r>
              <w:rPr>
                <w:rFonts w:ascii="Arial" w:cs="Arial" w:eastAsia="Arial" w:hAnsi="Arial"/>
                <w:sz w:val="7"/>
                <w:szCs w:val="7"/>
                <w:color w:val="auto"/>
              </w:rPr>
              <w:t xml:space="preserve">Eliminations &amp; other </w:t>
            </w:r>
            <w:r>
              <w:rPr>
                <w:rFonts w:ascii="Arial" w:cs="Arial" w:eastAsia="Arial" w:hAnsi="Arial"/>
                <w:sz w:val="11"/>
                <w:szCs w:val="11"/>
                <w:color w:val="auto"/>
                <w:vertAlign w:val="superscript"/>
              </w:rPr>
              <w:t>(1)</w:t>
            </w:r>
          </w:p>
        </w:tc>
        <w:tc>
          <w:tcPr>
            <w:tcW w:w="4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34</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(35)</w:t>
            </w: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1,956</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163</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w w:val="94"/>
              </w:rPr>
              <w:t>36,959</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w w:val="97"/>
              </w:rPr>
              <w:t>7,305</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w w:val="79"/>
              </w:rPr>
              <w:t>26,679</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w w:val="97"/>
              </w:rPr>
              <w:t>3,072</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4,008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vMerge w:val="continue"/>
          </w:tcPr>
          <w:p>
            <w:pPr>
              <w:spacing w:after="0"/>
              <w:rPr>
                <w:sz w:val="8"/>
                <w:szCs w:val="8"/>
                <w:color w:val="auto"/>
              </w:rPr>
            </w:pPr>
          </w:p>
        </w:tc>
        <w:tc>
          <w:tcPr>
            <w:tcW w:w="344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i w:val="1"/>
                <w:iCs w:val="1"/>
                <w:color w:val="auto"/>
              </w:rPr>
              <w:t>DISTRIBUTION</w:t>
            </w:r>
          </w:p>
        </w:tc>
        <w:tc>
          <w:tcPr>
            <w:tcW w:w="4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2,621</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103</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939</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40" w:type="dxa"/>
            <w:vAlign w:val="bottom"/>
          </w:tcPr>
          <w:p>
            <w:pPr>
              <w:spacing w:after="0" w:line="99" w:lineRule="exact"/>
              <w:rPr>
                <w:sz w:val="20"/>
                <w:szCs w:val="20"/>
                <w:color w:val="auto"/>
              </w:rPr>
            </w:pPr>
            <w:r>
              <w:rPr>
                <w:rFonts w:ascii="Arial" w:cs="Arial" w:eastAsia="Arial" w:hAnsi="Arial"/>
                <w:sz w:val="9"/>
                <w:szCs w:val="9"/>
                <w:color w:val="auto"/>
              </w:rPr>
              <w:t>Eliminations</w:t>
            </w:r>
          </w:p>
        </w:tc>
        <w:tc>
          <w:tcPr>
            <w:tcW w:w="4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40"/>
              <w:spacing w:after="0" w:line="99" w:lineRule="exact"/>
              <w:rPr>
                <w:sz w:val="20"/>
                <w:szCs w:val="20"/>
                <w:color w:val="auto"/>
              </w:rPr>
            </w:pPr>
            <w:r>
              <w:rPr>
                <w:rFonts w:ascii="Arial" w:cs="Arial" w:eastAsia="Arial" w:hAnsi="Arial"/>
                <w:sz w:val="9"/>
                <w:szCs w:val="9"/>
                <w:color w:val="auto"/>
              </w:rPr>
              <w:t>(40)</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440" w:type="dxa"/>
            <w:vAlign w:val="bottom"/>
            <w:shd w:val="clear" w:color="auto" w:fill="CCEEFF"/>
          </w:tcPr>
          <w:p>
            <w:pPr>
              <w:spacing w:after="0"/>
              <w:rPr>
                <w:sz w:val="8"/>
                <w:szCs w:val="8"/>
                <w:color w:val="auto"/>
              </w:rPr>
            </w:pPr>
          </w:p>
        </w:tc>
        <w:tc>
          <w:tcPr>
            <w:tcW w:w="416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2,581</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103</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40" w:type="dxa"/>
            <w:vAlign w:val="bottom"/>
          </w:tcPr>
          <w:p>
            <w:pPr>
              <w:spacing w:after="0" w:line="99" w:lineRule="exact"/>
              <w:rPr>
                <w:sz w:val="20"/>
                <w:szCs w:val="20"/>
                <w:color w:val="auto"/>
              </w:rPr>
            </w:pPr>
            <w:r>
              <w:rPr>
                <w:rFonts w:ascii="Arial" w:cs="Arial" w:eastAsia="Arial" w:hAnsi="Arial"/>
                <w:sz w:val="9"/>
                <w:szCs w:val="9"/>
                <w:color w:val="auto"/>
              </w:rPr>
              <w:t>Goodwill and intangible assets</w:t>
            </w:r>
          </w:p>
        </w:tc>
        <w:tc>
          <w:tcPr>
            <w:tcW w:w="4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79"/>
              </w:rPr>
              <w:t>19,036</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46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All other assets</w:t>
            </w:r>
          </w:p>
        </w:tc>
        <w:tc>
          <w:tcPr>
            <w:tcW w:w="4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2,198</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460" w:type="dxa"/>
            <w:vAlign w:val="bottom"/>
            <w:gridSpan w:val="2"/>
          </w:tcPr>
          <w:p>
            <w:pPr>
              <w:spacing w:after="0" w:line="99" w:lineRule="exact"/>
              <w:rPr>
                <w:sz w:val="20"/>
                <w:szCs w:val="20"/>
                <w:color w:val="auto"/>
              </w:rPr>
            </w:pPr>
            <w:r>
              <w:rPr>
                <w:rFonts w:ascii="Arial" w:cs="Arial" w:eastAsia="Arial" w:hAnsi="Arial"/>
                <w:sz w:val="7"/>
                <w:szCs w:val="7"/>
                <w:color w:val="auto"/>
              </w:rPr>
              <w:t xml:space="preserve">Corporate </w:t>
            </w:r>
            <w:r>
              <w:rPr>
                <w:rFonts w:ascii="Arial" w:cs="Arial" w:eastAsia="Arial" w:hAnsi="Arial"/>
                <w:sz w:val="11"/>
                <w:szCs w:val="11"/>
                <w:color w:val="auto"/>
                <w:vertAlign w:val="superscript"/>
              </w:rPr>
              <w:t>(2)</w:t>
            </w:r>
          </w:p>
        </w:tc>
        <w:tc>
          <w:tcPr>
            <w:tcW w:w="4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40"/>
              <w:spacing w:after="0" w:line="99" w:lineRule="exact"/>
              <w:rPr>
                <w:sz w:val="20"/>
                <w:szCs w:val="20"/>
                <w:color w:val="auto"/>
              </w:rPr>
            </w:pPr>
            <w:r>
              <w:rPr>
                <w:rFonts w:ascii="Arial" w:cs="Arial" w:eastAsia="Arial" w:hAnsi="Arial"/>
                <w:sz w:val="9"/>
                <w:szCs w:val="9"/>
                <w:color w:val="auto"/>
              </w:rPr>
              <w:t>(592)</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6,349</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203</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460" w:type="dxa"/>
            <w:vAlign w:val="bottom"/>
            <w:gridSpan w:val="2"/>
            <w:shd w:val="clear" w:color="auto" w:fill="CCEEFF"/>
          </w:tcPr>
          <w:p>
            <w:pPr>
              <w:spacing w:after="0" w:line="99" w:lineRule="exact"/>
              <w:rPr>
                <w:sz w:val="20"/>
                <w:szCs w:val="20"/>
                <w:color w:val="auto"/>
              </w:rPr>
            </w:pPr>
            <w:r>
              <w:rPr>
                <w:rFonts w:ascii="Arial" w:cs="Arial" w:eastAsia="Arial" w:hAnsi="Arial"/>
                <w:sz w:val="7"/>
                <w:szCs w:val="7"/>
                <w:color w:val="auto"/>
              </w:rPr>
              <w:t xml:space="preserve">Interest income </w:t>
            </w:r>
            <w:r>
              <w:rPr>
                <w:rFonts w:ascii="Arial" w:cs="Arial" w:eastAsia="Arial" w:hAnsi="Arial"/>
                <w:sz w:val="11"/>
                <w:szCs w:val="11"/>
                <w:color w:val="auto"/>
                <w:vertAlign w:val="superscript"/>
              </w:rPr>
              <w:t>(3)</w:t>
            </w:r>
          </w:p>
        </w:tc>
        <w:tc>
          <w:tcPr>
            <w:tcW w:w="4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37</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460" w:type="dxa"/>
            <w:vAlign w:val="bottom"/>
            <w:gridSpan w:val="2"/>
          </w:tcPr>
          <w:p>
            <w:pPr>
              <w:spacing w:after="0" w:line="99" w:lineRule="exact"/>
              <w:rPr>
                <w:sz w:val="20"/>
                <w:szCs w:val="20"/>
                <w:color w:val="auto"/>
              </w:rPr>
            </w:pPr>
            <w:r>
              <w:rPr>
                <w:rFonts w:ascii="Arial" w:cs="Arial" w:eastAsia="Arial" w:hAnsi="Arial"/>
                <w:sz w:val="7"/>
                <w:szCs w:val="7"/>
                <w:color w:val="auto"/>
              </w:rPr>
              <w:t xml:space="preserve">Interest expense </w:t>
            </w:r>
            <w:r>
              <w:rPr>
                <w:rFonts w:ascii="Arial" w:cs="Arial" w:eastAsia="Arial" w:hAnsi="Arial"/>
                <w:sz w:val="11"/>
                <w:szCs w:val="11"/>
                <w:color w:val="auto"/>
                <w:vertAlign w:val="superscript"/>
              </w:rPr>
              <w:t>(4)</w:t>
            </w:r>
          </w:p>
        </w:tc>
        <w:tc>
          <w:tcPr>
            <w:tcW w:w="4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40"/>
              <w:spacing w:after="0" w:line="99" w:lineRule="exact"/>
              <w:rPr>
                <w:sz w:val="20"/>
                <w:szCs w:val="20"/>
                <w:color w:val="auto"/>
              </w:rPr>
            </w:pPr>
            <w:r>
              <w:rPr>
                <w:rFonts w:ascii="Arial" w:cs="Arial" w:eastAsia="Arial" w:hAnsi="Arial"/>
                <w:sz w:val="9"/>
                <w:szCs w:val="9"/>
                <w:color w:val="auto"/>
              </w:rPr>
              <w:t>(290)</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40" w:type="dxa"/>
            <w:vAlign w:val="bottom"/>
            <w:shd w:val="clear" w:color="auto" w:fill="CCEEFF"/>
          </w:tcPr>
          <w:p>
            <w:pPr>
              <w:spacing w:after="0" w:line="99" w:lineRule="exact"/>
              <w:rPr>
                <w:sz w:val="20"/>
                <w:szCs w:val="20"/>
                <w:color w:val="auto"/>
              </w:rPr>
            </w:pPr>
            <w:r>
              <w:rPr>
                <w:rFonts w:ascii="Arial" w:cs="Arial" w:eastAsia="Arial" w:hAnsi="Arial"/>
                <w:sz w:val="7"/>
                <w:szCs w:val="7"/>
                <w:color w:val="auto"/>
              </w:rPr>
              <w:t xml:space="preserve">Charges &amp; credits </w:t>
            </w:r>
            <w:r>
              <w:rPr>
                <w:rFonts w:ascii="Arial" w:cs="Arial" w:eastAsia="Arial" w:hAnsi="Arial"/>
                <w:sz w:val="11"/>
                <w:szCs w:val="11"/>
                <w:color w:val="auto"/>
                <w:vertAlign w:val="superscript"/>
              </w:rPr>
              <w:t>(5)</w:t>
            </w:r>
          </w:p>
        </w:tc>
        <w:tc>
          <w:tcPr>
            <w:tcW w:w="4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(225)</w:t>
            </w: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42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4220" w:type="dxa"/>
            <w:vAlign w:val="bottom"/>
            <w:gridSpan w:val="2"/>
          </w:tcPr>
          <w:p>
            <w:pPr>
              <w:ind w:left="4160"/>
              <w:spacing w:after="0" w:line="98" w:lineRule="exact"/>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w w:val="94"/>
              </w:rPr>
              <w:t>39,540</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w w:val="78"/>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w w:val="97"/>
              </w:rPr>
              <w:t>6,338</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u w:val="single" w:color="auto"/>
                <w:color w:val="auto"/>
                <w:w w:val="78"/>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w w:val="79"/>
              </w:rPr>
              <w:t>55,201</w:t>
            </w:r>
          </w:p>
        </w:tc>
        <w:tc>
          <w:tcPr>
            <w:tcW w:w="280" w:type="dxa"/>
            <w:vAlign w:val="bottom"/>
          </w:tcPr>
          <w:p>
            <w:pPr>
              <w:spacing w:after="0"/>
              <w:rPr>
                <w:sz w:val="8"/>
                <w:szCs w:val="8"/>
                <w:color w:val="auto"/>
              </w:rPr>
            </w:pPr>
          </w:p>
        </w:tc>
        <w:tc>
          <w:tcPr>
            <w:tcW w:w="320" w:type="dxa"/>
            <w:vAlign w:val="bottom"/>
            <w:gridSpan w:val="2"/>
          </w:tcPr>
          <w:p>
            <w:pPr>
              <w:ind w:left="24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w w:val="97"/>
              </w:rPr>
              <w:t>3,281</w:t>
            </w:r>
          </w:p>
        </w:tc>
        <w:tc>
          <w:tcPr>
            <w:tcW w:w="4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4,016</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160" w:type="dxa"/>
            <w:vAlign w:val="bottom"/>
          </w:tcPr>
          <w:p>
            <w:pPr>
              <w:jc w:val="right"/>
              <w:ind w:right="1795"/>
              <w:spacing w:after="0"/>
              <w:rPr>
                <w:sz w:val="20"/>
                <w:szCs w:val="20"/>
                <w:color w:val="auto"/>
              </w:rPr>
            </w:pPr>
            <w:r>
              <w:rPr>
                <w:rFonts w:ascii="Arial" w:cs="Arial" w:eastAsia="Arial" w:hAnsi="Arial"/>
                <w:sz w:val="9"/>
                <w:szCs w:val="9"/>
                <w:color w:val="auto"/>
              </w:rPr>
              <w:t>61</w:t>
            </w: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354" w:right="199" w:bottom="1440" w:gutter="0" w:footer="0" w:header="0"/>
        </w:sectPr>
      </w:pPr>
    </w:p>
    <w:bookmarkStart w:id="61" w:name="page62"/>
    <w:bookmarkEnd w:id="61"/>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ind w:left="140"/>
              <w:spacing w:after="0"/>
              <w:rPr>
                <w:sz w:val="20"/>
                <w:szCs w:val="20"/>
                <w:color w:val="auto"/>
              </w:rPr>
            </w:pPr>
            <w:r>
              <w:rPr>
                <w:rFonts w:ascii="Arial" w:cs="Arial" w:eastAsia="Arial" w:hAnsi="Arial"/>
                <w:sz w:val="9"/>
                <w:szCs w:val="9"/>
                <w:b w:val="1"/>
                <w:bCs w:val="1"/>
                <w:color w:val="auto"/>
                <w:w w:val="94"/>
              </w:rPr>
              <w:t>(Stated in millions)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9"/>
                <w:szCs w:val="9"/>
                <w:b w:val="1"/>
                <w:bCs w:val="1"/>
                <w:color w:val="auto"/>
              </w:rPr>
              <w:t>2010</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gridSpan w:val="2"/>
          </w:tcPr>
          <w:p>
            <w:pPr>
              <w:jc w:val="center"/>
              <w:ind w:right="260"/>
              <w:spacing w:after="0" w:line="79" w:lineRule="exact"/>
              <w:rPr>
                <w:sz w:val="20"/>
                <w:szCs w:val="20"/>
                <w:color w:val="auto"/>
              </w:rPr>
            </w:pPr>
            <w:r>
              <w:rPr>
                <w:rFonts w:ascii="Arial" w:cs="Arial" w:eastAsia="Arial" w:hAnsi="Arial"/>
                <w:sz w:val="9"/>
                <w:szCs w:val="9"/>
                <w:b w:val="1"/>
                <w:bCs w:val="1"/>
                <w:color w:val="auto"/>
                <w:w w:val="95"/>
              </w:rPr>
              <w:t>Income</w:t>
            </w: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87"/>
              </w:rPr>
              <w:t>before</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Depn. &amp;</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Capital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340" w:type="dxa"/>
            <w:vAlign w:val="bottom"/>
            <w:gridSpan w:val="2"/>
          </w:tcPr>
          <w:p>
            <w:pPr>
              <w:ind w:left="20"/>
              <w:spacing w:after="0"/>
              <w:rPr>
                <w:sz w:val="20"/>
                <w:szCs w:val="20"/>
                <w:color w:val="auto"/>
              </w:rPr>
            </w:pPr>
            <w:r>
              <w:rPr>
                <w:rFonts w:ascii="Arial" w:cs="Arial" w:eastAsia="Arial" w:hAnsi="Arial"/>
                <w:sz w:val="9"/>
                <w:szCs w:val="9"/>
                <w:b w:val="1"/>
                <w:bCs w:val="1"/>
                <w:color w:val="auto"/>
                <w:w w:val="79"/>
              </w:rPr>
              <w:t>Revenue</w:t>
            </w:r>
          </w:p>
        </w:tc>
        <w:tc>
          <w:tcPr>
            <w:tcW w:w="500" w:type="dxa"/>
            <w:vAlign w:val="bottom"/>
          </w:tcPr>
          <w:p>
            <w:pPr>
              <w:spacing w:after="0"/>
              <w:rPr>
                <w:sz w:val="9"/>
                <w:szCs w:val="9"/>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77"/>
              </w:rPr>
              <w:t>taxes</w:t>
            </w:r>
          </w:p>
        </w:tc>
        <w:tc>
          <w:tcPr>
            <w:tcW w:w="240" w:type="dxa"/>
            <w:vAlign w:val="bottom"/>
          </w:tcPr>
          <w:p>
            <w:pPr>
              <w:spacing w:after="0"/>
              <w:rPr>
                <w:sz w:val="9"/>
                <w:szCs w:val="9"/>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9"/>
                <w:szCs w:val="9"/>
                <w:b w:val="1"/>
                <w:bCs w:val="1"/>
                <w:color w:val="auto"/>
                <w:w w:val="87"/>
              </w:rPr>
              <w:t>Assets</w:t>
            </w:r>
          </w:p>
        </w:tc>
        <w:tc>
          <w:tcPr>
            <w:tcW w:w="240" w:type="dxa"/>
            <w:vAlign w:val="bottom"/>
          </w:tcPr>
          <w:p>
            <w:pPr>
              <w:spacing w:after="0"/>
              <w:rPr>
                <w:sz w:val="9"/>
                <w:szCs w:val="9"/>
                <w:color w:val="auto"/>
              </w:rPr>
            </w:pPr>
          </w:p>
        </w:tc>
        <w:tc>
          <w:tcPr>
            <w:tcW w:w="480" w:type="dxa"/>
            <w:vAlign w:val="bottom"/>
            <w:gridSpan w:val="3"/>
          </w:tcPr>
          <w:p>
            <w:pPr>
              <w:spacing w:after="0"/>
              <w:rPr>
                <w:sz w:val="20"/>
                <w:szCs w:val="20"/>
                <w:color w:val="auto"/>
              </w:rPr>
            </w:pPr>
            <w:r>
              <w:rPr>
                <w:rFonts w:ascii="Arial" w:cs="Arial" w:eastAsia="Arial" w:hAnsi="Arial"/>
                <w:sz w:val="9"/>
                <w:szCs w:val="9"/>
                <w:b w:val="1"/>
                <w:bCs w:val="1"/>
                <w:color w:val="auto"/>
              </w:rPr>
              <w:t>Amortn.</w:t>
            </w:r>
          </w:p>
        </w:tc>
        <w:tc>
          <w:tcPr>
            <w:tcW w:w="340" w:type="dxa"/>
            <w:vAlign w:val="bottom"/>
          </w:tcPr>
          <w:p>
            <w:pPr>
              <w:spacing w:after="0"/>
              <w:rPr>
                <w:sz w:val="9"/>
                <w:szCs w:val="9"/>
                <w:color w:val="auto"/>
              </w:rPr>
            </w:pPr>
          </w:p>
        </w:tc>
        <w:tc>
          <w:tcPr>
            <w:tcW w:w="580" w:type="dxa"/>
            <w:vAlign w:val="bottom"/>
            <w:gridSpan w:val="3"/>
          </w:tcPr>
          <w:p>
            <w:pPr>
              <w:ind w:left="20"/>
              <w:spacing w:after="0"/>
              <w:rPr>
                <w:sz w:val="20"/>
                <w:szCs w:val="20"/>
                <w:color w:val="auto"/>
              </w:rPr>
            </w:pPr>
            <w:r>
              <w:rPr>
                <w:rFonts w:ascii="Arial" w:cs="Arial" w:eastAsia="Arial" w:hAnsi="Arial"/>
                <w:sz w:val="9"/>
                <w:szCs w:val="9"/>
                <w:b w:val="1"/>
                <w:bCs w:val="1"/>
                <w:color w:val="auto"/>
                <w:w w:val="94"/>
              </w:rPr>
              <w:t>Expenditures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i w:val="1"/>
                <w:iCs w:val="1"/>
                <w:color w:val="auto"/>
              </w:rPr>
              <w:t>OILFIELD SERVICES</w:t>
            </w:r>
          </w:p>
        </w:tc>
        <w:tc>
          <w:tcPr>
            <w:tcW w:w="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0" w:type="dxa"/>
            <w:vAlign w:val="bottom"/>
          </w:tcPr>
          <w:p>
            <w:pPr>
              <w:ind w:left="260"/>
              <w:spacing w:after="0" w:line="99" w:lineRule="exact"/>
              <w:rPr>
                <w:sz w:val="20"/>
                <w:szCs w:val="20"/>
                <w:color w:val="auto"/>
              </w:rPr>
            </w:pPr>
            <w:r>
              <w:rPr>
                <w:rFonts w:ascii="Arial" w:cs="Arial" w:eastAsia="Arial" w:hAnsi="Arial"/>
                <w:sz w:val="9"/>
                <w:szCs w:val="9"/>
                <w:color w:val="auto"/>
              </w:rPr>
              <w:t>Reservoir Characterization</w:t>
            </w:r>
          </w:p>
        </w:tc>
        <w:tc>
          <w:tcPr>
            <w:tcW w:w="80" w:type="dxa"/>
            <w:vAlign w:val="bottom"/>
          </w:tcPr>
          <w:p>
            <w:pPr>
              <w:ind w:left="20"/>
              <w:spacing w:after="0" w:line="99" w:lineRule="exact"/>
              <w:rPr>
                <w:sz w:val="20"/>
                <w:szCs w:val="20"/>
                <w:color w:val="auto"/>
              </w:rPr>
            </w:pPr>
            <w:r>
              <w:rPr>
                <w:rFonts w:ascii="Arial" w:cs="Arial" w:eastAsia="Arial" w:hAnsi="Arial"/>
                <w:sz w:val="9"/>
                <w:szCs w:val="9"/>
                <w:color w:val="auto"/>
                <w:w w:val="78"/>
              </w:rPr>
              <w:t>$</w:t>
            </w: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9,321</w:t>
            </w:r>
          </w:p>
        </w:tc>
        <w:tc>
          <w:tcPr>
            <w:tcW w:w="800" w:type="dxa"/>
            <w:vAlign w:val="bottom"/>
            <w:gridSpan w:val="2"/>
          </w:tcPr>
          <w:p>
            <w:pPr>
              <w:jc w:val="right"/>
              <w:spacing w:after="0" w:line="99" w:lineRule="exact"/>
              <w:rPr>
                <w:sz w:val="20"/>
                <w:szCs w:val="20"/>
                <w:color w:val="auto"/>
              </w:rPr>
            </w:pPr>
            <w:r>
              <w:rPr>
                <w:rFonts w:ascii="Arial" w:cs="Arial" w:eastAsia="Arial" w:hAnsi="Arial"/>
                <w:sz w:val="9"/>
                <w:szCs w:val="9"/>
                <w:color w:val="auto"/>
              </w:rPr>
              <w:t>$ 2,321</w:t>
            </w:r>
          </w:p>
        </w:tc>
        <w:tc>
          <w:tcPr>
            <w:tcW w:w="260" w:type="dxa"/>
            <w:vAlign w:val="bottom"/>
          </w:tcPr>
          <w:p>
            <w:pPr>
              <w:spacing w:after="0"/>
              <w:rPr>
                <w:sz w:val="8"/>
                <w:szCs w:val="8"/>
                <w:color w:val="auto"/>
              </w:rPr>
            </w:pPr>
          </w:p>
        </w:tc>
        <w:tc>
          <w:tcPr>
            <w:tcW w:w="30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7,338</w:t>
            </w:r>
          </w:p>
        </w:tc>
        <w:tc>
          <w:tcPr>
            <w:tcW w:w="280" w:type="dxa"/>
            <w:vAlign w:val="bottom"/>
          </w:tcPr>
          <w:p>
            <w:pPr>
              <w:spacing w:after="0"/>
              <w:rPr>
                <w:sz w:val="8"/>
                <w:szCs w:val="8"/>
                <w:color w:val="auto"/>
              </w:rPr>
            </w:pPr>
          </w:p>
        </w:tc>
        <w:tc>
          <w:tcPr>
            <w:tcW w:w="320" w:type="dxa"/>
            <w:vAlign w:val="bottom"/>
            <w:gridSpan w:val="2"/>
          </w:tcPr>
          <w:p>
            <w:pPr>
              <w:ind w:left="240"/>
              <w:spacing w:after="0" w:line="99"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w w:val="97"/>
              </w:rPr>
              <w:t>1,246</w:t>
            </w:r>
          </w:p>
        </w:tc>
        <w:tc>
          <w:tcPr>
            <w:tcW w:w="440" w:type="dxa"/>
            <w:vAlign w:val="bottom"/>
            <w:gridSpan w:val="2"/>
          </w:tcPr>
          <w:p>
            <w:pPr>
              <w:ind w:left="340"/>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885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Drilling</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8,230</w:t>
            </w:r>
          </w:p>
        </w:tc>
        <w:tc>
          <w:tcPr>
            <w:tcW w:w="80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1,334</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8,490</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756</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968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0" w:type="dxa"/>
            <w:vAlign w:val="bottom"/>
          </w:tcPr>
          <w:p>
            <w:pPr>
              <w:ind w:left="260"/>
              <w:spacing w:after="0" w:line="99" w:lineRule="exact"/>
              <w:rPr>
                <w:sz w:val="20"/>
                <w:szCs w:val="20"/>
                <w:color w:val="auto"/>
              </w:rPr>
            </w:pPr>
            <w:r>
              <w:rPr>
                <w:rFonts w:ascii="Arial" w:cs="Arial" w:eastAsia="Arial" w:hAnsi="Arial"/>
                <w:sz w:val="9"/>
                <w:szCs w:val="9"/>
                <w:color w:val="auto"/>
              </w:rPr>
              <w:t>Reservoir Production</w:t>
            </w:r>
          </w:p>
        </w:tc>
        <w:tc>
          <w:tcPr>
            <w:tcW w:w="8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9,053</w:t>
            </w:r>
          </w:p>
        </w:tc>
        <w:tc>
          <w:tcPr>
            <w:tcW w:w="800" w:type="dxa"/>
            <w:vAlign w:val="bottom"/>
            <w:gridSpan w:val="2"/>
          </w:tcPr>
          <w:p>
            <w:pPr>
              <w:jc w:val="right"/>
              <w:spacing w:after="0" w:line="99" w:lineRule="exact"/>
              <w:rPr>
                <w:sz w:val="20"/>
                <w:szCs w:val="20"/>
                <w:color w:val="auto"/>
              </w:rPr>
            </w:pPr>
            <w:r>
              <w:rPr>
                <w:rFonts w:ascii="Arial" w:cs="Arial" w:eastAsia="Arial" w:hAnsi="Arial"/>
                <w:sz w:val="9"/>
                <w:szCs w:val="9"/>
                <w:color w:val="auto"/>
              </w:rPr>
              <w:t>1,368</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w w:val="97"/>
              </w:rPr>
              <w:t>6,119</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536</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824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0" w:type="dxa"/>
            <w:vAlign w:val="bottom"/>
            <w:shd w:val="clear" w:color="auto" w:fill="CCEEFF"/>
          </w:tcPr>
          <w:p>
            <w:pPr>
              <w:ind w:left="260"/>
              <w:spacing w:after="0" w:line="99" w:lineRule="exact"/>
              <w:rPr>
                <w:sz w:val="20"/>
                <w:szCs w:val="20"/>
                <w:color w:val="auto"/>
              </w:rPr>
            </w:pPr>
            <w:r>
              <w:rPr>
                <w:rFonts w:ascii="Arial" w:cs="Arial" w:eastAsia="Arial" w:hAnsi="Arial"/>
                <w:sz w:val="7"/>
                <w:szCs w:val="7"/>
                <w:color w:val="auto"/>
              </w:rPr>
              <w:t xml:space="preserve">Eliminations &amp; other </w:t>
            </w:r>
            <w:r>
              <w:rPr>
                <w:rFonts w:ascii="Arial" w:cs="Arial" w:eastAsia="Arial" w:hAnsi="Arial"/>
                <w:sz w:val="11"/>
                <w:szCs w:val="11"/>
                <w:color w:val="auto"/>
                <w:vertAlign w:val="superscript"/>
              </w:rPr>
              <w:t>(1)</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69</w:t>
            </w:r>
          </w:p>
        </w:tc>
        <w:tc>
          <w:tcPr>
            <w:tcW w:w="5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48</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1,801</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142</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jc w:val="right"/>
              <w:spacing w:after="0" w:line="98" w:lineRule="exact"/>
              <w:rPr>
                <w:sz w:val="20"/>
                <w:szCs w:val="20"/>
                <w:color w:val="auto"/>
              </w:rPr>
            </w:pPr>
            <w:r>
              <w:rPr>
                <w:rFonts w:ascii="Arial" w:cs="Arial" w:eastAsia="Arial" w:hAnsi="Arial"/>
                <w:sz w:val="9"/>
                <w:szCs w:val="9"/>
                <w:color w:val="auto"/>
                <w:w w:val="87"/>
              </w:rPr>
              <w:t>26,673</w:t>
            </w:r>
          </w:p>
        </w:tc>
        <w:tc>
          <w:tcPr>
            <w:tcW w:w="50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5,071</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w w:val="79"/>
              </w:rPr>
              <w:t>23,748</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w w:val="97"/>
              </w:rPr>
              <w:t>2,680</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2,911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vMerge w:val="continue"/>
          </w:tcPr>
          <w:p>
            <w:pPr>
              <w:spacing w:after="0"/>
              <w:rPr>
                <w:sz w:val="8"/>
                <w:szCs w:val="8"/>
                <w:color w:val="auto"/>
              </w:rPr>
            </w:pPr>
          </w:p>
        </w:tc>
        <w:tc>
          <w:tcPr>
            <w:tcW w:w="76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i w:val="1"/>
                <w:iCs w:val="1"/>
                <w:color w:val="auto"/>
              </w:rPr>
              <w:t>DISTRIBUTION</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774</w:t>
            </w:r>
          </w:p>
        </w:tc>
        <w:tc>
          <w:tcPr>
            <w:tcW w:w="5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29</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780</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0" w:type="dxa"/>
            <w:vAlign w:val="bottom"/>
          </w:tcPr>
          <w:p>
            <w:pPr>
              <w:spacing w:after="0" w:line="99" w:lineRule="exact"/>
              <w:rPr>
                <w:sz w:val="20"/>
                <w:szCs w:val="20"/>
                <w:color w:val="auto"/>
              </w:rPr>
            </w:pPr>
            <w:r>
              <w:rPr>
                <w:rFonts w:ascii="Arial" w:cs="Arial" w:eastAsia="Arial" w:hAnsi="Arial"/>
                <w:sz w:val="9"/>
                <w:szCs w:val="9"/>
                <w:color w:val="auto"/>
              </w:rPr>
              <w:t>Goodwill and intangible assets</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w w:val="79"/>
              </w:rPr>
              <w:t>19,114</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All other assets</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1,580</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620" w:type="dxa"/>
            <w:vAlign w:val="bottom"/>
            <w:gridSpan w:val="2"/>
          </w:tcPr>
          <w:p>
            <w:pPr>
              <w:spacing w:after="0" w:line="99" w:lineRule="exact"/>
              <w:rPr>
                <w:sz w:val="20"/>
                <w:szCs w:val="20"/>
                <w:color w:val="auto"/>
              </w:rPr>
            </w:pPr>
            <w:r>
              <w:rPr>
                <w:rFonts w:ascii="Arial" w:cs="Arial" w:eastAsia="Arial" w:hAnsi="Arial"/>
                <w:sz w:val="7"/>
                <w:szCs w:val="7"/>
                <w:color w:val="auto"/>
              </w:rPr>
              <w:t xml:space="preserve">Corporate </w:t>
            </w:r>
            <w:r>
              <w:rPr>
                <w:rFonts w:ascii="Arial" w:cs="Arial" w:eastAsia="Arial" w:hAnsi="Arial"/>
                <w:sz w:val="11"/>
                <w:szCs w:val="11"/>
                <w:color w:val="auto"/>
                <w:vertAlign w:val="superscript"/>
              </w:rPr>
              <w:t>(2)</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gridSpan w:val="3"/>
          </w:tcPr>
          <w:p>
            <w:pPr>
              <w:jc w:val="right"/>
              <w:ind w:right="240"/>
              <w:spacing w:after="0" w:line="99" w:lineRule="exact"/>
              <w:rPr>
                <w:sz w:val="20"/>
                <w:szCs w:val="20"/>
                <w:color w:val="auto"/>
              </w:rPr>
            </w:pPr>
            <w:r>
              <w:rPr>
                <w:rFonts w:ascii="Arial" w:cs="Arial" w:eastAsia="Arial" w:hAnsi="Arial"/>
                <w:sz w:val="9"/>
                <w:szCs w:val="9"/>
                <w:color w:val="auto"/>
              </w:rPr>
              <w:t>(405)</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6,545</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77</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7620" w:type="dxa"/>
            <w:vAlign w:val="bottom"/>
            <w:gridSpan w:val="2"/>
            <w:shd w:val="clear" w:color="auto" w:fill="CCEEFF"/>
          </w:tcPr>
          <w:p>
            <w:pPr>
              <w:spacing w:after="0" w:line="99" w:lineRule="exact"/>
              <w:rPr>
                <w:sz w:val="20"/>
                <w:szCs w:val="20"/>
                <w:color w:val="auto"/>
              </w:rPr>
            </w:pPr>
            <w:r>
              <w:rPr>
                <w:rFonts w:ascii="Arial" w:cs="Arial" w:eastAsia="Arial" w:hAnsi="Arial"/>
                <w:sz w:val="7"/>
                <w:szCs w:val="7"/>
                <w:color w:val="auto"/>
              </w:rPr>
              <w:t xml:space="preserve">Interest income </w:t>
            </w:r>
            <w:r>
              <w:rPr>
                <w:rFonts w:ascii="Arial" w:cs="Arial" w:eastAsia="Arial" w:hAnsi="Arial"/>
                <w:sz w:val="11"/>
                <w:szCs w:val="11"/>
                <w:color w:val="auto"/>
                <w:vertAlign w:val="superscript"/>
              </w:rPr>
              <w:t>(3)</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43</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620" w:type="dxa"/>
            <w:vAlign w:val="bottom"/>
            <w:gridSpan w:val="2"/>
          </w:tcPr>
          <w:p>
            <w:pPr>
              <w:spacing w:after="0" w:line="99" w:lineRule="exact"/>
              <w:rPr>
                <w:sz w:val="20"/>
                <w:szCs w:val="20"/>
                <w:color w:val="auto"/>
              </w:rPr>
            </w:pPr>
            <w:r>
              <w:rPr>
                <w:rFonts w:ascii="Arial" w:cs="Arial" w:eastAsia="Arial" w:hAnsi="Arial"/>
                <w:sz w:val="7"/>
                <w:szCs w:val="7"/>
                <w:color w:val="auto"/>
              </w:rPr>
              <w:t xml:space="preserve">Interest expense </w:t>
            </w:r>
            <w:r>
              <w:rPr>
                <w:rFonts w:ascii="Arial" w:cs="Arial" w:eastAsia="Arial" w:hAnsi="Arial"/>
                <w:sz w:val="11"/>
                <w:szCs w:val="11"/>
                <w:color w:val="auto"/>
                <w:vertAlign w:val="superscript"/>
              </w:rPr>
              <w:t>(4)</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gridSpan w:val="3"/>
          </w:tcPr>
          <w:p>
            <w:pPr>
              <w:jc w:val="right"/>
              <w:ind w:right="240"/>
              <w:spacing w:after="0" w:line="99" w:lineRule="exact"/>
              <w:rPr>
                <w:sz w:val="20"/>
                <w:szCs w:val="20"/>
                <w:color w:val="auto"/>
              </w:rPr>
            </w:pPr>
            <w:r>
              <w:rPr>
                <w:rFonts w:ascii="Arial" w:cs="Arial" w:eastAsia="Arial" w:hAnsi="Arial"/>
                <w:sz w:val="9"/>
                <w:szCs w:val="9"/>
                <w:color w:val="auto"/>
              </w:rPr>
              <w:t>(202)</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0" w:type="dxa"/>
            <w:vAlign w:val="bottom"/>
            <w:tcBorders>
              <w:bottom w:val="single" w:sz="8" w:color="auto"/>
            </w:tcBorders>
            <w:shd w:val="clear" w:color="auto" w:fill="CCEEFF"/>
          </w:tcPr>
          <w:p>
            <w:pPr>
              <w:spacing w:after="0" w:line="99" w:lineRule="exact"/>
              <w:rPr>
                <w:sz w:val="20"/>
                <w:szCs w:val="20"/>
                <w:color w:val="auto"/>
              </w:rPr>
            </w:pPr>
            <w:r>
              <w:rPr>
                <w:rFonts w:ascii="Arial" w:cs="Arial" w:eastAsia="Arial" w:hAnsi="Arial"/>
                <w:sz w:val="7"/>
                <w:szCs w:val="7"/>
                <w:color w:val="auto"/>
              </w:rPr>
              <w:t xml:space="preserve">Charges &amp; credits </w:t>
            </w:r>
            <w:r>
              <w:rPr>
                <w:rFonts w:ascii="Arial" w:cs="Arial" w:eastAsia="Arial" w:hAnsi="Arial"/>
                <w:sz w:val="11"/>
                <w:szCs w:val="11"/>
                <w:color w:val="auto"/>
                <w:vertAlign w:val="superscript"/>
              </w:rPr>
              <w:t>(5)</w:t>
            </w:r>
          </w:p>
        </w:tc>
        <w:tc>
          <w:tcPr>
            <w:tcW w:w="8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620</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340" w:type="dxa"/>
            <w:vAlign w:val="bottom"/>
            <w:gridSpan w:val="2"/>
          </w:tcPr>
          <w:p>
            <w:pPr>
              <w:jc w:val="right"/>
              <w:spacing w:after="0" w:line="98" w:lineRule="exact"/>
              <w:rPr>
                <w:sz w:val="20"/>
                <w:szCs w:val="20"/>
                <w:color w:val="auto"/>
              </w:rPr>
            </w:pPr>
            <w:r>
              <w:rPr>
                <w:rFonts w:ascii="Arial" w:cs="Arial" w:eastAsia="Arial" w:hAnsi="Arial"/>
                <w:sz w:val="9"/>
                <w:szCs w:val="9"/>
                <w:color w:val="auto"/>
                <w:w w:val="91"/>
              </w:rPr>
              <w:t>$ 27,447</w:t>
            </w:r>
          </w:p>
        </w:tc>
        <w:tc>
          <w:tcPr>
            <w:tcW w:w="50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w w:val="93"/>
              </w:rPr>
              <w:t>$ 5,156</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u w:val="single" w:color="auto"/>
                <w:color w:val="auto"/>
                <w:w w:val="78"/>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w w:val="79"/>
              </w:rPr>
              <w:t>51,767</w:t>
            </w:r>
          </w:p>
        </w:tc>
        <w:tc>
          <w:tcPr>
            <w:tcW w:w="280" w:type="dxa"/>
            <w:vAlign w:val="bottom"/>
          </w:tcPr>
          <w:p>
            <w:pPr>
              <w:spacing w:after="0"/>
              <w:rPr>
                <w:sz w:val="8"/>
                <w:szCs w:val="8"/>
                <w:color w:val="auto"/>
              </w:rPr>
            </w:pPr>
          </w:p>
        </w:tc>
        <w:tc>
          <w:tcPr>
            <w:tcW w:w="320" w:type="dxa"/>
            <w:vAlign w:val="bottom"/>
            <w:gridSpan w:val="2"/>
          </w:tcPr>
          <w:p>
            <w:pPr>
              <w:ind w:left="24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w w:val="97"/>
              </w:rPr>
              <w:t>2,759</w:t>
            </w:r>
          </w:p>
        </w:tc>
        <w:tc>
          <w:tcPr>
            <w:tcW w:w="440" w:type="dxa"/>
            <w:vAlign w:val="bottom"/>
            <w:gridSpan w:val="2"/>
          </w:tcPr>
          <w:p>
            <w:pPr>
              <w:ind w:left="34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4"/>
          </w:tcPr>
          <w:p>
            <w:pPr>
              <w:ind w:left="140"/>
              <w:spacing w:after="0"/>
              <w:rPr>
                <w:sz w:val="20"/>
                <w:szCs w:val="20"/>
                <w:color w:val="auto"/>
              </w:rPr>
            </w:pPr>
            <w:r>
              <w:rPr>
                <w:rFonts w:ascii="Arial" w:cs="Arial" w:eastAsia="Arial" w:hAnsi="Arial"/>
                <w:sz w:val="9"/>
                <w:szCs w:val="9"/>
                <w:b w:val="1"/>
                <w:bCs w:val="1"/>
                <w:color w:val="auto"/>
                <w:w w:val="94"/>
              </w:rPr>
              <w:t>(Stated in millions)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9"/>
                <w:szCs w:val="9"/>
                <w:b w:val="1"/>
                <w:bCs w:val="1"/>
                <w:color w:val="auto"/>
              </w:rPr>
              <w:t>2009</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gridSpan w:val="2"/>
          </w:tcPr>
          <w:p>
            <w:pPr>
              <w:jc w:val="center"/>
              <w:ind w:right="260"/>
              <w:spacing w:after="0" w:line="79" w:lineRule="exact"/>
              <w:rPr>
                <w:sz w:val="20"/>
                <w:szCs w:val="20"/>
                <w:color w:val="auto"/>
              </w:rPr>
            </w:pPr>
            <w:r>
              <w:rPr>
                <w:rFonts w:ascii="Arial" w:cs="Arial" w:eastAsia="Arial" w:hAnsi="Arial"/>
                <w:sz w:val="9"/>
                <w:szCs w:val="9"/>
                <w:b w:val="1"/>
                <w:bCs w:val="1"/>
                <w:color w:val="auto"/>
                <w:w w:val="95"/>
              </w:rPr>
              <w:t>Income</w:t>
            </w: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87"/>
              </w:rPr>
              <w:t>before</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Depn. &amp;</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Capital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340" w:type="dxa"/>
            <w:vAlign w:val="bottom"/>
            <w:gridSpan w:val="2"/>
          </w:tcPr>
          <w:p>
            <w:pPr>
              <w:ind w:left="20"/>
              <w:spacing w:after="0"/>
              <w:rPr>
                <w:sz w:val="20"/>
                <w:szCs w:val="20"/>
                <w:color w:val="auto"/>
              </w:rPr>
            </w:pPr>
            <w:r>
              <w:rPr>
                <w:rFonts w:ascii="Arial" w:cs="Arial" w:eastAsia="Arial" w:hAnsi="Arial"/>
                <w:sz w:val="9"/>
                <w:szCs w:val="9"/>
                <w:b w:val="1"/>
                <w:bCs w:val="1"/>
                <w:color w:val="auto"/>
                <w:w w:val="79"/>
              </w:rPr>
              <w:t>Revenue</w:t>
            </w:r>
          </w:p>
        </w:tc>
        <w:tc>
          <w:tcPr>
            <w:tcW w:w="500" w:type="dxa"/>
            <w:vAlign w:val="bottom"/>
          </w:tcPr>
          <w:p>
            <w:pPr>
              <w:spacing w:after="0"/>
              <w:rPr>
                <w:sz w:val="9"/>
                <w:szCs w:val="9"/>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77"/>
              </w:rPr>
              <w:t>taxes</w:t>
            </w:r>
          </w:p>
        </w:tc>
        <w:tc>
          <w:tcPr>
            <w:tcW w:w="240" w:type="dxa"/>
            <w:vAlign w:val="bottom"/>
          </w:tcPr>
          <w:p>
            <w:pPr>
              <w:spacing w:after="0"/>
              <w:rPr>
                <w:sz w:val="9"/>
                <w:szCs w:val="9"/>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9"/>
                <w:szCs w:val="9"/>
                <w:b w:val="1"/>
                <w:bCs w:val="1"/>
                <w:color w:val="auto"/>
                <w:w w:val="87"/>
              </w:rPr>
              <w:t>Assets</w:t>
            </w:r>
          </w:p>
        </w:tc>
        <w:tc>
          <w:tcPr>
            <w:tcW w:w="240" w:type="dxa"/>
            <w:vAlign w:val="bottom"/>
          </w:tcPr>
          <w:p>
            <w:pPr>
              <w:spacing w:after="0"/>
              <w:rPr>
                <w:sz w:val="9"/>
                <w:szCs w:val="9"/>
                <w:color w:val="auto"/>
              </w:rPr>
            </w:pPr>
          </w:p>
        </w:tc>
        <w:tc>
          <w:tcPr>
            <w:tcW w:w="480" w:type="dxa"/>
            <w:vAlign w:val="bottom"/>
            <w:gridSpan w:val="3"/>
          </w:tcPr>
          <w:p>
            <w:pPr>
              <w:spacing w:after="0"/>
              <w:rPr>
                <w:sz w:val="20"/>
                <w:szCs w:val="20"/>
                <w:color w:val="auto"/>
              </w:rPr>
            </w:pPr>
            <w:r>
              <w:rPr>
                <w:rFonts w:ascii="Arial" w:cs="Arial" w:eastAsia="Arial" w:hAnsi="Arial"/>
                <w:sz w:val="9"/>
                <w:szCs w:val="9"/>
                <w:b w:val="1"/>
                <w:bCs w:val="1"/>
                <w:color w:val="auto"/>
              </w:rPr>
              <w:t>Amortn.</w:t>
            </w:r>
          </w:p>
        </w:tc>
        <w:tc>
          <w:tcPr>
            <w:tcW w:w="340" w:type="dxa"/>
            <w:vAlign w:val="bottom"/>
          </w:tcPr>
          <w:p>
            <w:pPr>
              <w:spacing w:after="0"/>
              <w:rPr>
                <w:sz w:val="9"/>
                <w:szCs w:val="9"/>
                <w:color w:val="auto"/>
              </w:rPr>
            </w:pPr>
          </w:p>
        </w:tc>
        <w:tc>
          <w:tcPr>
            <w:tcW w:w="580" w:type="dxa"/>
            <w:vAlign w:val="bottom"/>
            <w:gridSpan w:val="3"/>
          </w:tcPr>
          <w:p>
            <w:pPr>
              <w:ind w:left="20"/>
              <w:spacing w:after="0"/>
              <w:rPr>
                <w:sz w:val="20"/>
                <w:szCs w:val="20"/>
                <w:color w:val="auto"/>
              </w:rPr>
            </w:pPr>
            <w:r>
              <w:rPr>
                <w:rFonts w:ascii="Arial" w:cs="Arial" w:eastAsia="Arial" w:hAnsi="Arial"/>
                <w:sz w:val="9"/>
                <w:szCs w:val="9"/>
                <w:b w:val="1"/>
                <w:bCs w:val="1"/>
                <w:color w:val="auto"/>
                <w:w w:val="94"/>
              </w:rPr>
              <w:t>Expenditures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i w:val="1"/>
                <w:iCs w:val="1"/>
                <w:color w:val="auto"/>
              </w:rPr>
              <w:t>OILFIELD SERVICES</w:t>
            </w:r>
          </w:p>
        </w:tc>
        <w:tc>
          <w:tcPr>
            <w:tcW w:w="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0" w:type="dxa"/>
            <w:vAlign w:val="bottom"/>
          </w:tcPr>
          <w:p>
            <w:pPr>
              <w:ind w:left="260"/>
              <w:spacing w:after="0" w:line="99" w:lineRule="exact"/>
              <w:rPr>
                <w:sz w:val="20"/>
                <w:szCs w:val="20"/>
                <w:color w:val="auto"/>
              </w:rPr>
            </w:pPr>
            <w:r>
              <w:rPr>
                <w:rFonts w:ascii="Arial" w:cs="Arial" w:eastAsia="Arial" w:hAnsi="Arial"/>
                <w:sz w:val="9"/>
                <w:szCs w:val="9"/>
                <w:color w:val="auto"/>
              </w:rPr>
              <w:t>Reservoir Characterization</w:t>
            </w:r>
          </w:p>
        </w:tc>
        <w:tc>
          <w:tcPr>
            <w:tcW w:w="80" w:type="dxa"/>
            <w:vAlign w:val="bottom"/>
          </w:tcPr>
          <w:p>
            <w:pPr>
              <w:ind w:left="20"/>
              <w:spacing w:after="0" w:line="99" w:lineRule="exact"/>
              <w:rPr>
                <w:sz w:val="20"/>
                <w:szCs w:val="20"/>
                <w:color w:val="auto"/>
              </w:rPr>
            </w:pPr>
            <w:r>
              <w:rPr>
                <w:rFonts w:ascii="Arial" w:cs="Arial" w:eastAsia="Arial" w:hAnsi="Arial"/>
                <w:sz w:val="9"/>
                <w:szCs w:val="9"/>
                <w:color w:val="auto"/>
                <w:w w:val="78"/>
              </w:rPr>
              <w:t>$</w:t>
            </w: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9,502</w:t>
            </w:r>
          </w:p>
        </w:tc>
        <w:tc>
          <w:tcPr>
            <w:tcW w:w="800" w:type="dxa"/>
            <w:vAlign w:val="bottom"/>
            <w:gridSpan w:val="2"/>
          </w:tcPr>
          <w:p>
            <w:pPr>
              <w:jc w:val="right"/>
              <w:spacing w:after="0" w:line="99" w:lineRule="exact"/>
              <w:rPr>
                <w:sz w:val="20"/>
                <w:szCs w:val="20"/>
                <w:color w:val="auto"/>
              </w:rPr>
            </w:pPr>
            <w:r>
              <w:rPr>
                <w:rFonts w:ascii="Arial" w:cs="Arial" w:eastAsia="Arial" w:hAnsi="Arial"/>
                <w:sz w:val="9"/>
                <w:szCs w:val="9"/>
                <w:color w:val="auto"/>
              </w:rPr>
              <w:t>$ 2,559</w:t>
            </w:r>
          </w:p>
        </w:tc>
        <w:tc>
          <w:tcPr>
            <w:tcW w:w="260" w:type="dxa"/>
            <w:vAlign w:val="bottom"/>
          </w:tcPr>
          <w:p>
            <w:pPr>
              <w:spacing w:after="0"/>
              <w:rPr>
                <w:sz w:val="8"/>
                <w:szCs w:val="8"/>
                <w:color w:val="auto"/>
              </w:rPr>
            </w:pPr>
          </w:p>
        </w:tc>
        <w:tc>
          <w:tcPr>
            <w:tcW w:w="30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7,090</w:t>
            </w:r>
          </w:p>
        </w:tc>
        <w:tc>
          <w:tcPr>
            <w:tcW w:w="280" w:type="dxa"/>
            <w:vAlign w:val="bottom"/>
          </w:tcPr>
          <w:p>
            <w:pPr>
              <w:spacing w:after="0"/>
              <w:rPr>
                <w:sz w:val="8"/>
                <w:szCs w:val="8"/>
                <w:color w:val="auto"/>
              </w:rPr>
            </w:pPr>
          </w:p>
        </w:tc>
        <w:tc>
          <w:tcPr>
            <w:tcW w:w="320" w:type="dxa"/>
            <w:vAlign w:val="bottom"/>
            <w:gridSpan w:val="2"/>
          </w:tcPr>
          <w:p>
            <w:pPr>
              <w:ind w:left="240"/>
              <w:spacing w:after="0" w:line="99"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w w:val="97"/>
              </w:rPr>
              <w:t>1,221</w:t>
            </w:r>
          </w:p>
        </w:tc>
        <w:tc>
          <w:tcPr>
            <w:tcW w:w="440" w:type="dxa"/>
            <w:vAlign w:val="bottom"/>
            <w:gridSpan w:val="2"/>
          </w:tcPr>
          <w:p>
            <w:pPr>
              <w:ind w:left="340"/>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1,085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Drilling</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5,881</w:t>
            </w:r>
          </w:p>
        </w:tc>
        <w:tc>
          <w:tcPr>
            <w:tcW w:w="80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1,245</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3,628</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620</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470</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0" w:type="dxa"/>
            <w:vAlign w:val="bottom"/>
          </w:tcPr>
          <w:p>
            <w:pPr>
              <w:ind w:left="260"/>
              <w:spacing w:after="0" w:line="99" w:lineRule="exact"/>
              <w:rPr>
                <w:sz w:val="20"/>
                <w:szCs w:val="20"/>
                <w:color w:val="auto"/>
              </w:rPr>
            </w:pPr>
            <w:r>
              <w:rPr>
                <w:rFonts w:ascii="Arial" w:cs="Arial" w:eastAsia="Arial" w:hAnsi="Arial"/>
                <w:sz w:val="9"/>
                <w:szCs w:val="9"/>
                <w:color w:val="auto"/>
              </w:rPr>
              <w:t>Reservoir Production</w:t>
            </w:r>
          </w:p>
        </w:tc>
        <w:tc>
          <w:tcPr>
            <w:tcW w:w="8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7,282</w:t>
            </w:r>
          </w:p>
        </w:tc>
        <w:tc>
          <w:tcPr>
            <w:tcW w:w="800" w:type="dxa"/>
            <w:vAlign w:val="bottom"/>
            <w:gridSpan w:val="2"/>
          </w:tcPr>
          <w:p>
            <w:pPr>
              <w:jc w:val="right"/>
              <w:spacing w:after="0" w:line="99" w:lineRule="exact"/>
              <w:rPr>
                <w:sz w:val="20"/>
                <w:szCs w:val="20"/>
                <w:color w:val="auto"/>
              </w:rPr>
            </w:pPr>
            <w:r>
              <w:rPr>
                <w:rFonts w:ascii="Arial" w:cs="Arial" w:eastAsia="Arial" w:hAnsi="Arial"/>
                <w:sz w:val="9"/>
                <w:szCs w:val="9"/>
                <w:color w:val="auto"/>
              </w:rPr>
              <w:t>780</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5,006</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503</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632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0" w:type="dxa"/>
            <w:vAlign w:val="bottom"/>
            <w:shd w:val="clear" w:color="auto" w:fill="CCEEFF"/>
          </w:tcPr>
          <w:p>
            <w:pPr>
              <w:ind w:left="260"/>
              <w:spacing w:after="0" w:line="99" w:lineRule="exact"/>
              <w:rPr>
                <w:sz w:val="20"/>
                <w:szCs w:val="20"/>
                <w:color w:val="auto"/>
              </w:rPr>
            </w:pPr>
            <w:r>
              <w:rPr>
                <w:rFonts w:ascii="Arial" w:cs="Arial" w:eastAsia="Arial" w:hAnsi="Arial"/>
                <w:sz w:val="7"/>
                <w:szCs w:val="7"/>
                <w:color w:val="auto"/>
              </w:rPr>
              <w:t xml:space="preserve">Eliminations &amp; other </w:t>
            </w:r>
            <w:r>
              <w:rPr>
                <w:rFonts w:ascii="Arial" w:cs="Arial" w:eastAsia="Arial" w:hAnsi="Arial"/>
                <w:sz w:val="11"/>
                <w:szCs w:val="11"/>
                <w:color w:val="auto"/>
                <w:vertAlign w:val="superscript"/>
              </w:rPr>
              <w:t>(1)</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37</w:t>
            </w:r>
          </w:p>
        </w:tc>
        <w:tc>
          <w:tcPr>
            <w:tcW w:w="5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51</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w w:val="97"/>
              </w:rPr>
              <w:t>2,117</w:t>
            </w: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121</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jc w:val="right"/>
              <w:spacing w:after="0" w:line="98" w:lineRule="exact"/>
              <w:rPr>
                <w:sz w:val="20"/>
                <w:szCs w:val="20"/>
                <w:color w:val="auto"/>
              </w:rPr>
            </w:pPr>
            <w:r>
              <w:rPr>
                <w:rFonts w:ascii="Arial" w:cs="Arial" w:eastAsia="Arial" w:hAnsi="Arial"/>
                <w:sz w:val="9"/>
                <w:szCs w:val="9"/>
                <w:color w:val="auto"/>
                <w:w w:val="87"/>
              </w:rPr>
              <w:t>22,702</w:t>
            </w:r>
          </w:p>
        </w:tc>
        <w:tc>
          <w:tcPr>
            <w:tcW w:w="50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4,635</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w w:val="79"/>
              </w:rPr>
              <w:t>17,841</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w w:val="97"/>
              </w:rPr>
              <w:t>2,465</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2,390</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600" w:type="dxa"/>
            <w:vAlign w:val="bottom"/>
            <w:tcBorders>
              <w:top w:val="single" w:sz="8" w:color="auto"/>
            </w:tcBorders>
            <w:shd w:val="clear" w:color="auto" w:fill="CCEEFF"/>
          </w:tcPr>
          <w:p>
            <w:pPr>
              <w:spacing w:after="0" w:line="98" w:lineRule="exact"/>
              <w:rPr>
                <w:sz w:val="20"/>
                <w:szCs w:val="20"/>
                <w:color w:val="auto"/>
              </w:rPr>
            </w:pPr>
            <w:r>
              <w:rPr>
                <w:rFonts w:ascii="Arial" w:cs="Arial" w:eastAsia="Arial" w:hAnsi="Arial"/>
                <w:sz w:val="9"/>
                <w:szCs w:val="9"/>
                <w:color w:val="auto"/>
              </w:rPr>
              <w:t>Goodwill and intangible assets</w:t>
            </w:r>
          </w:p>
        </w:tc>
        <w:tc>
          <w:tcPr>
            <w:tcW w:w="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w w:val="97"/>
              </w:rPr>
              <w:t>6,091</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0" w:type="dxa"/>
            <w:vAlign w:val="bottom"/>
          </w:tcPr>
          <w:p>
            <w:pPr>
              <w:spacing w:after="0" w:line="99" w:lineRule="exact"/>
              <w:rPr>
                <w:sz w:val="20"/>
                <w:szCs w:val="20"/>
                <w:color w:val="auto"/>
              </w:rPr>
            </w:pPr>
            <w:r>
              <w:rPr>
                <w:rFonts w:ascii="Arial" w:cs="Arial" w:eastAsia="Arial" w:hAnsi="Arial"/>
                <w:sz w:val="9"/>
                <w:szCs w:val="9"/>
                <w:color w:val="auto"/>
              </w:rPr>
              <w:t>All other assets</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1,873</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620" w:type="dxa"/>
            <w:vAlign w:val="bottom"/>
            <w:gridSpan w:val="2"/>
            <w:shd w:val="clear" w:color="auto" w:fill="CCEEFF"/>
          </w:tcPr>
          <w:p>
            <w:pPr>
              <w:spacing w:after="0" w:line="99" w:lineRule="exact"/>
              <w:rPr>
                <w:sz w:val="20"/>
                <w:szCs w:val="20"/>
                <w:color w:val="auto"/>
              </w:rPr>
            </w:pPr>
            <w:r>
              <w:rPr>
                <w:rFonts w:ascii="Arial" w:cs="Arial" w:eastAsia="Arial" w:hAnsi="Arial"/>
                <w:sz w:val="7"/>
                <w:szCs w:val="7"/>
                <w:color w:val="auto"/>
              </w:rPr>
              <w:t xml:space="preserve">Corporate </w:t>
            </w:r>
            <w:r>
              <w:rPr>
                <w:rFonts w:ascii="Arial" w:cs="Arial" w:eastAsia="Arial" w:hAnsi="Arial"/>
                <w:sz w:val="11"/>
                <w:szCs w:val="11"/>
                <w:color w:val="auto"/>
                <w:vertAlign w:val="superscript"/>
              </w:rPr>
              <w:t>(2)</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gridSpan w:val="3"/>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(327)</w:t>
            </w: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7,660</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11</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99"/>
        </w:trPr>
        <w:tc>
          <w:tcPr>
            <w:tcW w:w="7620" w:type="dxa"/>
            <w:vAlign w:val="bottom"/>
            <w:gridSpan w:val="2"/>
          </w:tcPr>
          <w:p>
            <w:pPr>
              <w:spacing w:after="0" w:line="99" w:lineRule="exact"/>
              <w:rPr>
                <w:sz w:val="20"/>
                <w:szCs w:val="20"/>
                <w:color w:val="auto"/>
              </w:rPr>
            </w:pPr>
            <w:r>
              <w:rPr>
                <w:rFonts w:ascii="Arial" w:cs="Arial" w:eastAsia="Arial" w:hAnsi="Arial"/>
                <w:sz w:val="7"/>
                <w:szCs w:val="7"/>
                <w:color w:val="auto"/>
              </w:rPr>
              <w:t xml:space="preserve">Interest income </w:t>
            </w:r>
            <w:r>
              <w:rPr>
                <w:rFonts w:ascii="Arial" w:cs="Arial" w:eastAsia="Arial" w:hAnsi="Arial"/>
                <w:sz w:val="11"/>
                <w:szCs w:val="11"/>
                <w:color w:val="auto"/>
                <w:vertAlign w:val="superscript"/>
              </w:rPr>
              <w:t>(3)</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gridSpan w:val="2"/>
          </w:tcPr>
          <w:p>
            <w:pPr>
              <w:jc w:val="right"/>
              <w:spacing w:after="0" w:line="99" w:lineRule="exact"/>
              <w:rPr>
                <w:sz w:val="20"/>
                <w:szCs w:val="20"/>
                <w:color w:val="auto"/>
              </w:rPr>
            </w:pPr>
            <w:r>
              <w:rPr>
                <w:rFonts w:ascii="Arial" w:cs="Arial" w:eastAsia="Arial" w:hAnsi="Arial"/>
                <w:sz w:val="9"/>
                <w:szCs w:val="9"/>
                <w:color w:val="auto"/>
              </w:rPr>
              <w:t>52</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620" w:type="dxa"/>
            <w:vAlign w:val="bottom"/>
            <w:gridSpan w:val="2"/>
            <w:shd w:val="clear" w:color="auto" w:fill="CCEEFF"/>
          </w:tcPr>
          <w:p>
            <w:pPr>
              <w:spacing w:after="0" w:line="99" w:lineRule="exact"/>
              <w:rPr>
                <w:sz w:val="20"/>
                <w:szCs w:val="20"/>
                <w:color w:val="auto"/>
              </w:rPr>
            </w:pPr>
            <w:r>
              <w:rPr>
                <w:rFonts w:ascii="Arial" w:cs="Arial" w:eastAsia="Arial" w:hAnsi="Arial"/>
                <w:sz w:val="7"/>
                <w:szCs w:val="7"/>
                <w:color w:val="auto"/>
              </w:rPr>
              <w:t xml:space="preserve">Interest expense </w:t>
            </w:r>
            <w:r>
              <w:rPr>
                <w:rFonts w:ascii="Arial" w:cs="Arial" w:eastAsia="Arial" w:hAnsi="Arial"/>
                <w:sz w:val="11"/>
                <w:szCs w:val="11"/>
                <w:color w:val="auto"/>
                <w:vertAlign w:val="superscript"/>
              </w:rPr>
              <w:t>(4)</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gridSpan w:val="3"/>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(188)</w:t>
            </w: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620" w:type="dxa"/>
            <w:vAlign w:val="bottom"/>
            <w:gridSpan w:val="2"/>
          </w:tcPr>
          <w:p>
            <w:pPr>
              <w:spacing w:after="0" w:line="99" w:lineRule="exact"/>
              <w:rPr>
                <w:sz w:val="20"/>
                <w:szCs w:val="20"/>
                <w:color w:val="auto"/>
              </w:rPr>
            </w:pPr>
            <w:r>
              <w:rPr>
                <w:rFonts w:ascii="Arial" w:cs="Arial" w:eastAsia="Arial" w:hAnsi="Arial"/>
                <w:sz w:val="7"/>
                <w:szCs w:val="7"/>
                <w:color w:val="auto"/>
              </w:rPr>
              <w:t xml:space="preserve">Charges &amp; credits </w:t>
            </w:r>
            <w:r>
              <w:rPr>
                <w:rFonts w:ascii="Arial" w:cs="Arial" w:eastAsia="Arial" w:hAnsi="Arial"/>
                <w:sz w:val="11"/>
                <w:szCs w:val="11"/>
                <w:color w:val="auto"/>
                <w:vertAlign w:val="superscript"/>
              </w:rPr>
              <w:t>(5)</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gridSpan w:val="3"/>
          </w:tcPr>
          <w:p>
            <w:pPr>
              <w:jc w:val="right"/>
              <w:ind w:right="240"/>
              <w:spacing w:after="0" w:line="99" w:lineRule="exact"/>
              <w:rPr>
                <w:sz w:val="20"/>
                <w:szCs w:val="20"/>
                <w:color w:val="auto"/>
              </w:rPr>
            </w:pPr>
            <w:r>
              <w:rPr>
                <w:rFonts w:ascii="Arial" w:cs="Arial" w:eastAsia="Arial" w:hAnsi="Arial"/>
                <w:sz w:val="9"/>
                <w:szCs w:val="9"/>
                <w:color w:val="auto"/>
              </w:rPr>
              <w:t>(238)</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76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91"/>
              </w:rPr>
              <w:t>$ 22,702</w:t>
            </w:r>
          </w:p>
        </w:tc>
        <w:tc>
          <w:tcPr>
            <w:tcW w:w="5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93"/>
              </w:rPr>
              <w:t>$ 3,934</w:t>
            </w: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u w:val="single" w:color="auto"/>
                <w:color w:val="auto"/>
                <w:w w:val="78"/>
              </w:rPr>
              <w:t>$</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9"/>
              </w:rPr>
              <w:t>33,465</w:t>
            </w:r>
          </w:p>
        </w:tc>
        <w:tc>
          <w:tcPr>
            <w:tcW w:w="2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4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w w:val="97"/>
              </w:rPr>
              <w:t>2,476</w:t>
            </w:r>
          </w:p>
        </w:tc>
        <w:tc>
          <w:tcPr>
            <w:tcW w:w="440" w:type="dxa"/>
            <w:vAlign w:val="bottom"/>
            <w:gridSpan w:val="2"/>
            <w:shd w:val="clear" w:color="auto" w:fill="CCEEFF"/>
          </w:tcPr>
          <w:p>
            <w:pPr>
              <w:ind w:left="34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468" w:hanging="468"/>
        <w:spacing w:after="0"/>
        <w:tabs>
          <w:tab w:leader="none" w:pos="468"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Includes certain headquarter administrative costs which are not allocated to the segments, and certain other operations and other cost and income items maintained at the Oilfield Services level.</w:t>
      </w:r>
    </w:p>
    <w:p>
      <w:pPr>
        <w:spacing w:after="0" w:line="60" w:lineRule="exact"/>
        <w:rPr>
          <w:rFonts w:ascii="Arial" w:cs="Arial" w:eastAsia="Arial" w:hAnsi="Arial"/>
          <w:sz w:val="12"/>
          <w:szCs w:val="12"/>
          <w:color w:val="auto"/>
        </w:rPr>
      </w:pPr>
    </w:p>
    <w:p>
      <w:pPr>
        <w:ind w:left="468" w:right="80" w:hanging="468"/>
        <w:spacing w:after="0" w:line="314" w:lineRule="auto"/>
        <w:tabs>
          <w:tab w:leader="none" w:pos="468" w:val="left"/>
        </w:tabs>
        <w:numPr>
          <w:ilvl w:val="0"/>
          <w:numId w:val="44"/>
        </w:numPr>
        <w:rPr>
          <w:rFonts w:ascii="Arial" w:cs="Arial" w:eastAsia="Arial" w:hAnsi="Arial"/>
          <w:sz w:val="11"/>
          <w:szCs w:val="11"/>
          <w:color w:val="auto"/>
        </w:rPr>
      </w:pPr>
      <w:r>
        <w:rPr>
          <w:rFonts w:ascii="Arial" w:cs="Arial" w:eastAsia="Arial" w:hAnsi="Arial"/>
          <w:sz w:val="11"/>
          <w:szCs w:val="11"/>
          <w:color w:val="auto"/>
        </w:rPr>
        <w:t>Comprised principally of corporate expenses not allocated to the segments, interest on postretirement medical benefits, stock-based compensation costs, amortization expense associated with intangible assets recorded as a result of the acquisition of Smith and certain other nonoperating items. Corporate assets consist of cash, short-term investments, fixed income investments, held to maturity and investments in affiliates.</w:t>
      </w:r>
    </w:p>
    <w:p>
      <w:pPr>
        <w:spacing w:after="0" w:line="11" w:lineRule="exact"/>
        <w:rPr>
          <w:rFonts w:ascii="Arial" w:cs="Arial" w:eastAsia="Arial" w:hAnsi="Arial"/>
          <w:sz w:val="11"/>
          <w:szCs w:val="11"/>
          <w:color w:val="auto"/>
        </w:rPr>
      </w:pPr>
    </w:p>
    <w:p>
      <w:pPr>
        <w:ind w:left="468" w:hanging="468"/>
        <w:spacing w:after="0"/>
        <w:tabs>
          <w:tab w:leader="none" w:pos="468"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Interest income excludes amounts which are included in the segments’ income (2011—$3 million: 2010—$7 million; 2009—$10 million).</w:t>
      </w:r>
    </w:p>
    <w:p>
      <w:pPr>
        <w:spacing w:after="0" w:line="60" w:lineRule="exact"/>
        <w:rPr>
          <w:rFonts w:ascii="Arial" w:cs="Arial" w:eastAsia="Arial" w:hAnsi="Arial"/>
          <w:sz w:val="12"/>
          <w:szCs w:val="12"/>
          <w:color w:val="auto"/>
        </w:rPr>
      </w:pPr>
    </w:p>
    <w:p>
      <w:pPr>
        <w:ind w:left="468" w:hanging="468"/>
        <w:spacing w:after="0"/>
        <w:tabs>
          <w:tab w:leader="none" w:pos="468"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Interest expense excludes amounts which are included in the segments’ income (2011—$8 million; 2010—$5 million; 2009—$33 million).</w:t>
      </w:r>
    </w:p>
    <w:p>
      <w:pPr>
        <w:spacing w:after="0" w:line="60" w:lineRule="exact"/>
        <w:rPr>
          <w:rFonts w:ascii="Arial" w:cs="Arial" w:eastAsia="Arial" w:hAnsi="Arial"/>
          <w:sz w:val="12"/>
          <w:szCs w:val="12"/>
          <w:color w:val="auto"/>
        </w:rPr>
      </w:pPr>
    </w:p>
    <w:p>
      <w:pPr>
        <w:ind w:left="468" w:hanging="468"/>
        <w:spacing w:after="0"/>
        <w:tabs>
          <w:tab w:leader="none" w:pos="468" w:val="left"/>
        </w:tabs>
        <w:numPr>
          <w:ilvl w:val="0"/>
          <w:numId w:val="44"/>
        </w:numPr>
        <w:rPr>
          <w:rFonts w:ascii="Arial" w:cs="Arial" w:eastAsia="Arial" w:hAnsi="Arial"/>
          <w:sz w:val="12"/>
          <w:szCs w:val="12"/>
          <w:color w:val="auto"/>
        </w:rPr>
      </w:pPr>
      <w:r>
        <w:rPr>
          <w:rFonts w:ascii="Arial" w:cs="Arial" w:eastAsia="Arial" w:hAnsi="Arial"/>
          <w:sz w:val="12"/>
          <w:szCs w:val="12"/>
          <w:color w:val="auto"/>
        </w:rPr>
        <w:t xml:space="preserve">See Note 3 – </w:t>
      </w:r>
      <w:r>
        <w:rPr>
          <w:rFonts w:ascii="Arial" w:cs="Arial" w:eastAsia="Arial" w:hAnsi="Arial"/>
          <w:sz w:val="12"/>
          <w:szCs w:val="12"/>
          <w:i w:val="1"/>
          <w:iCs w:val="1"/>
          <w:color w:val="auto"/>
        </w:rPr>
        <w:t>Charges and Credits</w:t>
      </w:r>
      <w:r>
        <w:rPr>
          <w:rFonts w:ascii="Arial" w:cs="Arial" w:eastAsia="Arial" w:hAnsi="Arial"/>
          <w:sz w:val="12"/>
          <w:szCs w:val="12"/>
          <w:color w:val="auto"/>
        </w:rPr>
        <w:t>.</w:t>
      </w:r>
    </w:p>
    <w:p>
      <w:pPr>
        <w:spacing w:after="0" w:line="96" w:lineRule="exact"/>
        <w:rPr>
          <w:sz w:val="20"/>
          <w:szCs w:val="20"/>
          <w:color w:val="auto"/>
        </w:rPr>
      </w:pPr>
    </w:p>
    <w:p>
      <w:pPr>
        <w:ind w:left="228"/>
        <w:spacing w:after="0"/>
        <w:rPr>
          <w:sz w:val="20"/>
          <w:szCs w:val="20"/>
          <w:color w:val="auto"/>
        </w:rPr>
      </w:pPr>
      <w:r>
        <w:rPr>
          <w:rFonts w:ascii="Arial" w:cs="Arial" w:eastAsia="Arial" w:hAnsi="Arial"/>
          <w:sz w:val="12"/>
          <w:szCs w:val="12"/>
          <w:color w:val="auto"/>
        </w:rPr>
        <w:t>Segment assets consist of receivables, inventories, fixed assets and multiclient seismic data.</w:t>
      </w:r>
    </w:p>
    <w:p>
      <w:pPr>
        <w:spacing w:after="0" w:line="10" w:lineRule="exact"/>
        <w:rPr>
          <w:sz w:val="20"/>
          <w:szCs w:val="20"/>
          <w:color w:val="auto"/>
        </w:rPr>
      </w:pPr>
    </w:p>
    <w:p>
      <w:pPr>
        <w:ind w:left="228"/>
        <w:spacing w:after="0"/>
        <w:rPr>
          <w:sz w:val="20"/>
          <w:szCs w:val="20"/>
          <w:color w:val="auto"/>
        </w:rPr>
      </w:pPr>
      <w:r>
        <w:rPr>
          <w:rFonts w:ascii="Arial" w:cs="Arial" w:eastAsia="Arial" w:hAnsi="Arial"/>
          <w:sz w:val="12"/>
          <w:szCs w:val="12"/>
          <w:color w:val="auto"/>
        </w:rPr>
        <w:t>Depreciation &amp; Amortization includes multiclient seismic data costs.</w:t>
      </w:r>
    </w:p>
    <w:p>
      <w:pPr>
        <w:spacing w:after="0" w:line="100"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62</w:t>
      </w:r>
    </w:p>
    <w:p>
      <w:pPr>
        <w:sectPr>
          <w:pgSz w:w="11900" w:h="16838" w:orient="portrait"/>
          <w:cols w:equalWidth="0" w:num="1">
            <w:col w:w="11488"/>
          </w:cols>
          <w:pgMar w:left="212" w:top="354" w:right="199" w:bottom="1440" w:gutter="0" w:footer="0" w:header="0"/>
        </w:sectPr>
      </w:pPr>
    </w:p>
    <w:bookmarkStart w:id="62" w:name="page63"/>
    <w:bookmarkEnd w:id="62"/>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8"/>
        <w:spacing w:after="0"/>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for the years ended December 31, 2011, 2010 and 2009, by geographic area is as follows:</w:t>
      </w:r>
    </w:p>
    <w:p>
      <w:pPr>
        <w:spacing w:after="0" w:line="102"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9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5"/>
          </w:tcPr>
          <w:p>
            <w:pPr>
              <w:ind w:left="320"/>
              <w:spacing w:after="0"/>
              <w:rPr>
                <w:sz w:val="20"/>
                <w:szCs w:val="20"/>
                <w:color w:val="auto"/>
              </w:rPr>
            </w:pPr>
            <w:r>
              <w:rPr>
                <w:rFonts w:ascii="Arial" w:cs="Arial" w:eastAsia="Arial" w:hAnsi="Arial"/>
                <w:sz w:val="9"/>
                <w:szCs w:val="9"/>
                <w:b w:val="1"/>
                <w:bCs w:val="1"/>
                <w:color w:val="auto"/>
                <w:w w:val="96"/>
              </w:rPr>
              <w:t>(Stated in millions)</w:t>
            </w:r>
          </w:p>
        </w:tc>
      </w:tr>
      <w:tr>
        <w:trPr>
          <w:trHeight w:val="262"/>
        </w:trPr>
        <w:tc>
          <w:tcPr>
            <w:tcW w:w="20" w:type="dxa"/>
            <w:vAlign w:val="bottom"/>
          </w:tcPr>
          <w:p>
            <w:pPr>
              <w:spacing w:after="0"/>
              <w:rPr>
                <w:sz w:val="22"/>
                <w:szCs w:val="22"/>
                <w:color w:val="auto"/>
              </w:rPr>
            </w:pPr>
          </w:p>
        </w:tc>
        <w:tc>
          <w:tcPr>
            <w:tcW w:w="96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b w:val="1"/>
                <w:bCs w:val="1"/>
                <w:color w:val="auto"/>
                <w:w w:val="89"/>
              </w:rPr>
              <w:t>2011</w:t>
            </w:r>
          </w:p>
        </w:tc>
        <w:tc>
          <w:tcPr>
            <w:tcW w:w="2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b w:val="1"/>
                <w:bCs w:val="1"/>
                <w:color w:val="auto"/>
                <w:w w:val="99"/>
              </w:rPr>
              <w:t>2010</w:t>
            </w:r>
          </w:p>
        </w:tc>
        <w:tc>
          <w:tcPr>
            <w:tcW w:w="2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b w:val="1"/>
                <w:bCs w:val="1"/>
                <w:color w:val="auto"/>
                <w:w w:val="99"/>
              </w:rPr>
              <w:t>2009</w:t>
            </w:r>
          </w:p>
        </w:tc>
        <w:tc>
          <w:tcPr>
            <w:tcW w:w="60" w:type="dxa"/>
            <w:vAlign w:val="bottom"/>
            <w:tcBorders>
              <w:bottom w:val="single" w:sz="8" w:color="CCEEFF"/>
            </w:tcBorders>
          </w:tcPr>
          <w:p>
            <w:pPr>
              <w:spacing w:after="0"/>
              <w:rPr>
                <w:sz w:val="22"/>
                <w:szCs w:val="22"/>
                <w:color w:val="auto"/>
              </w:rPr>
            </w:pPr>
          </w:p>
        </w:tc>
      </w:tr>
      <w:tr>
        <w:trPr>
          <w:trHeight w:val="79"/>
        </w:trPr>
        <w:tc>
          <w:tcPr>
            <w:tcW w:w="20" w:type="dxa"/>
            <w:vAlign w:val="bottom"/>
          </w:tcPr>
          <w:p>
            <w:pPr>
              <w:spacing w:after="0"/>
              <w:rPr>
                <w:sz w:val="6"/>
                <w:szCs w:val="6"/>
                <w:color w:val="auto"/>
              </w:rPr>
            </w:pPr>
          </w:p>
        </w:tc>
        <w:tc>
          <w:tcPr>
            <w:tcW w:w="9600" w:type="dxa"/>
            <w:vAlign w:val="bottom"/>
            <w:shd w:val="clear" w:color="auto" w:fill="CCEEFF"/>
          </w:tcPr>
          <w:p>
            <w:pPr>
              <w:spacing w:after="0" w:line="79" w:lineRule="exact"/>
              <w:rPr>
                <w:sz w:val="20"/>
                <w:szCs w:val="20"/>
                <w:color w:val="auto"/>
              </w:rPr>
            </w:pPr>
            <w:r>
              <w:rPr>
                <w:rFonts w:ascii="Arial" w:cs="Arial" w:eastAsia="Arial" w:hAnsi="Arial"/>
                <w:sz w:val="9"/>
                <w:szCs w:val="9"/>
                <w:b w:val="1"/>
                <w:bCs w:val="1"/>
                <w:i w:val="1"/>
                <w:iCs w:val="1"/>
                <w:color w:val="auto"/>
              </w:rPr>
              <w:t>OILFIELD SERVICES</w:t>
            </w: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r>
      <w:tr>
        <w:trPr>
          <w:trHeight w:val="99"/>
        </w:trPr>
        <w:tc>
          <w:tcPr>
            <w:tcW w:w="20" w:type="dxa"/>
            <w:vAlign w:val="bottom"/>
          </w:tcPr>
          <w:p>
            <w:pPr>
              <w:spacing w:after="0"/>
              <w:rPr>
                <w:sz w:val="8"/>
                <w:szCs w:val="8"/>
                <w:color w:val="auto"/>
              </w:rPr>
            </w:pPr>
          </w:p>
        </w:tc>
        <w:tc>
          <w:tcPr>
            <w:tcW w:w="9600" w:type="dxa"/>
            <w:vAlign w:val="bottom"/>
          </w:tcPr>
          <w:p>
            <w:pPr>
              <w:ind w:left="260"/>
              <w:spacing w:after="0" w:line="99" w:lineRule="exact"/>
              <w:rPr>
                <w:sz w:val="20"/>
                <w:szCs w:val="20"/>
                <w:color w:val="auto"/>
              </w:rPr>
            </w:pPr>
            <w:r>
              <w:rPr>
                <w:rFonts w:ascii="Arial" w:cs="Arial" w:eastAsia="Arial" w:hAnsi="Arial"/>
                <w:sz w:val="9"/>
                <w:szCs w:val="9"/>
                <w:color w:val="auto"/>
              </w:rPr>
              <w:t>North America</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12,273</w:t>
            </w:r>
          </w:p>
        </w:tc>
        <w:tc>
          <w:tcPr>
            <w:tcW w:w="36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6,729</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4,217</w:t>
            </w:r>
          </w:p>
        </w:tc>
        <w:tc>
          <w:tcPr>
            <w:tcW w:w="6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960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Latin America</w:t>
            </w: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6,453</w:t>
            </w: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4,985</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4,552</w:t>
            </w:r>
          </w:p>
        </w:tc>
        <w:tc>
          <w:tcPr>
            <w:tcW w:w="6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9600" w:type="dxa"/>
            <w:vAlign w:val="bottom"/>
          </w:tcPr>
          <w:p>
            <w:pPr>
              <w:ind w:left="260"/>
              <w:spacing w:after="0" w:line="99" w:lineRule="exact"/>
              <w:rPr>
                <w:sz w:val="20"/>
                <w:szCs w:val="20"/>
                <w:color w:val="auto"/>
              </w:rPr>
            </w:pPr>
            <w:r>
              <w:rPr>
                <w:rFonts w:ascii="Arial" w:cs="Arial" w:eastAsia="Arial" w:hAnsi="Arial"/>
                <w:sz w:val="9"/>
                <w:szCs w:val="9"/>
                <w:color w:val="auto"/>
              </w:rPr>
              <w:t>Europe/CIS/Africa</w:t>
            </w:r>
          </w:p>
        </w:tc>
        <w:tc>
          <w:tcPr>
            <w:tcW w:w="8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9,761</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8,024</w:t>
            </w:r>
          </w:p>
        </w:tc>
        <w:tc>
          <w:tcPr>
            <w:tcW w:w="80" w:type="dxa"/>
            <w:vAlign w:val="bottom"/>
          </w:tcPr>
          <w:p>
            <w:pPr>
              <w:spacing w:after="0"/>
              <w:rPr>
                <w:sz w:val="8"/>
                <w:szCs w:val="8"/>
                <w:color w:val="auto"/>
              </w:rPr>
            </w:pP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7,737</w:t>
            </w:r>
          </w:p>
        </w:tc>
        <w:tc>
          <w:tcPr>
            <w:tcW w:w="6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9600" w:type="dxa"/>
            <w:vAlign w:val="bottom"/>
            <w:shd w:val="clear" w:color="auto" w:fill="CCEEFF"/>
          </w:tcPr>
          <w:p>
            <w:pPr>
              <w:ind w:left="260"/>
              <w:spacing w:after="0" w:line="99" w:lineRule="exact"/>
              <w:rPr>
                <w:sz w:val="20"/>
                <w:szCs w:val="20"/>
                <w:color w:val="auto"/>
              </w:rPr>
            </w:pPr>
            <w:r>
              <w:rPr>
                <w:rFonts w:ascii="Arial" w:cs="Arial" w:eastAsia="Arial" w:hAnsi="Arial"/>
                <w:sz w:val="9"/>
                <w:szCs w:val="9"/>
                <w:color w:val="auto"/>
              </w:rPr>
              <w:t>Middle East &amp; Asia</w:t>
            </w: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8,065</w:t>
            </w: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6,650</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5,961</w:t>
            </w:r>
          </w:p>
        </w:tc>
        <w:tc>
          <w:tcPr>
            <w:tcW w:w="6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9600" w:type="dxa"/>
            <w:vAlign w:val="bottom"/>
            <w:tcBorders>
              <w:bottom w:val="single" w:sz="8" w:color="auto"/>
            </w:tcBorders>
          </w:tcPr>
          <w:p>
            <w:pPr>
              <w:ind w:left="260"/>
              <w:spacing w:after="0" w:line="99" w:lineRule="exact"/>
              <w:rPr>
                <w:sz w:val="20"/>
                <w:szCs w:val="20"/>
                <w:color w:val="auto"/>
              </w:rPr>
            </w:pPr>
            <w:r>
              <w:rPr>
                <w:rFonts w:ascii="Arial" w:cs="Arial" w:eastAsia="Arial" w:hAnsi="Arial"/>
                <w:sz w:val="9"/>
                <w:szCs w:val="9"/>
                <w:color w:val="auto"/>
              </w:rPr>
              <w:t>Eliminations &amp; other</w:t>
            </w: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407</w:t>
            </w: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285</w:t>
            </w: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235</w:t>
            </w:r>
          </w:p>
        </w:tc>
        <w:tc>
          <w:tcPr>
            <w:tcW w:w="60" w:type="dxa"/>
            <w:vAlign w:val="bottom"/>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96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36,959</w:t>
            </w:r>
          </w:p>
        </w:tc>
        <w:tc>
          <w:tcPr>
            <w:tcW w:w="2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26,673</w:t>
            </w:r>
          </w:p>
        </w:tc>
        <w:tc>
          <w:tcPr>
            <w:tcW w:w="2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22,702</w:t>
            </w:r>
          </w:p>
        </w:tc>
        <w:tc>
          <w:tcPr>
            <w:tcW w:w="60" w:type="dxa"/>
            <w:vAlign w:val="bottom"/>
            <w:shd w:val="clear" w:color="auto" w:fill="CCEEFF"/>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9600" w:type="dxa"/>
            <w:vAlign w:val="bottom"/>
            <w:tcBorders>
              <w:bottom w:val="single" w:sz="8" w:color="auto"/>
            </w:tcBorders>
          </w:tcPr>
          <w:p>
            <w:pPr>
              <w:spacing w:after="0" w:line="98" w:lineRule="exact"/>
              <w:rPr>
                <w:sz w:val="20"/>
                <w:szCs w:val="20"/>
                <w:color w:val="auto"/>
              </w:rPr>
            </w:pPr>
            <w:r>
              <w:rPr>
                <w:rFonts w:ascii="Arial" w:cs="Arial" w:eastAsia="Arial" w:hAnsi="Arial"/>
                <w:sz w:val="9"/>
                <w:szCs w:val="9"/>
                <w:b w:val="1"/>
                <w:bCs w:val="1"/>
                <w:color w:val="auto"/>
              </w:rPr>
              <w:t>DISTRIBUTION</w:t>
            </w: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2,581</w:t>
            </w: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774</w:t>
            </w: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96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39,540</w:t>
            </w:r>
          </w:p>
        </w:tc>
        <w:tc>
          <w:tcPr>
            <w:tcW w:w="2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27,447</w:t>
            </w:r>
          </w:p>
        </w:tc>
        <w:tc>
          <w:tcPr>
            <w:tcW w:w="2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22,702</w:t>
            </w:r>
          </w:p>
        </w:tc>
        <w:tc>
          <w:tcPr>
            <w:tcW w:w="60" w:type="dxa"/>
            <w:vAlign w:val="bottom"/>
            <w:shd w:val="clear" w:color="auto" w:fill="CCEEFF"/>
          </w:tcPr>
          <w:p>
            <w:pPr>
              <w:spacing w:after="0"/>
              <w:rPr>
                <w:sz w:val="8"/>
                <w:szCs w:val="8"/>
                <w:color w:val="auto"/>
              </w:rPr>
            </w:pPr>
          </w:p>
        </w:tc>
      </w:tr>
    </w:tbl>
    <w:p>
      <w:pPr>
        <w:spacing w:after="0" w:line="57" w:lineRule="exact"/>
        <w:rPr>
          <w:sz w:val="20"/>
          <w:szCs w:val="20"/>
          <w:color w:val="auto"/>
        </w:rPr>
      </w:pPr>
    </w:p>
    <w:p>
      <w:pPr>
        <w:ind w:left="228"/>
        <w:spacing w:after="0"/>
        <w:rPr>
          <w:sz w:val="20"/>
          <w:szCs w:val="20"/>
          <w:color w:val="auto"/>
        </w:rPr>
      </w:pPr>
      <w:r>
        <w:rPr>
          <w:rFonts w:ascii="Arial" w:cs="Arial" w:eastAsia="Arial" w:hAnsi="Arial"/>
          <w:sz w:val="12"/>
          <w:szCs w:val="12"/>
          <w:color w:val="auto"/>
        </w:rPr>
        <w:t>Revenue is based on the location of where services are provided. Approximately 99% and 97% of Distribution’s revenue in 2011 and 2010, respectively, was generated in North America.</w:t>
      </w:r>
    </w:p>
    <w:p>
      <w:pPr>
        <w:spacing w:after="0" w:line="10" w:lineRule="exact"/>
        <w:rPr>
          <w:sz w:val="20"/>
          <w:szCs w:val="20"/>
          <w:color w:val="auto"/>
        </w:rPr>
      </w:pPr>
    </w:p>
    <w:p>
      <w:pPr>
        <w:ind w:left="228"/>
        <w:spacing w:after="0"/>
        <w:rPr>
          <w:sz w:val="20"/>
          <w:szCs w:val="20"/>
          <w:color w:val="auto"/>
        </w:rPr>
      </w:pPr>
      <w:r>
        <w:rPr>
          <w:rFonts w:ascii="Arial" w:cs="Arial" w:eastAsia="Arial" w:hAnsi="Arial"/>
          <w:sz w:val="12"/>
          <w:szCs w:val="12"/>
          <w:color w:val="auto"/>
        </w:rPr>
        <w:t>During each of the three years ended December 31, 2011, 2010 and 2009, no single customer exceeded 10% of consolidated revenue.</w:t>
      </w:r>
    </w:p>
    <w:p>
      <w:pPr>
        <w:spacing w:after="0" w:line="6" w:lineRule="exact"/>
        <w:rPr>
          <w:sz w:val="20"/>
          <w:szCs w:val="20"/>
          <w:color w:val="auto"/>
        </w:rPr>
      </w:pPr>
    </w:p>
    <w:p>
      <w:pPr>
        <w:ind w:left="228"/>
        <w:spacing w:after="0"/>
        <w:rPr>
          <w:sz w:val="20"/>
          <w:szCs w:val="20"/>
          <w:color w:val="auto"/>
        </w:rPr>
      </w:pPr>
      <w:r>
        <w:rPr>
          <w:rFonts w:ascii="Arial" w:cs="Arial" w:eastAsia="Arial" w:hAnsi="Arial"/>
          <w:sz w:val="11"/>
          <w:szCs w:val="11"/>
          <w:color w:val="auto"/>
        </w:rPr>
        <w:t>Schlumberger did not have revenue from third-party customers in its country of domicile during the last three years. Revenue in the United States in 2011, 2010 and 2009 was $12.7 billion, $6.5 billion and $3.7 billion, respectively.</w:t>
      </w:r>
    </w:p>
    <w:p>
      <w:pPr>
        <w:spacing w:after="0" w:line="18" w:lineRule="exact"/>
        <w:rPr>
          <w:sz w:val="20"/>
          <w:szCs w:val="20"/>
          <w:color w:val="auto"/>
        </w:rPr>
      </w:pPr>
    </w:p>
    <w:p>
      <w:pPr>
        <w:ind w:left="468"/>
        <w:spacing w:after="0"/>
        <w:rPr>
          <w:sz w:val="20"/>
          <w:szCs w:val="20"/>
          <w:color w:val="auto"/>
        </w:rPr>
      </w:pPr>
      <w:r>
        <w:rPr>
          <w:rFonts w:ascii="Arial" w:cs="Arial" w:eastAsia="Arial" w:hAnsi="Arial"/>
          <w:sz w:val="12"/>
          <w:szCs w:val="12"/>
          <w:i w:val="1"/>
          <w:iCs w:val="1"/>
          <w:color w:val="auto"/>
        </w:rPr>
        <w:t xml:space="preserve">Fixed Assets less accumulated depreciation </w:t>
      </w:r>
      <w:r>
        <w:rPr>
          <w:rFonts w:ascii="Arial" w:cs="Arial" w:eastAsia="Arial" w:hAnsi="Arial"/>
          <w:sz w:val="12"/>
          <w:szCs w:val="12"/>
          <w:color w:val="auto"/>
        </w:rPr>
        <w:t>by geographic area are as follows:</w:t>
      </w:r>
    </w:p>
    <w:p>
      <w:pPr>
        <w:spacing w:after="0" w:line="53"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9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5"/>
          </w:tcPr>
          <w:p>
            <w:pPr>
              <w:ind w:left="180"/>
              <w:spacing w:after="0"/>
              <w:rPr>
                <w:sz w:val="20"/>
                <w:szCs w:val="20"/>
                <w:color w:val="auto"/>
              </w:rPr>
            </w:pPr>
            <w:r>
              <w:rPr>
                <w:rFonts w:ascii="Arial" w:cs="Arial" w:eastAsia="Arial" w:hAnsi="Arial"/>
                <w:sz w:val="9"/>
                <w:szCs w:val="9"/>
                <w:b w:val="1"/>
                <w:bCs w:val="1"/>
                <w:color w:val="auto"/>
                <w:w w:val="96"/>
              </w:rPr>
              <w:t>(Stated in millions)</w:t>
            </w:r>
          </w:p>
        </w:tc>
      </w:tr>
      <w:tr>
        <w:trPr>
          <w:trHeight w:val="100"/>
        </w:trPr>
        <w:tc>
          <w:tcPr>
            <w:tcW w:w="9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2011</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2010</w:t>
            </w: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2009</w:t>
            </w:r>
          </w:p>
        </w:tc>
        <w:tc>
          <w:tcPr>
            <w:tcW w:w="60" w:type="dxa"/>
            <w:vAlign w:val="bottom"/>
            <w:shd w:val="clear" w:color="auto" w:fill="CCEEFF"/>
          </w:tcPr>
          <w:p>
            <w:pPr>
              <w:spacing w:after="0"/>
              <w:rPr>
                <w:sz w:val="8"/>
                <w:szCs w:val="8"/>
                <w:color w:val="auto"/>
              </w:rPr>
            </w:pPr>
          </w:p>
        </w:tc>
      </w:tr>
      <w:tr>
        <w:trPr>
          <w:trHeight w:val="97"/>
        </w:trPr>
        <w:tc>
          <w:tcPr>
            <w:tcW w:w="9740" w:type="dxa"/>
            <w:vAlign w:val="bottom"/>
          </w:tcPr>
          <w:p>
            <w:pPr>
              <w:spacing w:after="0" w:line="98" w:lineRule="exact"/>
              <w:rPr>
                <w:sz w:val="20"/>
                <w:szCs w:val="20"/>
                <w:color w:val="auto"/>
              </w:rPr>
            </w:pPr>
            <w:r>
              <w:rPr>
                <w:rFonts w:ascii="Arial" w:cs="Arial" w:eastAsia="Arial" w:hAnsi="Arial"/>
                <w:sz w:val="9"/>
                <w:szCs w:val="9"/>
                <w:b w:val="1"/>
                <w:bCs w:val="1"/>
                <w:i w:val="1"/>
                <w:iCs w:val="1"/>
                <w:color w:val="auto"/>
              </w:rPr>
              <w:t>OILFIELD SERVICES</w:t>
            </w: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North America</w:t>
            </w: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78"/>
              </w:rPr>
              <w:t>$</w:t>
            </w: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4,220</w:t>
            </w: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3,624</w:t>
            </w:r>
          </w:p>
        </w:tc>
        <w:tc>
          <w:tcPr>
            <w:tcW w:w="36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2,229</w:t>
            </w: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Arial" w:cs="Arial" w:eastAsia="Arial" w:hAnsi="Arial"/>
                <w:sz w:val="9"/>
                <w:szCs w:val="9"/>
                <w:color w:val="auto"/>
              </w:rPr>
              <w:t>Latin America</w:t>
            </w:r>
          </w:p>
        </w:tc>
        <w:tc>
          <w:tcPr>
            <w:tcW w:w="1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1,472</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1,274</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995</w:t>
            </w:r>
          </w:p>
        </w:tc>
        <w:tc>
          <w:tcPr>
            <w:tcW w:w="60" w:type="dxa"/>
            <w:vAlign w:val="bottom"/>
          </w:tcPr>
          <w:p>
            <w:pPr>
              <w:spacing w:after="0"/>
              <w:rPr>
                <w:sz w:val="8"/>
                <w:szCs w:val="8"/>
                <w:color w:val="auto"/>
              </w:rPr>
            </w:pPr>
          </w:p>
        </w:tc>
      </w:tr>
      <w:tr>
        <w:trPr>
          <w:trHeight w:val="99"/>
        </w:trPr>
        <w:tc>
          <w:tcPr>
            <w:tcW w:w="974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Europe/CIS/Africa</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3,324</w:t>
            </w: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3,310</w:t>
            </w: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2,763</w:t>
            </w:r>
          </w:p>
        </w:tc>
        <w:tc>
          <w:tcPr>
            <w:tcW w:w="60" w:type="dxa"/>
            <w:vAlign w:val="bottom"/>
            <w:shd w:val="clear" w:color="auto" w:fill="CCEEFF"/>
          </w:tcPr>
          <w:p>
            <w:pPr>
              <w:spacing w:after="0"/>
              <w:rPr>
                <w:sz w:val="8"/>
                <w:szCs w:val="8"/>
                <w:color w:val="auto"/>
              </w:rPr>
            </w:pPr>
          </w:p>
        </w:tc>
      </w:tr>
      <w:tr>
        <w:trPr>
          <w:trHeight w:val="99"/>
        </w:trPr>
        <w:tc>
          <w:tcPr>
            <w:tcW w:w="9740" w:type="dxa"/>
            <w:vAlign w:val="bottom"/>
          </w:tcPr>
          <w:p>
            <w:pPr>
              <w:ind w:left="280"/>
              <w:spacing w:after="0" w:line="99" w:lineRule="exact"/>
              <w:rPr>
                <w:sz w:val="20"/>
                <w:szCs w:val="20"/>
                <w:color w:val="auto"/>
              </w:rPr>
            </w:pPr>
            <w:r>
              <w:rPr>
                <w:rFonts w:ascii="Arial" w:cs="Arial" w:eastAsia="Arial" w:hAnsi="Arial"/>
                <w:sz w:val="9"/>
                <w:szCs w:val="9"/>
                <w:color w:val="auto"/>
              </w:rPr>
              <w:t>Middle East &amp; Asia</w:t>
            </w:r>
          </w:p>
        </w:tc>
        <w:tc>
          <w:tcPr>
            <w:tcW w:w="10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2,233</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2,004</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1,797</w:t>
            </w:r>
          </w:p>
        </w:tc>
        <w:tc>
          <w:tcPr>
            <w:tcW w:w="60" w:type="dxa"/>
            <w:vAlign w:val="bottom"/>
          </w:tcPr>
          <w:p>
            <w:pPr>
              <w:spacing w:after="0"/>
              <w:rPr>
                <w:sz w:val="8"/>
                <w:szCs w:val="8"/>
                <w:color w:val="auto"/>
              </w:rPr>
            </w:pPr>
          </w:p>
        </w:tc>
      </w:tr>
      <w:tr>
        <w:trPr>
          <w:trHeight w:val="99"/>
        </w:trPr>
        <w:tc>
          <w:tcPr>
            <w:tcW w:w="9740" w:type="dxa"/>
            <w:vAlign w:val="bottom"/>
            <w:tcBorders>
              <w:bottom w:val="single" w:sz="8" w:color="auto"/>
            </w:tcBorders>
            <w:shd w:val="clear" w:color="auto" w:fill="CCEEFF"/>
          </w:tcPr>
          <w:p>
            <w:pPr>
              <w:ind w:left="280"/>
              <w:spacing w:after="0" w:line="99" w:lineRule="exact"/>
              <w:rPr>
                <w:sz w:val="20"/>
                <w:szCs w:val="20"/>
                <w:color w:val="auto"/>
              </w:rPr>
            </w:pPr>
            <w:r>
              <w:rPr>
                <w:rFonts w:ascii="Arial" w:cs="Arial" w:eastAsia="Arial" w:hAnsi="Arial"/>
                <w:sz w:val="7"/>
                <w:szCs w:val="7"/>
                <w:color w:val="auto"/>
              </w:rPr>
              <w:t xml:space="preserve">Unallocated </w:t>
            </w:r>
            <w:r>
              <w:rPr>
                <w:rFonts w:ascii="Arial" w:cs="Arial" w:eastAsia="Arial" w:hAnsi="Arial"/>
                <w:sz w:val="11"/>
                <w:szCs w:val="11"/>
                <w:color w:val="auto"/>
                <w:vertAlign w:val="superscript"/>
              </w:rPr>
              <w:t>(1)</w:t>
            </w:r>
          </w:p>
        </w:tc>
        <w:tc>
          <w:tcPr>
            <w:tcW w:w="100" w:type="dxa"/>
            <w:vAlign w:val="bottom"/>
            <w:tcBorders>
              <w:bottom w:val="single" w:sz="8" w:color="auto"/>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1,744</w:t>
            </w:r>
          </w:p>
        </w:tc>
        <w:tc>
          <w:tcPr>
            <w:tcW w:w="2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1,859</w:t>
            </w:r>
          </w:p>
        </w:tc>
        <w:tc>
          <w:tcPr>
            <w:tcW w:w="2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1,876</w:t>
            </w:r>
          </w:p>
        </w:tc>
        <w:tc>
          <w:tcPr>
            <w:tcW w:w="60" w:type="dxa"/>
            <w:vAlign w:val="bottom"/>
            <w:shd w:val="clear" w:color="auto" w:fill="CCEEFF"/>
          </w:tcPr>
          <w:p>
            <w:pPr>
              <w:spacing w:after="0"/>
              <w:rPr>
                <w:sz w:val="8"/>
                <w:szCs w:val="8"/>
                <w:color w:val="auto"/>
              </w:rPr>
            </w:pPr>
          </w:p>
        </w:tc>
      </w:tr>
      <w:tr>
        <w:trPr>
          <w:trHeight w:val="97"/>
        </w:trPr>
        <w:tc>
          <w:tcPr>
            <w:tcW w:w="9740" w:type="dxa"/>
            <w:vAlign w:val="bottom"/>
          </w:tcPr>
          <w:p>
            <w:pPr>
              <w:spacing w:after="0"/>
              <w:rPr>
                <w:sz w:val="8"/>
                <w:szCs w:val="8"/>
                <w:color w:val="auto"/>
              </w:rPr>
            </w:pPr>
          </w:p>
        </w:tc>
        <w:tc>
          <w:tcPr>
            <w:tcW w:w="10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78"/>
              </w:rPr>
              <w:t>$</w:t>
            </w:r>
          </w:p>
        </w:tc>
        <w:tc>
          <w:tcPr>
            <w:tcW w:w="28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94"/>
              </w:rPr>
              <w:t>12,993</w:t>
            </w:r>
          </w:p>
        </w:tc>
        <w:tc>
          <w:tcPr>
            <w:tcW w:w="280" w:type="dxa"/>
            <w:vAlign w:val="bottom"/>
          </w:tcPr>
          <w:p>
            <w:pPr>
              <w:spacing w:after="0"/>
              <w:rPr>
                <w:sz w:val="8"/>
                <w:szCs w:val="8"/>
                <w:color w:val="auto"/>
              </w:rPr>
            </w:pP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12,071</w:t>
            </w:r>
          </w:p>
        </w:tc>
        <w:tc>
          <w:tcPr>
            <w:tcW w:w="3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jc w:val="right"/>
              <w:spacing w:after="0" w:line="98" w:lineRule="exact"/>
              <w:rPr>
                <w:sz w:val="20"/>
                <w:szCs w:val="20"/>
                <w:color w:val="auto"/>
              </w:rPr>
            </w:pPr>
            <w:r>
              <w:rPr>
                <w:rFonts w:ascii="Arial" w:cs="Arial" w:eastAsia="Arial" w:hAnsi="Arial"/>
                <w:sz w:val="9"/>
                <w:szCs w:val="9"/>
                <w:color w:val="auto"/>
              </w:rPr>
              <w:t>9,660</w:t>
            </w:r>
          </w:p>
        </w:tc>
        <w:tc>
          <w:tcPr>
            <w:tcW w:w="60" w:type="dxa"/>
            <w:vAlign w:val="bottom"/>
          </w:tcPr>
          <w:p>
            <w:pPr>
              <w:spacing w:after="0"/>
              <w:rPr>
                <w:sz w:val="8"/>
                <w:szCs w:val="8"/>
                <w:color w:val="auto"/>
              </w:rPr>
            </w:pPr>
          </w:p>
        </w:tc>
      </w:tr>
      <w:tr>
        <w:trPr>
          <w:trHeight w:val="20"/>
        </w:trPr>
        <w:tc>
          <w:tcPr>
            <w:tcW w:w="9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 w:lineRule="exact"/>
        <w:rPr>
          <w:sz w:val="20"/>
          <w:szCs w:val="20"/>
          <w:color w:val="auto"/>
        </w:rPr>
      </w:pPr>
    </w:p>
    <w:p>
      <w:pPr>
        <w:ind w:left="228" w:hanging="228"/>
        <w:spacing w:after="0"/>
        <w:tabs>
          <w:tab w:leader="none" w:pos="228" w:val="left"/>
        </w:tabs>
        <w:numPr>
          <w:ilvl w:val="0"/>
          <w:numId w:val="45"/>
        </w:numPr>
        <w:rPr>
          <w:rFonts w:ascii="Arial" w:cs="Arial" w:eastAsia="Arial" w:hAnsi="Arial"/>
          <w:sz w:val="15"/>
          <w:szCs w:val="15"/>
          <w:color w:val="auto"/>
          <w:vertAlign w:val="superscript"/>
        </w:rPr>
      </w:pPr>
      <w:r>
        <w:rPr>
          <w:rFonts w:ascii="Arial" w:cs="Arial" w:eastAsia="Arial" w:hAnsi="Arial"/>
          <w:sz w:val="12"/>
          <w:szCs w:val="12"/>
          <w:color w:val="auto"/>
        </w:rPr>
        <w:t>Represents seismic vessels, including the related on-board equipment, which frequently transition between geographic areas.</w:t>
      </w:r>
    </w:p>
    <w:p>
      <w:pPr>
        <w:spacing w:after="0" w:line="129" w:lineRule="exact"/>
        <w:rPr>
          <w:sz w:val="20"/>
          <w:szCs w:val="20"/>
          <w:color w:val="auto"/>
        </w:rPr>
      </w:pPr>
    </w:p>
    <w:p>
      <w:pPr>
        <w:ind w:left="8" w:right="9400" w:hanging="8"/>
        <w:spacing w:after="0" w:line="346" w:lineRule="auto"/>
        <w:tabs>
          <w:tab w:leader="none" w:pos="467" w:val="left"/>
        </w:tabs>
        <w:numPr>
          <w:ilvl w:val="0"/>
          <w:numId w:val="4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 xml:space="preserve">Pension and Other Benefit Plans </w:t>
      </w:r>
      <w:r>
        <w:rPr>
          <w:rFonts w:ascii="Arial" w:cs="Arial" w:eastAsia="Arial" w:hAnsi="Arial"/>
          <w:sz w:val="12"/>
          <w:szCs w:val="12"/>
          <w:i w:val="1"/>
          <w:iCs w:val="1"/>
          <w:color w:val="auto"/>
        </w:rPr>
        <w:t>Pension Plans</w:t>
      </w:r>
    </w:p>
    <w:p>
      <w:pPr>
        <w:ind w:left="228"/>
        <w:spacing w:after="0"/>
        <w:rPr>
          <w:sz w:val="20"/>
          <w:szCs w:val="20"/>
          <w:color w:val="auto"/>
        </w:rPr>
      </w:pPr>
      <w:r>
        <w:rPr>
          <w:rFonts w:ascii="Arial" w:cs="Arial" w:eastAsia="Arial" w:hAnsi="Arial"/>
          <w:sz w:val="11"/>
          <w:szCs w:val="11"/>
          <w:color w:val="auto"/>
        </w:rPr>
        <w:t>Schlumberger sponsors several defined benefit pension plans that cover substantially all US employees hired prior to October 1, 2004. The benefits are based on years of service and compensation, on a career-average pay basis.</w:t>
      </w:r>
    </w:p>
    <w:p>
      <w:pPr>
        <w:spacing w:after="0" w:line="22" w:lineRule="exact"/>
        <w:rPr>
          <w:sz w:val="20"/>
          <w:szCs w:val="20"/>
          <w:color w:val="auto"/>
        </w:rPr>
      </w:pPr>
    </w:p>
    <w:p>
      <w:pPr>
        <w:ind w:left="8" w:right="40" w:firstLine="230"/>
        <w:spacing w:after="0" w:line="250" w:lineRule="auto"/>
        <w:rPr>
          <w:sz w:val="20"/>
          <w:szCs w:val="20"/>
          <w:color w:val="auto"/>
        </w:rPr>
      </w:pPr>
      <w:r>
        <w:rPr>
          <w:rFonts w:ascii="Arial" w:cs="Arial" w:eastAsia="Arial" w:hAnsi="Arial"/>
          <w:sz w:val="12"/>
          <w:szCs w:val="12"/>
          <w:color w:val="auto"/>
        </w:rPr>
        <w:t>In addition to the United States defined benefit pension plans, Schlumberger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and is based on years of service and compensation on a career-average pay basis. The UK plan covers employees hired prior to April 1, 1999, and is based on years of service and compensation, on a final salary basis.</w:t>
      </w:r>
    </w:p>
    <w:p>
      <w:pPr>
        <w:spacing w:after="0" w:line="1" w:lineRule="exact"/>
        <w:rPr>
          <w:sz w:val="20"/>
          <w:szCs w:val="20"/>
          <w:color w:val="auto"/>
        </w:rPr>
      </w:pPr>
    </w:p>
    <w:p>
      <w:pPr>
        <w:ind w:left="468"/>
        <w:spacing w:after="0"/>
        <w:rPr>
          <w:sz w:val="20"/>
          <w:szCs w:val="20"/>
          <w:color w:val="auto"/>
        </w:rPr>
      </w:pPr>
      <w:r>
        <w:rPr>
          <w:rFonts w:ascii="Arial" w:cs="Arial" w:eastAsia="Arial" w:hAnsi="Arial"/>
          <w:sz w:val="11"/>
          <w:szCs w:val="11"/>
          <w:color w:val="auto"/>
        </w:rPr>
        <w:t>The weighted-average assumed discount rate, compensation increases and the expected long-term rate of return on plan assets used to determine the net pension cost for the US and International plans were as follows:</w:t>
      </w:r>
    </w:p>
    <w:p>
      <w:pPr>
        <w:spacing w:after="0" w:line="65"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328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9"/>
                <w:szCs w:val="9"/>
                <w:b w:val="1"/>
                <w:bCs w:val="1"/>
                <w:color w:val="auto"/>
                <w:w w:val="95"/>
              </w:rPr>
              <w:t>US</w:t>
            </w:r>
          </w:p>
        </w:tc>
        <w:tc>
          <w:tcPr>
            <w:tcW w:w="2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9"/>
                <w:szCs w:val="9"/>
                <w:b w:val="1"/>
                <w:bCs w:val="1"/>
                <w:color w:val="auto"/>
                <w:w w:val="99"/>
              </w:rPr>
              <w:t>International</w:t>
            </w:r>
          </w:p>
        </w:tc>
        <w:tc>
          <w:tcPr>
            <w:tcW w:w="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9"/>
                <w:szCs w:val="9"/>
                <w:b w:val="1"/>
                <w:bCs w:val="1"/>
                <w:color w:val="auto"/>
                <w:w w:val="79"/>
              </w:rPr>
              <w:t>2011</w:t>
            </w:r>
          </w:p>
        </w:tc>
        <w:tc>
          <w:tcPr>
            <w:tcW w:w="3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9"/>
                <w:szCs w:val="9"/>
                <w:b w:val="1"/>
                <w:bCs w:val="1"/>
                <w:color w:val="auto"/>
                <w:w w:val="79"/>
              </w:rPr>
              <w:t>2010</w:t>
            </w:r>
          </w:p>
        </w:tc>
        <w:tc>
          <w:tcPr>
            <w:tcW w:w="3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9"/>
                <w:szCs w:val="9"/>
                <w:b w:val="1"/>
                <w:bCs w:val="1"/>
                <w:color w:val="auto"/>
                <w:w w:val="89"/>
              </w:rPr>
              <w:t>2009</w:t>
            </w:r>
          </w:p>
        </w:tc>
        <w:tc>
          <w:tcPr>
            <w:tcW w:w="3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9"/>
                <w:szCs w:val="9"/>
                <w:b w:val="1"/>
                <w:bCs w:val="1"/>
                <w:color w:val="auto"/>
                <w:w w:val="79"/>
              </w:rPr>
              <w:t>2011</w:t>
            </w:r>
          </w:p>
        </w:tc>
        <w:tc>
          <w:tcPr>
            <w:tcW w:w="12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9"/>
                <w:szCs w:val="9"/>
                <w:b w:val="1"/>
                <w:bCs w:val="1"/>
                <w:color w:val="auto"/>
              </w:rPr>
              <w:t>2010</w:t>
            </w:r>
          </w:p>
        </w:tc>
        <w:tc>
          <w:tcPr>
            <w:tcW w:w="3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9"/>
                <w:szCs w:val="9"/>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9"/>
                <w:szCs w:val="9"/>
                <w:color w:val="auto"/>
              </w:rPr>
              <w:t>Discount rate</w:t>
            </w:r>
          </w:p>
        </w:tc>
        <w:tc>
          <w:tcPr>
            <w:tcW w:w="53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80" w:type="dxa"/>
            <w:vAlign w:val="bottom"/>
            <w:vMerge w:val="continue"/>
            <w:shd w:val="clear" w:color="auto" w:fill="CCEEFF"/>
          </w:tcPr>
          <w:p>
            <w:pPr>
              <w:spacing w:after="0"/>
              <w:rPr>
                <w:sz w:val="7"/>
                <w:szCs w:val="7"/>
                <w:color w:val="auto"/>
              </w:rPr>
            </w:pPr>
          </w:p>
        </w:tc>
        <w:tc>
          <w:tcPr>
            <w:tcW w:w="5300" w:type="dxa"/>
            <w:vAlign w:val="bottom"/>
            <w:vMerge w:val="continue"/>
            <w:shd w:val="clear" w:color="auto" w:fill="CCEEFF"/>
          </w:tcPr>
          <w:p>
            <w:pPr>
              <w:spacing w:after="0"/>
              <w:rPr>
                <w:sz w:val="7"/>
                <w:szCs w:val="7"/>
                <w:color w:val="auto"/>
              </w:rPr>
            </w:pPr>
          </w:p>
        </w:tc>
        <w:tc>
          <w:tcPr>
            <w:tcW w:w="540" w:type="dxa"/>
            <w:vAlign w:val="bottom"/>
            <w:gridSpan w:val="2"/>
            <w:shd w:val="clear" w:color="auto" w:fill="CCEEFF"/>
          </w:tcPr>
          <w:p>
            <w:pPr>
              <w:jc w:val="right"/>
              <w:ind w:right="260"/>
              <w:spacing w:after="0" w:line="88" w:lineRule="exact"/>
              <w:rPr>
                <w:sz w:val="20"/>
                <w:szCs w:val="20"/>
                <w:color w:val="auto"/>
              </w:rPr>
            </w:pPr>
            <w:r>
              <w:rPr>
                <w:rFonts w:ascii="Arial" w:cs="Arial" w:eastAsia="Arial" w:hAnsi="Arial"/>
                <w:sz w:val="9"/>
                <w:szCs w:val="9"/>
                <w:b w:val="1"/>
                <w:bCs w:val="1"/>
                <w:color w:val="auto"/>
              </w:rPr>
              <w:t>5.50%</w:t>
            </w:r>
          </w:p>
        </w:tc>
        <w:tc>
          <w:tcPr>
            <w:tcW w:w="500" w:type="dxa"/>
            <w:vAlign w:val="bottom"/>
            <w:gridSpan w:val="2"/>
            <w:shd w:val="clear" w:color="auto" w:fill="CCEEFF"/>
          </w:tcPr>
          <w:p>
            <w:pPr>
              <w:jc w:val="right"/>
              <w:ind w:right="240"/>
              <w:spacing w:after="0" w:line="88" w:lineRule="exact"/>
              <w:rPr>
                <w:sz w:val="20"/>
                <w:szCs w:val="20"/>
                <w:color w:val="auto"/>
              </w:rPr>
            </w:pPr>
            <w:r>
              <w:rPr>
                <w:rFonts w:ascii="Arial" w:cs="Arial" w:eastAsia="Arial" w:hAnsi="Arial"/>
                <w:sz w:val="9"/>
                <w:szCs w:val="9"/>
                <w:color w:val="auto"/>
                <w:w w:val="93"/>
              </w:rPr>
              <w:t>6.00%</w:t>
            </w:r>
          </w:p>
        </w:tc>
        <w:tc>
          <w:tcPr>
            <w:tcW w:w="520" w:type="dxa"/>
            <w:vAlign w:val="bottom"/>
            <w:gridSpan w:val="2"/>
            <w:shd w:val="clear" w:color="auto" w:fill="CCEEFF"/>
          </w:tcPr>
          <w:p>
            <w:pPr>
              <w:jc w:val="right"/>
              <w:ind w:right="240"/>
              <w:spacing w:after="0" w:line="88" w:lineRule="exact"/>
              <w:rPr>
                <w:sz w:val="20"/>
                <w:szCs w:val="20"/>
                <w:color w:val="auto"/>
              </w:rPr>
            </w:pPr>
            <w:r>
              <w:rPr>
                <w:rFonts w:ascii="Arial" w:cs="Arial" w:eastAsia="Arial" w:hAnsi="Arial"/>
                <w:sz w:val="9"/>
                <w:szCs w:val="9"/>
                <w:color w:val="auto"/>
              </w:rPr>
              <w:t>6.94%</w:t>
            </w:r>
          </w:p>
        </w:tc>
        <w:tc>
          <w:tcPr>
            <w:tcW w:w="32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9"/>
                <w:szCs w:val="9"/>
                <w:b w:val="1"/>
                <w:bCs w:val="1"/>
                <w:color w:val="auto"/>
              </w:rPr>
              <w:t>5.47%</w:t>
            </w:r>
          </w:p>
        </w:tc>
        <w:tc>
          <w:tcPr>
            <w:tcW w:w="220" w:type="dxa"/>
            <w:vAlign w:val="bottom"/>
            <w:vMerge w:val="continue"/>
            <w:shd w:val="clear" w:color="auto" w:fill="CCEEFF"/>
          </w:tcPr>
          <w:p>
            <w:pPr>
              <w:spacing w:after="0"/>
              <w:rPr>
                <w:sz w:val="7"/>
                <w:szCs w:val="7"/>
                <w:color w:val="auto"/>
              </w:rPr>
            </w:pPr>
          </w:p>
        </w:tc>
        <w:tc>
          <w:tcPr>
            <w:tcW w:w="500" w:type="dxa"/>
            <w:vAlign w:val="bottom"/>
            <w:gridSpan w:val="2"/>
            <w:shd w:val="clear" w:color="auto" w:fill="CCEEFF"/>
          </w:tcPr>
          <w:p>
            <w:pPr>
              <w:jc w:val="right"/>
              <w:ind w:right="240"/>
              <w:spacing w:after="0" w:line="88" w:lineRule="exact"/>
              <w:rPr>
                <w:sz w:val="20"/>
                <w:szCs w:val="20"/>
                <w:color w:val="auto"/>
              </w:rPr>
            </w:pPr>
            <w:r>
              <w:rPr>
                <w:rFonts w:ascii="Arial" w:cs="Arial" w:eastAsia="Arial" w:hAnsi="Arial"/>
                <w:sz w:val="9"/>
                <w:szCs w:val="9"/>
                <w:color w:val="auto"/>
                <w:w w:val="93"/>
              </w:rPr>
              <w:t>5.89%</w:t>
            </w:r>
          </w:p>
        </w:tc>
        <w:tc>
          <w:tcPr>
            <w:tcW w:w="300" w:type="dxa"/>
            <w:vAlign w:val="bottom"/>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6.81%</w:t>
            </w:r>
          </w:p>
        </w:tc>
        <w:tc>
          <w:tcPr>
            <w:tcW w:w="0" w:type="dxa"/>
            <w:vAlign w:val="bottom"/>
          </w:tcPr>
          <w:p>
            <w:pPr>
              <w:spacing w:after="0"/>
              <w:rPr>
                <w:sz w:val="1"/>
                <w:szCs w:val="1"/>
                <w:color w:val="auto"/>
              </w:rPr>
            </w:pPr>
          </w:p>
        </w:tc>
      </w:tr>
      <w:tr>
        <w:trPr>
          <w:trHeight w:val="99"/>
        </w:trPr>
        <w:tc>
          <w:tcPr>
            <w:tcW w:w="3280" w:type="dxa"/>
            <w:vAlign w:val="bottom"/>
          </w:tcPr>
          <w:p>
            <w:pPr>
              <w:spacing w:after="0" w:line="99" w:lineRule="exact"/>
              <w:rPr>
                <w:sz w:val="20"/>
                <w:szCs w:val="20"/>
                <w:color w:val="auto"/>
              </w:rPr>
            </w:pPr>
            <w:r>
              <w:rPr>
                <w:rFonts w:ascii="Arial" w:cs="Arial" w:eastAsia="Arial" w:hAnsi="Arial"/>
                <w:sz w:val="9"/>
                <w:szCs w:val="9"/>
                <w:color w:val="auto"/>
              </w:rPr>
              <w:t>Compensation increases</w:t>
            </w:r>
          </w:p>
        </w:tc>
        <w:tc>
          <w:tcPr>
            <w:tcW w:w="5840" w:type="dxa"/>
            <w:vAlign w:val="bottom"/>
            <w:gridSpan w:val="3"/>
          </w:tcPr>
          <w:p>
            <w:pPr>
              <w:jc w:val="right"/>
              <w:ind w:right="260"/>
              <w:spacing w:after="0" w:line="99" w:lineRule="exact"/>
              <w:rPr>
                <w:sz w:val="20"/>
                <w:szCs w:val="20"/>
                <w:color w:val="auto"/>
              </w:rPr>
            </w:pPr>
            <w:r>
              <w:rPr>
                <w:rFonts w:ascii="Arial" w:cs="Arial" w:eastAsia="Arial" w:hAnsi="Arial"/>
                <w:sz w:val="9"/>
                <w:szCs w:val="9"/>
                <w:b w:val="1"/>
                <w:bCs w:val="1"/>
                <w:color w:val="auto"/>
              </w:rPr>
              <w:t>4.00%</w:t>
            </w:r>
          </w:p>
        </w:tc>
        <w:tc>
          <w:tcPr>
            <w:tcW w:w="500" w:type="dxa"/>
            <w:vAlign w:val="bottom"/>
            <w:gridSpan w:val="2"/>
          </w:tcPr>
          <w:p>
            <w:pPr>
              <w:jc w:val="right"/>
              <w:ind w:right="240"/>
              <w:spacing w:after="0" w:line="99" w:lineRule="exact"/>
              <w:rPr>
                <w:sz w:val="20"/>
                <w:szCs w:val="20"/>
                <w:color w:val="auto"/>
              </w:rPr>
            </w:pPr>
            <w:r>
              <w:rPr>
                <w:rFonts w:ascii="Arial" w:cs="Arial" w:eastAsia="Arial" w:hAnsi="Arial"/>
                <w:sz w:val="9"/>
                <w:szCs w:val="9"/>
                <w:color w:val="auto"/>
                <w:w w:val="93"/>
              </w:rPr>
              <w:t>4.00%</w:t>
            </w:r>
          </w:p>
        </w:tc>
        <w:tc>
          <w:tcPr>
            <w:tcW w:w="520" w:type="dxa"/>
            <w:vAlign w:val="bottom"/>
            <w:gridSpan w:val="2"/>
          </w:tcPr>
          <w:p>
            <w:pPr>
              <w:jc w:val="right"/>
              <w:ind w:right="240"/>
              <w:spacing w:after="0" w:line="99" w:lineRule="exact"/>
              <w:rPr>
                <w:sz w:val="20"/>
                <w:szCs w:val="20"/>
                <w:color w:val="auto"/>
              </w:rPr>
            </w:pPr>
            <w:r>
              <w:rPr>
                <w:rFonts w:ascii="Arial" w:cs="Arial" w:eastAsia="Arial" w:hAnsi="Arial"/>
                <w:sz w:val="9"/>
                <w:szCs w:val="9"/>
                <w:color w:val="auto"/>
              </w:rPr>
              <w:t>4.00%</w:t>
            </w:r>
          </w:p>
        </w:tc>
        <w:tc>
          <w:tcPr>
            <w:tcW w:w="320" w:type="dxa"/>
            <w:vAlign w:val="bottom"/>
            <w:gridSpan w:val="2"/>
          </w:tcPr>
          <w:p>
            <w:pPr>
              <w:jc w:val="right"/>
              <w:ind w:right="40"/>
              <w:spacing w:after="0" w:line="99" w:lineRule="exact"/>
              <w:rPr>
                <w:sz w:val="20"/>
                <w:szCs w:val="20"/>
                <w:color w:val="auto"/>
              </w:rPr>
            </w:pPr>
            <w:r>
              <w:rPr>
                <w:rFonts w:ascii="Arial" w:cs="Arial" w:eastAsia="Arial" w:hAnsi="Arial"/>
                <w:sz w:val="9"/>
                <w:szCs w:val="9"/>
                <w:b w:val="1"/>
                <w:bCs w:val="1"/>
                <w:color w:val="auto"/>
              </w:rPr>
              <w:t>4.91%</w:t>
            </w:r>
          </w:p>
        </w:tc>
        <w:tc>
          <w:tcPr>
            <w:tcW w:w="720" w:type="dxa"/>
            <w:vAlign w:val="bottom"/>
            <w:gridSpan w:val="3"/>
          </w:tcPr>
          <w:p>
            <w:pPr>
              <w:jc w:val="right"/>
              <w:ind w:right="240"/>
              <w:spacing w:after="0" w:line="99" w:lineRule="exact"/>
              <w:rPr>
                <w:sz w:val="20"/>
                <w:szCs w:val="20"/>
                <w:color w:val="auto"/>
              </w:rPr>
            </w:pPr>
            <w:r>
              <w:rPr>
                <w:rFonts w:ascii="Arial" w:cs="Arial" w:eastAsia="Arial" w:hAnsi="Arial"/>
                <w:sz w:val="9"/>
                <w:szCs w:val="9"/>
                <w:color w:val="auto"/>
              </w:rPr>
              <w:t>4.93%</w:t>
            </w:r>
          </w:p>
        </w:tc>
        <w:tc>
          <w:tcPr>
            <w:tcW w:w="30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4.93%</w:t>
            </w:r>
          </w:p>
        </w:tc>
        <w:tc>
          <w:tcPr>
            <w:tcW w:w="0" w:type="dxa"/>
            <w:vAlign w:val="bottom"/>
          </w:tcPr>
          <w:p>
            <w:pPr>
              <w:spacing w:after="0"/>
              <w:rPr>
                <w:sz w:val="1"/>
                <w:szCs w:val="1"/>
                <w:color w:val="auto"/>
              </w:rPr>
            </w:pPr>
          </w:p>
        </w:tc>
      </w:tr>
      <w:tr>
        <w:trPr>
          <w:trHeight w:val="99"/>
        </w:trPr>
        <w:tc>
          <w:tcPr>
            <w:tcW w:w="32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Return on plan assets</w:t>
            </w:r>
          </w:p>
        </w:tc>
        <w:tc>
          <w:tcPr>
            <w:tcW w:w="5840" w:type="dxa"/>
            <w:vAlign w:val="bottom"/>
            <w:gridSpan w:val="3"/>
            <w:shd w:val="clear" w:color="auto" w:fill="CCEEFF"/>
          </w:tcPr>
          <w:p>
            <w:pPr>
              <w:jc w:val="right"/>
              <w:ind w:right="260"/>
              <w:spacing w:after="0" w:line="99" w:lineRule="exact"/>
              <w:rPr>
                <w:sz w:val="20"/>
                <w:szCs w:val="20"/>
                <w:color w:val="auto"/>
              </w:rPr>
            </w:pPr>
            <w:r>
              <w:rPr>
                <w:rFonts w:ascii="Arial" w:cs="Arial" w:eastAsia="Arial" w:hAnsi="Arial"/>
                <w:sz w:val="9"/>
                <w:szCs w:val="9"/>
                <w:b w:val="1"/>
                <w:bCs w:val="1"/>
                <w:color w:val="auto"/>
              </w:rPr>
              <w:t>7.50%</w:t>
            </w:r>
          </w:p>
        </w:tc>
        <w:tc>
          <w:tcPr>
            <w:tcW w:w="50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w w:val="93"/>
              </w:rPr>
              <w:t>8.50%</w:t>
            </w:r>
          </w:p>
        </w:tc>
        <w:tc>
          <w:tcPr>
            <w:tcW w:w="52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8.50%</w:t>
            </w:r>
          </w:p>
        </w:tc>
        <w:tc>
          <w:tcPr>
            <w:tcW w:w="32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b w:val="1"/>
                <w:bCs w:val="1"/>
                <w:color w:val="auto"/>
              </w:rPr>
              <w:t>7.50%</w:t>
            </w:r>
          </w:p>
        </w:tc>
        <w:tc>
          <w:tcPr>
            <w:tcW w:w="720" w:type="dxa"/>
            <w:vAlign w:val="bottom"/>
            <w:gridSpan w:val="3"/>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8.00%</w:t>
            </w:r>
          </w:p>
        </w:tc>
        <w:tc>
          <w:tcPr>
            <w:tcW w:w="30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8.00%</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17"/>
                <w:szCs w:val="17"/>
                <w:color w:val="auto"/>
              </w:rPr>
            </w:pPr>
          </w:p>
        </w:tc>
        <w:tc>
          <w:tcPr>
            <w:tcW w:w="5300" w:type="dxa"/>
            <w:vAlign w:val="bottom"/>
          </w:tcPr>
          <w:p>
            <w:pPr>
              <w:jc w:val="right"/>
              <w:ind w:right="2755"/>
              <w:spacing w:after="0"/>
              <w:rPr>
                <w:sz w:val="20"/>
                <w:szCs w:val="20"/>
                <w:color w:val="auto"/>
              </w:rPr>
            </w:pPr>
            <w:r>
              <w:rPr>
                <w:rFonts w:ascii="Arial" w:cs="Arial" w:eastAsia="Arial" w:hAnsi="Arial"/>
                <w:sz w:val="9"/>
                <w:szCs w:val="9"/>
                <w:color w:val="auto"/>
              </w:rPr>
              <w:t>63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354" w:right="199"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Net pension cost for 2011, 2010 and 2009 included the following components: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6"/>
          </w:tcPr>
          <w:p>
            <w:pPr>
              <w:ind w:left="100"/>
              <w:spacing w:after="0"/>
              <w:rPr>
                <w:sz w:val="20"/>
                <w:szCs w:val="20"/>
                <w:color w:val="auto"/>
              </w:rPr>
            </w:pPr>
            <w:r>
              <w:rPr>
                <w:rFonts w:ascii="Arial" w:cs="Arial" w:eastAsia="Arial" w:hAnsi="Arial"/>
                <w:sz w:val="9"/>
                <w:szCs w:val="9"/>
                <w:b w:val="1"/>
                <w:bCs w:val="1"/>
                <w:color w:val="auto"/>
                <w:w w:val="99"/>
              </w:rPr>
              <w:t>(Stated in millions)</w:t>
            </w:r>
          </w:p>
        </w:tc>
        <w:tc>
          <w:tcPr>
            <w:tcW w:w="0" w:type="dxa"/>
            <w:vAlign w:val="bottom"/>
          </w:tcPr>
          <w:p>
            <w:pPr>
              <w:spacing w:after="0"/>
              <w:rPr>
                <w:sz w:val="1"/>
                <w:szCs w:val="1"/>
                <w:color w:val="auto"/>
              </w:rPr>
            </w:pPr>
          </w:p>
        </w:tc>
      </w:tr>
      <w:tr>
        <w:trPr>
          <w:trHeight w:val="199"/>
        </w:trPr>
        <w:tc>
          <w:tcPr>
            <w:tcW w:w="8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9"/>
                <w:szCs w:val="9"/>
                <w:b w:val="1"/>
                <w:bCs w:val="1"/>
                <w:color w:val="auto"/>
                <w:w w:val="95"/>
              </w:rPr>
              <w:t>US</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9"/>
                <w:szCs w:val="9"/>
                <w:b w:val="1"/>
                <w:bCs w:val="1"/>
                <w:color w:val="auto"/>
              </w:rPr>
              <w:t>International</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9"/>
              </w:rPr>
              <w:t>2011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9"/>
              </w:rPr>
              <w:t>2010</w:t>
            </w:r>
          </w:p>
        </w:tc>
        <w:tc>
          <w:tcPr>
            <w:tcW w:w="2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9"/>
              </w:rPr>
              <w:t>2009</w:t>
            </w: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9"/>
              </w:rPr>
              <w:t>2011</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9"/>
              </w:rPr>
              <w:t>2010</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b w:val="1"/>
                <w:bCs w:val="1"/>
                <w:color w:val="auto"/>
                <w:w w:val="89"/>
              </w:rPr>
              <w:t>2009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2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Service cost—benefits earned during the period</w:t>
            </w:r>
          </w:p>
        </w:tc>
        <w:tc>
          <w:tcPr>
            <w:tcW w:w="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220" w:type="dxa"/>
            <w:vAlign w:val="bottom"/>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59</w:t>
            </w: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w w:val="78"/>
              </w:rPr>
              <w:t>$</w:t>
            </w:r>
          </w:p>
        </w:tc>
        <w:tc>
          <w:tcPr>
            <w:tcW w:w="22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56</w:t>
            </w: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w w:val="78"/>
              </w:rPr>
              <w:t>$</w:t>
            </w:r>
          </w:p>
        </w:tc>
        <w:tc>
          <w:tcPr>
            <w:tcW w:w="22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52</w:t>
            </w: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220" w:type="dxa"/>
            <w:vAlign w:val="bottom"/>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64</w:t>
            </w: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51</w:t>
            </w: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67</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8260" w:type="dxa"/>
            <w:vAlign w:val="bottom"/>
          </w:tcPr>
          <w:p>
            <w:pPr>
              <w:spacing w:after="0" w:line="99" w:lineRule="exact"/>
              <w:rPr>
                <w:sz w:val="20"/>
                <w:szCs w:val="20"/>
                <w:color w:val="auto"/>
              </w:rPr>
            </w:pPr>
            <w:r>
              <w:rPr>
                <w:rFonts w:ascii="Arial" w:cs="Arial" w:eastAsia="Arial" w:hAnsi="Arial"/>
                <w:sz w:val="9"/>
                <w:szCs w:val="9"/>
                <w:color w:val="auto"/>
              </w:rPr>
              <w:t>Interest cost on projected benefit obligation</w:t>
            </w:r>
          </w:p>
        </w:tc>
        <w:tc>
          <w:tcPr>
            <w:tcW w:w="4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150</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142</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143</w:t>
            </w:r>
          </w:p>
        </w:tc>
        <w:tc>
          <w:tcPr>
            <w:tcW w:w="6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226</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208</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189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2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Expected return on plan assets</w:t>
            </w:r>
          </w:p>
        </w:tc>
        <w:tc>
          <w:tcPr>
            <w:tcW w:w="40" w:type="dxa"/>
            <w:vAlign w:val="bottom"/>
            <w:tcBorders>
              <w:left w:val="single" w:sz="8" w:color="CCEEFF"/>
            </w:tcBorders>
            <w:shd w:val="clear" w:color="auto" w:fill="CCEEFF"/>
          </w:tcPr>
          <w:p>
            <w:pPr>
              <w:spacing w:after="0"/>
              <w:rPr>
                <w:sz w:val="8"/>
                <w:szCs w:val="8"/>
                <w:color w:val="auto"/>
              </w:rPr>
            </w:pPr>
          </w:p>
        </w:tc>
        <w:tc>
          <w:tcPr>
            <w:tcW w:w="38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b w:val="1"/>
                <w:bCs w:val="1"/>
                <w:color w:val="auto"/>
              </w:rPr>
              <w:t>(170)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(191)</w:t>
            </w: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color w:val="auto"/>
              </w:rPr>
              <w:t>(166)</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b w:val="1"/>
                <w:bCs w:val="1"/>
                <w:color w:val="auto"/>
              </w:rPr>
              <w:t>(279)</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(228)</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(181)</w:t>
            </w:r>
          </w:p>
        </w:tc>
        <w:tc>
          <w:tcPr>
            <w:tcW w:w="0" w:type="dxa"/>
            <w:vAlign w:val="bottom"/>
          </w:tcPr>
          <w:p>
            <w:pPr>
              <w:spacing w:after="0"/>
              <w:rPr>
                <w:sz w:val="1"/>
                <w:szCs w:val="1"/>
                <w:color w:val="auto"/>
              </w:rPr>
            </w:pPr>
          </w:p>
        </w:tc>
      </w:tr>
      <w:tr>
        <w:trPr>
          <w:trHeight w:val="99"/>
        </w:trPr>
        <w:tc>
          <w:tcPr>
            <w:tcW w:w="8260" w:type="dxa"/>
            <w:vAlign w:val="bottom"/>
          </w:tcPr>
          <w:p>
            <w:pPr>
              <w:spacing w:after="0" w:line="99" w:lineRule="exact"/>
              <w:rPr>
                <w:sz w:val="20"/>
                <w:szCs w:val="20"/>
                <w:color w:val="auto"/>
              </w:rPr>
            </w:pPr>
            <w:r>
              <w:rPr>
                <w:rFonts w:ascii="Arial" w:cs="Arial" w:eastAsia="Arial" w:hAnsi="Arial"/>
                <w:sz w:val="9"/>
                <w:szCs w:val="9"/>
                <w:color w:val="auto"/>
              </w:rPr>
              <w:t>Amortization of net loss</w:t>
            </w:r>
          </w:p>
        </w:tc>
        <w:tc>
          <w:tcPr>
            <w:tcW w:w="4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90</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60</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29</w:t>
            </w:r>
          </w:p>
        </w:tc>
        <w:tc>
          <w:tcPr>
            <w:tcW w:w="6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31</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19</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gridSpan w:val="2"/>
          </w:tcPr>
          <w:p>
            <w:pPr>
              <w:jc w:val="right"/>
              <w:ind w:right="14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82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Amortization of prior service cost</w:t>
            </w:r>
          </w:p>
        </w:tc>
        <w:tc>
          <w:tcPr>
            <w:tcW w:w="40" w:type="dxa"/>
            <w:vAlign w:val="bottom"/>
            <w:tcBorders>
              <w:left w:val="single" w:sz="8" w:color="CCEEFF"/>
            </w:tcBorders>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12</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w:t>
            </w: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5</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b w:val="1"/>
                <w:bCs w:val="1"/>
                <w:color w:val="auto"/>
              </w:rPr>
              <w:t>120</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113</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117</w:t>
            </w:r>
          </w:p>
        </w:tc>
        <w:tc>
          <w:tcPr>
            <w:tcW w:w="0" w:type="dxa"/>
            <w:vAlign w:val="bottom"/>
          </w:tcPr>
          <w:p>
            <w:pPr>
              <w:spacing w:after="0"/>
              <w:rPr>
                <w:sz w:val="1"/>
                <w:szCs w:val="1"/>
                <w:color w:val="auto"/>
              </w:rPr>
            </w:pPr>
          </w:p>
        </w:tc>
      </w:tr>
      <w:tr>
        <w:trPr>
          <w:trHeight w:val="20"/>
        </w:trPr>
        <w:tc>
          <w:tcPr>
            <w:tcW w:w="82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141</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jc w:val="right"/>
              <w:spacing w:after="0" w:line="98" w:lineRule="exact"/>
              <w:rPr>
                <w:sz w:val="20"/>
                <w:szCs w:val="20"/>
                <w:color w:val="auto"/>
              </w:rPr>
            </w:pPr>
            <w:r>
              <w:rPr>
                <w:rFonts w:ascii="Arial" w:cs="Arial" w:eastAsia="Arial" w:hAnsi="Arial"/>
                <w:sz w:val="9"/>
                <w:szCs w:val="9"/>
                <w:color w:val="auto"/>
              </w:rPr>
              <w:t>71</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63</w:t>
            </w:r>
          </w:p>
        </w:tc>
        <w:tc>
          <w:tcPr>
            <w:tcW w:w="60" w:type="dxa"/>
            <w:vAlign w:val="bottom"/>
          </w:tcPr>
          <w:p>
            <w:pPr>
              <w:spacing w:after="0"/>
              <w:rPr>
                <w:sz w:val="8"/>
                <w:szCs w:val="8"/>
                <w:color w:val="auto"/>
              </w:rPr>
            </w:pPr>
          </w:p>
        </w:tc>
        <w:tc>
          <w:tcPr>
            <w:tcW w:w="22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162</w:t>
            </w:r>
          </w:p>
        </w:tc>
        <w:tc>
          <w:tcPr>
            <w:tcW w:w="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163</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jc w:val="right"/>
              <w:spacing w:after="0" w:line="98" w:lineRule="exact"/>
              <w:rPr>
                <w:sz w:val="20"/>
                <w:szCs w:val="20"/>
                <w:color w:val="auto"/>
              </w:rPr>
            </w:pPr>
            <w:r>
              <w:rPr>
                <w:rFonts w:ascii="Arial" w:cs="Arial" w:eastAsia="Arial" w:hAnsi="Arial"/>
                <w:sz w:val="9"/>
                <w:szCs w:val="9"/>
                <w:color w:val="auto"/>
              </w:rPr>
              <w:t>192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2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Curtailment charge</w:t>
            </w:r>
          </w:p>
        </w:tc>
        <w:tc>
          <w:tcPr>
            <w:tcW w:w="40" w:type="dxa"/>
            <w:vAlign w:val="bottom"/>
            <w:tcBorders>
              <w:left w:val="single" w:sz="8" w:color="CCEEFF"/>
            </w:tcBorders>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300"/>
              <w:spacing w:after="0" w:line="99" w:lineRule="exact"/>
              <w:rPr>
                <w:sz w:val="20"/>
                <w:szCs w:val="20"/>
                <w:color w:val="auto"/>
              </w:rPr>
            </w:pPr>
            <w:r>
              <w:rPr>
                <w:rFonts w:ascii="Arial" w:cs="Arial" w:eastAsia="Arial" w:hAnsi="Arial"/>
                <w:sz w:val="9"/>
                <w:szCs w:val="9"/>
                <w:color w:val="auto"/>
              </w:rPr>
              <w:t>32</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b w:val="1"/>
                <w:bCs w:val="1"/>
                <w:color w:val="auto"/>
              </w:rPr>
              <w:t>—</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10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98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2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260" w:type="dxa"/>
            <w:vAlign w:val="bottom"/>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22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141</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220" w:type="dxa"/>
            <w:vAlign w:val="bottom"/>
          </w:tcPr>
          <w:p>
            <w:pPr>
              <w:jc w:val="right"/>
              <w:spacing w:after="0" w:line="98" w:lineRule="exact"/>
              <w:rPr>
                <w:sz w:val="20"/>
                <w:szCs w:val="20"/>
                <w:color w:val="auto"/>
              </w:rPr>
            </w:pPr>
            <w:r>
              <w:rPr>
                <w:rFonts w:ascii="Arial" w:cs="Arial" w:eastAsia="Arial" w:hAnsi="Arial"/>
                <w:sz w:val="9"/>
                <w:szCs w:val="9"/>
                <w:color w:val="auto"/>
              </w:rPr>
              <w:t>71</w:t>
            </w:r>
          </w:p>
        </w:tc>
        <w:tc>
          <w:tcPr>
            <w:tcW w:w="2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95</w:t>
            </w: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22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162</w:t>
            </w:r>
          </w:p>
        </w:tc>
        <w:tc>
          <w:tcPr>
            <w:tcW w:w="120" w:type="dxa"/>
            <w:vAlign w:val="bottom"/>
            <w:vMerge w:val="continue"/>
          </w:tcPr>
          <w:p>
            <w:pPr>
              <w:spacing w:after="0"/>
              <w:rPr>
                <w:sz w:val="8"/>
                <w:szCs w:val="8"/>
                <w:color w:val="auto"/>
              </w:rPr>
            </w:pPr>
          </w:p>
        </w:tc>
        <w:tc>
          <w:tcPr>
            <w:tcW w:w="22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163</w:t>
            </w:r>
          </w:p>
        </w:tc>
        <w:tc>
          <w:tcPr>
            <w:tcW w:w="220" w:type="dxa"/>
            <w:vAlign w:val="bottom"/>
          </w:tcPr>
          <w:p>
            <w:pPr>
              <w:spacing w:after="0"/>
              <w:rPr>
                <w:sz w:val="8"/>
                <w:szCs w:val="8"/>
                <w:color w:val="auto"/>
              </w:rPr>
            </w:pPr>
          </w:p>
        </w:tc>
        <w:tc>
          <w:tcPr>
            <w:tcW w:w="12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jc w:val="right"/>
              <w:spacing w:after="0" w:line="98" w:lineRule="exact"/>
              <w:rPr>
                <w:sz w:val="20"/>
                <w:szCs w:val="20"/>
                <w:color w:val="auto"/>
              </w:rPr>
            </w:pPr>
            <w:r>
              <w:rPr>
                <w:rFonts w:ascii="Arial" w:cs="Arial" w:eastAsia="Arial" w:hAnsi="Arial"/>
                <w:sz w:val="9"/>
                <w:szCs w:val="9"/>
                <w:color w:val="auto"/>
              </w:rPr>
              <w:t>290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right="60" w:firstLine="230"/>
        <w:spacing w:after="0" w:line="275" w:lineRule="auto"/>
        <w:rPr>
          <w:sz w:val="20"/>
          <w:szCs w:val="20"/>
          <w:color w:val="auto"/>
        </w:rPr>
      </w:pPr>
      <w:r>
        <w:rPr>
          <w:rFonts w:ascii="Arial" w:cs="Arial" w:eastAsia="Arial" w:hAnsi="Arial"/>
          <w:sz w:val="11"/>
          <w:szCs w:val="11"/>
          <w:color w:val="auto"/>
        </w:rPr>
        <w:t xml:space="preserve">During 2009, due to the actions taken by Schlumberger to reduce its global workforce (See Note 3 – </w:t>
      </w:r>
      <w:r>
        <w:rPr>
          <w:rFonts w:ascii="Arial" w:cs="Arial" w:eastAsia="Arial" w:hAnsi="Arial"/>
          <w:sz w:val="11"/>
          <w:szCs w:val="11"/>
          <w:i w:val="1"/>
          <w:iCs w:val="1"/>
          <w:color w:val="auto"/>
        </w:rPr>
        <w:t>Charges and Credits</w:t>
      </w:r>
      <w:r>
        <w:rPr>
          <w:rFonts w:ascii="Arial" w:cs="Arial" w:eastAsia="Arial" w:hAnsi="Arial"/>
          <w:sz w:val="11"/>
          <w:szCs w:val="11"/>
          <w:color w:val="auto"/>
        </w:rPr>
        <w:t>), Schlumberger experienced a significant reduction in the expected aggregate years of future service of its employees in certain of its pension plans and its postretirement medical plan. Accordingly, Schlumberger recorded a curtailment charge of $136 million during the second quarter of 2009 ($130 million relating to the pension plans and $6 million relating to the postretirement medical plan). The curtailment charge includes recognition of the change in benefit obligations as well as a portion of the previously unrecognized prior service costs, reflecting the reduction in expected future service for the impacted plans. As a result of the curtailment, Schlumberger performed a remeasurement of the impacted plans using a discount rate of 7.25%.</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weighted-average assumed discount rate and compensation increases used to determine the projected benefit obligations for the US and International plans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328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9"/>
                <w:szCs w:val="9"/>
                <w:b w:val="1"/>
                <w:bCs w:val="1"/>
                <w:color w:val="auto"/>
                <w:w w:val="79"/>
              </w:rPr>
              <w:t>US</w:t>
            </w:r>
          </w:p>
        </w:tc>
        <w:tc>
          <w:tcPr>
            <w:tcW w:w="320" w:type="dxa"/>
            <w:vAlign w:val="bottom"/>
          </w:tcPr>
          <w:p>
            <w:pPr>
              <w:spacing w:after="0"/>
              <w:rPr>
                <w:sz w:val="9"/>
                <w:szCs w:val="9"/>
                <w:color w:val="auto"/>
              </w:rPr>
            </w:pPr>
          </w:p>
        </w:tc>
        <w:tc>
          <w:tcPr>
            <w:tcW w:w="7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9"/>
                <w:szCs w:val="9"/>
                <w:b w:val="1"/>
                <w:bCs w:val="1"/>
                <w:color w:val="auto"/>
              </w:rPr>
              <w:t>International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6520" w:type="dxa"/>
            <w:vAlign w:val="bottom"/>
            <w:gridSpan w:val="2"/>
          </w:tcPr>
          <w:p>
            <w:pPr>
              <w:jc w:val="right"/>
              <w:spacing w:after="0"/>
              <w:rPr>
                <w:sz w:val="20"/>
                <w:szCs w:val="20"/>
                <w:color w:val="auto"/>
              </w:rPr>
            </w:pPr>
            <w:r>
              <w:rPr>
                <w:rFonts w:ascii="Arial" w:cs="Arial" w:eastAsia="Arial" w:hAnsi="Arial"/>
                <w:sz w:val="9"/>
                <w:szCs w:val="9"/>
                <w:b w:val="1"/>
                <w:bCs w:val="1"/>
                <w:color w:val="auto"/>
              </w:rPr>
              <w:t>2011</w:t>
            </w:r>
          </w:p>
        </w:tc>
        <w:tc>
          <w:tcPr>
            <w:tcW w:w="10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9"/>
                <w:szCs w:val="9"/>
                <w:b w:val="1"/>
                <w:bCs w:val="1"/>
                <w:color w:val="auto"/>
              </w:rPr>
              <w:t>2010</w:t>
            </w:r>
          </w:p>
        </w:tc>
        <w:tc>
          <w:tcPr>
            <w:tcW w:w="3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9"/>
                <w:szCs w:val="9"/>
                <w:b w:val="1"/>
                <w:bCs w:val="1"/>
                <w:color w:val="auto"/>
                <w:w w:val="79"/>
              </w:rPr>
              <w:t>2011</w:t>
            </w: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9"/>
                <w:szCs w:val="9"/>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9"/>
                <w:szCs w:val="9"/>
                <w:color w:val="auto"/>
              </w:rPr>
              <w:t>Discount rate</w:t>
            </w:r>
          </w:p>
        </w:tc>
        <w:tc>
          <w:tcPr>
            <w:tcW w:w="63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80" w:type="dxa"/>
            <w:vAlign w:val="bottom"/>
            <w:vMerge w:val="continue"/>
            <w:shd w:val="clear" w:color="auto" w:fill="CCEEFF"/>
          </w:tcPr>
          <w:p>
            <w:pPr>
              <w:spacing w:after="0"/>
              <w:rPr>
                <w:sz w:val="7"/>
                <w:szCs w:val="7"/>
                <w:color w:val="auto"/>
              </w:rPr>
            </w:pPr>
          </w:p>
        </w:tc>
        <w:tc>
          <w:tcPr>
            <w:tcW w:w="6340" w:type="dxa"/>
            <w:vAlign w:val="bottom"/>
            <w:vMerge w:val="continue"/>
            <w:shd w:val="clear" w:color="auto" w:fill="CCEEFF"/>
          </w:tcPr>
          <w:p>
            <w:pPr>
              <w:spacing w:after="0"/>
              <w:rPr>
                <w:sz w:val="7"/>
                <w:szCs w:val="7"/>
                <w:color w:val="auto"/>
              </w:rPr>
            </w:pPr>
          </w:p>
        </w:tc>
        <w:tc>
          <w:tcPr>
            <w:tcW w:w="28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5.00%</w:t>
            </w:r>
          </w:p>
        </w:tc>
        <w:tc>
          <w:tcPr>
            <w:tcW w:w="240" w:type="dxa"/>
            <w:vAlign w:val="bottom"/>
            <w:vMerge w:val="continue"/>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8" w:lineRule="exact"/>
              <w:rPr>
                <w:sz w:val="20"/>
                <w:szCs w:val="20"/>
                <w:color w:val="auto"/>
              </w:rPr>
            </w:pPr>
            <w:r>
              <w:rPr>
                <w:rFonts w:ascii="Arial" w:cs="Arial" w:eastAsia="Arial" w:hAnsi="Arial"/>
                <w:sz w:val="9"/>
                <w:szCs w:val="9"/>
                <w:color w:val="auto"/>
                <w:w w:val="93"/>
              </w:rPr>
              <w:t>5.50%</w:t>
            </w:r>
          </w:p>
        </w:tc>
        <w:tc>
          <w:tcPr>
            <w:tcW w:w="520" w:type="dxa"/>
            <w:vAlign w:val="bottom"/>
            <w:gridSpan w:val="2"/>
            <w:shd w:val="clear" w:color="auto" w:fill="CCEEFF"/>
          </w:tcPr>
          <w:p>
            <w:pPr>
              <w:jc w:val="right"/>
              <w:ind w:right="240"/>
              <w:spacing w:after="0" w:line="88" w:lineRule="exact"/>
              <w:rPr>
                <w:sz w:val="20"/>
                <w:szCs w:val="20"/>
                <w:color w:val="auto"/>
              </w:rPr>
            </w:pPr>
            <w:r>
              <w:rPr>
                <w:rFonts w:ascii="Arial" w:cs="Arial" w:eastAsia="Arial" w:hAnsi="Arial"/>
                <w:sz w:val="9"/>
                <w:szCs w:val="9"/>
                <w:b w:val="1"/>
                <w:bCs w:val="1"/>
                <w:color w:val="auto"/>
              </w:rPr>
              <w:t>4.95%</w:t>
            </w:r>
          </w:p>
        </w:tc>
        <w:tc>
          <w:tcPr>
            <w:tcW w:w="300" w:type="dxa"/>
            <w:vAlign w:val="bottom"/>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5.47%</w:t>
            </w:r>
          </w:p>
        </w:tc>
        <w:tc>
          <w:tcPr>
            <w:tcW w:w="0" w:type="dxa"/>
            <w:vAlign w:val="bottom"/>
          </w:tcPr>
          <w:p>
            <w:pPr>
              <w:spacing w:after="0"/>
              <w:rPr>
                <w:sz w:val="1"/>
                <w:szCs w:val="1"/>
                <w:color w:val="auto"/>
              </w:rPr>
            </w:pPr>
          </w:p>
        </w:tc>
      </w:tr>
      <w:tr>
        <w:trPr>
          <w:trHeight w:val="116"/>
        </w:trPr>
        <w:tc>
          <w:tcPr>
            <w:tcW w:w="3280" w:type="dxa"/>
            <w:vAlign w:val="bottom"/>
          </w:tcPr>
          <w:p>
            <w:pPr>
              <w:spacing w:after="0"/>
              <w:rPr>
                <w:sz w:val="20"/>
                <w:szCs w:val="20"/>
                <w:color w:val="auto"/>
              </w:rPr>
            </w:pPr>
            <w:r>
              <w:rPr>
                <w:rFonts w:ascii="Arial" w:cs="Arial" w:eastAsia="Arial" w:hAnsi="Arial"/>
                <w:sz w:val="9"/>
                <w:szCs w:val="9"/>
                <w:color w:val="auto"/>
              </w:rPr>
              <w:t>Compensation increases</w:t>
            </w:r>
          </w:p>
        </w:tc>
        <w:tc>
          <w:tcPr>
            <w:tcW w:w="6620" w:type="dxa"/>
            <w:vAlign w:val="bottom"/>
            <w:gridSpan w:val="3"/>
          </w:tcPr>
          <w:p>
            <w:pPr>
              <w:jc w:val="right"/>
              <w:spacing w:after="0"/>
              <w:rPr>
                <w:sz w:val="20"/>
                <w:szCs w:val="20"/>
                <w:color w:val="auto"/>
              </w:rPr>
            </w:pPr>
            <w:r>
              <w:rPr>
                <w:rFonts w:ascii="Arial" w:cs="Arial" w:eastAsia="Arial" w:hAnsi="Arial"/>
                <w:sz w:val="9"/>
                <w:szCs w:val="9"/>
                <w:b w:val="1"/>
                <w:bCs w:val="1"/>
                <w:color w:val="auto"/>
              </w:rPr>
              <w:t>4.00%</w:t>
            </w:r>
          </w:p>
        </w:tc>
        <w:tc>
          <w:tcPr>
            <w:tcW w:w="760" w:type="dxa"/>
            <w:vAlign w:val="bottom"/>
            <w:gridSpan w:val="3"/>
          </w:tcPr>
          <w:p>
            <w:pPr>
              <w:jc w:val="right"/>
              <w:ind w:right="260"/>
              <w:spacing w:after="0"/>
              <w:rPr>
                <w:sz w:val="20"/>
                <w:szCs w:val="20"/>
                <w:color w:val="auto"/>
              </w:rPr>
            </w:pPr>
            <w:r>
              <w:rPr>
                <w:rFonts w:ascii="Arial" w:cs="Arial" w:eastAsia="Arial" w:hAnsi="Arial"/>
                <w:sz w:val="9"/>
                <w:szCs w:val="9"/>
                <w:color w:val="auto"/>
              </w:rPr>
              <w:t>4.00%</w:t>
            </w:r>
          </w:p>
        </w:tc>
        <w:tc>
          <w:tcPr>
            <w:tcW w:w="52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4.91%</w:t>
            </w:r>
          </w:p>
        </w:tc>
        <w:tc>
          <w:tcPr>
            <w:tcW w:w="300" w:type="dxa"/>
            <w:vAlign w:val="bottom"/>
            <w:gridSpan w:val="2"/>
          </w:tcPr>
          <w:p>
            <w:pPr>
              <w:jc w:val="right"/>
              <w:ind w:right="20"/>
              <w:spacing w:after="0"/>
              <w:rPr>
                <w:sz w:val="20"/>
                <w:szCs w:val="20"/>
                <w:color w:val="auto"/>
              </w:rPr>
            </w:pPr>
            <w:r>
              <w:rPr>
                <w:rFonts w:ascii="Arial" w:cs="Arial" w:eastAsia="Arial" w:hAnsi="Arial"/>
                <w:sz w:val="9"/>
                <w:szCs w:val="9"/>
                <w:color w:val="auto"/>
              </w:rPr>
              <w:t>4.91%</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6340" w:type="dxa"/>
            <w:vAlign w:val="bottom"/>
          </w:tcPr>
          <w:p>
            <w:pPr>
              <w:jc w:val="right"/>
              <w:ind w:right="3795"/>
              <w:spacing w:after="0"/>
              <w:rPr>
                <w:sz w:val="20"/>
                <w:szCs w:val="20"/>
                <w:color w:val="auto"/>
              </w:rPr>
            </w:pPr>
            <w:r>
              <w:rPr>
                <w:rFonts w:ascii="Arial" w:cs="Arial" w:eastAsia="Arial" w:hAnsi="Arial"/>
                <w:sz w:val="9"/>
                <w:szCs w:val="9"/>
                <w:color w:val="auto"/>
              </w:rPr>
              <w:t>64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changes in the projected benefit obligation, plan assets and funded status of the plans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9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5"/>
          </w:tcPr>
          <w:p>
            <w:pPr>
              <w:jc w:val="right"/>
              <w:ind w:right="220"/>
              <w:spacing w:after="0"/>
              <w:rPr>
                <w:sz w:val="20"/>
                <w:szCs w:val="20"/>
                <w:color w:val="auto"/>
              </w:rPr>
            </w:pPr>
            <w:r>
              <w:rPr>
                <w:rFonts w:ascii="Arial" w:cs="Arial" w:eastAsia="Arial" w:hAnsi="Arial"/>
                <w:sz w:val="9"/>
                <w:szCs w:val="9"/>
                <w:b w:val="1"/>
                <w:bCs w:val="1"/>
                <w:color w:val="auto"/>
              </w:rPr>
              <w:t>(Stated in millions)</w:t>
            </w:r>
          </w:p>
        </w:tc>
        <w:tc>
          <w:tcPr>
            <w:tcW w:w="0" w:type="dxa"/>
            <w:vAlign w:val="bottom"/>
          </w:tcPr>
          <w:p>
            <w:pPr>
              <w:spacing w:after="0"/>
              <w:rPr>
                <w:sz w:val="1"/>
                <w:szCs w:val="1"/>
                <w:color w:val="auto"/>
              </w:rPr>
            </w:pPr>
          </w:p>
        </w:tc>
      </w:tr>
      <w:tr>
        <w:trPr>
          <w:trHeight w:val="199"/>
        </w:trPr>
        <w:tc>
          <w:tcPr>
            <w:tcW w:w="90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US</w:t>
            </w:r>
          </w:p>
        </w:tc>
        <w:tc>
          <w:tcPr>
            <w:tcW w:w="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International</w:t>
            </w:r>
          </w:p>
        </w:tc>
        <w:tc>
          <w:tcPr>
            <w:tcW w:w="2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9080" w:type="dxa"/>
            <w:vAlign w:val="bottom"/>
          </w:tcPr>
          <w:p>
            <w:pPr>
              <w:spacing w:after="0"/>
              <w:rPr>
                <w:sz w:val="7"/>
                <w:szCs w:val="7"/>
                <w:color w:val="auto"/>
              </w:rPr>
            </w:pPr>
          </w:p>
        </w:tc>
        <w:tc>
          <w:tcPr>
            <w:tcW w:w="240" w:type="dxa"/>
            <w:vAlign w:val="bottom"/>
            <w:gridSpan w:val="2"/>
          </w:tcPr>
          <w:p>
            <w:pPr>
              <w:jc w:val="right"/>
              <w:spacing w:after="0" w:line="88" w:lineRule="exact"/>
              <w:rPr>
                <w:sz w:val="20"/>
                <w:szCs w:val="20"/>
                <w:color w:val="auto"/>
              </w:rPr>
            </w:pPr>
            <w:r>
              <w:rPr>
                <w:rFonts w:ascii="Arial" w:cs="Arial" w:eastAsia="Arial" w:hAnsi="Arial"/>
                <w:sz w:val="9"/>
                <w:szCs w:val="9"/>
                <w:b w:val="1"/>
                <w:bCs w:val="1"/>
                <w:color w:val="auto"/>
                <w:w w:val="89"/>
              </w:rPr>
              <w:t>2011</w:t>
            </w:r>
          </w:p>
        </w:tc>
        <w:tc>
          <w:tcPr>
            <w:tcW w:w="80" w:type="dxa"/>
            <w:vAlign w:val="bottom"/>
          </w:tcPr>
          <w:p>
            <w:pPr>
              <w:spacing w:after="0"/>
              <w:rPr>
                <w:sz w:val="7"/>
                <w:szCs w:val="7"/>
                <w:color w:val="auto"/>
              </w:rPr>
            </w:pPr>
          </w:p>
        </w:tc>
        <w:tc>
          <w:tcPr>
            <w:tcW w:w="560" w:type="dxa"/>
            <w:vAlign w:val="bottom"/>
            <w:gridSpan w:val="2"/>
          </w:tcPr>
          <w:p>
            <w:pPr>
              <w:jc w:val="right"/>
              <w:spacing w:after="0" w:line="88" w:lineRule="exact"/>
              <w:rPr>
                <w:sz w:val="20"/>
                <w:szCs w:val="20"/>
                <w:color w:val="auto"/>
              </w:rPr>
            </w:pPr>
            <w:r>
              <w:rPr>
                <w:rFonts w:ascii="Arial" w:cs="Arial" w:eastAsia="Arial" w:hAnsi="Arial"/>
                <w:sz w:val="9"/>
                <w:szCs w:val="9"/>
                <w:b w:val="1"/>
                <w:bCs w:val="1"/>
                <w:color w:val="auto"/>
              </w:rPr>
              <w:t>2010</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jc w:val="right"/>
              <w:ind w:right="35"/>
              <w:spacing w:after="0" w:line="88" w:lineRule="exact"/>
              <w:rPr>
                <w:sz w:val="20"/>
                <w:szCs w:val="20"/>
                <w:color w:val="auto"/>
              </w:rPr>
            </w:pPr>
            <w:r>
              <w:rPr>
                <w:rFonts w:ascii="Arial" w:cs="Arial" w:eastAsia="Arial" w:hAnsi="Arial"/>
                <w:sz w:val="9"/>
                <w:szCs w:val="9"/>
                <w:b w:val="1"/>
                <w:bCs w:val="1"/>
                <w:color w:val="auto"/>
                <w:w w:val="79"/>
              </w:rPr>
              <w:t>2011</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jc w:val="right"/>
              <w:ind w:right="35"/>
              <w:spacing w:after="0" w:line="88" w:lineRule="exact"/>
              <w:rPr>
                <w:sz w:val="20"/>
                <w:szCs w:val="20"/>
                <w:color w:val="auto"/>
              </w:rPr>
            </w:pPr>
            <w:r>
              <w:rPr>
                <w:rFonts w:ascii="Arial" w:cs="Arial" w:eastAsia="Arial" w:hAnsi="Arial"/>
                <w:sz w:val="9"/>
                <w:szCs w:val="9"/>
                <w:b w:val="1"/>
                <w:bCs w:val="1"/>
                <w:color w:val="auto"/>
                <w:w w:val="89"/>
              </w:rPr>
              <w:t>2010</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9080" w:type="dxa"/>
            <w:vAlign w:val="bottom"/>
            <w:tcBorders>
              <w:top w:val="single" w:sz="8" w:color="CCEEFF"/>
              <w:right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i w:val="1"/>
                <w:iCs w:val="1"/>
                <w:color w:val="auto"/>
              </w:rPr>
              <w:t>Change in Projected Benefit Obligations</w:t>
            </w:r>
          </w:p>
        </w:tc>
        <w:tc>
          <w:tcPr>
            <w:tcW w:w="2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right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right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9080" w:type="dxa"/>
            <w:vAlign w:val="bottom"/>
          </w:tcPr>
          <w:p>
            <w:pPr>
              <w:spacing w:after="0" w:line="99" w:lineRule="exact"/>
              <w:rPr>
                <w:sz w:val="20"/>
                <w:szCs w:val="20"/>
                <w:color w:val="auto"/>
              </w:rPr>
            </w:pPr>
            <w:r>
              <w:rPr>
                <w:rFonts w:ascii="Arial" w:cs="Arial" w:eastAsia="Arial" w:hAnsi="Arial"/>
                <w:sz w:val="9"/>
                <w:szCs w:val="9"/>
                <w:color w:val="auto"/>
              </w:rPr>
              <w:t>Projected benefit obligation at beginning of year</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67288"/>
              </w:rPr>
              <w:t>$</w:t>
            </w: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88"/>
              </w:rPr>
              <w:t>2,769</w:t>
            </w:r>
          </w:p>
        </w:tc>
        <w:tc>
          <w:tcPr>
            <w:tcW w:w="80" w:type="dxa"/>
            <w:vAlign w:val="bottom"/>
          </w:tcPr>
          <w:p>
            <w:pPr>
              <w:spacing w:after="0"/>
              <w:rPr>
                <w:sz w:val="8"/>
                <w:szCs w:val="8"/>
                <w:color w:val="auto"/>
              </w:rPr>
            </w:pP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w w:val="79"/>
              </w:rPr>
              <w:t>2,439</w:t>
            </w:r>
          </w:p>
        </w:tc>
        <w:tc>
          <w:tcPr>
            <w:tcW w:w="24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4,088</w:t>
            </w: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3,518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08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color w:val="auto"/>
              </w:rPr>
              <w:t>Service cost</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59</w:t>
            </w:r>
          </w:p>
        </w:tc>
        <w:tc>
          <w:tcPr>
            <w:tcW w:w="80" w:type="dxa"/>
            <w:vAlign w:val="bottom"/>
            <w:shd w:val="clear" w:color="auto" w:fill="CCEEFF"/>
          </w:tcPr>
          <w:p>
            <w:pPr>
              <w:spacing w:after="0"/>
              <w:rPr>
                <w:sz w:val="8"/>
                <w:szCs w:val="8"/>
                <w:color w:val="auto"/>
              </w:rPr>
            </w:pPr>
          </w:p>
        </w:tc>
        <w:tc>
          <w:tcPr>
            <w:tcW w:w="3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56</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rPr>
              <w:t>64</w:t>
            </w:r>
          </w:p>
        </w:tc>
        <w:tc>
          <w:tcPr>
            <w:tcW w:w="24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51</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080" w:type="dxa"/>
            <w:vAlign w:val="bottom"/>
          </w:tcPr>
          <w:p>
            <w:pPr>
              <w:spacing w:after="0" w:line="99" w:lineRule="exact"/>
              <w:rPr>
                <w:sz w:val="20"/>
                <w:szCs w:val="20"/>
                <w:color w:val="auto"/>
              </w:rPr>
            </w:pPr>
            <w:r>
              <w:rPr>
                <w:rFonts w:ascii="Arial" w:cs="Arial" w:eastAsia="Arial" w:hAnsi="Arial"/>
                <w:sz w:val="9"/>
                <w:szCs w:val="9"/>
                <w:color w:val="auto"/>
              </w:rPr>
              <w:t>Interest cost</w:t>
            </w:r>
          </w:p>
        </w:tc>
        <w:tc>
          <w:tcPr>
            <w:tcW w:w="2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150</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142</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226</w:t>
            </w:r>
          </w:p>
        </w:tc>
        <w:tc>
          <w:tcPr>
            <w:tcW w:w="24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208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08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color w:val="auto"/>
              </w:rPr>
              <w:t>Contributions by plan participants</w:t>
            </w:r>
          </w:p>
        </w:tc>
        <w:tc>
          <w:tcPr>
            <w:tcW w:w="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b w:val="1"/>
                <w:bCs w:val="1"/>
                <w:color w:val="auto"/>
              </w:rPr>
              <w:t>–</w:t>
            </w:r>
          </w:p>
        </w:tc>
        <w:tc>
          <w:tcPr>
            <w:tcW w:w="3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rPr>
              <w:t>102</w:t>
            </w:r>
          </w:p>
        </w:tc>
        <w:tc>
          <w:tcPr>
            <w:tcW w:w="24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76</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080" w:type="dxa"/>
            <w:vAlign w:val="bottom"/>
          </w:tcPr>
          <w:p>
            <w:pPr>
              <w:spacing w:after="0" w:line="99" w:lineRule="exact"/>
              <w:rPr>
                <w:sz w:val="20"/>
                <w:szCs w:val="20"/>
                <w:color w:val="auto"/>
              </w:rPr>
            </w:pPr>
            <w:r>
              <w:rPr>
                <w:rFonts w:ascii="Arial" w:cs="Arial" w:eastAsia="Arial" w:hAnsi="Arial"/>
                <w:sz w:val="9"/>
                <w:szCs w:val="9"/>
                <w:color w:val="auto"/>
              </w:rPr>
              <w:t>Actuarial losses</w:t>
            </w:r>
          </w:p>
        </w:tc>
        <w:tc>
          <w:tcPr>
            <w:tcW w:w="2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225</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172</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321</w:t>
            </w:r>
          </w:p>
        </w:tc>
        <w:tc>
          <w:tcPr>
            <w:tcW w:w="24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310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08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color w:val="auto"/>
              </w:rPr>
              <w:t>Currency effect</w:t>
            </w:r>
          </w:p>
        </w:tc>
        <w:tc>
          <w:tcPr>
            <w:tcW w:w="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b w:val="1"/>
                <w:bCs w:val="1"/>
                <w:color w:val="auto"/>
              </w:rPr>
              <w:t>–</w:t>
            </w:r>
          </w:p>
        </w:tc>
        <w:tc>
          <w:tcPr>
            <w:tcW w:w="3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b w:val="1"/>
                <w:bCs w:val="1"/>
                <w:color w:val="auto"/>
              </w:rPr>
              <w:t>(8)</w:t>
            </w:r>
          </w:p>
        </w:tc>
        <w:tc>
          <w:tcPr>
            <w:tcW w:w="240" w:type="dxa"/>
            <w:vAlign w:val="bottom"/>
            <w:tcBorders>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(28)</w:t>
            </w:r>
          </w:p>
        </w:tc>
        <w:tc>
          <w:tcPr>
            <w:tcW w:w="0" w:type="dxa"/>
            <w:vAlign w:val="bottom"/>
          </w:tcPr>
          <w:p>
            <w:pPr>
              <w:spacing w:after="0"/>
              <w:rPr>
                <w:sz w:val="1"/>
                <w:szCs w:val="1"/>
                <w:color w:val="auto"/>
              </w:rPr>
            </w:pPr>
          </w:p>
        </w:tc>
      </w:tr>
      <w:tr>
        <w:trPr>
          <w:trHeight w:val="99"/>
        </w:trPr>
        <w:tc>
          <w:tcPr>
            <w:tcW w:w="9080" w:type="dxa"/>
            <w:vAlign w:val="bottom"/>
          </w:tcPr>
          <w:p>
            <w:pPr>
              <w:spacing w:after="0" w:line="99" w:lineRule="exact"/>
              <w:rPr>
                <w:sz w:val="20"/>
                <w:szCs w:val="20"/>
                <w:color w:val="auto"/>
              </w:rPr>
            </w:pPr>
            <w:r>
              <w:rPr>
                <w:rFonts w:ascii="Arial" w:cs="Arial" w:eastAsia="Arial" w:hAnsi="Arial"/>
                <w:sz w:val="9"/>
                <w:szCs w:val="9"/>
                <w:color w:val="auto"/>
              </w:rPr>
              <w:t>Benefits paid</w:t>
            </w:r>
          </w:p>
        </w:tc>
        <w:tc>
          <w:tcPr>
            <w:tcW w:w="20" w:type="dxa"/>
            <w:vAlign w:val="bottom"/>
          </w:tcPr>
          <w:p>
            <w:pPr>
              <w:spacing w:after="0"/>
              <w:rPr>
                <w:sz w:val="8"/>
                <w:szCs w:val="8"/>
                <w:color w:val="auto"/>
              </w:rPr>
            </w:pPr>
          </w:p>
        </w:tc>
        <w:tc>
          <w:tcPr>
            <w:tcW w:w="30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rPr>
              <w:t>(130)</w:t>
            </w:r>
          </w:p>
        </w:tc>
        <w:tc>
          <w:tcPr>
            <w:tcW w:w="360" w:type="dxa"/>
            <w:vAlign w:val="bottom"/>
          </w:tcPr>
          <w:p>
            <w:pPr>
              <w:spacing w:after="0"/>
              <w:rPr>
                <w:sz w:val="8"/>
                <w:szCs w:val="8"/>
                <w:color w:val="auto"/>
              </w:rPr>
            </w:pPr>
          </w:p>
        </w:tc>
        <w:tc>
          <w:tcPr>
            <w:tcW w:w="4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(122)</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(127)</w:t>
            </w:r>
          </w:p>
        </w:tc>
        <w:tc>
          <w:tcPr>
            <w:tcW w:w="24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(121)</w:t>
            </w:r>
          </w:p>
        </w:tc>
        <w:tc>
          <w:tcPr>
            <w:tcW w:w="0" w:type="dxa"/>
            <w:vAlign w:val="bottom"/>
          </w:tcPr>
          <w:p>
            <w:pPr>
              <w:spacing w:after="0"/>
              <w:rPr>
                <w:sz w:val="1"/>
                <w:szCs w:val="1"/>
                <w:color w:val="auto"/>
              </w:rPr>
            </w:pPr>
          </w:p>
        </w:tc>
      </w:tr>
      <w:tr>
        <w:trPr>
          <w:trHeight w:val="99"/>
        </w:trPr>
        <w:tc>
          <w:tcPr>
            <w:tcW w:w="908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color w:val="auto"/>
              </w:rPr>
              <w:t>Plan amendments</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shd w:val="clear" w:color="auto" w:fill="CCEEFF"/>
          </w:tcPr>
          <w:p>
            <w:pPr>
              <w:spacing w:after="0"/>
              <w:rPr>
                <w:sz w:val="8"/>
                <w:szCs w:val="8"/>
                <w:color w:val="auto"/>
              </w:rPr>
            </w:pPr>
          </w:p>
        </w:tc>
        <w:tc>
          <w:tcPr>
            <w:tcW w:w="3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82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rPr>
              <w:t>–</w:t>
            </w:r>
          </w:p>
        </w:tc>
        <w:tc>
          <w:tcPr>
            <w:tcW w:w="24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74</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0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080" w:type="dxa"/>
            <w:vAlign w:val="bottom"/>
          </w:tcPr>
          <w:p>
            <w:pPr>
              <w:spacing w:after="0" w:line="98" w:lineRule="exact"/>
              <w:rPr>
                <w:sz w:val="20"/>
                <w:szCs w:val="20"/>
                <w:color w:val="auto"/>
              </w:rPr>
            </w:pPr>
            <w:r>
              <w:rPr>
                <w:rFonts w:ascii="Arial" w:cs="Arial" w:eastAsia="Arial" w:hAnsi="Arial"/>
                <w:sz w:val="9"/>
                <w:szCs w:val="9"/>
                <w:color w:val="auto"/>
              </w:rPr>
              <w:t>Projected benefit obligation at end of year</w:t>
            </w:r>
          </w:p>
        </w:tc>
        <w:tc>
          <w:tcPr>
            <w:tcW w:w="20" w:type="dxa"/>
            <w:vAlign w:val="bottom"/>
          </w:tcPr>
          <w:p>
            <w:pPr>
              <w:jc w:val="right"/>
              <w:spacing w:after="0"/>
              <w:rPr>
                <w:sz w:val="20"/>
                <w:szCs w:val="20"/>
                <w:color w:val="auto"/>
              </w:rPr>
            </w:pPr>
            <w:r>
              <w:rPr>
                <w:rFonts w:ascii="Arial" w:cs="Arial" w:eastAsia="Arial" w:hAnsi="Arial"/>
                <w:sz w:val="1"/>
                <w:szCs w:val="1"/>
                <w:b w:val="1"/>
                <w:bCs w:val="1"/>
                <w:u w:val="single" w:color="auto"/>
                <w:color w:val="auto"/>
                <w:w w:val="4294967288"/>
              </w:rPr>
              <w:t>$</w:t>
            </w:r>
          </w:p>
        </w:tc>
        <w:tc>
          <w:tcPr>
            <w:tcW w:w="22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88"/>
              </w:rPr>
              <w:t>3,073</w:t>
            </w:r>
          </w:p>
        </w:tc>
        <w:tc>
          <w:tcPr>
            <w:tcW w:w="80" w:type="dxa"/>
            <w:vAlign w:val="bottom"/>
          </w:tcPr>
          <w:p>
            <w:pPr>
              <w:spacing w:after="0"/>
              <w:rPr>
                <w:sz w:val="8"/>
                <w:szCs w:val="8"/>
                <w:color w:val="auto"/>
              </w:rPr>
            </w:pPr>
          </w:p>
        </w:tc>
        <w:tc>
          <w:tcPr>
            <w:tcW w:w="360" w:type="dxa"/>
            <w:vAlign w:val="bottom"/>
          </w:tcPr>
          <w:p>
            <w:pPr>
              <w:jc w:val="right"/>
              <w:spacing w:after="0" w:line="98" w:lineRule="exact"/>
              <w:rPr>
                <w:sz w:val="20"/>
                <w:szCs w:val="20"/>
                <w:color w:val="auto"/>
              </w:rPr>
            </w:pPr>
            <w:r>
              <w:rPr>
                <w:rFonts w:ascii="Arial" w:cs="Arial" w:eastAsia="Arial" w:hAnsi="Arial"/>
                <w:sz w:val="9"/>
                <w:szCs w:val="9"/>
                <w:u w:val="single" w:color="auto"/>
                <w:color w:val="auto"/>
              </w:rPr>
              <w:t>$</w:t>
            </w:r>
          </w:p>
        </w:tc>
        <w:tc>
          <w:tcPr>
            <w:tcW w:w="42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w w:val="79"/>
              </w:rPr>
              <w:t>2,769</w:t>
            </w:r>
          </w:p>
        </w:tc>
        <w:tc>
          <w:tcPr>
            <w:tcW w:w="18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26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4,666</w:t>
            </w:r>
          </w:p>
        </w:tc>
        <w:tc>
          <w:tcPr>
            <w:tcW w:w="220" w:type="dxa"/>
            <w:vAlign w:val="bottom"/>
            <w:vMerge w:val="continue"/>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rPr>
              <w:t>4,088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080" w:type="dxa"/>
            <w:vAlign w:val="bottom"/>
            <w:tcBorders>
              <w:right w:val="single" w:sz="8" w:color="CCEEFF"/>
            </w:tcBorders>
            <w:shd w:val="clear" w:color="auto" w:fill="CCEEFF"/>
          </w:tcPr>
          <w:p>
            <w:pPr>
              <w:spacing w:after="0" w:line="98" w:lineRule="exact"/>
              <w:rPr>
                <w:sz w:val="20"/>
                <w:szCs w:val="20"/>
                <w:color w:val="auto"/>
              </w:rPr>
            </w:pPr>
            <w:r>
              <w:rPr>
                <w:rFonts w:ascii="Arial" w:cs="Arial" w:eastAsia="Arial" w:hAnsi="Arial"/>
                <w:sz w:val="9"/>
                <w:szCs w:val="9"/>
                <w:b w:val="1"/>
                <w:bCs w:val="1"/>
                <w:i w:val="1"/>
                <w:iCs w:val="1"/>
                <w:color w:val="auto"/>
              </w:rPr>
              <w:t>Change in Plan Assets</w:t>
            </w:r>
          </w:p>
        </w:tc>
        <w:tc>
          <w:tcPr>
            <w:tcW w:w="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tcBorders>
              <w:right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080" w:type="dxa"/>
            <w:vAlign w:val="bottom"/>
          </w:tcPr>
          <w:p>
            <w:pPr>
              <w:spacing w:after="0" w:line="99" w:lineRule="exact"/>
              <w:rPr>
                <w:sz w:val="20"/>
                <w:szCs w:val="20"/>
                <w:color w:val="auto"/>
              </w:rPr>
            </w:pPr>
            <w:r>
              <w:rPr>
                <w:rFonts w:ascii="Arial" w:cs="Arial" w:eastAsia="Arial" w:hAnsi="Arial"/>
                <w:sz w:val="9"/>
                <w:szCs w:val="9"/>
                <w:color w:val="auto"/>
              </w:rPr>
              <w:t>Plan assets at fair value at beginning of year</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67288"/>
              </w:rPr>
              <w:t>$</w:t>
            </w: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88"/>
              </w:rPr>
              <w:t>2,635</w:t>
            </w:r>
          </w:p>
        </w:tc>
        <w:tc>
          <w:tcPr>
            <w:tcW w:w="80" w:type="dxa"/>
            <w:vAlign w:val="bottom"/>
          </w:tcPr>
          <w:p>
            <w:pPr>
              <w:spacing w:after="0"/>
              <w:rPr>
                <w:sz w:val="8"/>
                <w:szCs w:val="8"/>
                <w:color w:val="auto"/>
              </w:rPr>
            </w:pP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w w:val="79"/>
              </w:rPr>
              <w:t>2,254</w:t>
            </w:r>
          </w:p>
        </w:tc>
        <w:tc>
          <w:tcPr>
            <w:tcW w:w="24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3,764</w:t>
            </w: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2,976</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08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color w:val="auto"/>
              </w:rPr>
              <w:t>Actual return on plan assets</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78</w:t>
            </w:r>
          </w:p>
        </w:tc>
        <w:tc>
          <w:tcPr>
            <w:tcW w:w="80" w:type="dxa"/>
            <w:vAlign w:val="bottom"/>
            <w:shd w:val="clear" w:color="auto" w:fill="CCEEFF"/>
          </w:tcPr>
          <w:p>
            <w:pPr>
              <w:spacing w:after="0"/>
              <w:rPr>
                <w:sz w:val="8"/>
                <w:szCs w:val="8"/>
                <w:color w:val="auto"/>
              </w:rPr>
            </w:pPr>
          </w:p>
        </w:tc>
        <w:tc>
          <w:tcPr>
            <w:tcW w:w="3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316</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rPr>
              <w:t>–</w:t>
            </w:r>
          </w:p>
        </w:tc>
        <w:tc>
          <w:tcPr>
            <w:tcW w:w="24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426</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080" w:type="dxa"/>
            <w:vAlign w:val="bottom"/>
          </w:tcPr>
          <w:p>
            <w:pPr>
              <w:spacing w:after="0" w:line="99" w:lineRule="exact"/>
              <w:rPr>
                <w:sz w:val="20"/>
                <w:szCs w:val="20"/>
                <w:color w:val="auto"/>
              </w:rPr>
            </w:pPr>
            <w:r>
              <w:rPr>
                <w:rFonts w:ascii="Arial" w:cs="Arial" w:eastAsia="Arial" w:hAnsi="Arial"/>
                <w:sz w:val="9"/>
                <w:szCs w:val="9"/>
                <w:color w:val="auto"/>
              </w:rPr>
              <w:t>Currency effect</w:t>
            </w:r>
          </w:p>
        </w:tc>
        <w:tc>
          <w:tcPr>
            <w:tcW w:w="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b w:val="1"/>
                <w:bCs w:val="1"/>
                <w:color w:val="auto"/>
              </w:rPr>
              <w:t>–</w:t>
            </w:r>
          </w:p>
        </w:tc>
        <w:tc>
          <w:tcPr>
            <w:tcW w:w="360" w:type="dxa"/>
            <w:vAlign w:val="bottom"/>
          </w:tcPr>
          <w:p>
            <w:pPr>
              <w:spacing w:after="0"/>
              <w:rPr>
                <w:sz w:val="8"/>
                <w:szCs w:val="8"/>
                <w:color w:val="auto"/>
              </w:rPr>
            </w:pPr>
          </w:p>
        </w:tc>
        <w:tc>
          <w:tcPr>
            <w:tcW w:w="42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(6)</w:t>
            </w:r>
          </w:p>
        </w:tc>
        <w:tc>
          <w:tcPr>
            <w:tcW w:w="24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(26)</w:t>
            </w:r>
          </w:p>
        </w:tc>
        <w:tc>
          <w:tcPr>
            <w:tcW w:w="0" w:type="dxa"/>
            <w:vAlign w:val="bottom"/>
          </w:tcPr>
          <w:p>
            <w:pPr>
              <w:spacing w:after="0"/>
              <w:rPr>
                <w:sz w:val="1"/>
                <w:szCs w:val="1"/>
                <w:color w:val="auto"/>
              </w:rPr>
            </w:pPr>
          </w:p>
        </w:tc>
      </w:tr>
      <w:tr>
        <w:trPr>
          <w:trHeight w:val="99"/>
        </w:trPr>
        <w:tc>
          <w:tcPr>
            <w:tcW w:w="908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color w:val="auto"/>
              </w:rPr>
              <w:t>Company contributions</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72</w:t>
            </w:r>
          </w:p>
        </w:tc>
        <w:tc>
          <w:tcPr>
            <w:tcW w:w="80" w:type="dxa"/>
            <w:vAlign w:val="bottom"/>
            <w:shd w:val="clear" w:color="auto" w:fill="CCEEFF"/>
          </w:tcPr>
          <w:p>
            <w:pPr>
              <w:spacing w:after="0"/>
              <w:rPr>
                <w:sz w:val="8"/>
                <w:szCs w:val="8"/>
                <w:color w:val="auto"/>
              </w:rPr>
            </w:pPr>
          </w:p>
        </w:tc>
        <w:tc>
          <w:tcPr>
            <w:tcW w:w="3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187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rPr>
              <w:t>364</w:t>
            </w:r>
          </w:p>
        </w:tc>
        <w:tc>
          <w:tcPr>
            <w:tcW w:w="24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433</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080" w:type="dxa"/>
            <w:vAlign w:val="bottom"/>
          </w:tcPr>
          <w:p>
            <w:pPr>
              <w:spacing w:after="0" w:line="99" w:lineRule="exact"/>
              <w:rPr>
                <w:sz w:val="20"/>
                <w:szCs w:val="20"/>
                <w:color w:val="auto"/>
              </w:rPr>
            </w:pPr>
            <w:r>
              <w:rPr>
                <w:rFonts w:ascii="Arial" w:cs="Arial" w:eastAsia="Arial" w:hAnsi="Arial"/>
                <w:sz w:val="9"/>
                <w:szCs w:val="9"/>
                <w:color w:val="auto"/>
              </w:rPr>
              <w:t>Contributions by plan participants</w:t>
            </w:r>
          </w:p>
        </w:tc>
        <w:tc>
          <w:tcPr>
            <w:tcW w:w="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b w:val="1"/>
                <w:bCs w:val="1"/>
                <w:color w:val="auto"/>
              </w:rPr>
              <w:t>–</w:t>
            </w:r>
          </w:p>
        </w:tc>
        <w:tc>
          <w:tcPr>
            <w:tcW w:w="360" w:type="dxa"/>
            <w:vAlign w:val="bottom"/>
          </w:tcPr>
          <w:p>
            <w:pPr>
              <w:spacing w:after="0"/>
              <w:rPr>
                <w:sz w:val="8"/>
                <w:szCs w:val="8"/>
                <w:color w:val="auto"/>
              </w:rPr>
            </w:pPr>
          </w:p>
        </w:tc>
        <w:tc>
          <w:tcPr>
            <w:tcW w:w="42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102</w:t>
            </w:r>
          </w:p>
        </w:tc>
        <w:tc>
          <w:tcPr>
            <w:tcW w:w="24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76</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08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color w:val="auto"/>
              </w:rPr>
              <w:t>Benefits paid</w:t>
            </w:r>
          </w:p>
        </w:tc>
        <w:tc>
          <w:tcPr>
            <w:tcW w:w="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b w:val="1"/>
                <w:bCs w:val="1"/>
                <w:color w:val="auto"/>
              </w:rPr>
              <w:t>(130)</w:t>
            </w:r>
          </w:p>
        </w:tc>
        <w:tc>
          <w:tcPr>
            <w:tcW w:w="3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(122)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b w:val="1"/>
                <w:bCs w:val="1"/>
                <w:color w:val="auto"/>
              </w:rPr>
              <w:t>(127)</w:t>
            </w:r>
          </w:p>
        </w:tc>
        <w:tc>
          <w:tcPr>
            <w:tcW w:w="240" w:type="dxa"/>
            <w:vAlign w:val="bottom"/>
            <w:tcBorders>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(121)</w:t>
            </w:r>
          </w:p>
        </w:tc>
        <w:tc>
          <w:tcPr>
            <w:tcW w:w="0" w:type="dxa"/>
            <w:vAlign w:val="bottom"/>
          </w:tcPr>
          <w:p>
            <w:pPr>
              <w:spacing w:after="0"/>
              <w:rPr>
                <w:sz w:val="1"/>
                <w:szCs w:val="1"/>
                <w:color w:val="auto"/>
              </w:rPr>
            </w:pPr>
          </w:p>
        </w:tc>
      </w:tr>
      <w:tr>
        <w:trPr>
          <w:trHeight w:val="20"/>
        </w:trPr>
        <w:tc>
          <w:tcPr>
            <w:tcW w:w="90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080" w:type="dxa"/>
            <w:vAlign w:val="bottom"/>
          </w:tcPr>
          <w:p>
            <w:pPr>
              <w:spacing w:after="0" w:line="98" w:lineRule="exact"/>
              <w:rPr>
                <w:sz w:val="20"/>
                <w:szCs w:val="20"/>
                <w:color w:val="auto"/>
              </w:rPr>
            </w:pPr>
            <w:r>
              <w:rPr>
                <w:rFonts w:ascii="Arial" w:cs="Arial" w:eastAsia="Arial" w:hAnsi="Arial"/>
                <w:sz w:val="9"/>
                <w:szCs w:val="9"/>
                <w:color w:val="auto"/>
              </w:rPr>
              <w:t>Plan assets at fair value at end of year</w:t>
            </w:r>
          </w:p>
        </w:tc>
        <w:tc>
          <w:tcPr>
            <w:tcW w:w="20" w:type="dxa"/>
            <w:vAlign w:val="bottom"/>
          </w:tcPr>
          <w:p>
            <w:pPr>
              <w:jc w:val="right"/>
              <w:spacing w:after="0"/>
              <w:rPr>
                <w:sz w:val="20"/>
                <w:szCs w:val="20"/>
                <w:color w:val="auto"/>
              </w:rPr>
            </w:pPr>
            <w:r>
              <w:rPr>
                <w:rFonts w:ascii="Arial" w:cs="Arial" w:eastAsia="Arial" w:hAnsi="Arial"/>
                <w:sz w:val="1"/>
                <w:szCs w:val="1"/>
                <w:b w:val="1"/>
                <w:bCs w:val="1"/>
                <w:u w:val="single" w:color="auto"/>
                <w:color w:val="auto"/>
                <w:w w:val="4294967288"/>
              </w:rPr>
              <w:t>$</w:t>
            </w:r>
          </w:p>
        </w:tc>
        <w:tc>
          <w:tcPr>
            <w:tcW w:w="22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88"/>
              </w:rPr>
              <w:t>2,655</w:t>
            </w:r>
          </w:p>
        </w:tc>
        <w:tc>
          <w:tcPr>
            <w:tcW w:w="80" w:type="dxa"/>
            <w:vAlign w:val="bottom"/>
          </w:tcPr>
          <w:p>
            <w:pPr>
              <w:spacing w:after="0"/>
              <w:rPr>
                <w:sz w:val="8"/>
                <w:szCs w:val="8"/>
                <w:color w:val="auto"/>
              </w:rPr>
            </w:pPr>
          </w:p>
        </w:tc>
        <w:tc>
          <w:tcPr>
            <w:tcW w:w="360" w:type="dxa"/>
            <w:vAlign w:val="bottom"/>
          </w:tcPr>
          <w:p>
            <w:pPr>
              <w:jc w:val="right"/>
              <w:spacing w:after="0" w:line="98" w:lineRule="exact"/>
              <w:rPr>
                <w:sz w:val="20"/>
                <w:szCs w:val="20"/>
                <w:color w:val="auto"/>
              </w:rPr>
            </w:pPr>
            <w:r>
              <w:rPr>
                <w:rFonts w:ascii="Arial" w:cs="Arial" w:eastAsia="Arial" w:hAnsi="Arial"/>
                <w:sz w:val="9"/>
                <w:szCs w:val="9"/>
                <w:u w:val="single" w:color="auto"/>
                <w:color w:val="auto"/>
              </w:rPr>
              <w:t>$</w:t>
            </w:r>
          </w:p>
        </w:tc>
        <w:tc>
          <w:tcPr>
            <w:tcW w:w="42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w w:val="79"/>
              </w:rPr>
              <w:t>2,635</w:t>
            </w:r>
          </w:p>
        </w:tc>
        <w:tc>
          <w:tcPr>
            <w:tcW w:w="18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26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4,097</w:t>
            </w:r>
          </w:p>
        </w:tc>
        <w:tc>
          <w:tcPr>
            <w:tcW w:w="220" w:type="dxa"/>
            <w:vAlign w:val="bottom"/>
            <w:vMerge w:val="continue"/>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rPr>
              <w:t>3,764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080" w:type="dxa"/>
            <w:vAlign w:val="bottom"/>
            <w:tcBorders>
              <w:right w:val="single" w:sz="8" w:color="CCEEFF"/>
            </w:tcBorders>
            <w:shd w:val="clear" w:color="auto" w:fill="CCEEFF"/>
          </w:tcPr>
          <w:p>
            <w:pPr>
              <w:spacing w:after="0" w:line="98" w:lineRule="exact"/>
              <w:rPr>
                <w:sz w:val="20"/>
                <w:szCs w:val="20"/>
                <w:color w:val="auto"/>
              </w:rPr>
            </w:pPr>
            <w:r>
              <w:rPr>
                <w:rFonts w:ascii="Arial" w:cs="Arial" w:eastAsia="Arial" w:hAnsi="Arial"/>
                <w:sz w:val="9"/>
                <w:szCs w:val="9"/>
                <w:b w:val="1"/>
                <w:bCs w:val="1"/>
                <w:i w:val="1"/>
                <w:iCs w:val="1"/>
                <w:color w:val="auto"/>
              </w:rPr>
              <w:t>Unfunded Liability</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67288"/>
              </w:rPr>
              <w:t>$</w:t>
            </w: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b w:val="1"/>
                <w:bCs w:val="1"/>
                <w:color w:val="auto"/>
              </w:rPr>
              <w:t>(418)</w:t>
            </w:r>
          </w:p>
        </w:tc>
        <w:tc>
          <w:tcPr>
            <w:tcW w:w="36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(134)</w:t>
            </w:r>
          </w:p>
        </w:tc>
        <w:tc>
          <w:tcPr>
            <w:tcW w:w="2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b w:val="1"/>
                <w:bCs w:val="1"/>
                <w:color w:val="auto"/>
              </w:rPr>
              <w:t>(569)</w:t>
            </w:r>
          </w:p>
        </w:tc>
        <w:tc>
          <w:tcPr>
            <w:tcW w:w="24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(324)</w:t>
            </w:r>
          </w:p>
        </w:tc>
        <w:tc>
          <w:tcPr>
            <w:tcW w:w="0" w:type="dxa"/>
            <w:vAlign w:val="bottom"/>
          </w:tcPr>
          <w:p>
            <w:pPr>
              <w:spacing w:after="0"/>
              <w:rPr>
                <w:sz w:val="1"/>
                <w:szCs w:val="1"/>
                <w:color w:val="auto"/>
              </w:rPr>
            </w:pPr>
          </w:p>
        </w:tc>
      </w:tr>
      <w:tr>
        <w:trPr>
          <w:trHeight w:val="97"/>
        </w:trPr>
        <w:tc>
          <w:tcPr>
            <w:tcW w:w="9080" w:type="dxa"/>
            <w:vAlign w:val="bottom"/>
          </w:tcPr>
          <w:p>
            <w:pPr>
              <w:spacing w:after="0" w:line="98" w:lineRule="exact"/>
              <w:rPr>
                <w:sz w:val="20"/>
                <w:szCs w:val="20"/>
                <w:color w:val="auto"/>
              </w:rPr>
            </w:pPr>
            <w:r>
              <w:rPr>
                <w:rFonts w:ascii="Arial" w:cs="Arial" w:eastAsia="Arial" w:hAnsi="Arial"/>
                <w:sz w:val="9"/>
                <w:szCs w:val="9"/>
                <w:b w:val="1"/>
                <w:bCs w:val="1"/>
                <w:i w:val="1"/>
                <w:iCs w:val="1"/>
                <w:color w:val="auto"/>
              </w:rPr>
              <w:t>Amounts Recognized in Balance Sheet</w:t>
            </w: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08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color w:val="auto"/>
              </w:rPr>
              <w:t>Postretirement Benefits</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67288"/>
              </w:rPr>
              <w:t>$</w:t>
            </w:r>
          </w:p>
        </w:tc>
        <w:tc>
          <w:tcPr>
            <w:tcW w:w="3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b w:val="1"/>
                <w:bCs w:val="1"/>
                <w:color w:val="auto"/>
              </w:rPr>
              <w:t>(418)</w:t>
            </w:r>
          </w:p>
        </w:tc>
        <w:tc>
          <w:tcPr>
            <w:tcW w:w="360" w:type="dxa"/>
            <w:vAlign w:val="bottom"/>
            <w:tcBorders>
              <w:right w:val="single" w:sz="8" w:color="CCEEFF"/>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(134)</w:t>
            </w:r>
          </w:p>
        </w:tc>
        <w:tc>
          <w:tcPr>
            <w:tcW w:w="2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b w:val="1"/>
                <w:bCs w:val="1"/>
                <w:color w:val="auto"/>
              </w:rPr>
              <w:t>(569)</w:t>
            </w:r>
          </w:p>
        </w:tc>
        <w:tc>
          <w:tcPr>
            <w:tcW w:w="240" w:type="dxa"/>
            <w:vAlign w:val="bottom"/>
            <w:tcBorders>
              <w:right w:val="single" w:sz="8" w:color="CCEEFF"/>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(367)</w:t>
            </w:r>
          </w:p>
        </w:tc>
        <w:tc>
          <w:tcPr>
            <w:tcW w:w="0" w:type="dxa"/>
            <w:vAlign w:val="bottom"/>
          </w:tcPr>
          <w:p>
            <w:pPr>
              <w:spacing w:after="0"/>
              <w:rPr>
                <w:sz w:val="1"/>
                <w:szCs w:val="1"/>
                <w:color w:val="auto"/>
              </w:rPr>
            </w:pPr>
          </w:p>
        </w:tc>
      </w:tr>
      <w:tr>
        <w:trPr>
          <w:trHeight w:val="99"/>
        </w:trPr>
        <w:tc>
          <w:tcPr>
            <w:tcW w:w="9080" w:type="dxa"/>
            <w:vAlign w:val="bottom"/>
          </w:tcPr>
          <w:p>
            <w:pPr>
              <w:spacing w:after="0" w:line="99" w:lineRule="exact"/>
              <w:rPr>
                <w:sz w:val="20"/>
                <w:szCs w:val="20"/>
                <w:color w:val="auto"/>
              </w:rPr>
            </w:pPr>
            <w:r>
              <w:rPr>
                <w:rFonts w:ascii="Arial" w:cs="Arial" w:eastAsia="Arial" w:hAnsi="Arial"/>
                <w:sz w:val="9"/>
                <w:szCs w:val="9"/>
                <w:color w:val="auto"/>
              </w:rPr>
              <w:t>Other Assets</w:t>
            </w:r>
          </w:p>
        </w:tc>
        <w:tc>
          <w:tcPr>
            <w:tcW w:w="2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w:t>
            </w:r>
          </w:p>
        </w:tc>
        <w:tc>
          <w:tcPr>
            <w:tcW w:w="24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43</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0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08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67288"/>
              </w:rPr>
              <w:t>$</w:t>
            </w: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b w:val="1"/>
                <w:bCs w:val="1"/>
                <w:color w:val="auto"/>
              </w:rPr>
              <w:t>(418)</w:t>
            </w:r>
          </w:p>
        </w:tc>
        <w:tc>
          <w:tcPr>
            <w:tcW w:w="36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(134)</w:t>
            </w:r>
          </w:p>
        </w:tc>
        <w:tc>
          <w:tcPr>
            <w:tcW w:w="2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b w:val="1"/>
                <w:bCs w:val="1"/>
                <w:color w:val="auto"/>
              </w:rPr>
              <w:t>(569)</w:t>
            </w:r>
          </w:p>
        </w:tc>
        <w:tc>
          <w:tcPr>
            <w:tcW w:w="24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(324)</w:t>
            </w:r>
          </w:p>
        </w:tc>
        <w:tc>
          <w:tcPr>
            <w:tcW w:w="0" w:type="dxa"/>
            <w:vAlign w:val="bottom"/>
          </w:tcPr>
          <w:p>
            <w:pPr>
              <w:spacing w:after="0"/>
              <w:rPr>
                <w:sz w:val="1"/>
                <w:szCs w:val="1"/>
                <w:color w:val="auto"/>
              </w:rPr>
            </w:pPr>
          </w:p>
        </w:tc>
      </w:tr>
      <w:tr>
        <w:trPr>
          <w:trHeight w:val="97"/>
        </w:trPr>
        <w:tc>
          <w:tcPr>
            <w:tcW w:w="9080" w:type="dxa"/>
            <w:vAlign w:val="bottom"/>
          </w:tcPr>
          <w:p>
            <w:pPr>
              <w:spacing w:after="0" w:line="98" w:lineRule="exact"/>
              <w:rPr>
                <w:sz w:val="20"/>
                <w:szCs w:val="20"/>
                <w:color w:val="auto"/>
              </w:rPr>
            </w:pPr>
            <w:r>
              <w:rPr>
                <w:rFonts w:ascii="Arial" w:cs="Arial" w:eastAsia="Arial" w:hAnsi="Arial"/>
                <w:sz w:val="9"/>
                <w:szCs w:val="9"/>
                <w:b w:val="1"/>
                <w:bCs w:val="1"/>
                <w:i w:val="1"/>
                <w:iCs w:val="1"/>
                <w:color w:val="auto"/>
              </w:rPr>
              <w:t>Amounts Recognized in Accumulated Other Comprehensive Loss</w:t>
            </w: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08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color w:val="auto"/>
              </w:rPr>
              <w:t>Actuarial losses</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67288"/>
              </w:rPr>
              <w:t>$</w:t>
            </w: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88"/>
              </w:rPr>
              <w:t>1,048</w:t>
            </w:r>
          </w:p>
        </w:tc>
        <w:tc>
          <w:tcPr>
            <w:tcW w:w="80" w:type="dxa"/>
            <w:vAlign w:val="bottom"/>
            <w:shd w:val="clear" w:color="auto" w:fill="CCEEFF"/>
          </w:tcPr>
          <w:p>
            <w:pPr>
              <w:spacing w:after="0"/>
              <w:rPr>
                <w:sz w:val="8"/>
                <w:szCs w:val="8"/>
                <w:color w:val="auto"/>
              </w:rPr>
            </w:pPr>
          </w:p>
        </w:tc>
        <w:tc>
          <w:tcPr>
            <w:tcW w:w="360" w:type="dxa"/>
            <w:vAlign w:val="bottom"/>
            <w:tcBorders>
              <w:right w:val="single" w:sz="8" w:color="CCEEFF"/>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819</w:t>
            </w:r>
          </w:p>
        </w:tc>
        <w:tc>
          <w:tcPr>
            <w:tcW w:w="2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rPr>
              <w:t>1,002</w:t>
            </w:r>
          </w:p>
        </w:tc>
        <w:tc>
          <w:tcPr>
            <w:tcW w:w="240" w:type="dxa"/>
            <w:vAlign w:val="bottom"/>
            <w:tcBorders>
              <w:right w:val="single" w:sz="8" w:color="CCEEFF"/>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447</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080" w:type="dxa"/>
            <w:vAlign w:val="bottom"/>
          </w:tcPr>
          <w:p>
            <w:pPr>
              <w:spacing w:after="0" w:line="99" w:lineRule="exact"/>
              <w:rPr>
                <w:sz w:val="20"/>
                <w:szCs w:val="20"/>
                <w:color w:val="auto"/>
              </w:rPr>
            </w:pPr>
            <w:r>
              <w:rPr>
                <w:rFonts w:ascii="Arial" w:cs="Arial" w:eastAsia="Arial" w:hAnsi="Arial"/>
                <w:sz w:val="9"/>
                <w:szCs w:val="9"/>
                <w:color w:val="auto"/>
              </w:rPr>
              <w:t>Prior service cost</w:t>
            </w:r>
          </w:p>
        </w:tc>
        <w:tc>
          <w:tcPr>
            <w:tcW w:w="2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101</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gridSpan w:val="2"/>
          </w:tcPr>
          <w:p>
            <w:pPr>
              <w:jc w:val="right"/>
              <w:ind w:right="220"/>
              <w:spacing w:after="0" w:line="99" w:lineRule="exact"/>
              <w:rPr>
                <w:sz w:val="20"/>
                <w:szCs w:val="20"/>
                <w:color w:val="auto"/>
              </w:rPr>
            </w:pPr>
            <w:r>
              <w:rPr>
                <w:rFonts w:ascii="Arial" w:cs="Arial" w:eastAsia="Arial" w:hAnsi="Arial"/>
                <w:sz w:val="9"/>
                <w:szCs w:val="9"/>
                <w:color w:val="auto"/>
              </w:rPr>
              <w:t>114</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729</w:t>
            </w:r>
          </w:p>
        </w:tc>
        <w:tc>
          <w:tcPr>
            <w:tcW w:w="240" w:type="dxa"/>
            <w:vAlign w:val="bottom"/>
          </w:tcPr>
          <w:p>
            <w:pPr>
              <w:spacing w:after="0"/>
              <w:rPr>
                <w:sz w:val="8"/>
                <w:szCs w:val="8"/>
                <w:color w:val="auto"/>
              </w:rPr>
            </w:pPr>
          </w:p>
        </w:tc>
        <w:tc>
          <w:tcPr>
            <w:tcW w:w="280" w:type="dxa"/>
            <w:vAlign w:val="bottom"/>
          </w:tcPr>
          <w:p>
            <w:pPr>
              <w:jc w:val="right"/>
              <w:spacing w:after="0" w:line="99" w:lineRule="exact"/>
              <w:rPr>
                <w:sz w:val="20"/>
                <w:szCs w:val="20"/>
                <w:color w:val="auto"/>
              </w:rPr>
            </w:pPr>
            <w:r>
              <w:rPr>
                <w:rFonts w:ascii="Arial" w:cs="Arial" w:eastAsia="Arial" w:hAnsi="Arial"/>
                <w:sz w:val="9"/>
                <w:szCs w:val="9"/>
                <w:color w:val="auto"/>
              </w:rPr>
              <w:t>840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0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08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u w:val="single" w:color="auto"/>
                <w:color w:val="auto"/>
                <w:w w:val="4294967288"/>
              </w:rPr>
              <w:t>$</w:t>
            </w:r>
          </w:p>
        </w:tc>
        <w:tc>
          <w:tcPr>
            <w:tcW w:w="22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88"/>
              </w:rPr>
              <w:t>1,149</w:t>
            </w:r>
          </w:p>
        </w:tc>
        <w:tc>
          <w:tcPr>
            <w:tcW w:w="80" w:type="dxa"/>
            <w:vAlign w:val="bottom"/>
            <w:shd w:val="clear" w:color="auto" w:fill="CCEEFF"/>
          </w:tcPr>
          <w:p>
            <w:pPr>
              <w:spacing w:after="0"/>
              <w:rPr>
                <w:sz w:val="8"/>
                <w:szCs w:val="8"/>
                <w:color w:val="auto"/>
              </w:rPr>
            </w:pPr>
          </w:p>
        </w:tc>
        <w:tc>
          <w:tcPr>
            <w:tcW w:w="36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933</w:t>
            </w:r>
          </w:p>
        </w:tc>
        <w:tc>
          <w:tcPr>
            <w:tcW w:w="2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b w:val="1"/>
                <w:bCs w:val="1"/>
                <w:color w:val="auto"/>
              </w:rPr>
              <w:t>1,731</w:t>
            </w:r>
          </w:p>
        </w:tc>
        <w:tc>
          <w:tcPr>
            <w:tcW w:w="24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1,287</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080" w:type="dxa"/>
            <w:vAlign w:val="bottom"/>
            <w:vMerge w:val="restart"/>
          </w:tcPr>
          <w:p>
            <w:pPr>
              <w:spacing w:after="0"/>
              <w:rPr>
                <w:sz w:val="20"/>
                <w:szCs w:val="20"/>
                <w:color w:val="auto"/>
              </w:rPr>
            </w:pPr>
            <w:r>
              <w:rPr>
                <w:rFonts w:ascii="Arial" w:cs="Arial" w:eastAsia="Arial" w:hAnsi="Arial"/>
                <w:sz w:val="9"/>
                <w:szCs w:val="9"/>
                <w:color w:val="auto"/>
              </w:rPr>
              <w:t>Accumulated benefit obligation</w:t>
            </w: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080" w:type="dxa"/>
            <w:vAlign w:val="bottom"/>
            <w:vMerge w:val="continue"/>
          </w:tcPr>
          <w:p>
            <w:pPr>
              <w:spacing w:after="0"/>
              <w:rPr>
                <w:sz w:val="8"/>
                <w:szCs w:val="8"/>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u w:val="single" w:color="auto"/>
                <w:color w:val="auto"/>
                <w:w w:val="4294967288"/>
              </w:rPr>
              <w:t>$</w:t>
            </w:r>
          </w:p>
        </w:tc>
        <w:tc>
          <w:tcPr>
            <w:tcW w:w="22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88"/>
              </w:rPr>
              <w:t>2,861</w:t>
            </w:r>
          </w:p>
        </w:tc>
        <w:tc>
          <w:tcPr>
            <w:tcW w:w="80" w:type="dxa"/>
            <w:vAlign w:val="bottom"/>
          </w:tcPr>
          <w:p>
            <w:pPr>
              <w:spacing w:after="0"/>
              <w:rPr>
                <w:sz w:val="8"/>
                <w:szCs w:val="8"/>
                <w:color w:val="auto"/>
              </w:rPr>
            </w:pPr>
          </w:p>
        </w:tc>
        <w:tc>
          <w:tcPr>
            <w:tcW w:w="360" w:type="dxa"/>
            <w:vAlign w:val="bottom"/>
          </w:tcPr>
          <w:p>
            <w:pPr>
              <w:jc w:val="right"/>
              <w:spacing w:after="0" w:line="98" w:lineRule="exact"/>
              <w:rPr>
                <w:sz w:val="20"/>
                <w:szCs w:val="20"/>
                <w:color w:val="auto"/>
              </w:rPr>
            </w:pPr>
            <w:r>
              <w:rPr>
                <w:rFonts w:ascii="Arial" w:cs="Arial" w:eastAsia="Arial" w:hAnsi="Arial"/>
                <w:sz w:val="9"/>
                <w:szCs w:val="9"/>
                <w:u w:val="single" w:color="auto"/>
                <w:color w:val="auto"/>
              </w:rPr>
              <w:t>$</w:t>
            </w:r>
          </w:p>
        </w:tc>
        <w:tc>
          <w:tcPr>
            <w:tcW w:w="42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w w:val="79"/>
              </w:rPr>
              <w:t>2,568</w:t>
            </w:r>
          </w:p>
        </w:tc>
        <w:tc>
          <w:tcPr>
            <w:tcW w:w="18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26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4,336</w:t>
            </w:r>
          </w:p>
        </w:tc>
        <w:tc>
          <w:tcPr>
            <w:tcW w:w="220" w:type="dxa"/>
            <w:vAlign w:val="bottom"/>
            <w:vMerge w:val="continue"/>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rPr>
              <w:t>3,785</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08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right="60" w:firstLine="230"/>
        <w:spacing w:after="0" w:line="259" w:lineRule="auto"/>
        <w:rPr>
          <w:sz w:val="20"/>
          <w:szCs w:val="20"/>
          <w:color w:val="auto"/>
        </w:rPr>
      </w:pPr>
      <w:r>
        <w:rPr>
          <w:rFonts w:ascii="Arial" w:cs="Arial" w:eastAsia="Arial" w:hAnsi="Arial"/>
          <w:sz w:val="12"/>
          <w:szCs w:val="12"/>
          <w:color w:val="auto"/>
        </w:rPr>
        <w:t>The unfunded liability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weighted-average allocation of plan assets and the target allocation by asset category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8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9"/>
                <w:szCs w:val="9"/>
                <w:b w:val="1"/>
                <w:bCs w:val="1"/>
                <w:color w:val="auto"/>
              </w:rPr>
              <w:t>US</w:t>
            </w:r>
          </w:p>
        </w:tc>
        <w:tc>
          <w:tcPr>
            <w:tcW w:w="2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9"/>
                <w:szCs w:val="9"/>
                <w:b w:val="1"/>
                <w:bCs w:val="1"/>
                <w:color w:val="auto"/>
                <w:w w:val="96"/>
              </w:rPr>
              <w:t>International</w:t>
            </w:r>
          </w:p>
        </w:tc>
        <w:tc>
          <w:tcPr>
            <w:tcW w:w="2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88"/>
        </w:trPr>
        <w:tc>
          <w:tcPr>
            <w:tcW w:w="802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gridSpan w:val="2"/>
          </w:tcPr>
          <w:p>
            <w:pPr>
              <w:ind w:left="60"/>
              <w:spacing w:after="0" w:line="88" w:lineRule="exact"/>
              <w:rPr>
                <w:sz w:val="20"/>
                <w:szCs w:val="20"/>
                <w:color w:val="auto"/>
              </w:rPr>
            </w:pPr>
            <w:r>
              <w:rPr>
                <w:rFonts w:ascii="Arial" w:cs="Arial" w:eastAsia="Arial" w:hAnsi="Arial"/>
                <w:sz w:val="9"/>
                <w:szCs w:val="9"/>
                <w:b w:val="1"/>
                <w:bCs w:val="1"/>
                <w:color w:val="auto"/>
                <w:w w:val="94"/>
              </w:rPr>
              <w:t>Target</w:t>
            </w:r>
          </w:p>
        </w:tc>
        <w:tc>
          <w:tcPr>
            <w:tcW w:w="22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9"/>
              </w:rPr>
              <w:t>2011</w:t>
            </w:r>
          </w:p>
        </w:tc>
        <w:tc>
          <w:tcPr>
            <w:tcW w:w="36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9"/>
              </w:rPr>
              <w:t>2010</w:t>
            </w:r>
          </w:p>
        </w:tc>
        <w:tc>
          <w:tcPr>
            <w:tcW w:w="34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gridSpan w:val="2"/>
          </w:tcPr>
          <w:p>
            <w:pPr>
              <w:ind w:left="60"/>
              <w:spacing w:after="0" w:line="88" w:lineRule="exact"/>
              <w:rPr>
                <w:sz w:val="20"/>
                <w:szCs w:val="20"/>
                <w:color w:val="auto"/>
              </w:rPr>
            </w:pPr>
            <w:r>
              <w:rPr>
                <w:rFonts w:ascii="Arial" w:cs="Arial" w:eastAsia="Arial" w:hAnsi="Arial"/>
                <w:sz w:val="9"/>
                <w:szCs w:val="9"/>
                <w:b w:val="1"/>
                <w:bCs w:val="1"/>
                <w:color w:val="auto"/>
                <w:w w:val="94"/>
              </w:rPr>
              <w:t>Target</w:t>
            </w:r>
          </w:p>
        </w:tc>
        <w:tc>
          <w:tcPr>
            <w:tcW w:w="12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9"/>
              </w:rPr>
              <w:t>2011</w:t>
            </w:r>
          </w:p>
        </w:tc>
        <w:tc>
          <w:tcPr>
            <w:tcW w:w="3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9"/>
              </w:rPr>
              <w:t>2010</w:t>
            </w:r>
          </w:p>
        </w:tc>
        <w:tc>
          <w:tcPr>
            <w:tcW w:w="140" w:type="dxa"/>
            <w:vAlign w:val="bottom"/>
            <w:tcBorders>
              <w:bottom w:val="single" w:sz="8" w:color="CCEEFF"/>
            </w:tcBorders>
          </w:tcPr>
          <w:p>
            <w:pPr>
              <w:spacing w:after="0"/>
              <w:rPr>
                <w:sz w:val="7"/>
                <w:szCs w:val="7"/>
                <w:color w:val="auto"/>
              </w:rPr>
            </w:pPr>
          </w:p>
        </w:tc>
      </w:tr>
      <w:tr>
        <w:trPr>
          <w:trHeight w:val="88"/>
        </w:trPr>
        <w:tc>
          <w:tcPr>
            <w:tcW w:w="802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Equity securities</w:t>
            </w:r>
          </w:p>
        </w:tc>
        <w:tc>
          <w:tcPr>
            <w:tcW w:w="160" w:type="dxa"/>
            <w:vAlign w:val="bottom"/>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45</w:t>
            </w:r>
          </w:p>
        </w:tc>
        <w:tc>
          <w:tcPr>
            <w:tcW w:w="40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9"/>
                <w:szCs w:val="9"/>
                <w:b w:val="1"/>
                <w:bCs w:val="1"/>
                <w:color w:val="auto"/>
              </w:rPr>
              <w:t>– 50%</w:t>
            </w:r>
          </w:p>
        </w:tc>
        <w:tc>
          <w:tcPr>
            <w:tcW w:w="14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280"/>
              <w:spacing w:after="0" w:line="88" w:lineRule="exact"/>
              <w:rPr>
                <w:sz w:val="20"/>
                <w:szCs w:val="20"/>
                <w:color w:val="auto"/>
              </w:rPr>
            </w:pPr>
            <w:r>
              <w:rPr>
                <w:rFonts w:ascii="Arial" w:cs="Arial" w:eastAsia="Arial" w:hAnsi="Arial"/>
                <w:sz w:val="9"/>
                <w:szCs w:val="9"/>
                <w:b w:val="1"/>
                <w:bCs w:val="1"/>
                <w:color w:val="auto"/>
              </w:rPr>
              <w:t>47%</w:t>
            </w:r>
          </w:p>
        </w:tc>
        <w:tc>
          <w:tcPr>
            <w:tcW w:w="540" w:type="dxa"/>
            <w:vAlign w:val="bottom"/>
            <w:gridSpan w:val="2"/>
            <w:shd w:val="clear" w:color="auto" w:fill="CCEEFF"/>
          </w:tcPr>
          <w:p>
            <w:pPr>
              <w:jc w:val="right"/>
              <w:ind w:right="260"/>
              <w:spacing w:after="0" w:line="88" w:lineRule="exact"/>
              <w:rPr>
                <w:sz w:val="20"/>
                <w:szCs w:val="20"/>
                <w:color w:val="auto"/>
              </w:rPr>
            </w:pPr>
            <w:r>
              <w:rPr>
                <w:rFonts w:ascii="Arial" w:cs="Arial" w:eastAsia="Arial" w:hAnsi="Arial"/>
                <w:sz w:val="9"/>
                <w:szCs w:val="9"/>
                <w:color w:val="auto"/>
              </w:rPr>
              <w:t>52%</w:t>
            </w:r>
          </w:p>
        </w:tc>
        <w:tc>
          <w:tcPr>
            <w:tcW w:w="160" w:type="dxa"/>
            <w:vAlign w:val="bottom"/>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50</w:t>
            </w:r>
          </w:p>
        </w:tc>
        <w:tc>
          <w:tcPr>
            <w:tcW w:w="300" w:type="dxa"/>
            <w:vAlign w:val="bottom"/>
            <w:gridSpan w:val="2"/>
            <w:shd w:val="clear" w:color="auto" w:fill="CCEEFF"/>
          </w:tcPr>
          <w:p>
            <w:pPr>
              <w:jc w:val="right"/>
              <w:ind w:right="20"/>
              <w:spacing w:after="0" w:line="88" w:lineRule="exact"/>
              <w:rPr>
                <w:sz w:val="20"/>
                <w:szCs w:val="20"/>
                <w:color w:val="auto"/>
              </w:rPr>
            </w:pPr>
            <w:r>
              <w:rPr>
                <w:rFonts w:ascii="Arial" w:cs="Arial" w:eastAsia="Arial" w:hAnsi="Arial"/>
                <w:sz w:val="9"/>
                <w:szCs w:val="9"/>
                <w:b w:val="1"/>
                <w:bCs w:val="1"/>
                <w:color w:val="auto"/>
              </w:rPr>
              <w:t>– 70%</w:t>
            </w:r>
          </w:p>
        </w:tc>
        <w:tc>
          <w:tcPr>
            <w:tcW w:w="24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280"/>
              <w:spacing w:after="0" w:line="88" w:lineRule="exact"/>
              <w:rPr>
                <w:sz w:val="20"/>
                <w:szCs w:val="20"/>
                <w:color w:val="auto"/>
              </w:rPr>
            </w:pPr>
            <w:r>
              <w:rPr>
                <w:rFonts w:ascii="Arial" w:cs="Arial" w:eastAsia="Arial" w:hAnsi="Arial"/>
                <w:sz w:val="9"/>
                <w:szCs w:val="9"/>
                <w:b w:val="1"/>
                <w:bCs w:val="1"/>
                <w:color w:val="auto"/>
              </w:rPr>
              <w:t>51%</w:t>
            </w:r>
          </w:p>
        </w:tc>
        <w:tc>
          <w:tcPr>
            <w:tcW w:w="36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9"/>
                <w:szCs w:val="9"/>
                <w:color w:val="auto"/>
              </w:rPr>
              <w:t>61%</w:t>
            </w:r>
          </w:p>
        </w:tc>
      </w:tr>
      <w:tr>
        <w:trPr>
          <w:trHeight w:val="99"/>
        </w:trPr>
        <w:tc>
          <w:tcPr>
            <w:tcW w:w="8020" w:type="dxa"/>
            <w:vAlign w:val="bottom"/>
          </w:tcPr>
          <w:p>
            <w:pPr>
              <w:spacing w:after="0" w:line="99" w:lineRule="exact"/>
              <w:rPr>
                <w:sz w:val="20"/>
                <w:szCs w:val="20"/>
                <w:color w:val="auto"/>
              </w:rPr>
            </w:pPr>
            <w:r>
              <w:rPr>
                <w:rFonts w:ascii="Arial" w:cs="Arial" w:eastAsia="Arial" w:hAnsi="Arial"/>
                <w:sz w:val="9"/>
                <w:szCs w:val="9"/>
                <w:color w:val="auto"/>
              </w:rPr>
              <w:t>Debt securities</w:t>
            </w:r>
          </w:p>
        </w:tc>
        <w:tc>
          <w:tcPr>
            <w:tcW w:w="560" w:type="dxa"/>
            <w:vAlign w:val="bottom"/>
            <w:gridSpan w:val="3"/>
          </w:tcPr>
          <w:p>
            <w:pPr>
              <w:jc w:val="right"/>
              <w:ind w:right="220"/>
              <w:spacing w:after="0" w:line="99" w:lineRule="exact"/>
              <w:rPr>
                <w:sz w:val="20"/>
                <w:szCs w:val="20"/>
                <w:color w:val="auto"/>
              </w:rPr>
            </w:pPr>
            <w:r>
              <w:rPr>
                <w:rFonts w:ascii="Arial" w:cs="Arial" w:eastAsia="Arial" w:hAnsi="Arial"/>
                <w:sz w:val="9"/>
                <w:szCs w:val="9"/>
                <w:b w:val="1"/>
                <w:bCs w:val="1"/>
                <w:color w:val="auto"/>
              </w:rPr>
              <w:t>33 –43</w:t>
            </w:r>
          </w:p>
        </w:tc>
        <w:tc>
          <w:tcPr>
            <w:tcW w:w="720" w:type="dxa"/>
            <w:vAlign w:val="bottom"/>
            <w:gridSpan w:val="3"/>
          </w:tcPr>
          <w:p>
            <w:pPr>
              <w:jc w:val="right"/>
              <w:ind w:right="360"/>
              <w:spacing w:after="0" w:line="99" w:lineRule="exact"/>
              <w:rPr>
                <w:sz w:val="20"/>
                <w:szCs w:val="20"/>
                <w:color w:val="auto"/>
              </w:rPr>
            </w:pPr>
            <w:r>
              <w:rPr>
                <w:rFonts w:ascii="Arial" w:cs="Arial" w:eastAsia="Arial" w:hAnsi="Arial"/>
                <w:sz w:val="9"/>
                <w:szCs w:val="9"/>
                <w:b w:val="1"/>
                <w:bCs w:val="1"/>
                <w:color w:val="auto"/>
              </w:rPr>
              <w:t>39</w:t>
            </w:r>
          </w:p>
        </w:tc>
        <w:tc>
          <w:tcPr>
            <w:tcW w:w="200" w:type="dxa"/>
            <w:vAlign w:val="bottom"/>
          </w:tcPr>
          <w:p>
            <w:pPr>
              <w:jc w:val="right"/>
              <w:spacing w:after="0" w:line="99" w:lineRule="exact"/>
              <w:rPr>
                <w:sz w:val="20"/>
                <w:szCs w:val="20"/>
                <w:color w:val="auto"/>
              </w:rPr>
            </w:pPr>
            <w:r>
              <w:rPr>
                <w:rFonts w:ascii="Arial" w:cs="Arial" w:eastAsia="Arial" w:hAnsi="Arial"/>
                <w:sz w:val="9"/>
                <w:szCs w:val="9"/>
                <w:color w:val="auto"/>
              </w:rPr>
              <w:t>40</w:t>
            </w:r>
          </w:p>
        </w:tc>
        <w:tc>
          <w:tcPr>
            <w:tcW w:w="340" w:type="dxa"/>
            <w:vAlign w:val="bottom"/>
          </w:tcPr>
          <w:p>
            <w:pPr>
              <w:spacing w:after="0"/>
              <w:rPr>
                <w:sz w:val="8"/>
                <w:szCs w:val="8"/>
                <w:color w:val="auto"/>
              </w:rPr>
            </w:pPr>
          </w:p>
        </w:tc>
        <w:tc>
          <w:tcPr>
            <w:tcW w:w="1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25</w:t>
            </w:r>
          </w:p>
        </w:tc>
        <w:tc>
          <w:tcPr>
            <w:tcW w:w="30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w w:val="91"/>
              </w:rPr>
              <w:t>– 35</w:t>
            </w:r>
          </w:p>
        </w:tc>
        <w:tc>
          <w:tcPr>
            <w:tcW w:w="820" w:type="dxa"/>
            <w:vAlign w:val="bottom"/>
            <w:gridSpan w:val="3"/>
          </w:tcPr>
          <w:p>
            <w:pPr>
              <w:jc w:val="right"/>
              <w:ind w:right="360"/>
              <w:spacing w:after="0" w:line="99" w:lineRule="exact"/>
              <w:rPr>
                <w:sz w:val="20"/>
                <w:szCs w:val="20"/>
                <w:color w:val="auto"/>
              </w:rPr>
            </w:pPr>
            <w:r>
              <w:rPr>
                <w:rFonts w:ascii="Arial" w:cs="Arial" w:eastAsia="Arial" w:hAnsi="Arial"/>
                <w:sz w:val="9"/>
                <w:szCs w:val="9"/>
                <w:b w:val="1"/>
                <w:bCs w:val="1"/>
                <w:color w:val="auto"/>
              </w:rPr>
              <w:t>38</w:t>
            </w: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31</w:t>
            </w:r>
          </w:p>
        </w:tc>
        <w:tc>
          <w:tcPr>
            <w:tcW w:w="140" w:type="dxa"/>
            <w:vAlign w:val="bottom"/>
          </w:tcPr>
          <w:p>
            <w:pPr>
              <w:spacing w:after="0"/>
              <w:rPr>
                <w:sz w:val="8"/>
                <w:szCs w:val="8"/>
                <w:color w:val="auto"/>
              </w:rPr>
            </w:pPr>
          </w:p>
        </w:tc>
      </w:tr>
      <w:tr>
        <w:trPr>
          <w:trHeight w:val="99"/>
        </w:trPr>
        <w:tc>
          <w:tcPr>
            <w:tcW w:w="80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Cash and cash equivalents</w:t>
            </w:r>
          </w:p>
        </w:tc>
        <w:tc>
          <w:tcPr>
            <w:tcW w:w="1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b w:val="1"/>
                <w:bCs w:val="1"/>
                <w:color w:val="auto"/>
                <w:w w:val="79"/>
              </w:rPr>
              <w:t>0 – 2</w:t>
            </w:r>
          </w:p>
        </w:tc>
        <w:tc>
          <w:tcPr>
            <w:tcW w:w="720" w:type="dxa"/>
            <w:vAlign w:val="bottom"/>
            <w:gridSpan w:val="3"/>
            <w:shd w:val="clear" w:color="auto" w:fill="CCEEFF"/>
          </w:tcPr>
          <w:p>
            <w:pPr>
              <w:jc w:val="right"/>
              <w:ind w:right="360"/>
              <w:spacing w:after="0" w:line="99" w:lineRule="exact"/>
              <w:rPr>
                <w:sz w:val="20"/>
                <w:szCs w:val="20"/>
                <w:color w:val="auto"/>
              </w:rPr>
            </w:pPr>
            <w:r>
              <w:rPr>
                <w:rFonts w:ascii="Arial" w:cs="Arial" w:eastAsia="Arial" w:hAnsi="Arial"/>
                <w:sz w:val="9"/>
                <w:szCs w:val="9"/>
                <w:b w:val="1"/>
                <w:bCs w:val="1"/>
                <w:color w:val="auto"/>
              </w:rPr>
              <w:t>6</w:t>
            </w:r>
          </w:p>
        </w:tc>
        <w:tc>
          <w:tcPr>
            <w:tcW w:w="2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w:t>
            </w: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b w:val="1"/>
                <w:bCs w:val="1"/>
                <w:color w:val="auto"/>
                <w:w w:val="79"/>
              </w:rPr>
              <w:t>0 – 2</w:t>
            </w:r>
          </w:p>
        </w:tc>
        <w:tc>
          <w:tcPr>
            <w:tcW w:w="820" w:type="dxa"/>
            <w:vAlign w:val="bottom"/>
            <w:gridSpan w:val="3"/>
            <w:shd w:val="clear" w:color="auto" w:fill="CCEEFF"/>
          </w:tcPr>
          <w:p>
            <w:pPr>
              <w:jc w:val="right"/>
              <w:ind w:right="360"/>
              <w:spacing w:after="0" w:line="99" w:lineRule="exact"/>
              <w:rPr>
                <w:sz w:val="20"/>
                <w:szCs w:val="20"/>
                <w:color w:val="auto"/>
              </w:rPr>
            </w:pPr>
            <w:r>
              <w:rPr>
                <w:rFonts w:ascii="Arial" w:cs="Arial" w:eastAsia="Arial" w:hAnsi="Arial"/>
                <w:sz w:val="9"/>
                <w:szCs w:val="9"/>
                <w:b w:val="1"/>
                <w:bCs w:val="1"/>
                <w:color w:val="auto"/>
              </w:rPr>
              <w:t>4</w:t>
            </w: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w:t>
            </w:r>
          </w:p>
        </w:tc>
        <w:tc>
          <w:tcPr>
            <w:tcW w:w="140" w:type="dxa"/>
            <w:vAlign w:val="bottom"/>
            <w:shd w:val="clear" w:color="auto" w:fill="CCEEFF"/>
          </w:tcPr>
          <w:p>
            <w:pPr>
              <w:spacing w:after="0"/>
              <w:rPr>
                <w:sz w:val="8"/>
                <w:szCs w:val="8"/>
                <w:color w:val="auto"/>
              </w:rPr>
            </w:pPr>
          </w:p>
        </w:tc>
      </w:tr>
      <w:tr>
        <w:trPr>
          <w:trHeight w:val="99"/>
        </w:trPr>
        <w:tc>
          <w:tcPr>
            <w:tcW w:w="8020" w:type="dxa"/>
            <w:vAlign w:val="bottom"/>
          </w:tcPr>
          <w:p>
            <w:pPr>
              <w:spacing w:after="0" w:line="99" w:lineRule="exact"/>
              <w:rPr>
                <w:sz w:val="20"/>
                <w:szCs w:val="20"/>
                <w:color w:val="auto"/>
              </w:rPr>
            </w:pPr>
            <w:r>
              <w:rPr>
                <w:rFonts w:ascii="Arial" w:cs="Arial" w:eastAsia="Arial" w:hAnsi="Arial"/>
                <w:sz w:val="9"/>
                <w:szCs w:val="9"/>
                <w:color w:val="auto"/>
              </w:rPr>
              <w:t>Alternative investments</w:t>
            </w:r>
          </w:p>
        </w:tc>
        <w:tc>
          <w:tcPr>
            <w:tcW w:w="1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0</w:t>
            </w:r>
          </w:p>
        </w:tc>
        <w:tc>
          <w:tcPr>
            <w:tcW w:w="40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w w:val="91"/>
              </w:rPr>
              <w:t>– 10</w:t>
            </w:r>
          </w:p>
        </w:tc>
        <w:tc>
          <w:tcPr>
            <w:tcW w:w="720" w:type="dxa"/>
            <w:vAlign w:val="bottom"/>
            <w:gridSpan w:val="3"/>
          </w:tcPr>
          <w:p>
            <w:pPr>
              <w:jc w:val="right"/>
              <w:ind w:right="360"/>
              <w:spacing w:after="0" w:line="99" w:lineRule="exact"/>
              <w:rPr>
                <w:sz w:val="20"/>
                <w:szCs w:val="20"/>
                <w:color w:val="auto"/>
              </w:rPr>
            </w:pPr>
            <w:r>
              <w:rPr>
                <w:rFonts w:ascii="Arial" w:cs="Arial" w:eastAsia="Arial" w:hAnsi="Arial"/>
                <w:sz w:val="9"/>
                <w:szCs w:val="9"/>
                <w:b w:val="1"/>
                <w:bCs w:val="1"/>
                <w:color w:val="auto"/>
              </w:rPr>
              <w:t>8</w:t>
            </w:r>
          </w:p>
        </w:tc>
        <w:tc>
          <w:tcPr>
            <w:tcW w:w="200" w:type="dxa"/>
            <w:vAlign w:val="bottom"/>
          </w:tcPr>
          <w:p>
            <w:pPr>
              <w:jc w:val="right"/>
              <w:spacing w:after="0" w:line="99" w:lineRule="exact"/>
              <w:rPr>
                <w:sz w:val="20"/>
                <w:szCs w:val="20"/>
                <w:color w:val="auto"/>
              </w:rPr>
            </w:pPr>
            <w:r>
              <w:rPr>
                <w:rFonts w:ascii="Arial" w:cs="Arial" w:eastAsia="Arial" w:hAnsi="Arial"/>
                <w:sz w:val="9"/>
                <w:szCs w:val="9"/>
                <w:color w:val="auto"/>
              </w:rPr>
              <w:t>6</w:t>
            </w:r>
          </w:p>
        </w:tc>
        <w:tc>
          <w:tcPr>
            <w:tcW w:w="340" w:type="dxa"/>
            <w:vAlign w:val="bottom"/>
          </w:tcPr>
          <w:p>
            <w:pPr>
              <w:spacing w:after="0"/>
              <w:rPr>
                <w:sz w:val="8"/>
                <w:szCs w:val="8"/>
                <w:color w:val="auto"/>
              </w:rPr>
            </w:pPr>
          </w:p>
        </w:tc>
        <w:tc>
          <w:tcPr>
            <w:tcW w:w="1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0</w:t>
            </w:r>
          </w:p>
        </w:tc>
        <w:tc>
          <w:tcPr>
            <w:tcW w:w="30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w w:val="91"/>
              </w:rPr>
              <w:t>– 20</w:t>
            </w:r>
          </w:p>
        </w:tc>
        <w:tc>
          <w:tcPr>
            <w:tcW w:w="820" w:type="dxa"/>
            <w:vAlign w:val="bottom"/>
            <w:gridSpan w:val="3"/>
          </w:tcPr>
          <w:p>
            <w:pPr>
              <w:jc w:val="right"/>
              <w:ind w:right="360"/>
              <w:spacing w:after="0" w:line="99" w:lineRule="exact"/>
              <w:rPr>
                <w:sz w:val="20"/>
                <w:szCs w:val="20"/>
                <w:color w:val="auto"/>
              </w:rPr>
            </w:pPr>
            <w:r>
              <w:rPr>
                <w:rFonts w:ascii="Arial" w:cs="Arial" w:eastAsia="Arial" w:hAnsi="Arial"/>
                <w:sz w:val="9"/>
                <w:szCs w:val="9"/>
                <w:b w:val="1"/>
                <w:bCs w:val="1"/>
                <w:color w:val="auto"/>
              </w:rPr>
              <w:t>7</w:t>
            </w: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5</w:t>
            </w:r>
          </w:p>
        </w:tc>
        <w:tc>
          <w:tcPr>
            <w:tcW w:w="140" w:type="dxa"/>
            <w:vAlign w:val="bottom"/>
          </w:tcPr>
          <w:p>
            <w:pPr>
              <w:spacing w:after="0"/>
              <w:rPr>
                <w:sz w:val="8"/>
                <w:szCs w:val="8"/>
                <w:color w:val="auto"/>
              </w:rPr>
            </w:pPr>
          </w:p>
        </w:tc>
      </w:tr>
      <w:tr>
        <w:trPr>
          <w:trHeight w:val="20"/>
        </w:trPr>
        <w:tc>
          <w:tcPr>
            <w:tcW w:w="8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7"/>
        </w:trPr>
        <w:tc>
          <w:tcPr>
            <w:tcW w:w="80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b w:val="1"/>
                <w:bCs w:val="1"/>
                <w:color w:val="auto"/>
              </w:rPr>
              <w:t>100%</w:t>
            </w:r>
          </w:p>
        </w:tc>
        <w:tc>
          <w:tcPr>
            <w:tcW w:w="720" w:type="dxa"/>
            <w:vAlign w:val="bottom"/>
            <w:gridSpan w:val="3"/>
            <w:shd w:val="clear" w:color="auto" w:fill="CCEEFF"/>
          </w:tcPr>
          <w:p>
            <w:pPr>
              <w:jc w:val="right"/>
              <w:ind w:right="280"/>
              <w:spacing w:after="0" w:line="98" w:lineRule="exact"/>
              <w:rPr>
                <w:sz w:val="20"/>
                <w:szCs w:val="20"/>
                <w:color w:val="auto"/>
              </w:rPr>
            </w:pPr>
            <w:r>
              <w:rPr>
                <w:rFonts w:ascii="Arial" w:cs="Arial" w:eastAsia="Arial" w:hAnsi="Arial"/>
                <w:sz w:val="9"/>
                <w:szCs w:val="9"/>
                <w:b w:val="1"/>
                <w:bCs w:val="1"/>
                <w:color w:val="auto"/>
              </w:rPr>
              <w:t>100%</w:t>
            </w:r>
          </w:p>
        </w:tc>
        <w:tc>
          <w:tcPr>
            <w:tcW w:w="54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100%</w:t>
            </w:r>
          </w:p>
        </w:tc>
        <w:tc>
          <w:tcPr>
            <w:tcW w:w="1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b w:val="1"/>
                <w:bCs w:val="1"/>
                <w:color w:val="auto"/>
              </w:rPr>
              <w:t>100%</w:t>
            </w:r>
          </w:p>
        </w:tc>
        <w:tc>
          <w:tcPr>
            <w:tcW w:w="820" w:type="dxa"/>
            <w:vAlign w:val="bottom"/>
            <w:gridSpan w:val="3"/>
            <w:shd w:val="clear" w:color="auto" w:fill="CCEEFF"/>
          </w:tcPr>
          <w:p>
            <w:pPr>
              <w:jc w:val="right"/>
              <w:ind w:right="280"/>
              <w:spacing w:after="0" w:line="98" w:lineRule="exact"/>
              <w:rPr>
                <w:sz w:val="20"/>
                <w:szCs w:val="20"/>
                <w:color w:val="auto"/>
              </w:rPr>
            </w:pPr>
            <w:r>
              <w:rPr>
                <w:rFonts w:ascii="Arial" w:cs="Arial" w:eastAsia="Arial" w:hAnsi="Arial"/>
                <w:sz w:val="9"/>
                <w:szCs w:val="9"/>
                <w:b w:val="1"/>
                <w:bCs w:val="1"/>
                <w:color w:val="auto"/>
              </w:rPr>
              <w:t>100%</w:t>
            </w:r>
          </w:p>
        </w:tc>
        <w:tc>
          <w:tcPr>
            <w:tcW w:w="3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100%</w:t>
            </w:r>
          </w:p>
        </w:tc>
      </w:tr>
      <w:tr>
        <w:trPr>
          <w:trHeight w:val="20"/>
        </w:trPr>
        <w:tc>
          <w:tcPr>
            <w:tcW w:w="8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57" w:lineRule="exact"/>
        <w:rPr>
          <w:sz w:val="20"/>
          <w:szCs w:val="20"/>
          <w:color w:val="auto"/>
        </w:rPr>
      </w:pPr>
    </w:p>
    <w:p>
      <w:pPr>
        <w:ind w:right="60" w:firstLine="230"/>
        <w:spacing w:after="0" w:line="255" w:lineRule="auto"/>
        <w:rPr>
          <w:sz w:val="20"/>
          <w:szCs w:val="20"/>
          <w:color w:val="auto"/>
        </w:rPr>
      </w:pPr>
      <w:r>
        <w:rPr>
          <w:rFonts w:ascii="Arial" w:cs="Arial" w:eastAsia="Arial" w:hAnsi="Arial"/>
          <w:sz w:val="12"/>
          <w:szCs w:val="12"/>
          <w:color w:val="auto"/>
        </w:rPr>
        <w:t>Schlumberger’s investment policy includes various guidelines and procedures designed to ensure that assets are prudently invested in a manner necessary to meet the future benefit obligation of the pension plans. The policy does not permit the direct investment of plan assets in any Schlumberger security. Schlumberger’s investment horizon is long-term and accordingly the target asset allocations encompass a strategic, long-term perspective of capital markets, expected risk and return behavior and perceived future economic conditions. The key investment principles of diversification, assessment of risk and targeting the optimal expected returns for given levels of risk are applied. The target asset allocation is reviewed periodically and is determined based on a long-term projection of capital market outcomes, inflation rates, fixed income yields, returns, volatilities and correlation relationships. The inclusion of any given asset class in the target asset allocation is considered in relation to its impact on the overall risk/return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9"/>
          <w:szCs w:val="9"/>
          <w:color w:val="auto"/>
        </w:rPr>
        <w:t>65</w:t>
      </w:r>
    </w:p>
    <w:p>
      <w:pPr>
        <w:sectPr>
          <w:pgSz w:w="11900" w:h="16838" w:orient="portrait"/>
          <w:cols w:equalWidth="0" w:num="1">
            <w:col w:w="11480"/>
          </w:cols>
          <w:pgMar w:left="220" w:top="354" w:right="199"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360"/>
        <w:spacing w:after="0" w:line="268" w:lineRule="auto"/>
        <w:rPr>
          <w:sz w:val="20"/>
          <w:szCs w:val="20"/>
          <w:color w:val="auto"/>
        </w:rPr>
      </w:pPr>
      <w:r>
        <w:rPr>
          <w:rFonts w:ascii="Arial" w:cs="Arial" w:eastAsia="Arial" w:hAnsi="Arial"/>
          <w:sz w:val="12"/>
          <w:szCs w:val="12"/>
          <w:color w:val="auto"/>
        </w:rPr>
        <w:t>characteristics as well as its impact on the overall investment return. As part of its strategy, Schlumberger may utilize certain derivative instruments, such as options, futures, swaps and forwards, within the plans to manage risks (currency, interest rate, etc.), as a substitute for physical securities or to obtain exposure to different markets.</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Asset performance is monitored frequently with an overall expectation that plan assets will meet or exceed the weighted index of its target asset allocation and component benchmark over rolling five-year periods.</w:t>
      </w:r>
    </w:p>
    <w:p>
      <w:pPr>
        <w:spacing w:after="0" w:line="10" w:lineRule="exact"/>
        <w:rPr>
          <w:sz w:val="20"/>
          <w:szCs w:val="20"/>
          <w:color w:val="auto"/>
        </w:rPr>
      </w:pPr>
    </w:p>
    <w:p>
      <w:pPr>
        <w:ind w:right="60" w:firstLine="230"/>
        <w:spacing w:after="0" w:line="261" w:lineRule="auto"/>
        <w:rPr>
          <w:sz w:val="20"/>
          <w:szCs w:val="20"/>
          <w:color w:val="auto"/>
        </w:rPr>
      </w:pPr>
      <w:r>
        <w:rPr>
          <w:rFonts w:ascii="Arial" w:cs="Arial" w:eastAsia="Arial" w:hAnsi="Arial"/>
          <w:sz w:val="12"/>
          <w:szCs w:val="12"/>
          <w:color w:val="auto"/>
        </w:rPr>
        <w:t>The expected long-term rate of return on assets assumptions reflect the average rate of earnings expected on funds invested or to be invested. The assumptions have been determined by reflecting expectations regarding future rates of return for the portfolio considering the asset allocation and related historical rates of return. The appropriateness of the assumptions is reviewed annually.</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fair value of Schlumberger’s pension plan assets at December 31, 2011 and 2010, by asset category, are presented below and were determined based on valuation techniques categorized as follows: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Level One: The use of quoted prices in active markets for identical instruments.</w:t>
      </w:r>
    </w:p>
    <w:p>
      <w:pPr>
        <w:spacing w:after="0" w:line="60" w:lineRule="exact"/>
        <w:rPr>
          <w:sz w:val="20"/>
          <w:szCs w:val="20"/>
          <w:color w:val="auto"/>
        </w:rPr>
      </w:pPr>
    </w:p>
    <w:p>
      <w:pPr>
        <w:ind w:left="780" w:right="500" w:hanging="333"/>
        <w:spacing w:after="0" w:line="268" w:lineRule="auto"/>
        <w:rPr>
          <w:sz w:val="20"/>
          <w:szCs w:val="20"/>
          <w:color w:val="auto"/>
        </w:rPr>
      </w:pPr>
      <w:r>
        <w:rPr>
          <w:rFonts w:ascii="Arial" w:cs="Arial" w:eastAsia="Arial" w:hAnsi="Arial"/>
          <w:sz w:val="12"/>
          <w:szCs w:val="12"/>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Level Three: The use of significantly unobservable inputs that typically require the use of management’s estimates of assumptions that market participants would use in pricing.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5"/>
          </w:tcPr>
          <w:p>
            <w:pPr>
              <w:jc w:val="right"/>
              <w:ind w:right="60"/>
              <w:spacing w:after="0"/>
              <w:rPr>
                <w:sz w:val="20"/>
                <w:szCs w:val="20"/>
                <w:color w:val="auto"/>
              </w:rPr>
            </w:pPr>
            <w:r>
              <w:rPr>
                <w:rFonts w:ascii="Arial" w:cs="Arial" w:eastAsia="Arial" w:hAnsi="Arial"/>
                <w:sz w:val="9"/>
                <w:szCs w:val="9"/>
                <w:b w:val="1"/>
                <w:bCs w:val="1"/>
                <w:color w:val="auto"/>
              </w:rPr>
              <w:t>(Stated in millions)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9"/>
                <w:szCs w:val="9"/>
                <w:b w:val="1"/>
                <w:bCs w:val="1"/>
                <w:color w:val="auto"/>
                <w:w w:val="99"/>
              </w:rPr>
              <w:t>US Plan Assets</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jc w:val="right"/>
              <w:ind w:right="15"/>
              <w:spacing w:after="0" w:line="88" w:lineRule="exact"/>
              <w:rPr>
                <w:sz w:val="20"/>
                <w:szCs w:val="20"/>
                <w:color w:val="auto"/>
              </w:rPr>
            </w:pPr>
            <w:r>
              <w:rPr>
                <w:rFonts w:ascii="Arial" w:cs="Arial" w:eastAsia="Arial" w:hAnsi="Arial"/>
                <w:sz w:val="9"/>
                <w:szCs w:val="9"/>
                <w:b w:val="1"/>
                <w:bCs w:val="1"/>
                <w:color w:val="auto"/>
                <w:w w:val="89"/>
              </w:rPr>
              <w:t>2011</w:t>
            </w: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9"/>
              </w:rPr>
              <w:t>2010</w:t>
            </w: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6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gridSpan w:val="2"/>
          </w:tcPr>
          <w:p>
            <w:pPr>
              <w:jc w:val="right"/>
              <w:ind w:right="20"/>
              <w:spacing w:after="0" w:line="79" w:lineRule="exact"/>
              <w:rPr>
                <w:sz w:val="20"/>
                <w:szCs w:val="20"/>
                <w:color w:val="auto"/>
              </w:rPr>
            </w:pPr>
            <w:r>
              <w:rPr>
                <w:rFonts w:ascii="Arial" w:cs="Arial" w:eastAsia="Arial" w:hAnsi="Arial"/>
                <w:sz w:val="9"/>
                <w:szCs w:val="9"/>
                <w:b w:val="1"/>
                <w:bCs w:val="1"/>
                <w:color w:val="auto"/>
                <w:w w:val="95"/>
              </w:rPr>
              <w:t>Level</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gridSpan w:val="2"/>
          </w:tcPr>
          <w:p>
            <w:pPr>
              <w:jc w:val="right"/>
              <w:ind w:right="140"/>
              <w:spacing w:after="0" w:line="79" w:lineRule="exact"/>
              <w:rPr>
                <w:sz w:val="20"/>
                <w:szCs w:val="20"/>
                <w:color w:val="auto"/>
              </w:rPr>
            </w:pPr>
            <w:r>
              <w:rPr>
                <w:rFonts w:ascii="Arial" w:cs="Arial" w:eastAsia="Arial" w:hAnsi="Arial"/>
                <w:sz w:val="9"/>
                <w:szCs w:val="9"/>
                <w:b w:val="1"/>
                <w:bCs w:val="1"/>
                <w:color w:val="auto"/>
                <w:w w:val="86"/>
              </w:rPr>
              <w:t>Level</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jc w:val="right"/>
              <w:spacing w:after="0" w:line="79" w:lineRule="exact"/>
              <w:rPr>
                <w:sz w:val="20"/>
                <w:szCs w:val="20"/>
                <w:color w:val="auto"/>
              </w:rPr>
            </w:pPr>
            <w:r>
              <w:rPr>
                <w:rFonts w:ascii="Arial" w:cs="Arial" w:eastAsia="Arial" w:hAnsi="Arial"/>
                <w:sz w:val="9"/>
                <w:szCs w:val="9"/>
                <w:b w:val="1"/>
                <w:bCs w:val="1"/>
                <w:color w:val="auto"/>
                <w:w w:val="95"/>
              </w:rPr>
              <w:t>Level</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gridSpan w:val="2"/>
          </w:tcPr>
          <w:p>
            <w:pPr>
              <w:jc w:val="right"/>
              <w:ind w:right="20"/>
              <w:spacing w:after="0" w:line="79" w:lineRule="exact"/>
              <w:rPr>
                <w:sz w:val="20"/>
                <w:szCs w:val="20"/>
                <w:color w:val="auto"/>
              </w:rPr>
            </w:pPr>
            <w:r>
              <w:rPr>
                <w:rFonts w:ascii="Arial" w:cs="Arial" w:eastAsia="Arial" w:hAnsi="Arial"/>
                <w:sz w:val="9"/>
                <w:szCs w:val="9"/>
                <w:b w:val="1"/>
                <w:bCs w:val="1"/>
                <w:color w:val="auto"/>
                <w:w w:val="95"/>
              </w:rPr>
              <w:t>Level</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tcPr>
          <w:p>
            <w:pPr>
              <w:jc w:val="right"/>
              <w:ind w:right="140"/>
              <w:spacing w:after="0" w:line="79" w:lineRule="exact"/>
              <w:rPr>
                <w:sz w:val="20"/>
                <w:szCs w:val="20"/>
                <w:color w:val="auto"/>
              </w:rPr>
            </w:pPr>
            <w:r>
              <w:rPr>
                <w:rFonts w:ascii="Arial" w:cs="Arial" w:eastAsia="Arial" w:hAnsi="Arial"/>
                <w:sz w:val="9"/>
                <w:szCs w:val="9"/>
                <w:b w:val="1"/>
                <w:bCs w:val="1"/>
                <w:color w:val="auto"/>
                <w:w w:val="95"/>
              </w:rPr>
              <w:t>Level</w:t>
            </w:r>
          </w:p>
        </w:tc>
        <w:tc>
          <w:tcPr>
            <w:tcW w:w="200" w:type="dxa"/>
            <w:vAlign w:val="bottom"/>
          </w:tcPr>
          <w:p>
            <w:pPr>
              <w:spacing w:after="0"/>
              <w:rPr>
                <w:sz w:val="6"/>
                <w:szCs w:val="6"/>
                <w:color w:val="auto"/>
              </w:rPr>
            </w:pPr>
          </w:p>
        </w:tc>
        <w:tc>
          <w:tcPr>
            <w:tcW w:w="260" w:type="dxa"/>
            <w:vAlign w:val="bottom"/>
          </w:tcPr>
          <w:p>
            <w:pPr>
              <w:jc w:val="right"/>
              <w:spacing w:after="0" w:line="79" w:lineRule="exact"/>
              <w:rPr>
                <w:sz w:val="20"/>
                <w:szCs w:val="20"/>
                <w:color w:val="auto"/>
              </w:rPr>
            </w:pPr>
            <w:r>
              <w:rPr>
                <w:rFonts w:ascii="Arial" w:cs="Arial" w:eastAsia="Arial" w:hAnsi="Arial"/>
                <w:sz w:val="9"/>
                <w:szCs w:val="9"/>
                <w:b w:val="1"/>
                <w:bCs w:val="1"/>
                <w:color w:val="auto"/>
              </w:rPr>
              <w:t>Level</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ind w:left="40"/>
              <w:spacing w:after="0"/>
              <w:rPr>
                <w:sz w:val="20"/>
                <w:szCs w:val="20"/>
                <w:color w:val="auto"/>
              </w:rPr>
            </w:pPr>
            <w:r>
              <w:rPr>
                <w:rFonts w:ascii="Arial" w:cs="Arial" w:eastAsia="Arial" w:hAnsi="Arial"/>
                <w:sz w:val="9"/>
                <w:szCs w:val="9"/>
                <w:b w:val="1"/>
                <w:bCs w:val="1"/>
                <w:color w:val="auto"/>
              </w:rPr>
              <w:t>Total</w:t>
            </w:r>
          </w:p>
        </w:tc>
        <w:tc>
          <w:tcPr>
            <w:tcW w:w="60" w:type="dxa"/>
            <w:vAlign w:val="bottom"/>
          </w:tcPr>
          <w:p>
            <w:pPr>
              <w:spacing w:after="0"/>
              <w:rPr>
                <w:sz w:val="9"/>
                <w:szCs w:val="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One</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rPr>
              <w:t>Two</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w w:val="89"/>
              </w:rPr>
              <w:t>Three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92"/>
              </w:rPr>
              <w:t>Total</w:t>
            </w:r>
          </w:p>
        </w:tc>
        <w:tc>
          <w:tcPr>
            <w:tcW w:w="80" w:type="dxa"/>
            <w:vAlign w:val="bottom"/>
          </w:tcPr>
          <w:p>
            <w:pPr>
              <w:spacing w:after="0"/>
              <w:rPr>
                <w:sz w:val="9"/>
                <w:szCs w:val="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One</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rPr>
              <w:t>Two</w:t>
            </w:r>
          </w:p>
        </w:tc>
        <w:tc>
          <w:tcPr>
            <w:tcW w:w="200" w:type="dxa"/>
            <w:vAlign w:val="bottom"/>
          </w:tcPr>
          <w:p>
            <w:pPr>
              <w:spacing w:after="0"/>
              <w:rPr>
                <w:sz w:val="9"/>
                <w:szCs w:val="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w w:val="97"/>
              </w:rPr>
              <w:t>Three</w:t>
            </w:r>
          </w:p>
        </w:tc>
        <w:tc>
          <w:tcPr>
            <w:tcW w:w="0" w:type="dxa"/>
            <w:vAlign w:val="bottom"/>
          </w:tcPr>
          <w:p>
            <w:pPr>
              <w:spacing w:after="0"/>
              <w:rPr>
                <w:sz w:val="1"/>
                <w:szCs w:val="1"/>
                <w:color w:val="auto"/>
              </w:rPr>
            </w:pPr>
          </w:p>
        </w:tc>
      </w:tr>
      <w:tr>
        <w:trPr>
          <w:trHeight w:val="79"/>
        </w:trPr>
        <w:tc>
          <w:tcPr>
            <w:tcW w:w="4620" w:type="dxa"/>
            <w:vAlign w:val="bottom"/>
            <w:tcBorders>
              <w:top w:val="single" w:sz="8" w:color="CCEEFF"/>
            </w:tcBorders>
            <w:gridSpan w:val="2"/>
            <w:shd w:val="clear" w:color="auto" w:fill="CCEEFF"/>
          </w:tcPr>
          <w:p>
            <w:pPr>
              <w:spacing w:after="0" w:line="79" w:lineRule="exact"/>
              <w:rPr>
                <w:sz w:val="20"/>
                <w:szCs w:val="20"/>
                <w:color w:val="auto"/>
              </w:rPr>
            </w:pPr>
            <w:r>
              <w:rPr>
                <w:rFonts w:ascii="Arial" w:cs="Arial" w:eastAsia="Arial" w:hAnsi="Arial"/>
                <w:sz w:val="9"/>
                <w:szCs w:val="9"/>
                <w:b w:val="1"/>
                <w:bCs w:val="1"/>
                <w:color w:val="auto"/>
              </w:rPr>
              <w:t>Asset Category:</w:t>
            </w:r>
          </w:p>
        </w:tc>
        <w:tc>
          <w:tcPr>
            <w:tcW w:w="23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right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6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Cash and Cash Equivalents</w:t>
            </w:r>
          </w:p>
        </w:tc>
        <w:tc>
          <w:tcPr>
            <w:tcW w:w="2440" w:type="dxa"/>
            <w:vAlign w:val="bottom"/>
            <w:gridSpan w:val="2"/>
          </w:tcPr>
          <w:p>
            <w:pPr>
              <w:jc w:val="right"/>
              <w:ind w:right="20"/>
              <w:spacing w:after="0" w:line="99" w:lineRule="exact"/>
              <w:rPr>
                <w:sz w:val="20"/>
                <w:szCs w:val="20"/>
                <w:color w:val="auto"/>
              </w:rPr>
            </w:pPr>
            <w:r>
              <w:rPr>
                <w:rFonts w:ascii="Arial" w:cs="Arial" w:eastAsia="Arial" w:hAnsi="Arial"/>
                <w:sz w:val="9"/>
                <w:szCs w:val="9"/>
                <w:b w:val="1"/>
                <w:bCs w:val="1"/>
                <w:color w:val="auto"/>
              </w:rPr>
              <w:t>$</w:t>
            </w:r>
          </w:p>
        </w:tc>
        <w:tc>
          <w:tcPr>
            <w:tcW w:w="52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147</w:t>
            </w: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260" w:type="dxa"/>
            <w:vAlign w:val="bottom"/>
            <w:gridSpan w:val="2"/>
          </w:tcPr>
          <w:p>
            <w:pPr>
              <w:jc w:val="right"/>
              <w:ind w:right="20"/>
              <w:spacing w:after="0" w:line="99" w:lineRule="exact"/>
              <w:rPr>
                <w:sz w:val="20"/>
                <w:szCs w:val="20"/>
                <w:color w:val="auto"/>
              </w:rPr>
            </w:pPr>
            <w:r>
              <w:rPr>
                <w:rFonts w:ascii="Arial" w:cs="Arial" w:eastAsia="Arial" w:hAnsi="Arial"/>
                <w:sz w:val="9"/>
                <w:szCs w:val="9"/>
                <w:b w:val="1"/>
                <w:bCs w:val="1"/>
                <w:color w:val="auto"/>
              </w:rPr>
              <w:t>39</w:t>
            </w:r>
          </w:p>
        </w:tc>
        <w:tc>
          <w:tcPr>
            <w:tcW w:w="340" w:type="dxa"/>
            <w:vAlign w:val="bottom"/>
            <w:gridSpan w:val="2"/>
          </w:tcPr>
          <w:p>
            <w:pPr>
              <w:jc w:val="right"/>
              <w:ind w:right="17"/>
              <w:spacing w:after="0" w:line="99" w:lineRule="exact"/>
              <w:rPr>
                <w:sz w:val="20"/>
                <w:szCs w:val="20"/>
                <w:color w:val="auto"/>
              </w:rPr>
            </w:pPr>
            <w:r>
              <w:rPr>
                <w:rFonts w:ascii="Arial" w:cs="Arial" w:eastAsia="Arial" w:hAnsi="Arial"/>
                <w:sz w:val="9"/>
                <w:szCs w:val="9"/>
                <w:b w:val="1"/>
                <w:bCs w:val="1"/>
                <w:color w:val="auto"/>
              </w:rPr>
              <w:t>$</w:t>
            </w: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108</w:t>
            </w:r>
          </w:p>
        </w:tc>
        <w:tc>
          <w:tcPr>
            <w:tcW w:w="140" w:type="dxa"/>
            <w:vAlign w:val="bottom"/>
          </w:tcPr>
          <w:p>
            <w:pPr>
              <w:spacing w:after="0"/>
              <w:rPr>
                <w:sz w:val="8"/>
                <w:szCs w:val="8"/>
                <w:color w:val="auto"/>
              </w:rPr>
            </w:pPr>
          </w:p>
        </w:tc>
        <w:tc>
          <w:tcPr>
            <w:tcW w:w="20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380" w:type="dxa"/>
            <w:vAlign w:val="bottom"/>
            <w:gridSpan w:val="2"/>
          </w:tcPr>
          <w:p>
            <w:pPr>
              <w:jc w:val="right"/>
              <w:ind w:right="140"/>
              <w:spacing w:after="0" w:line="99" w:lineRule="exact"/>
              <w:rPr>
                <w:sz w:val="20"/>
                <w:szCs w:val="20"/>
                <w:color w:val="auto"/>
              </w:rPr>
            </w:pPr>
            <w:r>
              <w:rPr>
                <w:rFonts w:ascii="Arial" w:cs="Arial" w:eastAsia="Arial" w:hAnsi="Arial"/>
                <w:sz w:val="9"/>
                <w:szCs w:val="9"/>
                <w:b w:val="1"/>
                <w:bCs w:val="1"/>
                <w:color w:val="auto"/>
              </w:rPr>
              <w:t>–</w:t>
            </w:r>
          </w:p>
        </w:tc>
        <w:tc>
          <w:tcPr>
            <w:tcW w:w="22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67</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26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35</w:t>
            </w: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32</w:t>
            </w:r>
          </w:p>
        </w:tc>
        <w:tc>
          <w:tcPr>
            <w:tcW w:w="140" w:type="dxa"/>
            <w:vAlign w:val="bottom"/>
          </w:tcPr>
          <w:p>
            <w:pPr>
              <w:spacing w:after="0"/>
              <w:rPr>
                <w:sz w:val="8"/>
                <w:szCs w:val="8"/>
                <w:color w:val="auto"/>
              </w:rPr>
            </w:pPr>
          </w:p>
        </w:tc>
        <w:tc>
          <w:tcPr>
            <w:tcW w:w="20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0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Equity Securities:</w:t>
            </w:r>
          </w:p>
        </w:tc>
        <w:tc>
          <w:tcPr>
            <w:tcW w:w="2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00" w:type="dxa"/>
            <w:vAlign w:val="bottom"/>
          </w:tcPr>
          <w:p>
            <w:pPr>
              <w:ind w:left="260"/>
              <w:spacing w:after="0" w:line="99" w:lineRule="exact"/>
              <w:rPr>
                <w:sz w:val="20"/>
                <w:szCs w:val="20"/>
                <w:color w:val="auto"/>
              </w:rPr>
            </w:pPr>
            <w:r>
              <w:rPr>
                <w:rFonts w:ascii="Arial" w:cs="Arial" w:eastAsia="Arial" w:hAnsi="Arial"/>
                <w:sz w:val="11"/>
                <w:szCs w:val="11"/>
                <w:color w:val="auto"/>
                <w:vertAlign w:val="subscript"/>
              </w:rPr>
              <w:t>US</w:t>
            </w:r>
            <w:r>
              <w:rPr>
                <w:rFonts w:ascii="Arial" w:cs="Arial" w:eastAsia="Arial" w:hAnsi="Arial"/>
                <w:sz w:val="6"/>
                <w:szCs w:val="6"/>
                <w:color w:val="auto"/>
              </w:rPr>
              <w:t>(a)</w:t>
            </w: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806</w:t>
            </w:r>
          </w:p>
        </w:tc>
        <w:tc>
          <w:tcPr>
            <w:tcW w:w="60" w:type="dxa"/>
            <w:vAlign w:val="bottom"/>
          </w:tcPr>
          <w:p>
            <w:pPr>
              <w:spacing w:after="0"/>
              <w:rPr>
                <w:sz w:val="8"/>
                <w:szCs w:val="8"/>
                <w:color w:val="auto"/>
              </w:rPr>
            </w:pPr>
          </w:p>
        </w:tc>
        <w:tc>
          <w:tcPr>
            <w:tcW w:w="260" w:type="dxa"/>
            <w:vAlign w:val="bottom"/>
            <w:gridSpan w:val="2"/>
          </w:tcPr>
          <w:p>
            <w:pPr>
              <w:jc w:val="right"/>
              <w:ind w:right="20"/>
              <w:spacing w:after="0" w:line="99" w:lineRule="exact"/>
              <w:rPr>
                <w:sz w:val="20"/>
                <w:szCs w:val="20"/>
                <w:color w:val="auto"/>
              </w:rPr>
            </w:pPr>
            <w:r>
              <w:rPr>
                <w:rFonts w:ascii="Arial" w:cs="Arial" w:eastAsia="Arial" w:hAnsi="Arial"/>
                <w:sz w:val="9"/>
                <w:szCs w:val="9"/>
                <w:b w:val="1"/>
                <w:bCs w:val="1"/>
                <w:color w:val="auto"/>
              </w:rPr>
              <w:t>471</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335</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885</w:t>
            </w:r>
          </w:p>
        </w:tc>
        <w:tc>
          <w:tcPr>
            <w:tcW w:w="80" w:type="dxa"/>
            <w:vAlign w:val="bottom"/>
          </w:tcPr>
          <w:p>
            <w:pPr>
              <w:spacing w:after="0"/>
              <w:rPr>
                <w:sz w:val="8"/>
                <w:szCs w:val="8"/>
                <w:color w:val="auto"/>
              </w:rPr>
            </w:pPr>
          </w:p>
        </w:tc>
        <w:tc>
          <w:tcPr>
            <w:tcW w:w="26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635</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250</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00" w:type="dxa"/>
            <w:vAlign w:val="bottom"/>
            <w:shd w:val="clear" w:color="auto" w:fill="CCEEFF"/>
          </w:tcPr>
          <w:p>
            <w:pPr>
              <w:ind w:left="260"/>
              <w:spacing w:after="0" w:line="99" w:lineRule="exact"/>
              <w:rPr>
                <w:sz w:val="20"/>
                <w:szCs w:val="20"/>
                <w:color w:val="auto"/>
              </w:rPr>
            </w:pPr>
            <w:r>
              <w:rPr>
                <w:rFonts w:ascii="Arial" w:cs="Arial" w:eastAsia="Arial" w:hAnsi="Arial"/>
                <w:sz w:val="7"/>
                <w:szCs w:val="7"/>
                <w:color w:val="auto"/>
              </w:rPr>
              <w:t>International</w:t>
            </w:r>
            <w:r>
              <w:rPr>
                <w:rFonts w:ascii="Arial" w:cs="Arial" w:eastAsia="Arial" w:hAnsi="Arial"/>
                <w:sz w:val="11"/>
                <w:szCs w:val="11"/>
                <w:color w:val="auto"/>
                <w:vertAlign w:val="superscript"/>
              </w:rPr>
              <w:t>(b)</w:t>
            </w:r>
          </w:p>
        </w:tc>
        <w:tc>
          <w:tcPr>
            <w:tcW w:w="2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453</w:t>
            </w:r>
          </w:p>
        </w:tc>
        <w:tc>
          <w:tcPr>
            <w:tcW w:w="6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b w:val="1"/>
                <w:bCs w:val="1"/>
                <w:color w:val="auto"/>
              </w:rPr>
              <w:t>369</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84</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473</w:t>
            </w:r>
          </w:p>
        </w:tc>
        <w:tc>
          <w:tcPr>
            <w:tcW w:w="8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370</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103</w:t>
            </w:r>
          </w:p>
        </w:tc>
        <w:tc>
          <w:tcPr>
            <w:tcW w:w="1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00" w:type="dxa"/>
            <w:vAlign w:val="bottom"/>
          </w:tcPr>
          <w:p>
            <w:pPr>
              <w:spacing w:after="0" w:line="99" w:lineRule="exact"/>
              <w:rPr>
                <w:sz w:val="20"/>
                <w:szCs w:val="20"/>
                <w:color w:val="auto"/>
              </w:rPr>
            </w:pPr>
            <w:r>
              <w:rPr>
                <w:rFonts w:ascii="Arial" w:cs="Arial" w:eastAsia="Arial" w:hAnsi="Arial"/>
                <w:sz w:val="9"/>
                <w:szCs w:val="9"/>
                <w:b w:val="1"/>
                <w:bCs w:val="1"/>
                <w:color w:val="auto"/>
              </w:rPr>
              <w:t>Debt Securities:</w:t>
            </w: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00" w:type="dxa"/>
            <w:vAlign w:val="bottom"/>
            <w:shd w:val="clear" w:color="auto" w:fill="CCEEFF"/>
          </w:tcPr>
          <w:p>
            <w:pPr>
              <w:ind w:left="260"/>
              <w:spacing w:after="0" w:line="99" w:lineRule="exact"/>
              <w:rPr>
                <w:sz w:val="20"/>
                <w:szCs w:val="20"/>
                <w:color w:val="auto"/>
              </w:rPr>
            </w:pPr>
            <w:r>
              <w:rPr>
                <w:rFonts w:ascii="Arial" w:cs="Arial" w:eastAsia="Arial" w:hAnsi="Arial"/>
                <w:sz w:val="7"/>
                <w:szCs w:val="7"/>
                <w:color w:val="auto"/>
              </w:rPr>
              <w:t>Corporate bonds</w:t>
            </w:r>
            <w:r>
              <w:rPr>
                <w:rFonts w:ascii="Arial" w:cs="Arial" w:eastAsia="Arial" w:hAnsi="Arial"/>
                <w:sz w:val="11"/>
                <w:szCs w:val="11"/>
                <w:color w:val="auto"/>
                <w:vertAlign w:val="superscript"/>
              </w:rPr>
              <w:t>(c)</w:t>
            </w:r>
          </w:p>
        </w:tc>
        <w:tc>
          <w:tcPr>
            <w:tcW w:w="2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340</w:t>
            </w: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340</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220</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220</w:t>
            </w:r>
          </w:p>
        </w:tc>
        <w:tc>
          <w:tcPr>
            <w:tcW w:w="1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00" w:type="dxa"/>
            <w:vAlign w:val="bottom"/>
          </w:tcPr>
          <w:p>
            <w:pPr>
              <w:ind w:left="260"/>
              <w:spacing w:after="0" w:line="99" w:lineRule="exact"/>
              <w:rPr>
                <w:sz w:val="20"/>
                <w:szCs w:val="20"/>
                <w:color w:val="auto"/>
              </w:rPr>
            </w:pPr>
            <w:r>
              <w:rPr>
                <w:rFonts w:ascii="Arial" w:cs="Arial" w:eastAsia="Arial" w:hAnsi="Arial"/>
                <w:sz w:val="7"/>
                <w:szCs w:val="7"/>
                <w:color w:val="auto"/>
              </w:rPr>
              <w:t>Government and government-related debt securities</w:t>
            </w:r>
            <w:r>
              <w:rPr>
                <w:rFonts w:ascii="Arial" w:cs="Arial" w:eastAsia="Arial" w:hAnsi="Arial"/>
                <w:sz w:val="11"/>
                <w:szCs w:val="11"/>
                <w:color w:val="auto"/>
                <w:vertAlign w:val="superscript"/>
              </w:rPr>
              <w:t>(d)</w:t>
            </w: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545</w:t>
            </w:r>
          </w:p>
        </w:tc>
        <w:tc>
          <w:tcPr>
            <w:tcW w:w="60" w:type="dxa"/>
            <w:vAlign w:val="bottom"/>
          </w:tcPr>
          <w:p>
            <w:pPr>
              <w:spacing w:after="0"/>
              <w:rPr>
                <w:sz w:val="8"/>
                <w:szCs w:val="8"/>
                <w:color w:val="auto"/>
              </w:rPr>
            </w:pPr>
          </w:p>
        </w:tc>
        <w:tc>
          <w:tcPr>
            <w:tcW w:w="260" w:type="dxa"/>
            <w:vAlign w:val="bottom"/>
            <w:gridSpan w:val="2"/>
          </w:tcPr>
          <w:p>
            <w:pPr>
              <w:jc w:val="right"/>
              <w:ind w:right="20"/>
              <w:spacing w:after="0" w:line="99" w:lineRule="exact"/>
              <w:rPr>
                <w:sz w:val="20"/>
                <w:szCs w:val="20"/>
                <w:color w:val="auto"/>
              </w:rPr>
            </w:pPr>
            <w:r>
              <w:rPr>
                <w:rFonts w:ascii="Arial" w:cs="Arial" w:eastAsia="Arial" w:hAnsi="Arial"/>
                <w:sz w:val="9"/>
                <w:szCs w:val="9"/>
                <w:b w:val="1"/>
                <w:bCs w:val="1"/>
                <w:color w:val="auto"/>
              </w:rPr>
              <w:t>146</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399</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554</w:t>
            </w:r>
          </w:p>
        </w:tc>
        <w:tc>
          <w:tcPr>
            <w:tcW w:w="80" w:type="dxa"/>
            <w:vAlign w:val="bottom"/>
          </w:tcPr>
          <w:p>
            <w:pPr>
              <w:spacing w:after="0"/>
              <w:rPr>
                <w:sz w:val="8"/>
                <w:szCs w:val="8"/>
                <w:color w:val="auto"/>
              </w:rPr>
            </w:pPr>
          </w:p>
        </w:tc>
        <w:tc>
          <w:tcPr>
            <w:tcW w:w="26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148</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406</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00" w:type="dxa"/>
            <w:vAlign w:val="bottom"/>
            <w:shd w:val="clear" w:color="auto" w:fill="CCEEFF"/>
          </w:tcPr>
          <w:p>
            <w:pPr>
              <w:ind w:left="260"/>
              <w:spacing w:after="0" w:line="99" w:lineRule="exact"/>
              <w:rPr>
                <w:sz w:val="20"/>
                <w:szCs w:val="20"/>
                <w:color w:val="auto"/>
              </w:rPr>
            </w:pPr>
            <w:r>
              <w:rPr>
                <w:rFonts w:ascii="Arial" w:cs="Arial" w:eastAsia="Arial" w:hAnsi="Arial"/>
                <w:sz w:val="7"/>
                <w:szCs w:val="7"/>
                <w:color w:val="auto"/>
              </w:rPr>
              <w:t>Government agency collateralized mortgage obligations and mortgage backed securities</w:t>
            </w:r>
            <w:r>
              <w:rPr>
                <w:rFonts w:ascii="Arial" w:cs="Arial" w:eastAsia="Arial" w:hAnsi="Arial"/>
                <w:sz w:val="11"/>
                <w:szCs w:val="11"/>
                <w:color w:val="auto"/>
                <w:vertAlign w:val="superscript"/>
              </w:rPr>
              <w:t>(e)</w:t>
            </w:r>
          </w:p>
        </w:tc>
        <w:tc>
          <w:tcPr>
            <w:tcW w:w="2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96</w:t>
            </w: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96</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201</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201</w:t>
            </w:r>
          </w:p>
        </w:tc>
        <w:tc>
          <w:tcPr>
            <w:tcW w:w="1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00" w:type="dxa"/>
            <w:vAlign w:val="bottom"/>
          </w:tcPr>
          <w:p>
            <w:pPr>
              <w:ind w:left="260"/>
              <w:spacing w:after="0" w:line="99" w:lineRule="exact"/>
              <w:rPr>
                <w:sz w:val="20"/>
                <w:szCs w:val="20"/>
                <w:color w:val="auto"/>
              </w:rPr>
            </w:pPr>
            <w:r>
              <w:rPr>
                <w:rFonts w:ascii="Arial" w:cs="Arial" w:eastAsia="Arial" w:hAnsi="Arial"/>
                <w:sz w:val="7"/>
                <w:szCs w:val="7"/>
                <w:color w:val="auto"/>
              </w:rPr>
              <w:t>Other collateralized mortgage obligations and mortgage-backed securities</w:t>
            </w:r>
            <w:r>
              <w:rPr>
                <w:rFonts w:ascii="Arial" w:cs="Arial" w:eastAsia="Arial" w:hAnsi="Arial"/>
                <w:sz w:val="11"/>
                <w:szCs w:val="11"/>
                <w:color w:val="auto"/>
                <w:vertAlign w:val="superscript"/>
              </w:rPr>
              <w:t>(f)</w:t>
            </w: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58</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58</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67</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67</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0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Alternative Investments:</w:t>
            </w:r>
          </w:p>
        </w:tc>
        <w:tc>
          <w:tcPr>
            <w:tcW w:w="2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00" w:type="dxa"/>
            <w:vAlign w:val="bottom"/>
          </w:tcPr>
          <w:p>
            <w:pPr>
              <w:ind w:left="260"/>
              <w:spacing w:after="0" w:line="99" w:lineRule="exact"/>
              <w:rPr>
                <w:sz w:val="20"/>
                <w:szCs w:val="20"/>
                <w:color w:val="auto"/>
              </w:rPr>
            </w:pPr>
            <w:r>
              <w:rPr>
                <w:rFonts w:ascii="Arial" w:cs="Arial" w:eastAsia="Arial" w:hAnsi="Arial"/>
                <w:sz w:val="7"/>
                <w:szCs w:val="7"/>
                <w:color w:val="auto"/>
              </w:rPr>
              <w:t>Private equity</w:t>
            </w:r>
            <w:r>
              <w:rPr>
                <w:rFonts w:ascii="Arial" w:cs="Arial" w:eastAsia="Arial" w:hAnsi="Arial"/>
                <w:sz w:val="11"/>
                <w:szCs w:val="11"/>
                <w:color w:val="auto"/>
                <w:vertAlign w:val="superscript"/>
              </w:rPr>
              <w:t>(g)</w:t>
            </w: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160</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160</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ind w:right="280"/>
              <w:spacing w:after="0" w:line="99" w:lineRule="exact"/>
              <w:rPr>
                <w:sz w:val="20"/>
                <w:szCs w:val="20"/>
                <w:color w:val="auto"/>
              </w:rPr>
            </w:pPr>
            <w:r>
              <w:rPr>
                <w:rFonts w:ascii="Arial" w:cs="Arial" w:eastAsia="Arial" w:hAnsi="Arial"/>
                <w:sz w:val="9"/>
                <w:szCs w:val="9"/>
                <w:color w:val="auto"/>
              </w:rPr>
              <w:t>128</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128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00" w:type="dxa"/>
            <w:vAlign w:val="bottom"/>
            <w:shd w:val="clear" w:color="auto" w:fill="CCEEFF"/>
          </w:tcPr>
          <w:p>
            <w:pPr>
              <w:ind w:left="260"/>
              <w:spacing w:after="0" w:line="99" w:lineRule="exact"/>
              <w:rPr>
                <w:sz w:val="20"/>
                <w:szCs w:val="20"/>
                <w:color w:val="auto"/>
              </w:rPr>
            </w:pPr>
            <w:r>
              <w:rPr>
                <w:rFonts w:ascii="Arial" w:cs="Arial" w:eastAsia="Arial" w:hAnsi="Arial"/>
                <w:sz w:val="7"/>
                <w:szCs w:val="7"/>
                <w:color w:val="auto"/>
              </w:rPr>
              <w:t>Real estate</w:t>
            </w:r>
            <w:r>
              <w:rPr>
                <w:rFonts w:ascii="Arial" w:cs="Arial" w:eastAsia="Arial" w:hAnsi="Arial"/>
                <w:sz w:val="11"/>
                <w:szCs w:val="11"/>
                <w:color w:val="auto"/>
                <w:vertAlign w:val="superscript"/>
              </w:rPr>
              <w:t>(h)</w:t>
            </w:r>
          </w:p>
        </w:tc>
        <w:tc>
          <w:tcPr>
            <w:tcW w:w="2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50</w:t>
            </w: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50</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color w:val="auto"/>
              </w:rPr>
              <w:t>40</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40</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vMerge w:val="continue"/>
          </w:tcPr>
          <w:p>
            <w:pPr>
              <w:spacing w:after="0"/>
              <w:rPr>
                <w:sz w:val="8"/>
                <w:szCs w:val="8"/>
                <w:color w:val="auto"/>
              </w:rPr>
            </w:pPr>
          </w:p>
        </w:tc>
        <w:tc>
          <w:tcPr>
            <w:tcW w:w="4600" w:type="dxa"/>
            <w:vAlign w:val="bottom"/>
          </w:tcPr>
          <w:p>
            <w:pPr>
              <w:spacing w:after="0" w:line="98" w:lineRule="exact"/>
              <w:rPr>
                <w:sz w:val="20"/>
                <w:szCs w:val="20"/>
                <w:color w:val="auto"/>
              </w:rPr>
            </w:pPr>
            <w:r>
              <w:rPr>
                <w:rFonts w:ascii="Arial" w:cs="Arial" w:eastAsia="Arial" w:hAnsi="Arial"/>
                <w:sz w:val="9"/>
                <w:szCs w:val="9"/>
                <w:b w:val="1"/>
                <w:bCs w:val="1"/>
                <w:color w:val="auto"/>
              </w:rPr>
              <w:t>Total</w:t>
            </w:r>
          </w:p>
        </w:tc>
        <w:tc>
          <w:tcPr>
            <w:tcW w:w="2440" w:type="dxa"/>
            <w:vAlign w:val="bottom"/>
            <w:gridSpan w:val="2"/>
          </w:tcPr>
          <w:p>
            <w:pPr>
              <w:jc w:val="right"/>
              <w:ind w:right="20"/>
              <w:spacing w:after="0" w:line="98" w:lineRule="exact"/>
              <w:rPr>
                <w:sz w:val="20"/>
                <w:szCs w:val="20"/>
                <w:color w:val="auto"/>
              </w:rPr>
            </w:pPr>
            <w:r>
              <w:rPr>
                <w:rFonts w:ascii="Arial" w:cs="Arial" w:eastAsia="Arial" w:hAnsi="Arial"/>
                <w:sz w:val="9"/>
                <w:szCs w:val="9"/>
                <w:b w:val="1"/>
                <w:bCs w:val="1"/>
                <w:color w:val="auto"/>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97"/>
              </w:rPr>
              <w:t>2,655</w:t>
            </w:r>
          </w:p>
        </w:tc>
        <w:tc>
          <w:tcPr>
            <w:tcW w:w="28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97"/>
              </w:rPr>
              <w:t>1,025</w:t>
            </w:r>
          </w:p>
        </w:tc>
        <w:tc>
          <w:tcPr>
            <w:tcW w:w="2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22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88"/>
              </w:rPr>
              <w:t>1,420</w:t>
            </w:r>
          </w:p>
        </w:tc>
        <w:tc>
          <w:tcPr>
            <w:tcW w:w="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78"/>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210</w:t>
            </w:r>
          </w:p>
        </w:tc>
        <w:tc>
          <w:tcPr>
            <w:tcW w:w="140" w:type="dxa"/>
            <w:vAlign w:val="bottom"/>
            <w:vMerge w:val="continue"/>
          </w:tcPr>
          <w:p>
            <w:pPr>
              <w:spacing w:after="0"/>
              <w:rPr>
                <w:sz w:val="8"/>
                <w:szCs w:val="8"/>
                <w:color w:val="auto"/>
              </w:rPr>
            </w:pPr>
          </w:p>
        </w:tc>
        <w:tc>
          <w:tcPr>
            <w:tcW w:w="2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w w:val="88"/>
              </w:rPr>
              <w:t>2,635</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2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7"/>
              </w:rPr>
              <w:t>1,188</w:t>
            </w:r>
          </w:p>
        </w:tc>
        <w:tc>
          <w:tcPr>
            <w:tcW w:w="3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w w:val="97"/>
              </w:rPr>
              <w:t>1,279</w:t>
            </w:r>
          </w:p>
        </w:tc>
        <w:tc>
          <w:tcPr>
            <w:tcW w:w="140" w:type="dxa"/>
            <w:vAlign w:val="bottom"/>
          </w:tcPr>
          <w:p>
            <w:pPr>
              <w:spacing w:after="0"/>
              <w:rPr>
                <w:sz w:val="8"/>
                <w:szCs w:val="8"/>
                <w:color w:val="auto"/>
              </w:rPr>
            </w:pPr>
          </w:p>
        </w:tc>
        <w:tc>
          <w:tcPr>
            <w:tcW w:w="20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jc w:val="right"/>
              <w:spacing w:after="0" w:line="98" w:lineRule="exact"/>
              <w:rPr>
                <w:sz w:val="20"/>
                <w:szCs w:val="20"/>
                <w:color w:val="auto"/>
              </w:rPr>
            </w:pPr>
            <w:r>
              <w:rPr>
                <w:rFonts w:ascii="Arial" w:cs="Arial" w:eastAsia="Arial" w:hAnsi="Arial"/>
                <w:sz w:val="9"/>
                <w:szCs w:val="9"/>
                <w:color w:val="auto"/>
              </w:rPr>
              <w:t>168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380" w:type="dxa"/>
            <w:vAlign w:val="bottom"/>
          </w:tcPr>
          <w:p>
            <w:pPr>
              <w:jc w:val="right"/>
              <w:ind w:right="1175"/>
              <w:spacing w:after="0"/>
              <w:rPr>
                <w:sz w:val="20"/>
                <w:szCs w:val="20"/>
                <w:color w:val="auto"/>
              </w:rPr>
            </w:pPr>
            <w:r>
              <w:rPr>
                <w:rFonts w:ascii="Arial" w:cs="Arial" w:eastAsia="Arial" w:hAnsi="Arial"/>
                <w:sz w:val="9"/>
                <w:szCs w:val="9"/>
                <w:color w:val="auto"/>
              </w:rPr>
              <w:t>66</w:t>
            </w: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66" w:name="page67"/>
    <w:bookmarkEnd w:id="66"/>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7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gridSpan w:val="5"/>
          </w:tcPr>
          <w:p>
            <w:pPr>
              <w:jc w:val="right"/>
              <w:ind w:right="60"/>
              <w:spacing w:after="0"/>
              <w:rPr>
                <w:sz w:val="20"/>
                <w:szCs w:val="20"/>
                <w:color w:val="auto"/>
              </w:rPr>
            </w:pPr>
            <w:r>
              <w:rPr>
                <w:rFonts w:ascii="Arial" w:cs="Arial" w:eastAsia="Arial" w:hAnsi="Arial"/>
                <w:sz w:val="9"/>
                <w:szCs w:val="9"/>
                <w:b w:val="1"/>
                <w:bCs w:val="1"/>
                <w:color w:val="auto"/>
                <w:w w:val="96"/>
              </w:rPr>
              <w:t>(Stated in millions)</w:t>
            </w:r>
          </w:p>
        </w:tc>
      </w:tr>
      <w:tr>
        <w:trPr>
          <w:trHeight w:val="199"/>
        </w:trPr>
        <w:tc>
          <w:tcPr>
            <w:tcW w:w="7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6"/>
          </w:tcPr>
          <w:p>
            <w:pPr>
              <w:ind w:left="100"/>
              <w:spacing w:after="0"/>
              <w:rPr>
                <w:sz w:val="20"/>
                <w:szCs w:val="20"/>
                <w:color w:val="auto"/>
              </w:rPr>
            </w:pPr>
            <w:r>
              <w:rPr>
                <w:rFonts w:ascii="Arial" w:cs="Arial" w:eastAsia="Arial" w:hAnsi="Arial"/>
                <w:sz w:val="9"/>
                <w:szCs w:val="9"/>
                <w:b w:val="1"/>
                <w:bCs w:val="1"/>
                <w:color w:val="auto"/>
              </w:rPr>
              <w:t>International Plan Assets</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88"/>
        </w:trPr>
        <w:tc>
          <w:tcPr>
            <w:tcW w:w="7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jc w:val="right"/>
              <w:ind w:right="15"/>
              <w:spacing w:after="0" w:line="88" w:lineRule="exact"/>
              <w:rPr>
                <w:sz w:val="20"/>
                <w:szCs w:val="20"/>
                <w:color w:val="auto"/>
              </w:rPr>
            </w:pPr>
            <w:r>
              <w:rPr>
                <w:rFonts w:ascii="Arial" w:cs="Arial" w:eastAsia="Arial" w:hAnsi="Arial"/>
                <w:sz w:val="9"/>
                <w:szCs w:val="9"/>
                <w:b w:val="1"/>
                <w:bCs w:val="1"/>
                <w:color w:val="auto"/>
                <w:w w:val="89"/>
              </w:rPr>
              <w:t>2011</w:t>
            </w: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ind w:right="75"/>
              <w:spacing w:after="0" w:line="88" w:lineRule="exact"/>
              <w:rPr>
                <w:sz w:val="20"/>
                <w:szCs w:val="20"/>
                <w:color w:val="auto"/>
              </w:rPr>
            </w:pPr>
            <w:r>
              <w:rPr>
                <w:rFonts w:ascii="Arial" w:cs="Arial" w:eastAsia="Arial" w:hAnsi="Arial"/>
                <w:sz w:val="9"/>
                <w:szCs w:val="9"/>
                <w:b w:val="1"/>
                <w:bCs w:val="1"/>
                <w:color w:val="auto"/>
                <w:w w:val="89"/>
              </w:rPr>
              <w:t>2010</w:t>
            </w: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79"/>
        </w:trPr>
        <w:tc>
          <w:tcPr>
            <w:tcW w:w="7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gridSpan w:val="2"/>
          </w:tcPr>
          <w:p>
            <w:pPr>
              <w:jc w:val="right"/>
              <w:ind w:right="20"/>
              <w:spacing w:after="0" w:line="79" w:lineRule="exact"/>
              <w:rPr>
                <w:sz w:val="20"/>
                <w:szCs w:val="20"/>
                <w:color w:val="auto"/>
              </w:rPr>
            </w:pPr>
            <w:r>
              <w:rPr>
                <w:rFonts w:ascii="Arial" w:cs="Arial" w:eastAsia="Arial" w:hAnsi="Arial"/>
                <w:sz w:val="9"/>
                <w:szCs w:val="9"/>
                <w:b w:val="1"/>
                <w:bCs w:val="1"/>
                <w:color w:val="auto"/>
                <w:w w:val="86"/>
              </w:rPr>
              <w:t>Level</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2"/>
          </w:tcPr>
          <w:p>
            <w:pPr>
              <w:jc w:val="right"/>
              <w:ind w:right="120"/>
              <w:spacing w:after="0" w:line="79" w:lineRule="exact"/>
              <w:rPr>
                <w:sz w:val="20"/>
                <w:szCs w:val="20"/>
                <w:color w:val="auto"/>
              </w:rPr>
            </w:pPr>
            <w:r>
              <w:rPr>
                <w:rFonts w:ascii="Arial" w:cs="Arial" w:eastAsia="Arial" w:hAnsi="Arial"/>
                <w:sz w:val="9"/>
                <w:szCs w:val="9"/>
                <w:b w:val="1"/>
                <w:bCs w:val="1"/>
                <w:color w:val="auto"/>
                <w:w w:val="86"/>
              </w:rPr>
              <w:t>Level</w:t>
            </w:r>
          </w:p>
        </w:tc>
        <w:tc>
          <w:tcPr>
            <w:tcW w:w="220" w:type="dxa"/>
            <w:vAlign w:val="bottom"/>
          </w:tcPr>
          <w:p>
            <w:pPr>
              <w:spacing w:after="0"/>
              <w:rPr>
                <w:sz w:val="6"/>
                <w:szCs w:val="6"/>
                <w:color w:val="auto"/>
              </w:rPr>
            </w:pPr>
          </w:p>
        </w:tc>
        <w:tc>
          <w:tcPr>
            <w:tcW w:w="220" w:type="dxa"/>
            <w:vAlign w:val="bottom"/>
          </w:tcPr>
          <w:p>
            <w:pPr>
              <w:ind w:left="20"/>
              <w:spacing w:after="0" w:line="79" w:lineRule="exact"/>
              <w:rPr>
                <w:sz w:val="20"/>
                <w:szCs w:val="20"/>
                <w:color w:val="auto"/>
              </w:rPr>
            </w:pPr>
            <w:r>
              <w:rPr>
                <w:rFonts w:ascii="Arial" w:cs="Arial" w:eastAsia="Arial" w:hAnsi="Arial"/>
                <w:sz w:val="9"/>
                <w:szCs w:val="9"/>
                <w:b w:val="1"/>
                <w:bCs w:val="1"/>
                <w:color w:val="auto"/>
                <w:w w:val="77"/>
              </w:rPr>
              <w:t>Level</w:t>
            </w: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jc w:val="right"/>
              <w:spacing w:after="0" w:line="79" w:lineRule="exact"/>
              <w:rPr>
                <w:sz w:val="20"/>
                <w:szCs w:val="20"/>
                <w:color w:val="auto"/>
              </w:rPr>
            </w:pPr>
            <w:r>
              <w:rPr>
                <w:rFonts w:ascii="Arial" w:cs="Arial" w:eastAsia="Arial" w:hAnsi="Arial"/>
                <w:sz w:val="9"/>
                <w:szCs w:val="9"/>
                <w:b w:val="1"/>
                <w:bCs w:val="1"/>
                <w:color w:val="auto"/>
                <w:w w:val="95"/>
              </w:rPr>
              <w:t>Level</w:t>
            </w:r>
          </w:p>
        </w:tc>
        <w:tc>
          <w:tcPr>
            <w:tcW w:w="320" w:type="dxa"/>
            <w:vAlign w:val="bottom"/>
          </w:tcPr>
          <w:p>
            <w:pPr>
              <w:spacing w:after="0"/>
              <w:rPr>
                <w:sz w:val="6"/>
                <w:szCs w:val="6"/>
                <w:color w:val="auto"/>
              </w:rPr>
            </w:pPr>
          </w:p>
        </w:tc>
        <w:tc>
          <w:tcPr>
            <w:tcW w:w="360" w:type="dxa"/>
            <w:vAlign w:val="bottom"/>
            <w:gridSpan w:val="2"/>
          </w:tcPr>
          <w:p>
            <w:pPr>
              <w:jc w:val="right"/>
              <w:ind w:right="140"/>
              <w:spacing w:after="0" w:line="79" w:lineRule="exact"/>
              <w:rPr>
                <w:sz w:val="20"/>
                <w:szCs w:val="20"/>
                <w:color w:val="auto"/>
              </w:rPr>
            </w:pPr>
            <w:r>
              <w:rPr>
                <w:rFonts w:ascii="Arial" w:cs="Arial" w:eastAsia="Arial" w:hAnsi="Arial"/>
                <w:sz w:val="9"/>
                <w:szCs w:val="9"/>
                <w:b w:val="1"/>
                <w:bCs w:val="1"/>
                <w:color w:val="auto"/>
                <w:w w:val="86"/>
              </w:rPr>
              <w:t>Level</w:t>
            </w:r>
          </w:p>
        </w:tc>
        <w:tc>
          <w:tcPr>
            <w:tcW w:w="200" w:type="dxa"/>
            <w:vAlign w:val="bottom"/>
          </w:tcPr>
          <w:p>
            <w:pPr>
              <w:spacing w:after="0"/>
              <w:rPr>
                <w:sz w:val="6"/>
                <w:szCs w:val="6"/>
                <w:color w:val="auto"/>
              </w:rPr>
            </w:pPr>
          </w:p>
        </w:tc>
        <w:tc>
          <w:tcPr>
            <w:tcW w:w="240" w:type="dxa"/>
            <w:vAlign w:val="bottom"/>
          </w:tcPr>
          <w:p>
            <w:pPr>
              <w:jc w:val="right"/>
              <w:spacing w:after="0" w:line="79" w:lineRule="exact"/>
              <w:rPr>
                <w:sz w:val="20"/>
                <w:szCs w:val="20"/>
                <w:color w:val="auto"/>
              </w:rPr>
            </w:pPr>
            <w:r>
              <w:rPr>
                <w:rFonts w:ascii="Arial" w:cs="Arial" w:eastAsia="Arial" w:hAnsi="Arial"/>
                <w:sz w:val="9"/>
                <w:szCs w:val="9"/>
                <w:b w:val="1"/>
                <w:bCs w:val="1"/>
                <w:color w:val="auto"/>
                <w:w w:val="95"/>
              </w:rPr>
              <w:t>Level</w:t>
            </w:r>
          </w:p>
        </w:tc>
        <w:tc>
          <w:tcPr>
            <w:tcW w:w="60" w:type="dxa"/>
            <w:vAlign w:val="bottom"/>
          </w:tcPr>
          <w:p>
            <w:pPr>
              <w:spacing w:after="0"/>
              <w:rPr>
                <w:sz w:val="6"/>
                <w:szCs w:val="6"/>
                <w:color w:val="auto"/>
              </w:rPr>
            </w:pPr>
          </w:p>
        </w:tc>
      </w:tr>
      <w:tr>
        <w:trPr>
          <w:trHeight w:val="108"/>
        </w:trPr>
        <w:tc>
          <w:tcPr>
            <w:tcW w:w="7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w w:val="92"/>
              </w:rPr>
              <w:t>Total</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One</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Two</w:t>
            </w:r>
          </w:p>
        </w:tc>
        <w:tc>
          <w:tcPr>
            <w:tcW w:w="220" w:type="dxa"/>
            <w:vAlign w:val="bottom"/>
          </w:tcPr>
          <w:p>
            <w:pPr>
              <w:spacing w:after="0"/>
              <w:rPr>
                <w:sz w:val="9"/>
                <w:szCs w:val="9"/>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81"/>
              </w:rPr>
              <w:t>Three</w:t>
            </w:r>
          </w:p>
        </w:tc>
        <w:tc>
          <w:tcPr>
            <w:tcW w:w="80" w:type="dxa"/>
            <w:vAlign w:val="bottom"/>
          </w:tcPr>
          <w:p>
            <w:pPr>
              <w:spacing w:after="0"/>
              <w:rPr>
                <w:sz w:val="9"/>
                <w:szCs w:val="9"/>
                <w:color w:val="auto"/>
              </w:rPr>
            </w:pPr>
          </w:p>
        </w:tc>
        <w:tc>
          <w:tcPr>
            <w:tcW w:w="500" w:type="dxa"/>
            <w:vAlign w:val="bottom"/>
            <w:gridSpan w:val="2"/>
          </w:tcPr>
          <w:p>
            <w:pPr>
              <w:ind w:left="40"/>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9"/>
                <w:szCs w:val="9"/>
                <w:color w:val="auto"/>
              </w:rPr>
            </w:pPr>
          </w:p>
        </w:tc>
        <w:tc>
          <w:tcPr>
            <w:tcW w:w="240" w:type="dxa"/>
            <w:vAlign w:val="bottom"/>
          </w:tcPr>
          <w:p>
            <w:pPr>
              <w:jc w:val="right"/>
              <w:spacing w:after="0"/>
              <w:rPr>
                <w:sz w:val="20"/>
                <w:szCs w:val="20"/>
                <w:color w:val="auto"/>
              </w:rPr>
            </w:pPr>
            <w:r>
              <w:rPr>
                <w:rFonts w:ascii="Arial" w:cs="Arial" w:eastAsia="Arial" w:hAnsi="Arial"/>
                <w:sz w:val="9"/>
                <w:szCs w:val="9"/>
                <w:b w:val="1"/>
                <w:bCs w:val="1"/>
                <w:color w:val="auto"/>
              </w:rPr>
              <w:t>One</w:t>
            </w:r>
          </w:p>
        </w:tc>
        <w:tc>
          <w:tcPr>
            <w:tcW w:w="320" w:type="dxa"/>
            <w:vAlign w:val="bottom"/>
          </w:tcPr>
          <w:p>
            <w:pPr>
              <w:spacing w:after="0"/>
              <w:rPr>
                <w:sz w:val="9"/>
                <w:szCs w:val="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rPr>
              <w:t>Two</w:t>
            </w:r>
          </w:p>
        </w:tc>
        <w:tc>
          <w:tcPr>
            <w:tcW w:w="200" w:type="dxa"/>
            <w:vAlign w:val="bottom"/>
          </w:tcPr>
          <w:p>
            <w:pPr>
              <w:spacing w:after="0"/>
              <w:rPr>
                <w:sz w:val="9"/>
                <w:szCs w:val="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w w:val="89"/>
              </w:rPr>
              <w:t>Three</w:t>
            </w:r>
          </w:p>
        </w:tc>
      </w:tr>
      <w:tr>
        <w:trPr>
          <w:trHeight w:val="79"/>
        </w:trPr>
        <w:tc>
          <w:tcPr>
            <w:tcW w:w="710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color w:val="auto"/>
              </w:rPr>
              <w:t>Asset Catergory:</w:t>
            </w:r>
          </w:p>
        </w:tc>
        <w:tc>
          <w:tcPr>
            <w:tcW w:w="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right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320" w:type="dxa"/>
            <w:vAlign w:val="bottom"/>
            <w:tcBorders>
              <w:top w:val="single" w:sz="8" w:color="CCEEFF"/>
              <w:right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99"/>
        </w:trPr>
        <w:tc>
          <w:tcPr>
            <w:tcW w:w="7100" w:type="dxa"/>
            <w:vAlign w:val="bottom"/>
          </w:tcPr>
          <w:p>
            <w:pPr>
              <w:spacing w:after="0" w:line="99" w:lineRule="exact"/>
              <w:rPr>
                <w:sz w:val="20"/>
                <w:szCs w:val="20"/>
                <w:color w:val="auto"/>
              </w:rPr>
            </w:pPr>
            <w:r>
              <w:rPr>
                <w:rFonts w:ascii="Arial" w:cs="Arial" w:eastAsia="Arial" w:hAnsi="Arial"/>
                <w:sz w:val="9"/>
                <w:szCs w:val="9"/>
                <w:b w:val="1"/>
                <w:bCs w:val="1"/>
                <w:color w:val="auto"/>
              </w:rPr>
              <w:t>Cash and Cash Equivalents</w:t>
            </w:r>
          </w:p>
        </w:tc>
        <w:tc>
          <w:tcPr>
            <w:tcW w:w="8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78"/>
              </w:rPr>
              <w:t>$</w:t>
            </w:r>
          </w:p>
        </w:tc>
        <w:tc>
          <w:tcPr>
            <w:tcW w:w="360" w:type="dxa"/>
            <w:vAlign w:val="bottom"/>
            <w:gridSpan w:val="2"/>
          </w:tcPr>
          <w:p>
            <w:pPr>
              <w:jc w:val="right"/>
              <w:ind w:right="140"/>
              <w:spacing w:after="0" w:line="99" w:lineRule="exact"/>
              <w:rPr>
                <w:sz w:val="20"/>
                <w:szCs w:val="20"/>
                <w:color w:val="auto"/>
              </w:rPr>
            </w:pPr>
            <w:r>
              <w:rPr>
                <w:rFonts w:ascii="Arial" w:cs="Arial" w:eastAsia="Arial" w:hAnsi="Arial"/>
                <w:sz w:val="9"/>
                <w:szCs w:val="9"/>
                <w:b w:val="1"/>
                <w:bCs w:val="1"/>
                <w:color w:val="auto"/>
              </w:rPr>
              <w:t>152</w:t>
            </w:r>
          </w:p>
        </w:tc>
        <w:tc>
          <w:tcPr>
            <w:tcW w:w="220" w:type="dxa"/>
            <w:vAlign w:val="bottom"/>
            <w:gridSpan w:val="2"/>
          </w:tcPr>
          <w:p>
            <w:pPr>
              <w:jc w:val="right"/>
              <w:ind w:right="40"/>
              <w:spacing w:after="0" w:line="99" w:lineRule="exact"/>
              <w:rPr>
                <w:sz w:val="20"/>
                <w:szCs w:val="20"/>
                <w:color w:val="auto"/>
              </w:rPr>
            </w:pPr>
            <w:r>
              <w:rPr>
                <w:rFonts w:ascii="Arial" w:cs="Arial" w:eastAsia="Arial" w:hAnsi="Arial"/>
                <w:sz w:val="9"/>
                <w:szCs w:val="9"/>
                <w:b w:val="1"/>
                <w:bCs w:val="1"/>
                <w:color w:val="auto"/>
              </w:rPr>
              <w:t>$</w:t>
            </w: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152</w:t>
            </w:r>
          </w:p>
        </w:tc>
        <w:tc>
          <w:tcPr>
            <w:tcW w:w="2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9"/>
                <w:szCs w:val="9"/>
                <w:b w:val="1"/>
                <w:bCs w:val="1"/>
                <w:color w:val="auto"/>
              </w:rPr>
              <w:t>$</w:t>
            </w: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w:t>
            </w: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50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60"/>
              <w:spacing w:after="0" w:line="99" w:lineRule="exact"/>
              <w:rPr>
                <w:sz w:val="20"/>
                <w:szCs w:val="20"/>
                <w:color w:val="auto"/>
              </w:rPr>
            </w:pPr>
            <w:r>
              <w:rPr>
                <w:rFonts w:ascii="Arial" w:cs="Arial" w:eastAsia="Arial" w:hAnsi="Arial"/>
                <w:sz w:val="9"/>
                <w:szCs w:val="9"/>
                <w:color w:val="auto"/>
              </w:rPr>
              <w:t>106</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106</w:t>
            </w:r>
          </w:p>
        </w:tc>
        <w:tc>
          <w:tcPr>
            <w:tcW w:w="3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360" w:type="dxa"/>
            <w:vAlign w:val="bottom"/>
            <w:gridSpan w:val="2"/>
          </w:tcPr>
          <w:p>
            <w:pPr>
              <w:jc w:val="right"/>
              <w:ind w:right="140"/>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3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w:t>
            </w:r>
          </w:p>
        </w:tc>
      </w:tr>
      <w:tr>
        <w:trPr>
          <w:trHeight w:val="99"/>
        </w:trPr>
        <w:tc>
          <w:tcPr>
            <w:tcW w:w="710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Equity Securities:</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7100" w:type="dxa"/>
            <w:vAlign w:val="bottom"/>
          </w:tcPr>
          <w:p>
            <w:pPr>
              <w:ind w:left="280"/>
              <w:spacing w:after="0" w:line="99" w:lineRule="exact"/>
              <w:rPr>
                <w:sz w:val="20"/>
                <w:szCs w:val="20"/>
                <w:color w:val="auto"/>
              </w:rPr>
            </w:pPr>
            <w:r>
              <w:rPr>
                <w:rFonts w:ascii="Arial" w:cs="Arial" w:eastAsia="Arial" w:hAnsi="Arial"/>
                <w:sz w:val="11"/>
                <w:szCs w:val="11"/>
                <w:color w:val="auto"/>
                <w:vertAlign w:val="subscript"/>
              </w:rPr>
              <w:t>US</w:t>
            </w:r>
            <w:r>
              <w:rPr>
                <w:rFonts w:ascii="Arial" w:cs="Arial" w:eastAsia="Arial" w:hAnsi="Arial"/>
                <w:sz w:val="6"/>
                <w:szCs w:val="6"/>
                <w:color w:val="auto"/>
              </w:rPr>
              <w:t>(a)</w:t>
            </w:r>
          </w:p>
        </w:tc>
        <w:tc>
          <w:tcPr>
            <w:tcW w:w="80" w:type="dxa"/>
            <w:vAlign w:val="bottom"/>
          </w:tcPr>
          <w:p>
            <w:pPr>
              <w:spacing w:after="0"/>
              <w:rPr>
                <w:sz w:val="8"/>
                <w:szCs w:val="8"/>
                <w:color w:val="auto"/>
              </w:rPr>
            </w:pPr>
          </w:p>
        </w:tc>
        <w:tc>
          <w:tcPr>
            <w:tcW w:w="360" w:type="dxa"/>
            <w:vAlign w:val="bottom"/>
            <w:gridSpan w:val="2"/>
          </w:tcPr>
          <w:p>
            <w:pPr>
              <w:jc w:val="right"/>
              <w:ind w:right="140"/>
              <w:spacing w:after="0" w:line="99" w:lineRule="exact"/>
              <w:rPr>
                <w:sz w:val="20"/>
                <w:szCs w:val="20"/>
                <w:color w:val="auto"/>
              </w:rPr>
            </w:pPr>
            <w:r>
              <w:rPr>
                <w:rFonts w:ascii="Arial" w:cs="Arial" w:eastAsia="Arial" w:hAnsi="Arial"/>
                <w:sz w:val="9"/>
                <w:szCs w:val="9"/>
                <w:b w:val="1"/>
                <w:bCs w:val="1"/>
                <w:color w:val="auto"/>
                <w:w w:val="88"/>
              </w:rPr>
              <w:t>1,170</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88"/>
              </w:rPr>
              <w:t>1,018</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152</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ind w:right="260"/>
              <w:spacing w:after="0" w:line="99" w:lineRule="exact"/>
              <w:rPr>
                <w:sz w:val="20"/>
                <w:szCs w:val="20"/>
                <w:color w:val="auto"/>
              </w:rPr>
            </w:pPr>
            <w:r>
              <w:rPr>
                <w:rFonts w:ascii="Arial" w:cs="Arial" w:eastAsia="Arial" w:hAnsi="Arial"/>
                <w:sz w:val="9"/>
                <w:szCs w:val="9"/>
                <w:color w:val="auto"/>
                <w:w w:val="97"/>
              </w:rPr>
              <w:t>1,268</w:t>
            </w:r>
          </w:p>
        </w:tc>
        <w:tc>
          <w:tcPr>
            <w:tcW w:w="8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w w:val="97"/>
              </w:rPr>
              <w:t>1,117</w:t>
            </w:r>
          </w:p>
        </w:tc>
        <w:tc>
          <w:tcPr>
            <w:tcW w:w="32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151</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7100" w:type="dxa"/>
            <w:vAlign w:val="bottom"/>
            <w:shd w:val="clear" w:color="auto" w:fill="CCEEFF"/>
          </w:tcPr>
          <w:p>
            <w:pPr>
              <w:ind w:left="280"/>
              <w:spacing w:after="0" w:line="99" w:lineRule="exact"/>
              <w:rPr>
                <w:sz w:val="20"/>
                <w:szCs w:val="20"/>
                <w:color w:val="auto"/>
              </w:rPr>
            </w:pPr>
            <w:r>
              <w:rPr>
                <w:rFonts w:ascii="Arial" w:cs="Arial" w:eastAsia="Arial" w:hAnsi="Arial"/>
                <w:sz w:val="7"/>
                <w:szCs w:val="7"/>
                <w:color w:val="auto"/>
              </w:rPr>
              <w:t>International</w:t>
            </w:r>
            <w:r>
              <w:rPr>
                <w:rFonts w:ascii="Arial" w:cs="Arial" w:eastAsia="Arial" w:hAnsi="Arial"/>
                <w:sz w:val="11"/>
                <w:szCs w:val="11"/>
                <w:color w:val="auto"/>
                <w:vertAlign w:val="superscript"/>
              </w:rPr>
              <w:t>(b)</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9"/>
                <w:szCs w:val="9"/>
                <w:b w:val="1"/>
                <w:bCs w:val="1"/>
                <w:color w:val="auto"/>
              </w:rPr>
              <w:t>937</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651</w:t>
            </w: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286</w:t>
            </w:r>
          </w:p>
        </w:tc>
        <w:tc>
          <w:tcPr>
            <w:tcW w:w="120" w:type="dxa"/>
            <w:vAlign w:val="bottom"/>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color w:val="auto"/>
                <w:w w:val="97"/>
              </w:rPr>
              <w:t>1,031</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1,031</w:t>
            </w:r>
          </w:p>
        </w:tc>
        <w:tc>
          <w:tcPr>
            <w:tcW w:w="32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7100" w:type="dxa"/>
            <w:vAlign w:val="bottom"/>
          </w:tcPr>
          <w:p>
            <w:pPr>
              <w:spacing w:after="0" w:line="99" w:lineRule="exact"/>
              <w:rPr>
                <w:sz w:val="20"/>
                <w:szCs w:val="20"/>
                <w:color w:val="auto"/>
              </w:rPr>
            </w:pPr>
            <w:r>
              <w:rPr>
                <w:rFonts w:ascii="Arial" w:cs="Arial" w:eastAsia="Arial" w:hAnsi="Arial"/>
                <w:sz w:val="9"/>
                <w:szCs w:val="9"/>
                <w:b w:val="1"/>
                <w:bCs w:val="1"/>
                <w:color w:val="auto"/>
              </w:rPr>
              <w:t>Debt Securities:</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7100" w:type="dxa"/>
            <w:vAlign w:val="bottom"/>
            <w:shd w:val="clear" w:color="auto" w:fill="CCEEFF"/>
          </w:tcPr>
          <w:p>
            <w:pPr>
              <w:ind w:left="280"/>
              <w:spacing w:after="0" w:line="99" w:lineRule="exact"/>
              <w:rPr>
                <w:sz w:val="20"/>
                <w:szCs w:val="20"/>
                <w:color w:val="auto"/>
              </w:rPr>
            </w:pPr>
            <w:r>
              <w:rPr>
                <w:rFonts w:ascii="Arial" w:cs="Arial" w:eastAsia="Arial" w:hAnsi="Arial"/>
                <w:sz w:val="7"/>
                <w:szCs w:val="7"/>
                <w:color w:val="auto"/>
              </w:rPr>
              <w:t>Corporate bonds</w:t>
            </w:r>
            <w:r>
              <w:rPr>
                <w:rFonts w:ascii="Arial" w:cs="Arial" w:eastAsia="Arial" w:hAnsi="Arial"/>
                <w:sz w:val="11"/>
                <w:szCs w:val="11"/>
                <w:color w:val="auto"/>
                <w:vertAlign w:val="superscript"/>
              </w:rPr>
              <w:t>(c)</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9"/>
                <w:szCs w:val="9"/>
                <w:b w:val="1"/>
                <w:bCs w:val="1"/>
                <w:color w:val="auto"/>
              </w:rPr>
              <w:t>399</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399</w:t>
            </w:r>
          </w:p>
        </w:tc>
        <w:tc>
          <w:tcPr>
            <w:tcW w:w="120" w:type="dxa"/>
            <w:vAlign w:val="bottom"/>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color w:val="auto"/>
              </w:rPr>
              <w:t>289</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15</w:t>
            </w:r>
          </w:p>
        </w:tc>
        <w:tc>
          <w:tcPr>
            <w:tcW w:w="32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274</w:t>
            </w:r>
          </w:p>
        </w:tc>
        <w:tc>
          <w:tcPr>
            <w:tcW w:w="1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7100" w:type="dxa"/>
            <w:vAlign w:val="bottom"/>
          </w:tcPr>
          <w:p>
            <w:pPr>
              <w:ind w:left="280"/>
              <w:spacing w:after="0" w:line="99" w:lineRule="exact"/>
              <w:rPr>
                <w:sz w:val="20"/>
                <w:szCs w:val="20"/>
                <w:color w:val="auto"/>
              </w:rPr>
            </w:pPr>
            <w:r>
              <w:rPr>
                <w:rFonts w:ascii="Arial" w:cs="Arial" w:eastAsia="Arial" w:hAnsi="Arial"/>
                <w:sz w:val="7"/>
                <w:szCs w:val="7"/>
                <w:color w:val="auto"/>
              </w:rPr>
              <w:t>Government and government-related</w:t>
            </w:r>
            <w:r>
              <w:rPr>
                <w:rFonts w:ascii="Arial" w:cs="Arial" w:eastAsia="Arial" w:hAnsi="Arial"/>
                <w:sz w:val="11"/>
                <w:szCs w:val="11"/>
                <w:color w:val="auto"/>
                <w:vertAlign w:val="superscript"/>
              </w:rPr>
              <w:t>(d)</w:t>
            </w:r>
          </w:p>
        </w:tc>
        <w:tc>
          <w:tcPr>
            <w:tcW w:w="80" w:type="dxa"/>
            <w:vAlign w:val="bottom"/>
          </w:tcPr>
          <w:p>
            <w:pPr>
              <w:spacing w:after="0"/>
              <w:rPr>
                <w:sz w:val="8"/>
                <w:szCs w:val="8"/>
                <w:color w:val="auto"/>
              </w:rPr>
            </w:pPr>
          </w:p>
        </w:tc>
        <w:tc>
          <w:tcPr>
            <w:tcW w:w="360" w:type="dxa"/>
            <w:vAlign w:val="bottom"/>
            <w:gridSpan w:val="2"/>
          </w:tcPr>
          <w:p>
            <w:pPr>
              <w:jc w:val="right"/>
              <w:ind w:right="140"/>
              <w:spacing w:after="0" w:line="99" w:lineRule="exact"/>
              <w:rPr>
                <w:sz w:val="20"/>
                <w:szCs w:val="20"/>
                <w:color w:val="auto"/>
              </w:rPr>
            </w:pPr>
            <w:r>
              <w:rPr>
                <w:rFonts w:ascii="Arial" w:cs="Arial" w:eastAsia="Arial" w:hAnsi="Arial"/>
                <w:sz w:val="9"/>
                <w:szCs w:val="9"/>
                <w:b w:val="1"/>
                <w:bCs w:val="1"/>
                <w:color w:val="auto"/>
              </w:rPr>
              <w:t>808</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551</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257</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ind w:right="260"/>
              <w:spacing w:after="0" w:line="99" w:lineRule="exact"/>
              <w:rPr>
                <w:sz w:val="20"/>
                <w:szCs w:val="20"/>
                <w:color w:val="auto"/>
              </w:rPr>
            </w:pPr>
            <w:r>
              <w:rPr>
                <w:rFonts w:ascii="Arial" w:cs="Arial" w:eastAsia="Arial" w:hAnsi="Arial"/>
                <w:sz w:val="9"/>
                <w:szCs w:val="9"/>
                <w:color w:val="auto"/>
              </w:rPr>
              <w:t>693</w:t>
            </w:r>
          </w:p>
        </w:tc>
        <w:tc>
          <w:tcPr>
            <w:tcW w:w="8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365</w:t>
            </w:r>
          </w:p>
        </w:tc>
        <w:tc>
          <w:tcPr>
            <w:tcW w:w="32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328</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7100" w:type="dxa"/>
            <w:vAlign w:val="bottom"/>
            <w:shd w:val="clear" w:color="auto" w:fill="CCEEFF"/>
          </w:tcPr>
          <w:p>
            <w:pPr>
              <w:ind w:left="280"/>
              <w:spacing w:after="0" w:line="99" w:lineRule="exact"/>
              <w:rPr>
                <w:sz w:val="20"/>
                <w:szCs w:val="20"/>
                <w:color w:val="auto"/>
              </w:rPr>
            </w:pPr>
            <w:r>
              <w:rPr>
                <w:rFonts w:ascii="Arial" w:cs="Arial" w:eastAsia="Arial" w:hAnsi="Arial"/>
                <w:sz w:val="7"/>
                <w:szCs w:val="7"/>
                <w:color w:val="auto"/>
              </w:rPr>
              <w:t>Government agency collateralized mortgage obligations and mortgage backed securities</w:t>
            </w:r>
            <w:r>
              <w:rPr>
                <w:rFonts w:ascii="Arial" w:cs="Arial" w:eastAsia="Arial" w:hAnsi="Arial"/>
                <w:sz w:val="11"/>
                <w:szCs w:val="11"/>
                <w:color w:val="auto"/>
                <w:vertAlign w:val="superscript"/>
              </w:rPr>
              <w:t>(e)</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9"/>
                <w:szCs w:val="9"/>
                <w:b w:val="1"/>
                <w:bCs w:val="1"/>
                <w:color w:val="auto"/>
              </w:rPr>
              <w:t>268</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190</w:t>
            </w: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78</w:t>
            </w:r>
          </w:p>
        </w:tc>
        <w:tc>
          <w:tcPr>
            <w:tcW w:w="120" w:type="dxa"/>
            <w:vAlign w:val="bottom"/>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color w:val="auto"/>
              </w:rPr>
              <w:t>125</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44</w:t>
            </w:r>
          </w:p>
        </w:tc>
        <w:tc>
          <w:tcPr>
            <w:tcW w:w="32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81</w:t>
            </w:r>
          </w:p>
        </w:tc>
        <w:tc>
          <w:tcPr>
            <w:tcW w:w="1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7100" w:type="dxa"/>
            <w:vAlign w:val="bottom"/>
          </w:tcPr>
          <w:p>
            <w:pPr>
              <w:ind w:left="280"/>
              <w:spacing w:after="0" w:line="99" w:lineRule="exact"/>
              <w:rPr>
                <w:sz w:val="20"/>
                <w:szCs w:val="20"/>
                <w:color w:val="auto"/>
              </w:rPr>
            </w:pPr>
            <w:r>
              <w:rPr>
                <w:rFonts w:ascii="Arial" w:cs="Arial" w:eastAsia="Arial" w:hAnsi="Arial"/>
                <w:sz w:val="7"/>
                <w:szCs w:val="7"/>
                <w:color w:val="auto"/>
              </w:rPr>
              <w:t>Other collateralized mortgage obligations and mortgage-backed securities</w:t>
            </w:r>
            <w:r>
              <w:rPr>
                <w:rFonts w:ascii="Arial" w:cs="Arial" w:eastAsia="Arial" w:hAnsi="Arial"/>
                <w:sz w:val="11"/>
                <w:szCs w:val="11"/>
                <w:color w:val="auto"/>
                <w:vertAlign w:val="superscript"/>
              </w:rPr>
              <w:t>(f)</w:t>
            </w:r>
          </w:p>
        </w:tc>
        <w:tc>
          <w:tcPr>
            <w:tcW w:w="80" w:type="dxa"/>
            <w:vAlign w:val="bottom"/>
          </w:tcPr>
          <w:p>
            <w:pPr>
              <w:spacing w:after="0"/>
              <w:rPr>
                <w:sz w:val="8"/>
                <w:szCs w:val="8"/>
                <w:color w:val="auto"/>
              </w:rPr>
            </w:pPr>
          </w:p>
        </w:tc>
        <w:tc>
          <w:tcPr>
            <w:tcW w:w="360" w:type="dxa"/>
            <w:vAlign w:val="bottom"/>
            <w:gridSpan w:val="2"/>
          </w:tcPr>
          <w:p>
            <w:pPr>
              <w:jc w:val="right"/>
              <w:ind w:right="140"/>
              <w:spacing w:after="0" w:line="99" w:lineRule="exact"/>
              <w:rPr>
                <w:sz w:val="20"/>
                <w:szCs w:val="20"/>
                <w:color w:val="auto"/>
              </w:rPr>
            </w:pPr>
            <w:r>
              <w:rPr>
                <w:rFonts w:ascii="Arial" w:cs="Arial" w:eastAsia="Arial" w:hAnsi="Arial"/>
                <w:sz w:val="9"/>
                <w:szCs w:val="9"/>
                <w:b w:val="1"/>
                <w:bCs w:val="1"/>
                <w:color w:val="auto"/>
              </w:rPr>
              <w:t>93</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93</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ind w:right="260"/>
              <w:spacing w:after="0" w:line="99" w:lineRule="exact"/>
              <w:rPr>
                <w:sz w:val="20"/>
                <w:szCs w:val="20"/>
                <w:color w:val="auto"/>
              </w:rPr>
            </w:pPr>
            <w:r>
              <w:rPr>
                <w:rFonts w:ascii="Arial" w:cs="Arial" w:eastAsia="Arial" w:hAnsi="Arial"/>
                <w:sz w:val="9"/>
                <w:szCs w:val="9"/>
                <w:color w:val="auto"/>
              </w:rPr>
              <w:t>74</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74</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710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Alternative Investments:</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7100" w:type="dxa"/>
            <w:vAlign w:val="bottom"/>
          </w:tcPr>
          <w:p>
            <w:pPr>
              <w:ind w:left="280"/>
              <w:spacing w:after="0" w:line="99" w:lineRule="exact"/>
              <w:rPr>
                <w:sz w:val="20"/>
                <w:szCs w:val="20"/>
                <w:color w:val="auto"/>
              </w:rPr>
            </w:pPr>
            <w:r>
              <w:rPr>
                <w:rFonts w:ascii="Arial" w:cs="Arial" w:eastAsia="Arial" w:hAnsi="Arial"/>
                <w:sz w:val="7"/>
                <w:szCs w:val="7"/>
                <w:color w:val="auto"/>
              </w:rPr>
              <w:t>Private equity</w:t>
            </w:r>
            <w:r>
              <w:rPr>
                <w:rFonts w:ascii="Arial" w:cs="Arial" w:eastAsia="Arial" w:hAnsi="Arial"/>
                <w:sz w:val="11"/>
                <w:szCs w:val="11"/>
                <w:color w:val="auto"/>
                <w:vertAlign w:val="superscript"/>
              </w:rPr>
              <w:t>(g)</w:t>
            </w:r>
          </w:p>
        </w:tc>
        <w:tc>
          <w:tcPr>
            <w:tcW w:w="80" w:type="dxa"/>
            <w:vAlign w:val="bottom"/>
          </w:tcPr>
          <w:p>
            <w:pPr>
              <w:spacing w:after="0"/>
              <w:rPr>
                <w:sz w:val="8"/>
                <w:szCs w:val="8"/>
                <w:color w:val="auto"/>
              </w:rPr>
            </w:pPr>
          </w:p>
        </w:tc>
        <w:tc>
          <w:tcPr>
            <w:tcW w:w="360" w:type="dxa"/>
            <w:vAlign w:val="bottom"/>
            <w:gridSpan w:val="2"/>
          </w:tcPr>
          <w:p>
            <w:pPr>
              <w:jc w:val="right"/>
              <w:ind w:right="140"/>
              <w:spacing w:after="0" w:line="99" w:lineRule="exact"/>
              <w:rPr>
                <w:sz w:val="20"/>
                <w:szCs w:val="20"/>
                <w:color w:val="auto"/>
              </w:rPr>
            </w:pPr>
            <w:r>
              <w:rPr>
                <w:rFonts w:ascii="Arial" w:cs="Arial" w:eastAsia="Arial" w:hAnsi="Arial"/>
                <w:sz w:val="9"/>
                <w:szCs w:val="9"/>
                <w:b w:val="1"/>
                <w:bCs w:val="1"/>
                <w:color w:val="auto"/>
              </w:rPr>
              <w:t>150</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150</w:t>
            </w:r>
          </w:p>
        </w:tc>
        <w:tc>
          <w:tcPr>
            <w:tcW w:w="80" w:type="dxa"/>
            <w:vAlign w:val="bottom"/>
          </w:tcPr>
          <w:p>
            <w:pPr>
              <w:spacing w:after="0"/>
              <w:rPr>
                <w:sz w:val="8"/>
                <w:szCs w:val="8"/>
                <w:color w:val="auto"/>
              </w:rPr>
            </w:pPr>
          </w:p>
        </w:tc>
        <w:tc>
          <w:tcPr>
            <w:tcW w:w="500" w:type="dxa"/>
            <w:vAlign w:val="bottom"/>
            <w:gridSpan w:val="2"/>
          </w:tcPr>
          <w:p>
            <w:pPr>
              <w:jc w:val="right"/>
              <w:ind w:right="260"/>
              <w:spacing w:after="0" w:line="99" w:lineRule="exact"/>
              <w:rPr>
                <w:sz w:val="20"/>
                <w:szCs w:val="20"/>
                <w:color w:val="auto"/>
              </w:rPr>
            </w:pPr>
            <w:r>
              <w:rPr>
                <w:rFonts w:ascii="Arial" w:cs="Arial" w:eastAsia="Arial" w:hAnsi="Arial"/>
                <w:sz w:val="9"/>
                <w:szCs w:val="9"/>
                <w:color w:val="auto"/>
              </w:rPr>
              <w:t>114</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114</w:t>
            </w:r>
          </w:p>
        </w:tc>
      </w:tr>
      <w:tr>
        <w:trPr>
          <w:trHeight w:val="99"/>
        </w:trPr>
        <w:tc>
          <w:tcPr>
            <w:tcW w:w="7100" w:type="dxa"/>
            <w:vAlign w:val="bottom"/>
            <w:shd w:val="clear" w:color="auto" w:fill="CCEEFF"/>
          </w:tcPr>
          <w:p>
            <w:pPr>
              <w:ind w:left="280"/>
              <w:spacing w:after="0" w:line="99" w:lineRule="exact"/>
              <w:rPr>
                <w:sz w:val="20"/>
                <w:szCs w:val="20"/>
                <w:color w:val="auto"/>
              </w:rPr>
            </w:pPr>
            <w:r>
              <w:rPr>
                <w:rFonts w:ascii="Arial" w:cs="Arial" w:eastAsia="Arial" w:hAnsi="Arial"/>
                <w:sz w:val="7"/>
                <w:szCs w:val="7"/>
                <w:color w:val="auto"/>
              </w:rPr>
              <w:t>Real estate</w:t>
            </w:r>
            <w:r>
              <w:rPr>
                <w:rFonts w:ascii="Arial" w:cs="Arial" w:eastAsia="Arial" w:hAnsi="Arial"/>
                <w:sz w:val="11"/>
                <w:szCs w:val="11"/>
                <w:color w:val="auto"/>
                <w:vertAlign w:val="superscript"/>
              </w:rPr>
              <w:t>(h)</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9"/>
                <w:szCs w:val="9"/>
                <w:b w:val="1"/>
                <w:bCs w:val="1"/>
                <w:color w:val="auto"/>
              </w:rPr>
              <w:t>62</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62</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color w:val="auto"/>
              </w:rPr>
              <w:t>64</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64</w:t>
            </w:r>
          </w:p>
        </w:tc>
        <w:tc>
          <w:tcPr>
            <w:tcW w:w="60" w:type="dxa"/>
            <w:vAlign w:val="bottom"/>
            <w:shd w:val="clear" w:color="auto" w:fill="CCEEFF"/>
          </w:tcPr>
          <w:p>
            <w:pPr>
              <w:spacing w:after="0"/>
              <w:rPr>
                <w:sz w:val="8"/>
                <w:szCs w:val="8"/>
                <w:color w:val="auto"/>
              </w:rPr>
            </w:pPr>
          </w:p>
        </w:tc>
      </w:tr>
      <w:tr>
        <w:trPr>
          <w:trHeight w:val="99"/>
        </w:trPr>
        <w:tc>
          <w:tcPr>
            <w:tcW w:w="7100" w:type="dxa"/>
            <w:vAlign w:val="bottom"/>
          </w:tcPr>
          <w:p>
            <w:pPr>
              <w:ind w:left="280"/>
              <w:spacing w:after="0" w:line="99" w:lineRule="exact"/>
              <w:rPr>
                <w:sz w:val="20"/>
                <w:szCs w:val="20"/>
                <w:color w:val="auto"/>
              </w:rPr>
            </w:pPr>
            <w:r>
              <w:rPr>
                <w:rFonts w:ascii="Arial" w:cs="Arial" w:eastAsia="Arial" w:hAnsi="Arial"/>
                <w:sz w:val="9"/>
                <w:szCs w:val="9"/>
                <w:color w:val="auto"/>
              </w:rPr>
              <w:t>Other</w:t>
            </w:r>
          </w:p>
        </w:tc>
        <w:tc>
          <w:tcPr>
            <w:tcW w:w="80" w:type="dxa"/>
            <w:vAlign w:val="bottom"/>
          </w:tcPr>
          <w:p>
            <w:pPr>
              <w:spacing w:after="0"/>
              <w:rPr>
                <w:sz w:val="8"/>
                <w:szCs w:val="8"/>
                <w:color w:val="auto"/>
              </w:rPr>
            </w:pPr>
          </w:p>
        </w:tc>
        <w:tc>
          <w:tcPr>
            <w:tcW w:w="360" w:type="dxa"/>
            <w:vAlign w:val="bottom"/>
            <w:gridSpan w:val="2"/>
          </w:tcPr>
          <w:p>
            <w:pPr>
              <w:jc w:val="right"/>
              <w:ind w:right="140"/>
              <w:spacing w:after="0" w:line="99" w:lineRule="exact"/>
              <w:rPr>
                <w:sz w:val="20"/>
                <w:szCs w:val="20"/>
                <w:color w:val="auto"/>
              </w:rPr>
            </w:pPr>
            <w:r>
              <w:rPr>
                <w:rFonts w:ascii="Arial" w:cs="Arial" w:eastAsia="Arial" w:hAnsi="Arial"/>
                <w:sz w:val="9"/>
                <w:szCs w:val="9"/>
                <w:b w:val="1"/>
                <w:bCs w:val="1"/>
                <w:color w:val="auto"/>
              </w:rPr>
              <w:t>58</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58</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
        </w:trPr>
        <w:tc>
          <w:tcPr>
            <w:tcW w:w="7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7"/>
        </w:trPr>
        <w:tc>
          <w:tcPr>
            <w:tcW w:w="71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Total</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78"/>
              </w:rPr>
              <w:t>$</w:t>
            </w:r>
          </w:p>
        </w:tc>
        <w:tc>
          <w:tcPr>
            <w:tcW w:w="36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b w:val="1"/>
                <w:bCs w:val="1"/>
                <w:color w:val="auto"/>
                <w:w w:val="88"/>
              </w:rPr>
              <w:t>4,097</w:t>
            </w:r>
          </w:p>
        </w:tc>
        <w:tc>
          <w:tcPr>
            <w:tcW w:w="2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b w:val="1"/>
                <w:bCs w:val="1"/>
                <w:color w:val="auto"/>
              </w:rPr>
              <w:t>$</w:t>
            </w:r>
          </w:p>
        </w:tc>
        <w:tc>
          <w:tcPr>
            <w:tcW w:w="22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88"/>
              </w:rPr>
              <w:t>2,562</w:t>
            </w:r>
          </w:p>
        </w:tc>
        <w:tc>
          <w:tcPr>
            <w:tcW w:w="2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b w:val="1"/>
                <w:bCs w:val="1"/>
                <w:color w:val="auto"/>
              </w:rPr>
              <w:t>$</w:t>
            </w:r>
          </w:p>
        </w:tc>
        <w:tc>
          <w:tcPr>
            <w:tcW w:w="220" w:type="dxa"/>
            <w:vAlign w:val="bottom"/>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88"/>
              </w:rPr>
              <w:t>1,265</w:t>
            </w:r>
          </w:p>
        </w:tc>
        <w:tc>
          <w:tcPr>
            <w:tcW w:w="120" w:type="dxa"/>
            <w:vAlign w:val="bottom"/>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50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b w:val="1"/>
                <w:bCs w:val="1"/>
                <w:color w:val="auto"/>
              </w:rPr>
              <w:t>270</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w w:val="97"/>
              </w:rPr>
              <w:t>3,764</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97"/>
              </w:rPr>
              <w:t>2,678</w:t>
            </w:r>
          </w:p>
        </w:tc>
        <w:tc>
          <w:tcPr>
            <w:tcW w:w="32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908</w:t>
            </w:r>
          </w:p>
        </w:tc>
        <w:tc>
          <w:tcPr>
            <w:tcW w:w="1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178</w:t>
            </w:r>
          </w:p>
        </w:tc>
        <w:tc>
          <w:tcPr>
            <w:tcW w:w="60" w:type="dxa"/>
            <w:vAlign w:val="bottom"/>
            <w:shd w:val="clear" w:color="auto" w:fill="CCEEFF"/>
          </w:tcPr>
          <w:p>
            <w:pPr>
              <w:spacing w:after="0"/>
              <w:rPr>
                <w:sz w:val="8"/>
                <w:szCs w:val="8"/>
                <w:color w:val="auto"/>
              </w:rPr>
            </w:pPr>
          </w:p>
        </w:tc>
      </w:tr>
      <w:tr>
        <w:trPr>
          <w:trHeight w:val="20"/>
        </w:trPr>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6" w:lineRule="exact"/>
        <w:rPr>
          <w:sz w:val="20"/>
          <w:szCs w:val="20"/>
          <w:color w:val="auto"/>
        </w:rPr>
      </w:pPr>
    </w:p>
    <w:p>
      <w:pPr>
        <w:ind w:left="348" w:hanging="348"/>
        <w:spacing w:after="0"/>
        <w:tabs>
          <w:tab w:leader="none" w:pos="348" w:val="left"/>
        </w:tabs>
        <w:numPr>
          <w:ilvl w:val="0"/>
          <w:numId w:val="48"/>
        </w:numPr>
        <w:rPr>
          <w:rFonts w:ascii="Arial" w:cs="Arial" w:eastAsia="Arial" w:hAnsi="Arial"/>
          <w:sz w:val="8"/>
          <w:szCs w:val="8"/>
          <w:color w:val="auto"/>
        </w:rPr>
      </w:pPr>
      <w:r>
        <w:rPr>
          <w:rFonts w:ascii="Arial" w:cs="Arial" w:eastAsia="Arial" w:hAnsi="Arial"/>
          <w:sz w:val="8"/>
          <w:szCs w:val="8"/>
          <w:color w:val="auto"/>
        </w:rPr>
        <w:t>US equities include companies that are well diversified by industry sector and equity style (i.e., growth and value strategies). Active and passive management strategies are employed. Investments are primarily in large capitalization stocks and, to a lesser extent, mid- and small-cap stocks.</w:t>
      </w:r>
    </w:p>
    <w:p>
      <w:pPr>
        <w:spacing w:after="0" w:line="61" w:lineRule="exact"/>
        <w:rPr>
          <w:rFonts w:ascii="Arial" w:cs="Arial" w:eastAsia="Arial" w:hAnsi="Arial"/>
          <w:sz w:val="8"/>
          <w:szCs w:val="8"/>
          <w:color w:val="auto"/>
        </w:rPr>
      </w:pPr>
    </w:p>
    <w:p>
      <w:pPr>
        <w:ind w:left="348" w:right="320" w:hanging="348"/>
        <w:spacing w:after="0" w:line="254" w:lineRule="auto"/>
        <w:tabs>
          <w:tab w:leader="none" w:pos="348" w:val="left"/>
        </w:tabs>
        <w:numPr>
          <w:ilvl w:val="0"/>
          <w:numId w:val="48"/>
        </w:numPr>
        <w:rPr>
          <w:rFonts w:ascii="Arial" w:cs="Arial" w:eastAsia="Arial" w:hAnsi="Arial"/>
          <w:sz w:val="9"/>
          <w:szCs w:val="9"/>
          <w:color w:val="auto"/>
        </w:rPr>
      </w:pPr>
      <w:r>
        <w:rPr>
          <w:rFonts w:ascii="Arial" w:cs="Arial" w:eastAsia="Arial" w:hAnsi="Arial"/>
          <w:sz w:val="9"/>
          <w:szCs w:val="9"/>
          <w:color w:val="auto"/>
        </w:rPr>
        <w:t>International equities are invested in companies that are traded on exchanges outside the US and are well diversified by industry sector, country and equity style. Active and passive strategies are employed. The vast majority of the investments are made in companies in developed markets with a small percentage in emerging markets.</w:t>
      </w:r>
    </w:p>
    <w:p>
      <w:pPr>
        <w:spacing w:after="0" w:line="33" w:lineRule="exact"/>
        <w:rPr>
          <w:rFonts w:ascii="Arial" w:cs="Arial" w:eastAsia="Arial" w:hAnsi="Arial"/>
          <w:sz w:val="9"/>
          <w:szCs w:val="9"/>
          <w:color w:val="auto"/>
        </w:rPr>
      </w:pPr>
    </w:p>
    <w:p>
      <w:pPr>
        <w:ind w:left="348" w:hanging="348"/>
        <w:spacing w:after="0"/>
        <w:tabs>
          <w:tab w:leader="none" w:pos="348" w:val="left"/>
        </w:tabs>
        <w:numPr>
          <w:ilvl w:val="0"/>
          <w:numId w:val="48"/>
        </w:numPr>
        <w:rPr>
          <w:rFonts w:ascii="Arial" w:cs="Arial" w:eastAsia="Arial" w:hAnsi="Arial"/>
          <w:sz w:val="9"/>
          <w:szCs w:val="9"/>
          <w:color w:val="auto"/>
        </w:rPr>
      </w:pPr>
      <w:r>
        <w:rPr>
          <w:rFonts w:ascii="Arial" w:cs="Arial" w:eastAsia="Arial" w:hAnsi="Arial"/>
          <w:sz w:val="9"/>
          <w:szCs w:val="9"/>
          <w:color w:val="auto"/>
        </w:rPr>
        <w:t>Corporate bonds consist primarily of investment grade bonds from diversified industries.</w:t>
      </w:r>
    </w:p>
    <w:p>
      <w:pPr>
        <w:spacing w:after="0" w:line="49" w:lineRule="exact"/>
        <w:rPr>
          <w:rFonts w:ascii="Arial" w:cs="Arial" w:eastAsia="Arial" w:hAnsi="Arial"/>
          <w:sz w:val="9"/>
          <w:szCs w:val="9"/>
          <w:color w:val="auto"/>
        </w:rPr>
      </w:pPr>
    </w:p>
    <w:p>
      <w:pPr>
        <w:ind w:left="348" w:hanging="348"/>
        <w:spacing w:after="0"/>
        <w:tabs>
          <w:tab w:leader="none" w:pos="348" w:val="left"/>
        </w:tabs>
        <w:numPr>
          <w:ilvl w:val="0"/>
          <w:numId w:val="48"/>
        </w:numPr>
        <w:rPr>
          <w:rFonts w:ascii="Arial" w:cs="Arial" w:eastAsia="Arial" w:hAnsi="Arial"/>
          <w:sz w:val="9"/>
          <w:szCs w:val="9"/>
          <w:color w:val="auto"/>
        </w:rPr>
      </w:pPr>
      <w:r>
        <w:rPr>
          <w:rFonts w:ascii="Arial" w:cs="Arial" w:eastAsia="Arial" w:hAnsi="Arial"/>
          <w:sz w:val="9"/>
          <w:szCs w:val="9"/>
          <w:color w:val="auto"/>
        </w:rPr>
        <w:t>Government and government-related debt securities are comprised primarily of inflation protected US treasuries and, to a lesser extent, other government-related securities.</w:t>
      </w:r>
    </w:p>
    <w:p>
      <w:pPr>
        <w:spacing w:after="0" w:line="49" w:lineRule="exact"/>
        <w:rPr>
          <w:rFonts w:ascii="Arial" w:cs="Arial" w:eastAsia="Arial" w:hAnsi="Arial"/>
          <w:sz w:val="9"/>
          <w:szCs w:val="9"/>
          <w:color w:val="auto"/>
        </w:rPr>
      </w:pPr>
    </w:p>
    <w:p>
      <w:pPr>
        <w:ind w:left="348" w:right="60" w:hanging="348"/>
        <w:spacing w:after="0" w:line="254" w:lineRule="auto"/>
        <w:tabs>
          <w:tab w:leader="none" w:pos="348" w:val="left"/>
        </w:tabs>
        <w:numPr>
          <w:ilvl w:val="0"/>
          <w:numId w:val="48"/>
        </w:numPr>
        <w:rPr>
          <w:rFonts w:ascii="Arial" w:cs="Arial" w:eastAsia="Arial" w:hAnsi="Arial"/>
          <w:sz w:val="9"/>
          <w:szCs w:val="9"/>
          <w:color w:val="auto"/>
        </w:rPr>
      </w:pPr>
      <w:r>
        <w:rPr>
          <w:rFonts w:ascii="Arial" w:cs="Arial" w:eastAsia="Arial" w:hAnsi="Arial"/>
          <w:sz w:val="9"/>
          <w:szCs w:val="9"/>
          <w:color w:val="auto"/>
        </w:rPr>
        <w:t>Government agency collateralized mortgage obligations and mortgage backed-securities are debt obligations that represent claims to the cash flows from pools of mortgage loans which are purchased from banks, mortgage companies, and other originators and then assembled into pools by governmental and quasi-governmental entities.</w:t>
      </w:r>
    </w:p>
    <w:p>
      <w:pPr>
        <w:spacing w:after="0" w:line="33" w:lineRule="exact"/>
        <w:rPr>
          <w:rFonts w:ascii="Arial" w:cs="Arial" w:eastAsia="Arial" w:hAnsi="Arial"/>
          <w:sz w:val="9"/>
          <w:szCs w:val="9"/>
          <w:color w:val="auto"/>
        </w:rPr>
      </w:pPr>
    </w:p>
    <w:p>
      <w:pPr>
        <w:ind w:left="348" w:hanging="348"/>
        <w:spacing w:after="0"/>
        <w:tabs>
          <w:tab w:leader="none" w:pos="348" w:val="left"/>
        </w:tabs>
        <w:numPr>
          <w:ilvl w:val="0"/>
          <w:numId w:val="48"/>
        </w:numPr>
        <w:rPr>
          <w:rFonts w:ascii="Arial" w:cs="Arial" w:eastAsia="Arial" w:hAnsi="Arial"/>
          <w:sz w:val="8"/>
          <w:szCs w:val="8"/>
          <w:color w:val="auto"/>
        </w:rPr>
      </w:pPr>
      <w:r>
        <w:rPr>
          <w:rFonts w:ascii="Arial" w:cs="Arial" w:eastAsia="Arial" w:hAnsi="Arial"/>
          <w:sz w:val="8"/>
          <w:szCs w:val="8"/>
          <w:color w:val="auto"/>
        </w:rPr>
        <w:t>Other collateralized mortgage obligations and mortgage-backed securities are debt obligations that represent claims to the cash flows from pools of mortgage loans which are purchased from banks, mortgage companies, and other originators and then assembled into pools by private entities.</w:t>
      </w:r>
    </w:p>
    <w:p>
      <w:pPr>
        <w:spacing w:after="0" w:line="61" w:lineRule="exact"/>
        <w:rPr>
          <w:rFonts w:ascii="Arial" w:cs="Arial" w:eastAsia="Arial" w:hAnsi="Arial"/>
          <w:sz w:val="8"/>
          <w:szCs w:val="8"/>
          <w:color w:val="auto"/>
        </w:rPr>
      </w:pPr>
    </w:p>
    <w:p>
      <w:pPr>
        <w:ind w:left="348" w:hanging="348"/>
        <w:spacing w:after="0"/>
        <w:tabs>
          <w:tab w:leader="none" w:pos="348" w:val="left"/>
        </w:tabs>
        <w:numPr>
          <w:ilvl w:val="0"/>
          <w:numId w:val="48"/>
        </w:numPr>
        <w:rPr>
          <w:rFonts w:ascii="Arial" w:cs="Arial" w:eastAsia="Arial" w:hAnsi="Arial"/>
          <w:sz w:val="9"/>
          <w:szCs w:val="9"/>
          <w:color w:val="auto"/>
        </w:rPr>
      </w:pPr>
      <w:r>
        <w:rPr>
          <w:rFonts w:ascii="Arial" w:cs="Arial" w:eastAsia="Arial" w:hAnsi="Arial"/>
          <w:sz w:val="9"/>
          <w:szCs w:val="9"/>
          <w:color w:val="auto"/>
        </w:rPr>
        <w:t>Private equity includes investments in several fund of funds limited partnerships.</w:t>
      </w:r>
    </w:p>
    <w:p>
      <w:pPr>
        <w:spacing w:after="0" w:line="49" w:lineRule="exact"/>
        <w:rPr>
          <w:rFonts w:ascii="Arial" w:cs="Arial" w:eastAsia="Arial" w:hAnsi="Arial"/>
          <w:sz w:val="9"/>
          <w:szCs w:val="9"/>
          <w:color w:val="auto"/>
        </w:rPr>
      </w:pPr>
    </w:p>
    <w:p>
      <w:pPr>
        <w:ind w:left="348" w:hanging="348"/>
        <w:spacing w:after="0"/>
        <w:tabs>
          <w:tab w:leader="none" w:pos="348" w:val="left"/>
        </w:tabs>
        <w:numPr>
          <w:ilvl w:val="0"/>
          <w:numId w:val="48"/>
        </w:numPr>
        <w:rPr>
          <w:rFonts w:ascii="Arial" w:cs="Arial" w:eastAsia="Arial" w:hAnsi="Arial"/>
          <w:sz w:val="9"/>
          <w:szCs w:val="9"/>
          <w:color w:val="auto"/>
        </w:rPr>
      </w:pPr>
      <w:r>
        <w:rPr>
          <w:rFonts w:ascii="Arial" w:cs="Arial" w:eastAsia="Arial" w:hAnsi="Arial"/>
          <w:sz w:val="9"/>
          <w:szCs w:val="9"/>
          <w:color w:val="auto"/>
        </w:rPr>
        <w:t>Real estate primarily includes investments in real estate limited partnerships, concentrated in commercial real estate.</w:t>
      </w:r>
    </w:p>
    <w:p>
      <w:pPr>
        <w:spacing w:after="0" w:line="51" w:lineRule="exact"/>
        <w:rPr>
          <w:sz w:val="20"/>
          <w:szCs w:val="20"/>
          <w:color w:val="auto"/>
        </w:rPr>
      </w:pPr>
    </w:p>
    <w:p>
      <w:pPr>
        <w:ind w:left="228"/>
        <w:spacing w:after="0"/>
        <w:rPr>
          <w:sz w:val="20"/>
          <w:szCs w:val="20"/>
          <w:color w:val="auto"/>
        </w:rPr>
      </w:pPr>
      <w:r>
        <w:rPr>
          <w:rFonts w:ascii="Arial" w:cs="Arial" w:eastAsia="Arial" w:hAnsi="Arial"/>
          <w:sz w:val="9"/>
          <w:szCs w:val="9"/>
          <w:color w:val="auto"/>
        </w:rPr>
        <w:t>The funding policy is to annually contribute amounts that are based upon a number of factors including the actuarial accrued liability, amounts that are deductible for income tax purposes, legal funding requirements and available cash flow.</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Schlumberger currently anticipates contributing approximately $600 million to its postretirement benefit plans in 2012, subject to market and business conditions.</w:t>
      </w:r>
    </w:p>
    <w:p>
      <w:pPr>
        <w:spacing w:after="0" w:line="100"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67</w:t>
      </w:r>
    </w:p>
    <w:p>
      <w:pPr>
        <w:sectPr>
          <w:pgSz w:w="11900" w:h="16838" w:orient="portrait"/>
          <w:cols w:equalWidth="0" w:num="1">
            <w:col w:w="11488"/>
          </w:cols>
          <w:pgMar w:left="212" w:top="354" w:right="199"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Postretirement Benefits Other than Pensions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Schlumberger provides certain health care benefits to former US employees who have retired.</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actuarial assumptions used to determine the accumulated postretirement benefit obligation and net periodic benefit cost for the US postretirement medical plan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7720" w:type="dxa"/>
            <w:vAlign w:val="bottom"/>
          </w:tcPr>
          <w:p>
            <w:pPr>
              <w:spacing w:after="0"/>
              <w:rPr>
                <w:sz w:val="8"/>
                <w:szCs w:val="8"/>
                <w:color w:val="auto"/>
              </w:rPr>
            </w:pPr>
          </w:p>
        </w:tc>
        <w:tc>
          <w:tcPr>
            <w:tcW w:w="920" w:type="dxa"/>
            <w:vAlign w:val="bottom"/>
            <w:gridSpan w:val="3"/>
          </w:tcPr>
          <w:p>
            <w:pPr>
              <w:jc w:val="center"/>
              <w:ind w:left="155"/>
              <w:spacing w:after="0"/>
              <w:rPr>
                <w:sz w:val="20"/>
                <w:szCs w:val="20"/>
                <w:color w:val="auto"/>
              </w:rPr>
            </w:pPr>
            <w:r>
              <w:rPr>
                <w:rFonts w:ascii="Arial" w:cs="Arial" w:eastAsia="Arial" w:hAnsi="Arial"/>
                <w:sz w:val="9"/>
                <w:szCs w:val="9"/>
                <w:b w:val="1"/>
                <w:bCs w:val="1"/>
                <w:color w:val="auto"/>
                <w:w w:val="92"/>
              </w:rPr>
              <w:t>Benefit Obligation</w:t>
            </w: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8"/>
          </w:tcPr>
          <w:p>
            <w:pPr>
              <w:jc w:val="right"/>
              <w:ind w:right="40"/>
              <w:spacing w:after="0"/>
              <w:rPr>
                <w:sz w:val="20"/>
                <w:szCs w:val="20"/>
                <w:color w:val="auto"/>
              </w:rPr>
            </w:pPr>
            <w:r>
              <w:rPr>
                <w:rFonts w:ascii="Arial" w:cs="Arial" w:eastAsia="Arial" w:hAnsi="Arial"/>
                <w:sz w:val="9"/>
                <w:szCs w:val="9"/>
                <w:b w:val="1"/>
                <w:bCs w:val="1"/>
                <w:color w:val="auto"/>
              </w:rPr>
              <w:t>Net Periodic Benefit Cost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720" w:type="dxa"/>
            <w:vAlign w:val="bottom"/>
          </w:tcPr>
          <w:p>
            <w:pPr>
              <w:spacing w:after="0"/>
              <w:rPr>
                <w:sz w:val="9"/>
                <w:szCs w:val="9"/>
                <w:color w:val="auto"/>
              </w:rPr>
            </w:pPr>
          </w:p>
        </w:tc>
        <w:tc>
          <w:tcPr>
            <w:tcW w:w="920" w:type="dxa"/>
            <w:vAlign w:val="bottom"/>
            <w:tcBorders>
              <w:bottom w:val="single" w:sz="8" w:color="auto"/>
            </w:tcBorders>
            <w:gridSpan w:val="3"/>
          </w:tcPr>
          <w:p>
            <w:pPr>
              <w:jc w:val="center"/>
              <w:ind w:left="155"/>
              <w:spacing w:after="0"/>
              <w:rPr>
                <w:sz w:val="20"/>
                <w:szCs w:val="20"/>
                <w:color w:val="auto"/>
              </w:rPr>
            </w:pPr>
            <w:r>
              <w:rPr>
                <w:rFonts w:ascii="Arial" w:cs="Arial" w:eastAsia="Arial" w:hAnsi="Arial"/>
                <w:sz w:val="9"/>
                <w:szCs w:val="9"/>
                <w:b w:val="1"/>
                <w:bCs w:val="1"/>
                <w:color w:val="auto"/>
                <w:w w:val="92"/>
              </w:rPr>
              <w:t>at December 31,</w:t>
            </w:r>
          </w:p>
        </w:tc>
        <w:tc>
          <w:tcPr>
            <w:tcW w:w="20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9"/>
                <w:szCs w:val="9"/>
                <w:b w:val="1"/>
                <w:bCs w:val="1"/>
                <w:color w:val="auto"/>
                <w:w w:val="89"/>
              </w:rPr>
              <w:t>for the year</w:t>
            </w: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7720" w:type="dxa"/>
            <w:vAlign w:val="bottom"/>
          </w:tcPr>
          <w:p>
            <w:pPr>
              <w:spacing w:after="0"/>
              <w:rPr>
                <w:sz w:val="7"/>
                <w:szCs w:val="7"/>
                <w:color w:val="auto"/>
              </w:rPr>
            </w:pPr>
          </w:p>
        </w:tc>
        <w:tc>
          <w:tcPr>
            <w:tcW w:w="840" w:type="dxa"/>
            <w:vAlign w:val="bottom"/>
            <w:gridSpan w:val="2"/>
          </w:tcPr>
          <w:p>
            <w:pPr>
              <w:jc w:val="right"/>
              <w:ind w:right="580"/>
              <w:spacing w:after="0" w:line="88" w:lineRule="exact"/>
              <w:rPr>
                <w:sz w:val="20"/>
                <w:szCs w:val="20"/>
                <w:color w:val="auto"/>
              </w:rPr>
            </w:pPr>
            <w:r>
              <w:rPr>
                <w:rFonts w:ascii="Arial" w:cs="Arial" w:eastAsia="Arial" w:hAnsi="Arial"/>
                <w:sz w:val="9"/>
                <w:szCs w:val="9"/>
                <w:b w:val="1"/>
                <w:bCs w:val="1"/>
                <w:color w:val="auto"/>
              </w:rPr>
              <w:t>2011</w:t>
            </w:r>
          </w:p>
        </w:tc>
        <w:tc>
          <w:tcPr>
            <w:tcW w:w="80" w:type="dxa"/>
            <w:vAlign w:val="bottom"/>
          </w:tcPr>
          <w:p>
            <w:pPr>
              <w:spacing w:after="0"/>
              <w:rPr>
                <w:sz w:val="7"/>
                <w:szCs w:val="7"/>
                <w:color w:val="auto"/>
              </w:rPr>
            </w:pPr>
          </w:p>
        </w:tc>
        <w:tc>
          <w:tcPr>
            <w:tcW w:w="200" w:type="dxa"/>
            <w:vAlign w:val="bottom"/>
          </w:tcPr>
          <w:p>
            <w:pPr>
              <w:jc w:val="right"/>
              <w:spacing w:after="0" w:line="88" w:lineRule="exact"/>
              <w:rPr>
                <w:sz w:val="20"/>
                <w:szCs w:val="20"/>
                <w:color w:val="auto"/>
              </w:rPr>
            </w:pPr>
            <w:r>
              <w:rPr>
                <w:rFonts w:ascii="Arial" w:cs="Arial" w:eastAsia="Arial" w:hAnsi="Arial"/>
                <w:sz w:val="9"/>
                <w:szCs w:val="9"/>
                <w:b w:val="1"/>
                <w:bCs w:val="1"/>
                <w:color w:val="auto"/>
                <w:w w:val="89"/>
              </w:rPr>
              <w:t>2010</w:t>
            </w:r>
          </w:p>
        </w:tc>
        <w:tc>
          <w:tcPr>
            <w:tcW w:w="860" w:type="dxa"/>
            <w:vAlign w:val="bottom"/>
          </w:tcPr>
          <w:p>
            <w:pPr>
              <w:spacing w:after="0"/>
              <w:rPr>
                <w:sz w:val="7"/>
                <w:szCs w:val="7"/>
                <w:color w:val="auto"/>
              </w:rPr>
            </w:pPr>
          </w:p>
        </w:tc>
        <w:tc>
          <w:tcPr>
            <w:tcW w:w="380" w:type="dxa"/>
            <w:vAlign w:val="bottom"/>
            <w:gridSpan w:val="2"/>
          </w:tcPr>
          <w:p>
            <w:pPr>
              <w:jc w:val="right"/>
              <w:ind w:right="135"/>
              <w:spacing w:after="0" w:line="88" w:lineRule="exact"/>
              <w:rPr>
                <w:sz w:val="20"/>
                <w:szCs w:val="20"/>
                <w:color w:val="auto"/>
              </w:rPr>
            </w:pPr>
            <w:r>
              <w:rPr>
                <w:rFonts w:ascii="Arial" w:cs="Arial" w:eastAsia="Arial" w:hAnsi="Arial"/>
                <w:sz w:val="9"/>
                <w:szCs w:val="9"/>
                <w:b w:val="1"/>
                <w:bCs w:val="1"/>
                <w:color w:val="auto"/>
                <w:w w:val="89"/>
              </w:rPr>
              <w:t>2011</w:t>
            </w: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3"/>
          </w:tcPr>
          <w:p>
            <w:pPr>
              <w:jc w:val="right"/>
              <w:ind w:right="35"/>
              <w:spacing w:after="0" w:line="88" w:lineRule="exact"/>
              <w:rPr>
                <w:sz w:val="20"/>
                <w:szCs w:val="20"/>
                <w:color w:val="auto"/>
              </w:rPr>
            </w:pPr>
            <w:r>
              <w:rPr>
                <w:rFonts w:ascii="Arial" w:cs="Arial" w:eastAsia="Arial" w:hAnsi="Arial"/>
                <w:sz w:val="9"/>
                <w:szCs w:val="9"/>
                <w:b w:val="1"/>
                <w:bCs w:val="1"/>
                <w:color w:val="auto"/>
              </w:rPr>
              <w:t>2010</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gridSpan w:val="3"/>
          </w:tcPr>
          <w:p>
            <w:pPr>
              <w:jc w:val="right"/>
              <w:spacing w:after="0" w:line="88" w:lineRule="exact"/>
              <w:rPr>
                <w:sz w:val="20"/>
                <w:szCs w:val="20"/>
                <w:color w:val="auto"/>
              </w:rPr>
            </w:pPr>
            <w:r>
              <w:rPr>
                <w:rFonts w:ascii="Arial" w:cs="Arial" w:eastAsia="Arial" w:hAnsi="Arial"/>
                <w:sz w:val="9"/>
                <w:szCs w:val="9"/>
                <w:b w:val="1"/>
                <w:bCs w:val="1"/>
                <w:color w:val="auto"/>
                <w:w w:val="99"/>
              </w:rPr>
              <w:t>2009</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CEEFF"/>
          </w:tcPr>
          <w:p>
            <w:pPr>
              <w:spacing w:after="0"/>
              <w:rPr>
                <w:sz w:val="20"/>
                <w:szCs w:val="20"/>
                <w:color w:val="auto"/>
              </w:rPr>
            </w:pPr>
            <w:r>
              <w:rPr>
                <w:rFonts w:ascii="Arial" w:cs="Arial" w:eastAsia="Arial" w:hAnsi="Arial"/>
                <w:sz w:val="9"/>
                <w:szCs w:val="9"/>
                <w:color w:val="auto"/>
              </w:rPr>
              <w:t>Discount rate</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7720" w:type="dxa"/>
            <w:vAlign w:val="bottom"/>
            <w:vMerge w:val="continue"/>
            <w:shd w:val="clear" w:color="auto" w:fill="CCEEFF"/>
          </w:tcPr>
          <w:p>
            <w:pPr>
              <w:spacing w:after="0"/>
              <w:rPr>
                <w:sz w:val="7"/>
                <w:szCs w:val="7"/>
                <w:color w:val="auto"/>
              </w:rPr>
            </w:pPr>
          </w:p>
        </w:tc>
        <w:tc>
          <w:tcPr>
            <w:tcW w:w="840" w:type="dxa"/>
            <w:vAlign w:val="bottom"/>
            <w:gridSpan w:val="2"/>
            <w:shd w:val="clear" w:color="auto" w:fill="CCEEFF"/>
          </w:tcPr>
          <w:p>
            <w:pPr>
              <w:jc w:val="right"/>
              <w:ind w:right="480"/>
              <w:spacing w:after="0" w:line="88" w:lineRule="exact"/>
              <w:rPr>
                <w:sz w:val="20"/>
                <w:szCs w:val="20"/>
                <w:color w:val="auto"/>
              </w:rPr>
            </w:pPr>
            <w:r>
              <w:rPr>
                <w:rFonts w:ascii="Arial" w:cs="Arial" w:eastAsia="Arial" w:hAnsi="Arial"/>
                <w:sz w:val="9"/>
                <w:szCs w:val="9"/>
                <w:b w:val="1"/>
                <w:bCs w:val="1"/>
                <w:color w:val="auto"/>
              </w:rPr>
              <w:t>5.00%</w:t>
            </w:r>
          </w:p>
        </w:tc>
        <w:tc>
          <w:tcPr>
            <w:tcW w:w="80" w:type="dxa"/>
            <w:vAlign w:val="bottom"/>
            <w:shd w:val="clear" w:color="auto" w:fill="CCEEFF"/>
          </w:tcPr>
          <w:p>
            <w:pPr>
              <w:spacing w:after="0"/>
              <w:rPr>
                <w:sz w:val="7"/>
                <w:szCs w:val="7"/>
                <w:color w:val="auto"/>
              </w:rPr>
            </w:pPr>
          </w:p>
        </w:tc>
        <w:tc>
          <w:tcPr>
            <w:tcW w:w="1060" w:type="dxa"/>
            <w:vAlign w:val="bottom"/>
            <w:gridSpan w:val="2"/>
            <w:shd w:val="clear" w:color="auto" w:fill="CCEEFF"/>
          </w:tcPr>
          <w:p>
            <w:pPr>
              <w:jc w:val="right"/>
              <w:ind w:right="780"/>
              <w:spacing w:after="0" w:line="88" w:lineRule="exact"/>
              <w:rPr>
                <w:sz w:val="20"/>
                <w:szCs w:val="20"/>
                <w:color w:val="auto"/>
              </w:rPr>
            </w:pPr>
            <w:r>
              <w:rPr>
                <w:rFonts w:ascii="Arial" w:cs="Arial" w:eastAsia="Arial" w:hAnsi="Arial"/>
                <w:sz w:val="9"/>
                <w:szCs w:val="9"/>
                <w:color w:val="auto"/>
              </w:rPr>
              <w:t>5.50%</w:t>
            </w:r>
          </w:p>
        </w:tc>
        <w:tc>
          <w:tcPr>
            <w:tcW w:w="380" w:type="dxa"/>
            <w:vAlign w:val="bottom"/>
            <w:gridSpan w:val="2"/>
            <w:shd w:val="clear" w:color="auto" w:fill="CCEEFF"/>
          </w:tcPr>
          <w:p>
            <w:pPr>
              <w:jc w:val="right"/>
              <w:ind w:right="55"/>
              <w:spacing w:after="0" w:line="88" w:lineRule="exact"/>
              <w:rPr>
                <w:sz w:val="20"/>
                <w:szCs w:val="20"/>
                <w:color w:val="auto"/>
              </w:rPr>
            </w:pPr>
            <w:r>
              <w:rPr>
                <w:rFonts w:ascii="Arial" w:cs="Arial" w:eastAsia="Arial" w:hAnsi="Arial"/>
                <w:sz w:val="9"/>
                <w:szCs w:val="9"/>
                <w:b w:val="1"/>
                <w:bCs w:val="1"/>
                <w:color w:val="auto"/>
              </w:rPr>
              <w:t>5.50%</w:t>
            </w: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83"/>
              <w:spacing w:after="0" w:line="88" w:lineRule="exact"/>
              <w:rPr>
                <w:sz w:val="20"/>
                <w:szCs w:val="20"/>
                <w:color w:val="auto"/>
              </w:rPr>
            </w:pPr>
            <w:r>
              <w:rPr>
                <w:rFonts w:ascii="Arial" w:cs="Arial" w:eastAsia="Arial" w:hAnsi="Arial"/>
                <w:sz w:val="9"/>
                <w:szCs w:val="9"/>
                <w:color w:val="auto"/>
                <w:w w:val="86"/>
              </w:rPr>
              <w:t>6.00%</w:t>
            </w:r>
          </w:p>
        </w:tc>
        <w:tc>
          <w:tcPr>
            <w:tcW w:w="240" w:type="dxa"/>
            <w:vAlign w:val="bottom"/>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320" w:type="dxa"/>
            <w:vAlign w:val="bottom"/>
            <w:gridSpan w:val="4"/>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6.94%</w:t>
            </w:r>
          </w:p>
        </w:tc>
        <w:tc>
          <w:tcPr>
            <w:tcW w:w="0" w:type="dxa"/>
            <w:vAlign w:val="bottom"/>
          </w:tcPr>
          <w:p>
            <w:pPr>
              <w:spacing w:after="0"/>
              <w:rPr>
                <w:sz w:val="1"/>
                <w:szCs w:val="1"/>
                <w:color w:val="auto"/>
              </w:rPr>
            </w:pPr>
          </w:p>
        </w:tc>
      </w:tr>
      <w:tr>
        <w:trPr>
          <w:trHeight w:val="99"/>
        </w:trPr>
        <w:tc>
          <w:tcPr>
            <w:tcW w:w="7720" w:type="dxa"/>
            <w:vAlign w:val="bottom"/>
          </w:tcPr>
          <w:p>
            <w:pPr>
              <w:spacing w:after="0" w:line="99" w:lineRule="exact"/>
              <w:rPr>
                <w:sz w:val="20"/>
                <w:szCs w:val="20"/>
                <w:color w:val="auto"/>
              </w:rPr>
            </w:pPr>
            <w:r>
              <w:rPr>
                <w:rFonts w:ascii="Arial" w:cs="Arial" w:eastAsia="Arial" w:hAnsi="Arial"/>
                <w:sz w:val="9"/>
                <w:szCs w:val="9"/>
                <w:color w:val="auto"/>
              </w:rPr>
              <w:t>Return on plan assets</w:t>
            </w:r>
          </w:p>
        </w:tc>
        <w:tc>
          <w:tcPr>
            <w:tcW w:w="920" w:type="dxa"/>
            <w:vAlign w:val="bottom"/>
            <w:gridSpan w:val="3"/>
          </w:tcPr>
          <w:p>
            <w:pPr>
              <w:jc w:val="right"/>
              <w:ind w:right="660"/>
              <w:spacing w:after="0" w:line="99" w:lineRule="exact"/>
              <w:rPr>
                <w:sz w:val="20"/>
                <w:szCs w:val="20"/>
                <w:color w:val="auto"/>
              </w:rPr>
            </w:pPr>
            <w:r>
              <w:rPr>
                <w:rFonts w:ascii="Arial" w:cs="Arial" w:eastAsia="Arial" w:hAnsi="Arial"/>
                <w:sz w:val="9"/>
                <w:szCs w:val="9"/>
                <w:b w:val="1"/>
                <w:bCs w:val="1"/>
                <w:color w:val="auto"/>
              </w:rPr>
              <w:t>–</w:t>
            </w:r>
          </w:p>
        </w:tc>
        <w:tc>
          <w:tcPr>
            <w:tcW w:w="1060" w:type="dxa"/>
            <w:vAlign w:val="bottom"/>
            <w:gridSpan w:val="2"/>
          </w:tcPr>
          <w:p>
            <w:pPr>
              <w:jc w:val="right"/>
              <w:ind w:right="860"/>
              <w:spacing w:after="0" w:line="99" w:lineRule="exact"/>
              <w:rPr>
                <w:sz w:val="20"/>
                <w:szCs w:val="20"/>
                <w:color w:val="auto"/>
              </w:rPr>
            </w:pPr>
            <w:r>
              <w:rPr>
                <w:rFonts w:ascii="Arial" w:cs="Arial" w:eastAsia="Arial" w:hAnsi="Arial"/>
                <w:sz w:val="9"/>
                <w:szCs w:val="9"/>
                <w:color w:val="auto"/>
              </w:rPr>
              <w:t>–</w:t>
            </w:r>
          </w:p>
        </w:tc>
        <w:tc>
          <w:tcPr>
            <w:tcW w:w="380" w:type="dxa"/>
            <w:vAlign w:val="bottom"/>
            <w:gridSpan w:val="2"/>
          </w:tcPr>
          <w:p>
            <w:pPr>
              <w:jc w:val="right"/>
              <w:ind w:right="55"/>
              <w:spacing w:after="0" w:line="99" w:lineRule="exact"/>
              <w:rPr>
                <w:sz w:val="20"/>
                <w:szCs w:val="20"/>
                <w:color w:val="auto"/>
              </w:rPr>
            </w:pPr>
            <w:r>
              <w:rPr>
                <w:rFonts w:ascii="Arial" w:cs="Arial" w:eastAsia="Arial" w:hAnsi="Arial"/>
                <w:sz w:val="9"/>
                <w:szCs w:val="9"/>
                <w:b w:val="1"/>
                <w:bCs w:val="1"/>
                <w:color w:val="auto"/>
              </w:rPr>
              <w:t>7.00%</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83"/>
              <w:spacing w:after="0" w:line="99" w:lineRule="exact"/>
              <w:rPr>
                <w:sz w:val="20"/>
                <w:szCs w:val="20"/>
                <w:color w:val="auto"/>
              </w:rPr>
            </w:pPr>
            <w:r>
              <w:rPr>
                <w:rFonts w:ascii="Arial" w:cs="Arial" w:eastAsia="Arial" w:hAnsi="Arial"/>
                <w:sz w:val="9"/>
                <w:szCs w:val="9"/>
                <w:color w:val="auto"/>
                <w:w w:val="86"/>
              </w:rPr>
              <w:t>8.00%</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4"/>
          </w:tcPr>
          <w:p>
            <w:pPr>
              <w:jc w:val="right"/>
              <w:ind w:right="20"/>
              <w:spacing w:after="0" w:line="99" w:lineRule="exact"/>
              <w:rPr>
                <w:sz w:val="20"/>
                <w:szCs w:val="20"/>
                <w:color w:val="auto"/>
              </w:rPr>
            </w:pPr>
            <w:r>
              <w:rPr>
                <w:rFonts w:ascii="Arial" w:cs="Arial" w:eastAsia="Arial" w:hAnsi="Arial"/>
                <w:sz w:val="9"/>
                <w:szCs w:val="9"/>
                <w:color w:val="auto"/>
              </w:rPr>
              <w:t>8.00%</w:t>
            </w:r>
          </w:p>
        </w:tc>
        <w:tc>
          <w:tcPr>
            <w:tcW w:w="0" w:type="dxa"/>
            <w:vAlign w:val="bottom"/>
          </w:tcPr>
          <w:p>
            <w:pPr>
              <w:spacing w:after="0"/>
              <w:rPr>
                <w:sz w:val="1"/>
                <w:szCs w:val="1"/>
                <w:color w:val="auto"/>
              </w:rPr>
            </w:pPr>
          </w:p>
        </w:tc>
      </w:tr>
      <w:tr>
        <w:trPr>
          <w:trHeight w:val="99"/>
        </w:trPr>
        <w:tc>
          <w:tcPr>
            <w:tcW w:w="77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Current medical cost trend rate</w:t>
            </w:r>
          </w:p>
        </w:tc>
        <w:tc>
          <w:tcPr>
            <w:tcW w:w="840" w:type="dxa"/>
            <w:vAlign w:val="bottom"/>
            <w:gridSpan w:val="2"/>
            <w:shd w:val="clear" w:color="auto" w:fill="CCEEFF"/>
          </w:tcPr>
          <w:p>
            <w:pPr>
              <w:jc w:val="right"/>
              <w:ind w:right="480"/>
              <w:spacing w:after="0" w:line="99" w:lineRule="exact"/>
              <w:rPr>
                <w:sz w:val="20"/>
                <w:szCs w:val="20"/>
                <w:color w:val="auto"/>
              </w:rPr>
            </w:pPr>
            <w:r>
              <w:rPr>
                <w:rFonts w:ascii="Arial" w:cs="Arial" w:eastAsia="Arial" w:hAnsi="Arial"/>
                <w:sz w:val="9"/>
                <w:szCs w:val="9"/>
                <w:b w:val="1"/>
                <w:bCs w:val="1"/>
                <w:color w:val="auto"/>
              </w:rPr>
              <w:t>8.00%</w:t>
            </w:r>
          </w:p>
        </w:tc>
        <w:tc>
          <w:tcPr>
            <w:tcW w:w="8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780"/>
              <w:spacing w:after="0" w:line="99" w:lineRule="exact"/>
              <w:rPr>
                <w:sz w:val="20"/>
                <w:szCs w:val="20"/>
                <w:color w:val="auto"/>
              </w:rPr>
            </w:pPr>
            <w:r>
              <w:rPr>
                <w:rFonts w:ascii="Arial" w:cs="Arial" w:eastAsia="Arial" w:hAnsi="Arial"/>
                <w:sz w:val="9"/>
                <w:szCs w:val="9"/>
                <w:color w:val="auto"/>
              </w:rPr>
              <w:t>8.00%</w:t>
            </w:r>
          </w:p>
        </w:tc>
        <w:tc>
          <w:tcPr>
            <w:tcW w:w="380" w:type="dxa"/>
            <w:vAlign w:val="bottom"/>
            <w:gridSpan w:val="2"/>
            <w:shd w:val="clear" w:color="auto" w:fill="CCEEFF"/>
          </w:tcPr>
          <w:p>
            <w:pPr>
              <w:jc w:val="right"/>
              <w:ind w:right="55"/>
              <w:spacing w:after="0" w:line="99" w:lineRule="exact"/>
              <w:rPr>
                <w:sz w:val="20"/>
                <w:szCs w:val="20"/>
                <w:color w:val="auto"/>
              </w:rPr>
            </w:pPr>
            <w:r>
              <w:rPr>
                <w:rFonts w:ascii="Arial" w:cs="Arial" w:eastAsia="Arial" w:hAnsi="Arial"/>
                <w:sz w:val="9"/>
                <w:szCs w:val="9"/>
                <w:b w:val="1"/>
                <w:bCs w:val="1"/>
                <w:color w:val="auto"/>
              </w:rPr>
              <w:t>8.00%</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3"/>
              <w:spacing w:after="0" w:line="99" w:lineRule="exact"/>
              <w:rPr>
                <w:sz w:val="20"/>
                <w:szCs w:val="20"/>
                <w:color w:val="auto"/>
              </w:rPr>
            </w:pPr>
            <w:r>
              <w:rPr>
                <w:rFonts w:ascii="Arial" w:cs="Arial" w:eastAsia="Arial" w:hAnsi="Arial"/>
                <w:sz w:val="9"/>
                <w:szCs w:val="9"/>
                <w:color w:val="auto"/>
                <w:w w:val="86"/>
              </w:rPr>
              <w:t>8.00%</w:t>
            </w:r>
          </w:p>
        </w:tc>
        <w:tc>
          <w:tcPr>
            <w:tcW w:w="2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4"/>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8.00%</w:t>
            </w:r>
          </w:p>
        </w:tc>
        <w:tc>
          <w:tcPr>
            <w:tcW w:w="0" w:type="dxa"/>
            <w:vAlign w:val="bottom"/>
          </w:tcPr>
          <w:p>
            <w:pPr>
              <w:spacing w:after="0"/>
              <w:rPr>
                <w:sz w:val="1"/>
                <w:szCs w:val="1"/>
                <w:color w:val="auto"/>
              </w:rPr>
            </w:pPr>
          </w:p>
        </w:tc>
      </w:tr>
      <w:tr>
        <w:trPr>
          <w:trHeight w:val="99"/>
        </w:trPr>
        <w:tc>
          <w:tcPr>
            <w:tcW w:w="7720" w:type="dxa"/>
            <w:vAlign w:val="bottom"/>
          </w:tcPr>
          <w:p>
            <w:pPr>
              <w:spacing w:after="0" w:line="99" w:lineRule="exact"/>
              <w:rPr>
                <w:sz w:val="20"/>
                <w:szCs w:val="20"/>
                <w:color w:val="auto"/>
              </w:rPr>
            </w:pPr>
            <w:r>
              <w:rPr>
                <w:rFonts w:ascii="Arial" w:cs="Arial" w:eastAsia="Arial" w:hAnsi="Arial"/>
                <w:sz w:val="9"/>
                <w:szCs w:val="9"/>
                <w:color w:val="auto"/>
              </w:rPr>
              <w:t>Ultimate medical cost trend rate</w:t>
            </w:r>
          </w:p>
        </w:tc>
        <w:tc>
          <w:tcPr>
            <w:tcW w:w="840" w:type="dxa"/>
            <w:vAlign w:val="bottom"/>
            <w:gridSpan w:val="2"/>
          </w:tcPr>
          <w:p>
            <w:pPr>
              <w:jc w:val="right"/>
              <w:ind w:right="480"/>
              <w:spacing w:after="0" w:line="99" w:lineRule="exact"/>
              <w:rPr>
                <w:sz w:val="20"/>
                <w:szCs w:val="20"/>
                <w:color w:val="auto"/>
              </w:rPr>
            </w:pPr>
            <w:r>
              <w:rPr>
                <w:rFonts w:ascii="Arial" w:cs="Arial" w:eastAsia="Arial" w:hAnsi="Arial"/>
                <w:sz w:val="9"/>
                <w:szCs w:val="9"/>
                <w:b w:val="1"/>
                <w:bCs w:val="1"/>
                <w:color w:val="auto"/>
              </w:rPr>
              <w:t>5.00%</w:t>
            </w:r>
          </w:p>
        </w:tc>
        <w:tc>
          <w:tcPr>
            <w:tcW w:w="80" w:type="dxa"/>
            <w:vAlign w:val="bottom"/>
          </w:tcPr>
          <w:p>
            <w:pPr>
              <w:spacing w:after="0"/>
              <w:rPr>
                <w:sz w:val="8"/>
                <w:szCs w:val="8"/>
                <w:color w:val="auto"/>
              </w:rPr>
            </w:pPr>
          </w:p>
        </w:tc>
        <w:tc>
          <w:tcPr>
            <w:tcW w:w="1060" w:type="dxa"/>
            <w:vAlign w:val="bottom"/>
            <w:gridSpan w:val="2"/>
          </w:tcPr>
          <w:p>
            <w:pPr>
              <w:jc w:val="right"/>
              <w:ind w:right="780"/>
              <w:spacing w:after="0" w:line="99" w:lineRule="exact"/>
              <w:rPr>
                <w:sz w:val="20"/>
                <w:szCs w:val="20"/>
                <w:color w:val="auto"/>
              </w:rPr>
            </w:pPr>
            <w:r>
              <w:rPr>
                <w:rFonts w:ascii="Arial" w:cs="Arial" w:eastAsia="Arial" w:hAnsi="Arial"/>
                <w:sz w:val="9"/>
                <w:szCs w:val="9"/>
                <w:color w:val="auto"/>
              </w:rPr>
              <w:t>5.00%</w:t>
            </w:r>
          </w:p>
        </w:tc>
        <w:tc>
          <w:tcPr>
            <w:tcW w:w="380" w:type="dxa"/>
            <w:vAlign w:val="bottom"/>
            <w:gridSpan w:val="2"/>
          </w:tcPr>
          <w:p>
            <w:pPr>
              <w:jc w:val="right"/>
              <w:ind w:right="55"/>
              <w:spacing w:after="0" w:line="99" w:lineRule="exact"/>
              <w:rPr>
                <w:sz w:val="20"/>
                <w:szCs w:val="20"/>
                <w:color w:val="auto"/>
              </w:rPr>
            </w:pPr>
            <w:r>
              <w:rPr>
                <w:rFonts w:ascii="Arial" w:cs="Arial" w:eastAsia="Arial" w:hAnsi="Arial"/>
                <w:sz w:val="9"/>
                <w:szCs w:val="9"/>
                <w:b w:val="1"/>
                <w:bCs w:val="1"/>
                <w:color w:val="auto"/>
              </w:rPr>
              <w:t>5.00%</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83"/>
              <w:spacing w:after="0" w:line="99" w:lineRule="exact"/>
              <w:rPr>
                <w:sz w:val="20"/>
                <w:szCs w:val="20"/>
                <w:color w:val="auto"/>
              </w:rPr>
            </w:pPr>
            <w:r>
              <w:rPr>
                <w:rFonts w:ascii="Arial" w:cs="Arial" w:eastAsia="Arial" w:hAnsi="Arial"/>
                <w:sz w:val="9"/>
                <w:szCs w:val="9"/>
                <w:color w:val="auto"/>
                <w:w w:val="86"/>
              </w:rPr>
              <w:t>5.00%</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4"/>
          </w:tcPr>
          <w:p>
            <w:pPr>
              <w:jc w:val="right"/>
              <w:ind w:right="20"/>
              <w:spacing w:after="0" w:line="99" w:lineRule="exact"/>
              <w:rPr>
                <w:sz w:val="20"/>
                <w:szCs w:val="20"/>
                <w:color w:val="auto"/>
              </w:rPr>
            </w:pPr>
            <w:r>
              <w:rPr>
                <w:rFonts w:ascii="Arial" w:cs="Arial" w:eastAsia="Arial" w:hAnsi="Arial"/>
                <w:sz w:val="9"/>
                <w:szCs w:val="9"/>
                <w:color w:val="auto"/>
              </w:rPr>
              <w:t>5.00%</w:t>
            </w:r>
          </w:p>
        </w:tc>
        <w:tc>
          <w:tcPr>
            <w:tcW w:w="0" w:type="dxa"/>
            <w:vAlign w:val="bottom"/>
          </w:tcPr>
          <w:p>
            <w:pPr>
              <w:spacing w:after="0"/>
              <w:rPr>
                <w:sz w:val="1"/>
                <w:szCs w:val="1"/>
                <w:color w:val="auto"/>
              </w:rPr>
            </w:pPr>
          </w:p>
        </w:tc>
      </w:tr>
      <w:tr>
        <w:trPr>
          <w:trHeight w:val="99"/>
        </w:trPr>
        <w:tc>
          <w:tcPr>
            <w:tcW w:w="77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Year that the rate reaches theultimate trend rate</w:t>
            </w:r>
          </w:p>
        </w:tc>
        <w:tc>
          <w:tcPr>
            <w:tcW w:w="26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2018</w:t>
            </w: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860"/>
              <w:spacing w:after="0" w:line="99" w:lineRule="exact"/>
              <w:rPr>
                <w:sz w:val="20"/>
                <w:szCs w:val="20"/>
                <w:color w:val="auto"/>
              </w:rPr>
            </w:pPr>
            <w:r>
              <w:rPr>
                <w:rFonts w:ascii="Arial" w:cs="Arial" w:eastAsia="Arial" w:hAnsi="Arial"/>
                <w:sz w:val="9"/>
                <w:szCs w:val="9"/>
                <w:color w:val="auto"/>
                <w:w w:val="89"/>
              </w:rPr>
              <w:t>2017</w:t>
            </w:r>
          </w:p>
        </w:tc>
        <w:tc>
          <w:tcPr>
            <w:tcW w:w="380" w:type="dxa"/>
            <w:vAlign w:val="bottom"/>
            <w:gridSpan w:val="2"/>
            <w:shd w:val="clear" w:color="auto" w:fill="CCEEFF"/>
          </w:tcPr>
          <w:p>
            <w:pPr>
              <w:jc w:val="right"/>
              <w:ind w:right="135"/>
              <w:spacing w:after="0" w:line="99" w:lineRule="exact"/>
              <w:rPr>
                <w:sz w:val="20"/>
                <w:szCs w:val="20"/>
                <w:color w:val="auto"/>
              </w:rPr>
            </w:pPr>
            <w:r>
              <w:rPr>
                <w:rFonts w:ascii="Arial" w:cs="Arial" w:eastAsia="Arial" w:hAnsi="Arial"/>
                <w:sz w:val="9"/>
                <w:szCs w:val="9"/>
                <w:b w:val="1"/>
                <w:bCs w:val="1"/>
                <w:color w:val="auto"/>
                <w:w w:val="89"/>
              </w:rPr>
              <w:t>2017</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tcBorders>
              <w:right w:val="single" w:sz="8" w:color="CCEEFF"/>
            </w:tcBorders>
            <w:gridSpan w:val="3"/>
            <w:shd w:val="clear" w:color="auto" w:fill="CCEEFF"/>
          </w:tcPr>
          <w:p>
            <w:pPr>
              <w:jc w:val="right"/>
              <w:ind w:right="35"/>
              <w:spacing w:after="0" w:line="99" w:lineRule="exact"/>
              <w:rPr>
                <w:sz w:val="20"/>
                <w:szCs w:val="20"/>
                <w:color w:val="auto"/>
              </w:rPr>
            </w:pPr>
            <w:r>
              <w:rPr>
                <w:rFonts w:ascii="Arial" w:cs="Arial" w:eastAsia="Arial" w:hAnsi="Arial"/>
                <w:sz w:val="9"/>
                <w:szCs w:val="9"/>
                <w:color w:val="auto"/>
              </w:rPr>
              <w:t>2016</w:t>
            </w: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240" w:type="dxa"/>
            <w:vAlign w:val="bottom"/>
            <w:tcBorders>
              <w:right w:val="single" w:sz="8" w:color="CCEEFF"/>
            </w:tcBorders>
            <w:gridSpan w:val="3"/>
            <w:shd w:val="clear" w:color="auto" w:fill="CCEEFF"/>
          </w:tcPr>
          <w:p>
            <w:pPr>
              <w:jc w:val="right"/>
              <w:spacing w:after="0" w:line="99" w:lineRule="exact"/>
              <w:rPr>
                <w:sz w:val="20"/>
                <w:szCs w:val="20"/>
                <w:color w:val="auto"/>
              </w:rPr>
            </w:pPr>
            <w:r>
              <w:rPr>
                <w:rFonts w:ascii="Arial" w:cs="Arial" w:eastAsia="Arial" w:hAnsi="Arial"/>
                <w:sz w:val="9"/>
                <w:szCs w:val="9"/>
                <w:color w:val="auto"/>
                <w:w w:val="99"/>
              </w:rPr>
              <w:t>2015</w:t>
            </w: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460"/>
              <w:spacing w:after="0"/>
              <w:rPr>
                <w:sz w:val="20"/>
                <w:szCs w:val="20"/>
                <w:color w:val="auto"/>
              </w:rPr>
            </w:pPr>
            <w:r>
              <w:rPr>
                <w:rFonts w:ascii="Arial" w:cs="Arial" w:eastAsia="Arial" w:hAnsi="Arial"/>
                <w:sz w:val="12"/>
                <w:szCs w:val="12"/>
                <w:color w:val="auto"/>
              </w:rPr>
              <w:t>The net periodic benefit cost for the US postretirement medical plan included the following components:</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7"/>
          </w:tcPr>
          <w:p>
            <w:pPr>
              <w:jc w:val="right"/>
              <w:ind w:right="60"/>
              <w:spacing w:after="0"/>
              <w:rPr>
                <w:sz w:val="20"/>
                <w:szCs w:val="20"/>
                <w:color w:val="auto"/>
              </w:rPr>
            </w:pPr>
            <w:r>
              <w:rPr>
                <w:rFonts w:ascii="Arial" w:cs="Arial" w:eastAsia="Arial" w:hAnsi="Arial"/>
                <w:sz w:val="9"/>
                <w:szCs w:val="9"/>
                <w:b w:val="1"/>
                <w:bCs w:val="1"/>
                <w:color w:val="auto"/>
                <w:w w:val="84"/>
              </w:rPr>
              <w:t>(Stated in millions)</w:t>
            </w:r>
          </w:p>
        </w:tc>
        <w:tc>
          <w:tcPr>
            <w:tcW w:w="0" w:type="dxa"/>
            <w:vAlign w:val="bottom"/>
          </w:tcPr>
          <w:p>
            <w:pPr>
              <w:spacing w:after="0"/>
              <w:rPr>
                <w:sz w:val="1"/>
                <w:szCs w:val="1"/>
                <w:color w:val="auto"/>
              </w:rPr>
            </w:pPr>
          </w:p>
        </w:tc>
      </w:tr>
      <w:tr>
        <w:trPr>
          <w:trHeight w:val="199"/>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9"/>
                <w:szCs w:val="9"/>
                <w:b w:val="1"/>
                <w:bCs w:val="1"/>
                <w:color w:val="auto"/>
              </w:rPr>
              <w:t>2011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9"/>
                <w:szCs w:val="9"/>
                <w:b w:val="1"/>
                <w:bCs w:val="1"/>
                <w:color w:val="auto"/>
              </w:rPr>
              <w:t>2010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4"/>
          </w:tcPr>
          <w:p>
            <w:pPr>
              <w:jc w:val="right"/>
              <w:ind w:right="60"/>
              <w:spacing w:after="0"/>
              <w:rPr>
                <w:sz w:val="20"/>
                <w:szCs w:val="20"/>
                <w:color w:val="auto"/>
              </w:rPr>
            </w:pPr>
            <w:r>
              <w:rPr>
                <w:rFonts w:ascii="Arial" w:cs="Arial" w:eastAsia="Arial" w:hAnsi="Arial"/>
                <w:sz w:val="9"/>
                <w:szCs w:val="9"/>
                <w:b w:val="1"/>
                <w:bCs w:val="1"/>
                <w:color w:val="auto"/>
              </w:rPr>
              <w:t>2009</w:t>
            </w:r>
          </w:p>
        </w:tc>
        <w:tc>
          <w:tcPr>
            <w:tcW w:w="0" w:type="dxa"/>
            <w:vAlign w:val="bottom"/>
          </w:tcPr>
          <w:p>
            <w:pPr>
              <w:spacing w:after="0"/>
              <w:rPr>
                <w:sz w:val="1"/>
                <w:szCs w:val="1"/>
                <w:color w:val="auto"/>
              </w:rPr>
            </w:pPr>
          </w:p>
        </w:tc>
      </w:tr>
      <w:tr>
        <w:trPr>
          <w:trHeight w:val="88"/>
        </w:trPr>
        <w:tc>
          <w:tcPr>
            <w:tcW w:w="772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Service cost – benefits earned during the period</w:t>
            </w:r>
          </w:p>
        </w:tc>
        <w:tc>
          <w:tcPr>
            <w:tcW w:w="26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gridSpan w:val="2"/>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w w:val="91"/>
              </w:rPr>
              <w:t>$ 24</w:t>
            </w:r>
          </w:p>
        </w:tc>
        <w:tc>
          <w:tcPr>
            <w:tcW w:w="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right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w w:val="73"/>
              </w:rPr>
              <w:t>$ 23</w:t>
            </w:r>
          </w:p>
        </w:tc>
        <w:tc>
          <w:tcPr>
            <w:tcW w:w="2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0" w:type="dxa"/>
            <w:vAlign w:val="bottom"/>
            <w:tcBorders>
              <w:top w:val="single" w:sz="8" w:color="auto"/>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9"/>
              </w:rPr>
              <w:t>19</w:t>
            </w:r>
          </w:p>
        </w:tc>
        <w:tc>
          <w:tcPr>
            <w:tcW w:w="80" w:type="dxa"/>
            <w:vAlign w:val="bottom"/>
            <w:tcBorders>
              <w:top w:val="single" w:sz="8" w:color="CCEEFF"/>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7720" w:type="dxa"/>
            <w:vAlign w:val="bottom"/>
          </w:tcPr>
          <w:p>
            <w:pPr>
              <w:spacing w:after="0" w:line="99" w:lineRule="exact"/>
              <w:rPr>
                <w:sz w:val="20"/>
                <w:szCs w:val="20"/>
                <w:color w:val="auto"/>
              </w:rPr>
            </w:pPr>
            <w:r>
              <w:rPr>
                <w:rFonts w:ascii="Arial" w:cs="Arial" w:eastAsia="Arial" w:hAnsi="Arial"/>
                <w:sz w:val="9"/>
                <w:szCs w:val="9"/>
                <w:color w:val="auto"/>
              </w:rPr>
              <w:t>Interest cost on projected benefit obligation</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gridSpan w:val="3"/>
          </w:tcPr>
          <w:p>
            <w:pPr>
              <w:jc w:val="right"/>
              <w:spacing w:after="0" w:line="99" w:lineRule="exact"/>
              <w:rPr>
                <w:sz w:val="20"/>
                <w:szCs w:val="20"/>
                <w:color w:val="auto"/>
              </w:rPr>
            </w:pPr>
            <w:r>
              <w:rPr>
                <w:rFonts w:ascii="Arial" w:cs="Arial" w:eastAsia="Arial" w:hAnsi="Arial"/>
                <w:sz w:val="9"/>
                <w:szCs w:val="9"/>
                <w:b w:val="1"/>
                <w:bCs w:val="1"/>
                <w:color w:val="auto"/>
              </w:rPr>
              <w:t>57</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spacing w:after="0" w:line="99" w:lineRule="exact"/>
              <w:rPr>
                <w:sz w:val="20"/>
                <w:szCs w:val="20"/>
                <w:color w:val="auto"/>
              </w:rPr>
            </w:pPr>
            <w:r>
              <w:rPr>
                <w:rFonts w:ascii="Arial" w:cs="Arial" w:eastAsia="Arial" w:hAnsi="Arial"/>
                <w:sz w:val="9"/>
                <w:szCs w:val="9"/>
                <w:color w:val="auto"/>
              </w:rPr>
              <w:t>58</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w w:val="99"/>
              </w:rPr>
              <w:t>56</w:t>
            </w:r>
          </w:p>
        </w:tc>
        <w:tc>
          <w:tcPr>
            <w:tcW w:w="0" w:type="dxa"/>
            <w:vAlign w:val="bottom"/>
          </w:tcPr>
          <w:p>
            <w:pPr>
              <w:spacing w:after="0"/>
              <w:rPr>
                <w:sz w:val="1"/>
                <w:szCs w:val="1"/>
                <w:color w:val="auto"/>
              </w:rPr>
            </w:pPr>
          </w:p>
        </w:tc>
      </w:tr>
      <w:tr>
        <w:trPr>
          <w:trHeight w:val="99"/>
        </w:trPr>
        <w:tc>
          <w:tcPr>
            <w:tcW w:w="77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Expected return on plan assets</w:t>
            </w: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00" w:type="dxa"/>
            <w:vAlign w:val="bottom"/>
            <w:gridSpan w:val="4"/>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(20)</w:t>
            </w: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gridSpan w:val="3"/>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(6)</w:t>
            </w: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99"/>
        </w:trPr>
        <w:tc>
          <w:tcPr>
            <w:tcW w:w="7720" w:type="dxa"/>
            <w:vAlign w:val="bottom"/>
          </w:tcPr>
          <w:p>
            <w:pPr>
              <w:spacing w:after="0" w:line="99" w:lineRule="exact"/>
              <w:rPr>
                <w:sz w:val="20"/>
                <w:szCs w:val="20"/>
                <w:color w:val="auto"/>
              </w:rPr>
            </w:pPr>
            <w:r>
              <w:rPr>
                <w:rFonts w:ascii="Arial" w:cs="Arial" w:eastAsia="Arial" w:hAnsi="Arial"/>
                <w:sz w:val="9"/>
                <w:szCs w:val="9"/>
                <w:color w:val="auto"/>
              </w:rPr>
              <w:t>Amortization of prior service credit</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gridSpan w:val="4"/>
          </w:tcPr>
          <w:p>
            <w:pPr>
              <w:jc w:val="right"/>
              <w:spacing w:after="0" w:line="99" w:lineRule="exact"/>
              <w:rPr>
                <w:sz w:val="20"/>
                <w:szCs w:val="20"/>
                <w:color w:val="auto"/>
              </w:rPr>
            </w:pPr>
            <w:r>
              <w:rPr>
                <w:rFonts w:ascii="Arial" w:cs="Arial" w:eastAsia="Arial" w:hAnsi="Arial"/>
                <w:sz w:val="9"/>
                <w:szCs w:val="9"/>
                <w:b w:val="1"/>
                <w:bCs w:val="1"/>
                <w:color w:val="auto"/>
              </w:rPr>
              <w:t>(12)</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3"/>
          </w:tcPr>
          <w:p>
            <w:pPr>
              <w:jc w:val="right"/>
              <w:ind w:right="200"/>
              <w:spacing w:after="0" w:line="99" w:lineRule="exact"/>
              <w:rPr>
                <w:sz w:val="20"/>
                <w:szCs w:val="20"/>
                <w:color w:val="auto"/>
              </w:rPr>
            </w:pPr>
            <w:r>
              <w:rPr>
                <w:rFonts w:ascii="Arial" w:cs="Arial" w:eastAsia="Arial" w:hAnsi="Arial"/>
                <w:sz w:val="9"/>
                <w:szCs w:val="9"/>
                <w:color w:val="auto"/>
              </w:rPr>
              <w:t>(21)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w w:val="87"/>
              </w:rPr>
              <w:t>(25)</w:t>
            </w:r>
          </w:p>
        </w:tc>
        <w:tc>
          <w:tcPr>
            <w:tcW w:w="0" w:type="dxa"/>
            <w:vAlign w:val="bottom"/>
          </w:tcPr>
          <w:p>
            <w:pPr>
              <w:spacing w:after="0"/>
              <w:rPr>
                <w:sz w:val="1"/>
                <w:szCs w:val="1"/>
                <w:color w:val="auto"/>
              </w:rPr>
            </w:pPr>
          </w:p>
        </w:tc>
      </w:tr>
      <w:tr>
        <w:trPr>
          <w:trHeight w:val="99"/>
        </w:trPr>
        <w:tc>
          <w:tcPr>
            <w:tcW w:w="77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Amortization of net loss</w:t>
            </w: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560" w:type="dxa"/>
            <w:vAlign w:val="bottom"/>
            <w:gridSpan w:val="3"/>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13</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9"/>
              </w:rPr>
              <w:t>11</w:t>
            </w:r>
          </w:p>
        </w:tc>
        <w:tc>
          <w:tcPr>
            <w:tcW w:w="2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20"/>
        </w:trPr>
        <w:tc>
          <w:tcPr>
            <w:tcW w:w="7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7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gridSpan w:val="3"/>
          </w:tcPr>
          <w:p>
            <w:pPr>
              <w:jc w:val="right"/>
              <w:spacing w:after="0" w:line="98" w:lineRule="exact"/>
              <w:rPr>
                <w:sz w:val="20"/>
                <w:szCs w:val="20"/>
                <w:color w:val="auto"/>
              </w:rPr>
            </w:pPr>
            <w:r>
              <w:rPr>
                <w:rFonts w:ascii="Arial" w:cs="Arial" w:eastAsia="Arial" w:hAnsi="Arial"/>
                <w:sz w:val="9"/>
                <w:szCs w:val="9"/>
                <w:b w:val="1"/>
                <w:bCs w:val="1"/>
                <w:color w:val="auto"/>
              </w:rPr>
              <w:t>62</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jc w:val="right"/>
              <w:spacing w:after="0" w:line="98" w:lineRule="exact"/>
              <w:rPr>
                <w:sz w:val="20"/>
                <w:szCs w:val="20"/>
                <w:color w:val="auto"/>
              </w:rPr>
            </w:pPr>
            <w:r>
              <w:rPr>
                <w:rFonts w:ascii="Arial" w:cs="Arial" w:eastAsia="Arial" w:hAnsi="Arial"/>
                <w:sz w:val="9"/>
                <w:szCs w:val="9"/>
                <w:color w:val="auto"/>
                <w:w w:val="99"/>
              </w:rPr>
              <w:t>65</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w w:val="99"/>
              </w:rPr>
              <w:t>51</w:t>
            </w:r>
          </w:p>
        </w:tc>
        <w:tc>
          <w:tcPr>
            <w:tcW w:w="0" w:type="dxa"/>
            <w:vAlign w:val="bottom"/>
          </w:tcPr>
          <w:p>
            <w:pPr>
              <w:spacing w:after="0"/>
              <w:rPr>
                <w:sz w:val="1"/>
                <w:szCs w:val="1"/>
                <w:color w:val="auto"/>
              </w:rPr>
            </w:pPr>
          </w:p>
        </w:tc>
      </w:tr>
      <w:tr>
        <w:trPr>
          <w:trHeight w:val="99"/>
        </w:trPr>
        <w:tc>
          <w:tcPr>
            <w:tcW w:w="77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Curtailment charge</w:t>
            </w: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36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20"/>
        </w:trPr>
        <w:tc>
          <w:tcPr>
            <w:tcW w:w="7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7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gridSpan w:val="3"/>
          </w:tcPr>
          <w:p>
            <w:pPr>
              <w:jc w:val="right"/>
              <w:spacing w:after="0" w:line="98" w:lineRule="exact"/>
              <w:rPr>
                <w:sz w:val="20"/>
                <w:szCs w:val="20"/>
                <w:color w:val="auto"/>
              </w:rPr>
            </w:pPr>
            <w:r>
              <w:rPr>
                <w:rFonts w:ascii="Arial" w:cs="Arial" w:eastAsia="Arial" w:hAnsi="Arial"/>
                <w:sz w:val="9"/>
                <w:szCs w:val="9"/>
                <w:b w:val="1"/>
                <w:bCs w:val="1"/>
                <w:color w:val="auto"/>
              </w:rPr>
              <w:t>$ 62</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7"/>
                <w:szCs w:val="7"/>
                <w:color w:val="auto"/>
                <w:w w:val="73"/>
              </w:rPr>
              <w:t>$ 65</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8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w w:val="99"/>
              </w:rPr>
              <w:t>57</w:t>
            </w:r>
          </w:p>
        </w:tc>
        <w:tc>
          <w:tcPr>
            <w:tcW w:w="0" w:type="dxa"/>
            <w:vAlign w:val="bottom"/>
          </w:tcPr>
          <w:p>
            <w:pPr>
              <w:spacing w:after="0"/>
              <w:rPr>
                <w:sz w:val="1"/>
                <w:szCs w:val="1"/>
                <w:color w:val="auto"/>
              </w:rPr>
            </w:pPr>
          </w:p>
        </w:tc>
      </w:tr>
      <w:tr>
        <w:trPr>
          <w:trHeight w:val="194"/>
        </w:trPr>
        <w:tc>
          <w:tcPr>
            <w:tcW w:w="7720" w:type="dxa"/>
            <w:vAlign w:val="bottom"/>
          </w:tcPr>
          <w:p>
            <w:pPr>
              <w:ind w:left="460"/>
              <w:spacing w:after="0"/>
              <w:rPr>
                <w:sz w:val="20"/>
                <w:szCs w:val="20"/>
                <w:color w:val="auto"/>
              </w:rPr>
            </w:pPr>
            <w:r>
              <w:rPr>
                <w:rFonts w:ascii="Arial" w:cs="Arial" w:eastAsia="Arial" w:hAnsi="Arial"/>
                <w:sz w:val="12"/>
                <w:szCs w:val="12"/>
                <w:color w:val="auto"/>
              </w:rPr>
              <w:t>The changes in the accumulated postretirement benefit obligation, plan assets and funded status were as follows: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7"/>
          </w:tcPr>
          <w:p>
            <w:pPr>
              <w:jc w:val="right"/>
              <w:ind w:right="80"/>
              <w:spacing w:after="0"/>
              <w:rPr>
                <w:sz w:val="20"/>
                <w:szCs w:val="20"/>
                <w:color w:val="auto"/>
              </w:rPr>
            </w:pPr>
            <w:r>
              <w:rPr>
                <w:rFonts w:ascii="Arial" w:cs="Arial" w:eastAsia="Arial" w:hAnsi="Arial"/>
                <w:sz w:val="9"/>
                <w:szCs w:val="9"/>
                <w:b w:val="1"/>
                <w:bCs w:val="1"/>
                <w:color w:val="auto"/>
                <w:w w:val="81"/>
              </w:rPr>
              <w:t>(Stated in millions)</w:t>
            </w:r>
          </w:p>
        </w:tc>
        <w:tc>
          <w:tcPr>
            <w:tcW w:w="0" w:type="dxa"/>
            <w:vAlign w:val="bottom"/>
          </w:tcPr>
          <w:p>
            <w:pPr>
              <w:spacing w:after="0"/>
              <w:rPr>
                <w:sz w:val="1"/>
                <w:szCs w:val="1"/>
                <w:color w:val="auto"/>
              </w:rPr>
            </w:pPr>
          </w:p>
        </w:tc>
      </w:tr>
      <w:tr>
        <w:trPr>
          <w:trHeight w:val="199"/>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gridSpan w:val="2"/>
          </w:tcPr>
          <w:p>
            <w:pPr>
              <w:jc w:val="right"/>
              <w:ind w:right="83"/>
              <w:spacing w:after="0"/>
              <w:rPr>
                <w:sz w:val="20"/>
                <w:szCs w:val="20"/>
                <w:color w:val="auto"/>
              </w:rPr>
            </w:pPr>
            <w:r>
              <w:rPr>
                <w:rFonts w:ascii="Arial" w:cs="Arial" w:eastAsia="Arial" w:hAnsi="Arial"/>
                <w:sz w:val="9"/>
                <w:szCs w:val="9"/>
                <w:b w:val="1"/>
                <w:bCs w:val="1"/>
                <w:color w:val="auto"/>
              </w:rPr>
              <w:t>2011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9"/>
                <w:szCs w:val="9"/>
                <w:b w:val="1"/>
                <w:bCs w:val="1"/>
                <w:color w:val="auto"/>
              </w:rPr>
              <w:t>2010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772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i w:val="1"/>
                <w:iCs w:val="1"/>
                <w:color w:val="auto"/>
              </w:rPr>
              <w:t>Change in Accumulated Postretirement Benefit Obligation</w:t>
            </w: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right w:val="single" w:sz="8" w:color="CCEEFF"/>
            </w:tcBorders>
            <w:shd w:val="clear" w:color="auto" w:fill="CCEEFF"/>
          </w:tcPr>
          <w:p>
            <w:pPr>
              <w:spacing w:after="0"/>
              <w:rPr>
                <w:sz w:val="6"/>
                <w:szCs w:val="6"/>
                <w:color w:val="auto"/>
              </w:rPr>
            </w:pPr>
          </w:p>
        </w:tc>
        <w:tc>
          <w:tcPr>
            <w:tcW w:w="80" w:type="dxa"/>
            <w:vAlign w:val="bottom"/>
            <w:tcBorders>
              <w:top w:val="single" w:sz="8" w:color="CCEEFF"/>
              <w:left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7720" w:type="dxa"/>
            <w:vAlign w:val="bottom"/>
          </w:tcPr>
          <w:p>
            <w:pPr>
              <w:spacing w:after="0" w:line="99" w:lineRule="exact"/>
              <w:rPr>
                <w:sz w:val="20"/>
                <w:szCs w:val="20"/>
                <w:color w:val="auto"/>
              </w:rPr>
            </w:pPr>
            <w:r>
              <w:rPr>
                <w:rFonts w:ascii="Arial" w:cs="Arial" w:eastAsia="Arial" w:hAnsi="Arial"/>
                <w:sz w:val="9"/>
                <w:szCs w:val="9"/>
                <w:color w:val="auto"/>
              </w:rPr>
              <w:t>Benefit obligation at beginning of year</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4"/>
          </w:tcPr>
          <w:p>
            <w:pPr>
              <w:jc w:val="right"/>
              <w:ind w:right="83"/>
              <w:spacing w:after="0" w:line="99" w:lineRule="exact"/>
              <w:rPr>
                <w:sz w:val="20"/>
                <w:szCs w:val="20"/>
                <w:color w:val="auto"/>
              </w:rPr>
            </w:pPr>
            <w:r>
              <w:rPr>
                <w:rFonts w:ascii="Arial" w:cs="Arial" w:eastAsia="Arial" w:hAnsi="Arial"/>
                <w:sz w:val="9"/>
                <w:szCs w:val="9"/>
                <w:b w:val="1"/>
                <w:bCs w:val="1"/>
                <w:color w:val="auto"/>
              </w:rPr>
              <w:t>$ 1,051</w:t>
            </w:r>
          </w:p>
        </w:tc>
        <w:tc>
          <w:tcPr>
            <w:tcW w:w="240" w:type="dxa"/>
            <w:vAlign w:val="bottom"/>
          </w:tcPr>
          <w:p>
            <w:pPr>
              <w:spacing w:after="0"/>
              <w:rPr>
                <w:sz w:val="8"/>
                <w:szCs w:val="8"/>
                <w:color w:val="auto"/>
              </w:rPr>
            </w:pP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40" w:type="dxa"/>
            <w:vAlign w:val="bottom"/>
            <w:gridSpan w:val="3"/>
          </w:tcPr>
          <w:p>
            <w:pPr>
              <w:jc w:val="right"/>
              <w:spacing w:after="0" w:line="99" w:lineRule="exact"/>
              <w:rPr>
                <w:sz w:val="20"/>
                <w:szCs w:val="20"/>
                <w:color w:val="auto"/>
              </w:rPr>
            </w:pPr>
            <w:r>
              <w:rPr>
                <w:rFonts w:ascii="Arial" w:cs="Arial" w:eastAsia="Arial" w:hAnsi="Arial"/>
                <w:sz w:val="9"/>
                <w:szCs w:val="9"/>
                <w:color w:val="auto"/>
              </w:rPr>
              <w:t>991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7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Service cost</w:t>
            </w: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3"/>
              <w:spacing w:after="0" w:line="99" w:lineRule="exact"/>
              <w:rPr>
                <w:sz w:val="20"/>
                <w:szCs w:val="20"/>
                <w:color w:val="auto"/>
              </w:rPr>
            </w:pPr>
            <w:r>
              <w:rPr>
                <w:rFonts w:ascii="Arial" w:cs="Arial" w:eastAsia="Arial" w:hAnsi="Arial"/>
                <w:sz w:val="9"/>
                <w:szCs w:val="9"/>
                <w:b w:val="1"/>
                <w:bCs w:val="1"/>
                <w:color w:val="auto"/>
              </w:rPr>
              <w:t>24</w:t>
            </w:r>
          </w:p>
        </w:tc>
        <w:tc>
          <w:tcPr>
            <w:tcW w:w="2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jc w:val="right"/>
              <w:spacing w:after="0" w:line="99" w:lineRule="exact"/>
              <w:rPr>
                <w:sz w:val="20"/>
                <w:szCs w:val="20"/>
                <w:color w:val="auto"/>
              </w:rPr>
            </w:pPr>
            <w:r>
              <w:rPr>
                <w:rFonts w:ascii="Arial" w:cs="Arial" w:eastAsia="Arial" w:hAnsi="Arial"/>
                <w:sz w:val="9"/>
                <w:szCs w:val="9"/>
                <w:color w:val="auto"/>
                <w:w w:val="79"/>
              </w:rPr>
              <w:t>23</w:t>
            </w: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720" w:type="dxa"/>
            <w:vAlign w:val="bottom"/>
          </w:tcPr>
          <w:p>
            <w:pPr>
              <w:spacing w:after="0" w:line="99" w:lineRule="exact"/>
              <w:rPr>
                <w:sz w:val="20"/>
                <w:szCs w:val="20"/>
                <w:color w:val="auto"/>
              </w:rPr>
            </w:pPr>
            <w:r>
              <w:rPr>
                <w:rFonts w:ascii="Arial" w:cs="Arial" w:eastAsia="Arial" w:hAnsi="Arial"/>
                <w:sz w:val="9"/>
                <w:szCs w:val="9"/>
                <w:color w:val="auto"/>
              </w:rPr>
              <w:t>Interest cost</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83"/>
              <w:spacing w:after="0" w:line="99" w:lineRule="exact"/>
              <w:rPr>
                <w:sz w:val="20"/>
                <w:szCs w:val="20"/>
                <w:color w:val="auto"/>
              </w:rPr>
            </w:pPr>
            <w:r>
              <w:rPr>
                <w:rFonts w:ascii="Arial" w:cs="Arial" w:eastAsia="Arial" w:hAnsi="Arial"/>
                <w:sz w:val="9"/>
                <w:szCs w:val="9"/>
                <w:b w:val="1"/>
                <w:bCs w:val="1"/>
                <w:color w:val="auto"/>
              </w:rPr>
              <w:t>57</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9"/>
              </w:rPr>
              <w:t>58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7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Contributions by plan participants</w:t>
            </w: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3"/>
              <w:spacing w:after="0" w:line="99" w:lineRule="exact"/>
              <w:rPr>
                <w:sz w:val="20"/>
                <w:szCs w:val="20"/>
                <w:color w:val="auto"/>
              </w:rPr>
            </w:pPr>
            <w:r>
              <w:rPr>
                <w:rFonts w:ascii="Arial" w:cs="Arial" w:eastAsia="Arial" w:hAnsi="Arial"/>
                <w:sz w:val="9"/>
                <w:szCs w:val="9"/>
                <w:b w:val="1"/>
                <w:bCs w:val="1"/>
                <w:color w:val="auto"/>
              </w:rPr>
              <w:t>6</w:t>
            </w:r>
          </w:p>
        </w:tc>
        <w:tc>
          <w:tcPr>
            <w:tcW w:w="2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4</w:t>
            </w: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720" w:type="dxa"/>
            <w:vAlign w:val="bottom"/>
          </w:tcPr>
          <w:p>
            <w:pPr>
              <w:spacing w:after="0" w:line="99" w:lineRule="exact"/>
              <w:rPr>
                <w:sz w:val="20"/>
                <w:szCs w:val="20"/>
                <w:color w:val="auto"/>
              </w:rPr>
            </w:pPr>
            <w:r>
              <w:rPr>
                <w:rFonts w:ascii="Arial" w:cs="Arial" w:eastAsia="Arial" w:hAnsi="Arial"/>
                <w:sz w:val="9"/>
                <w:szCs w:val="9"/>
                <w:color w:val="auto"/>
              </w:rPr>
              <w:t>Actuarial losses</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83"/>
              <w:spacing w:after="0" w:line="99" w:lineRule="exact"/>
              <w:rPr>
                <w:sz w:val="20"/>
                <w:szCs w:val="20"/>
                <w:color w:val="auto"/>
              </w:rPr>
            </w:pPr>
            <w:r>
              <w:rPr>
                <w:rFonts w:ascii="Arial" w:cs="Arial" w:eastAsia="Arial" w:hAnsi="Arial"/>
                <w:sz w:val="9"/>
                <w:szCs w:val="9"/>
                <w:b w:val="1"/>
                <w:bCs w:val="1"/>
                <w:color w:val="auto"/>
              </w:rPr>
              <w:t>90</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rPr>
              <w:t>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7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Benefits paid</w:t>
            </w: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3"/>
              <w:spacing w:after="0" w:line="99" w:lineRule="exact"/>
              <w:rPr>
                <w:sz w:val="20"/>
                <w:szCs w:val="20"/>
                <w:color w:val="auto"/>
              </w:rPr>
            </w:pPr>
            <w:r>
              <w:rPr>
                <w:rFonts w:ascii="Arial" w:cs="Arial" w:eastAsia="Arial" w:hAnsi="Arial"/>
                <w:sz w:val="9"/>
                <w:szCs w:val="9"/>
                <w:b w:val="1"/>
                <w:bCs w:val="1"/>
                <w:color w:val="auto"/>
              </w:rPr>
              <w:t>(40)</w:t>
            </w:r>
          </w:p>
        </w:tc>
        <w:tc>
          <w:tcPr>
            <w:tcW w:w="2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4"/>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(33)</w:t>
            </w:r>
          </w:p>
        </w:tc>
        <w:tc>
          <w:tcPr>
            <w:tcW w:w="0" w:type="dxa"/>
            <w:vAlign w:val="bottom"/>
          </w:tcPr>
          <w:p>
            <w:pPr>
              <w:spacing w:after="0"/>
              <w:rPr>
                <w:sz w:val="1"/>
                <w:szCs w:val="1"/>
                <w:color w:val="auto"/>
              </w:rPr>
            </w:pPr>
          </w:p>
        </w:tc>
      </w:tr>
      <w:tr>
        <w:trPr>
          <w:trHeight w:val="20"/>
        </w:trPr>
        <w:tc>
          <w:tcPr>
            <w:tcW w:w="7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7720" w:type="dxa"/>
            <w:vAlign w:val="bottom"/>
          </w:tcPr>
          <w:p>
            <w:pPr>
              <w:spacing w:after="0" w:line="98" w:lineRule="exact"/>
              <w:rPr>
                <w:sz w:val="20"/>
                <w:szCs w:val="20"/>
                <w:color w:val="auto"/>
              </w:rPr>
            </w:pPr>
            <w:r>
              <w:rPr>
                <w:rFonts w:ascii="Arial" w:cs="Arial" w:eastAsia="Arial" w:hAnsi="Arial"/>
                <w:sz w:val="9"/>
                <w:szCs w:val="9"/>
                <w:color w:val="auto"/>
              </w:rPr>
              <w:t>Benefit obligation at end of year</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3"/>
          </w:tcPr>
          <w:p>
            <w:pPr>
              <w:jc w:val="right"/>
              <w:spacing w:after="0" w:line="98" w:lineRule="exact"/>
              <w:rPr>
                <w:sz w:val="20"/>
                <w:szCs w:val="20"/>
                <w:color w:val="auto"/>
              </w:rPr>
            </w:pPr>
            <w:r>
              <w:rPr>
                <w:rFonts w:ascii="Arial" w:cs="Arial" w:eastAsia="Arial" w:hAnsi="Arial"/>
                <w:sz w:val="9"/>
                <w:szCs w:val="9"/>
                <w:b w:val="1"/>
                <w:bCs w:val="1"/>
                <w:color w:val="auto"/>
              </w:rPr>
              <w:t>$ 1,188</w:t>
            </w:r>
          </w:p>
        </w:tc>
        <w:tc>
          <w:tcPr>
            <w:tcW w:w="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gridSpan w:val="4"/>
          </w:tcPr>
          <w:p>
            <w:pPr>
              <w:jc w:val="right"/>
              <w:spacing w:after="0" w:line="98" w:lineRule="exact"/>
              <w:rPr>
                <w:sz w:val="20"/>
                <w:szCs w:val="20"/>
                <w:color w:val="auto"/>
              </w:rPr>
            </w:pPr>
            <w:r>
              <w:rPr>
                <w:rFonts w:ascii="Arial" w:cs="Arial" w:eastAsia="Arial" w:hAnsi="Arial"/>
                <w:sz w:val="9"/>
                <w:szCs w:val="9"/>
                <w:color w:val="auto"/>
                <w:w w:val="99"/>
              </w:rPr>
              <w:t>$ 1,051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72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i w:val="1"/>
                <w:iCs w:val="1"/>
                <w:color w:val="auto"/>
              </w:rPr>
              <w:t>Change in Plan Assets</w:t>
            </w: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right w:val="single" w:sz="8" w:color="CCEEFF"/>
            </w:tcBorders>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720" w:type="dxa"/>
            <w:vAlign w:val="bottom"/>
          </w:tcPr>
          <w:p>
            <w:pPr>
              <w:spacing w:after="0" w:line="99" w:lineRule="exact"/>
              <w:rPr>
                <w:sz w:val="20"/>
                <w:szCs w:val="20"/>
                <w:color w:val="auto"/>
              </w:rPr>
            </w:pPr>
            <w:r>
              <w:rPr>
                <w:rFonts w:ascii="Arial" w:cs="Arial" w:eastAsia="Arial" w:hAnsi="Arial"/>
                <w:sz w:val="9"/>
                <w:szCs w:val="9"/>
                <w:color w:val="auto"/>
              </w:rPr>
              <w:t>Plan assets at fair value at beginning of year</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360" w:type="dxa"/>
            <w:vAlign w:val="bottom"/>
            <w:gridSpan w:val="2"/>
          </w:tcPr>
          <w:p>
            <w:pPr>
              <w:jc w:val="right"/>
              <w:ind w:right="83"/>
              <w:spacing w:after="0" w:line="99" w:lineRule="exact"/>
              <w:rPr>
                <w:sz w:val="20"/>
                <w:szCs w:val="20"/>
                <w:color w:val="auto"/>
              </w:rPr>
            </w:pPr>
            <w:r>
              <w:rPr>
                <w:rFonts w:ascii="Arial" w:cs="Arial" w:eastAsia="Arial" w:hAnsi="Arial"/>
                <w:sz w:val="9"/>
                <w:szCs w:val="9"/>
                <w:b w:val="1"/>
                <w:bCs w:val="1"/>
                <w:color w:val="auto"/>
              </w:rPr>
              <w:t>290</w:t>
            </w:r>
          </w:p>
        </w:tc>
        <w:tc>
          <w:tcPr>
            <w:tcW w:w="240" w:type="dxa"/>
            <w:vAlign w:val="bottom"/>
          </w:tcPr>
          <w:p>
            <w:pPr>
              <w:spacing w:after="0"/>
              <w:rPr>
                <w:sz w:val="8"/>
                <w:szCs w:val="8"/>
                <w:color w:val="auto"/>
              </w:rPr>
            </w:pP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9"/>
              </w:rPr>
              <w:t>58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7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Company contributions</w:t>
            </w: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3"/>
              <w:spacing w:after="0" w:line="99" w:lineRule="exact"/>
              <w:rPr>
                <w:sz w:val="20"/>
                <w:szCs w:val="20"/>
                <w:color w:val="auto"/>
              </w:rPr>
            </w:pPr>
            <w:r>
              <w:rPr>
                <w:rFonts w:ascii="Arial" w:cs="Arial" w:eastAsia="Arial" w:hAnsi="Arial"/>
                <w:sz w:val="9"/>
                <w:szCs w:val="9"/>
                <w:b w:val="1"/>
                <w:bCs w:val="1"/>
                <w:color w:val="auto"/>
              </w:rPr>
              <w:t>165</w:t>
            </w:r>
          </w:p>
        </w:tc>
        <w:tc>
          <w:tcPr>
            <w:tcW w:w="2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240" w:type="dxa"/>
            <w:vAlign w:val="bottom"/>
            <w:tcBorders>
              <w:right w:val="single" w:sz="8" w:color="CCEEFF"/>
            </w:tcBorders>
            <w:gridSpan w:val="3"/>
            <w:shd w:val="clear" w:color="auto" w:fill="CCEEFF"/>
          </w:tcPr>
          <w:p>
            <w:pPr>
              <w:jc w:val="right"/>
              <w:spacing w:after="0" w:line="99" w:lineRule="exact"/>
              <w:rPr>
                <w:sz w:val="20"/>
                <w:szCs w:val="20"/>
                <w:color w:val="auto"/>
              </w:rPr>
            </w:pPr>
            <w:r>
              <w:rPr>
                <w:rFonts w:ascii="Arial" w:cs="Arial" w:eastAsia="Arial" w:hAnsi="Arial"/>
                <w:sz w:val="9"/>
                <w:szCs w:val="9"/>
                <w:color w:val="auto"/>
              </w:rPr>
              <w:t>248</w:t>
            </w: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720" w:type="dxa"/>
            <w:vAlign w:val="bottom"/>
          </w:tcPr>
          <w:p>
            <w:pPr>
              <w:spacing w:after="0" w:line="99" w:lineRule="exact"/>
              <w:rPr>
                <w:sz w:val="20"/>
                <w:szCs w:val="20"/>
                <w:color w:val="auto"/>
              </w:rPr>
            </w:pPr>
            <w:r>
              <w:rPr>
                <w:rFonts w:ascii="Arial" w:cs="Arial" w:eastAsia="Arial" w:hAnsi="Arial"/>
                <w:sz w:val="9"/>
                <w:szCs w:val="9"/>
                <w:color w:val="auto"/>
              </w:rPr>
              <w:t>Contributions by plan participants</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83"/>
              <w:spacing w:after="0" w:line="99" w:lineRule="exact"/>
              <w:rPr>
                <w:sz w:val="20"/>
                <w:szCs w:val="20"/>
                <w:color w:val="auto"/>
              </w:rPr>
            </w:pPr>
            <w:r>
              <w:rPr>
                <w:rFonts w:ascii="Arial" w:cs="Arial" w:eastAsia="Arial" w:hAnsi="Arial"/>
                <w:sz w:val="9"/>
                <w:szCs w:val="9"/>
                <w:b w:val="1"/>
                <w:bCs w:val="1"/>
                <w:color w:val="auto"/>
              </w:rPr>
              <w:t>6</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rPr>
              <w:t>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7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Benefits paid</w:t>
            </w: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3"/>
              <w:spacing w:after="0" w:line="99" w:lineRule="exact"/>
              <w:rPr>
                <w:sz w:val="20"/>
                <w:szCs w:val="20"/>
                <w:color w:val="auto"/>
              </w:rPr>
            </w:pPr>
            <w:r>
              <w:rPr>
                <w:rFonts w:ascii="Arial" w:cs="Arial" w:eastAsia="Arial" w:hAnsi="Arial"/>
                <w:sz w:val="9"/>
                <w:szCs w:val="9"/>
                <w:b w:val="1"/>
                <w:bCs w:val="1"/>
                <w:color w:val="auto"/>
              </w:rPr>
              <w:t>(40)</w:t>
            </w:r>
          </w:p>
        </w:tc>
        <w:tc>
          <w:tcPr>
            <w:tcW w:w="2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4"/>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(33)</w:t>
            </w:r>
          </w:p>
        </w:tc>
        <w:tc>
          <w:tcPr>
            <w:tcW w:w="0" w:type="dxa"/>
            <w:vAlign w:val="bottom"/>
          </w:tcPr>
          <w:p>
            <w:pPr>
              <w:spacing w:after="0"/>
              <w:rPr>
                <w:sz w:val="1"/>
                <w:szCs w:val="1"/>
                <w:color w:val="auto"/>
              </w:rPr>
            </w:pPr>
          </w:p>
        </w:tc>
      </w:tr>
      <w:tr>
        <w:trPr>
          <w:trHeight w:val="99"/>
        </w:trPr>
        <w:tc>
          <w:tcPr>
            <w:tcW w:w="7720" w:type="dxa"/>
            <w:vAlign w:val="bottom"/>
            <w:tcBorders>
              <w:bottom w:val="single" w:sz="8" w:color="auto"/>
            </w:tcBorders>
          </w:tcPr>
          <w:p>
            <w:pPr>
              <w:spacing w:after="0" w:line="99" w:lineRule="exact"/>
              <w:rPr>
                <w:sz w:val="20"/>
                <w:szCs w:val="20"/>
                <w:color w:val="auto"/>
              </w:rPr>
            </w:pPr>
            <w:r>
              <w:rPr>
                <w:rFonts w:ascii="Arial" w:cs="Arial" w:eastAsia="Arial" w:hAnsi="Arial"/>
                <w:sz w:val="9"/>
                <w:szCs w:val="9"/>
                <w:color w:val="auto"/>
              </w:rPr>
              <w:t>Actual return on plan assets</w:t>
            </w: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b w:val="1"/>
                <w:bCs w:val="1"/>
                <w:color w:val="auto"/>
              </w:rPr>
              <w:t>22</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w w:val="79"/>
              </w:rPr>
              <w:t>12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7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Plan assets at fair value at end of year</w:t>
            </w: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24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443</w:t>
            </w: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CCEEFF"/>
            </w:tcBorders>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290</w:t>
            </w: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9"/>
                <w:szCs w:val="9"/>
                <w:b w:val="1"/>
                <w:bCs w:val="1"/>
                <w:i w:val="1"/>
                <w:iCs w:val="1"/>
                <w:color w:val="auto"/>
              </w:rPr>
              <w:t>Unfunded Liability</w:t>
            </w: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jc w:val="right"/>
              <w:ind w:right="63"/>
              <w:spacing w:after="0"/>
              <w:rPr>
                <w:sz w:val="20"/>
                <w:szCs w:val="20"/>
                <w:color w:val="auto"/>
              </w:rPr>
            </w:pPr>
            <w:r>
              <w:rPr>
                <w:rFonts w:ascii="Arial" w:cs="Arial" w:eastAsia="Arial" w:hAnsi="Arial"/>
                <w:sz w:val="1"/>
                <w:szCs w:val="1"/>
                <w:b w:val="1"/>
                <w:bCs w:val="1"/>
                <w:color w:val="auto"/>
                <w:w w:val="4294967281"/>
              </w:rPr>
              <w:t>)</w:t>
            </w: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77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(745</w:t>
            </w:r>
          </w:p>
        </w:tc>
        <w:tc>
          <w:tcPr>
            <w:tcW w:w="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320" w:type="dxa"/>
            <w:vAlign w:val="bottom"/>
            <w:gridSpan w:val="4"/>
          </w:tcPr>
          <w:p>
            <w:pPr>
              <w:jc w:val="right"/>
              <w:ind w:right="40"/>
              <w:spacing w:after="0" w:line="98" w:lineRule="exact"/>
              <w:rPr>
                <w:sz w:val="20"/>
                <w:szCs w:val="20"/>
                <w:color w:val="auto"/>
              </w:rPr>
            </w:pPr>
            <w:r>
              <w:rPr>
                <w:rFonts w:ascii="Arial" w:cs="Arial" w:eastAsia="Arial" w:hAnsi="Arial"/>
                <w:sz w:val="9"/>
                <w:szCs w:val="9"/>
                <w:color w:val="auto"/>
              </w:rPr>
              <w:t>(761)</w:t>
            </w:r>
          </w:p>
        </w:tc>
        <w:tc>
          <w:tcPr>
            <w:tcW w:w="0" w:type="dxa"/>
            <w:vAlign w:val="bottom"/>
          </w:tcPr>
          <w:p>
            <w:pPr>
              <w:spacing w:after="0"/>
              <w:rPr>
                <w:sz w:val="1"/>
                <w:szCs w:val="1"/>
                <w:color w:val="auto"/>
              </w:rPr>
            </w:pPr>
          </w:p>
        </w:tc>
      </w:tr>
      <w:tr>
        <w:trPr>
          <w:trHeight w:val="97"/>
        </w:trPr>
        <w:tc>
          <w:tcPr>
            <w:tcW w:w="772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i w:val="1"/>
                <w:iCs w:val="1"/>
                <w:color w:val="auto"/>
              </w:rPr>
              <w:t>Amounts Recognized in Accumulated</w:t>
            </w: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right w:val="single" w:sz="8" w:color="CCEEFF"/>
            </w:tcBorders>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720" w:type="dxa"/>
            <w:vAlign w:val="bottom"/>
          </w:tcPr>
          <w:p>
            <w:pPr>
              <w:ind w:left="140"/>
              <w:spacing w:after="0" w:line="99" w:lineRule="exact"/>
              <w:rPr>
                <w:sz w:val="20"/>
                <w:szCs w:val="20"/>
                <w:color w:val="auto"/>
              </w:rPr>
            </w:pPr>
            <w:r>
              <w:rPr>
                <w:rFonts w:ascii="Arial" w:cs="Arial" w:eastAsia="Arial" w:hAnsi="Arial"/>
                <w:sz w:val="9"/>
                <w:szCs w:val="9"/>
                <w:b w:val="1"/>
                <w:bCs w:val="1"/>
                <w:i w:val="1"/>
                <w:iCs w:val="1"/>
                <w:color w:val="auto"/>
              </w:rPr>
              <w:t>Other Comprehensive Loss</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7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Actuarial losses</w:t>
            </w: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360" w:type="dxa"/>
            <w:vAlign w:val="bottom"/>
            <w:gridSpan w:val="2"/>
            <w:shd w:val="clear" w:color="auto" w:fill="CCEEFF"/>
          </w:tcPr>
          <w:p>
            <w:pPr>
              <w:jc w:val="right"/>
              <w:ind w:right="83"/>
              <w:spacing w:after="0" w:line="99" w:lineRule="exact"/>
              <w:rPr>
                <w:sz w:val="20"/>
                <w:szCs w:val="20"/>
                <w:color w:val="auto"/>
              </w:rPr>
            </w:pPr>
            <w:r>
              <w:rPr>
                <w:rFonts w:ascii="Arial" w:cs="Arial" w:eastAsia="Arial" w:hAnsi="Arial"/>
                <w:sz w:val="9"/>
                <w:szCs w:val="9"/>
                <w:b w:val="1"/>
                <w:bCs w:val="1"/>
                <w:color w:val="auto"/>
              </w:rPr>
              <w:t>286</w:t>
            </w:r>
          </w:p>
        </w:tc>
        <w:tc>
          <w:tcPr>
            <w:tcW w:w="2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CCEEFF"/>
            </w:tcBorders>
            <w:gridSpan w:val="3"/>
            <w:shd w:val="clear" w:color="auto" w:fill="CCEEFF"/>
          </w:tcPr>
          <w:p>
            <w:pPr>
              <w:jc w:val="right"/>
              <w:spacing w:after="0" w:line="99" w:lineRule="exact"/>
              <w:rPr>
                <w:sz w:val="20"/>
                <w:szCs w:val="20"/>
                <w:color w:val="auto"/>
              </w:rPr>
            </w:pPr>
            <w:r>
              <w:rPr>
                <w:rFonts w:ascii="Arial" w:cs="Arial" w:eastAsia="Arial" w:hAnsi="Arial"/>
                <w:sz w:val="9"/>
                <w:szCs w:val="9"/>
                <w:color w:val="auto"/>
              </w:rPr>
              <w:t>212</w:t>
            </w: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720" w:type="dxa"/>
            <w:vAlign w:val="bottom"/>
          </w:tcPr>
          <w:p>
            <w:pPr>
              <w:spacing w:after="0" w:line="99" w:lineRule="exact"/>
              <w:rPr>
                <w:sz w:val="20"/>
                <w:szCs w:val="20"/>
                <w:color w:val="auto"/>
              </w:rPr>
            </w:pPr>
            <w:r>
              <w:rPr>
                <w:rFonts w:ascii="Arial" w:cs="Arial" w:eastAsia="Arial" w:hAnsi="Arial"/>
                <w:sz w:val="9"/>
                <w:szCs w:val="9"/>
                <w:color w:val="auto"/>
              </w:rPr>
              <w:t>Prior service cost</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jc w:val="right"/>
              <w:ind w:right="63"/>
              <w:spacing w:after="0" w:line="99" w:lineRule="exact"/>
              <w:rPr>
                <w:sz w:val="20"/>
                <w:szCs w:val="20"/>
                <w:color w:val="auto"/>
              </w:rPr>
            </w:pPr>
            <w:r>
              <w:rPr>
                <w:rFonts w:ascii="Arial" w:cs="Arial" w:eastAsia="Arial" w:hAnsi="Arial"/>
                <w:sz w:val="9"/>
                <w:szCs w:val="9"/>
                <w:b w:val="1"/>
                <w:bCs w:val="1"/>
                <w:color w:val="auto"/>
              </w:rPr>
              <w:t>(24)</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4"/>
          </w:tcPr>
          <w:p>
            <w:pPr>
              <w:jc w:val="right"/>
              <w:ind w:right="40"/>
              <w:spacing w:after="0" w:line="99" w:lineRule="exact"/>
              <w:rPr>
                <w:sz w:val="20"/>
                <w:szCs w:val="20"/>
                <w:color w:val="auto"/>
              </w:rPr>
            </w:pPr>
            <w:r>
              <w:rPr>
                <w:rFonts w:ascii="Arial" w:cs="Arial" w:eastAsia="Arial" w:hAnsi="Arial"/>
                <w:sz w:val="9"/>
                <w:szCs w:val="9"/>
                <w:color w:val="auto"/>
              </w:rPr>
              <w:t>(35)</w:t>
            </w:r>
          </w:p>
        </w:tc>
        <w:tc>
          <w:tcPr>
            <w:tcW w:w="0" w:type="dxa"/>
            <w:vAlign w:val="bottom"/>
          </w:tcPr>
          <w:p>
            <w:pPr>
              <w:spacing w:after="0"/>
              <w:rPr>
                <w:sz w:val="1"/>
                <w:szCs w:val="1"/>
                <w:color w:val="auto"/>
              </w:rPr>
            </w:pPr>
          </w:p>
        </w:tc>
      </w:tr>
      <w:tr>
        <w:trPr>
          <w:trHeight w:val="20"/>
        </w:trPr>
        <w:tc>
          <w:tcPr>
            <w:tcW w:w="7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7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24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262</w:t>
            </w: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CCEEFF"/>
            </w:tcBorders>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177</w:t>
            </w:r>
          </w:p>
        </w:tc>
        <w:tc>
          <w:tcPr>
            <w:tcW w:w="80" w:type="dxa"/>
            <w:vAlign w:val="bottom"/>
            <w:tcBorders>
              <w:lef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unfunded liability is included in Postretirement Benefits in the Consolidated Balance Sheet.</w:t>
      </w:r>
    </w:p>
    <w:p>
      <w:pPr>
        <w:spacing w:after="0" w:line="10" w:lineRule="exact"/>
        <w:rPr>
          <w:sz w:val="20"/>
          <w:szCs w:val="20"/>
          <w:color w:val="auto"/>
        </w:rPr>
      </w:pPr>
    </w:p>
    <w:p>
      <w:pPr>
        <w:ind w:right="280" w:firstLine="230"/>
        <w:spacing w:after="0" w:line="261" w:lineRule="auto"/>
        <w:rPr>
          <w:sz w:val="20"/>
          <w:szCs w:val="20"/>
          <w:color w:val="auto"/>
        </w:rPr>
      </w:pPr>
      <w:r>
        <w:rPr>
          <w:rFonts w:ascii="Arial" w:cs="Arial" w:eastAsia="Arial" w:hAnsi="Arial"/>
          <w:sz w:val="12"/>
          <w:szCs w:val="12"/>
          <w:color w:val="auto"/>
        </w:rPr>
        <w:t>The assets of the US postretirement medical plan are invested 60% in US equity securities and 40% in government and government-related debt securities. The fair value of these assets were determined based on quoted prices in active markets for identical instruments.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9"/>
          <w:szCs w:val="9"/>
          <w:color w:val="auto"/>
        </w:rPr>
        <w:t>68</w:t>
      </w:r>
    </w:p>
    <w:p>
      <w:pPr>
        <w:sectPr>
          <w:pgSz w:w="11900" w:h="16838" w:orient="portrait"/>
          <w:cols w:equalWidth="0" w:num="1">
            <w:col w:w="11480"/>
          </w:cols>
          <w:pgMar w:left="220" w:top="354" w:right="199" w:bottom="1440" w:gutter="0" w:footer="0" w:header="0"/>
        </w:sectPr>
      </w:pPr>
    </w:p>
    <w:bookmarkStart w:id="68" w:name="page69"/>
    <w:bookmarkEnd w:id="68"/>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8"/>
        <w:spacing w:after="0"/>
        <w:rPr>
          <w:sz w:val="20"/>
          <w:szCs w:val="20"/>
          <w:color w:val="auto"/>
        </w:rPr>
      </w:pPr>
      <w:r>
        <w:rPr>
          <w:rFonts w:ascii="Arial" w:cs="Arial" w:eastAsia="Arial" w:hAnsi="Arial"/>
          <w:sz w:val="9"/>
          <w:szCs w:val="9"/>
          <w:color w:val="auto"/>
        </w:rPr>
        <w:t>Assumed health care cost trend rates have a significant effect on the amounts reported for the US postretirement medical plan. A one percentage point change in assumed health care cost trend rates would have the following effects:</w:t>
      </w:r>
    </w:p>
    <w:p>
      <w:pPr>
        <w:spacing w:after="0" w:line="92"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55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rPr>
              <w:t>(Stated in millions)</w:t>
            </w:r>
          </w:p>
        </w:tc>
      </w:tr>
      <w:tr>
        <w:trPr>
          <w:trHeight w:val="190"/>
        </w:trPr>
        <w:tc>
          <w:tcPr>
            <w:tcW w:w="55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9"/>
                <w:szCs w:val="9"/>
                <w:b w:val="1"/>
                <w:bCs w:val="1"/>
                <w:color w:val="auto"/>
              </w:rPr>
              <w:t>One percentage</w:t>
            </w:r>
          </w:p>
        </w:tc>
        <w:tc>
          <w:tcPr>
            <w:tcW w:w="840" w:type="dxa"/>
            <w:vAlign w:val="bottom"/>
          </w:tcPr>
          <w:p>
            <w:pPr>
              <w:jc w:val="right"/>
              <w:spacing w:after="0"/>
              <w:rPr>
                <w:sz w:val="20"/>
                <w:szCs w:val="20"/>
                <w:color w:val="auto"/>
              </w:rPr>
            </w:pPr>
            <w:r>
              <w:rPr>
                <w:rFonts w:ascii="Arial" w:cs="Arial" w:eastAsia="Arial" w:hAnsi="Arial"/>
                <w:sz w:val="9"/>
                <w:szCs w:val="9"/>
                <w:b w:val="1"/>
                <w:bCs w:val="1"/>
                <w:color w:val="auto"/>
              </w:rPr>
              <w:t>One percentage</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08"/>
        </w:trPr>
        <w:tc>
          <w:tcPr>
            <w:tcW w:w="55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240" w:type="dxa"/>
            <w:vAlign w:val="bottom"/>
          </w:tcPr>
          <w:p>
            <w:pPr>
              <w:ind w:left="20"/>
              <w:spacing w:after="0"/>
              <w:rPr>
                <w:sz w:val="20"/>
                <w:szCs w:val="20"/>
                <w:color w:val="auto"/>
              </w:rPr>
            </w:pPr>
            <w:r>
              <w:rPr>
                <w:rFonts w:ascii="Arial" w:cs="Arial" w:eastAsia="Arial" w:hAnsi="Arial"/>
                <w:sz w:val="9"/>
                <w:szCs w:val="9"/>
                <w:b w:val="1"/>
                <w:bCs w:val="1"/>
                <w:color w:val="auto"/>
                <w:w w:val="90"/>
              </w:rPr>
              <w:t>point</w:t>
            </w:r>
          </w:p>
        </w:tc>
        <w:tc>
          <w:tcPr>
            <w:tcW w:w="1060" w:type="dxa"/>
            <w:vAlign w:val="bottom"/>
            <w:gridSpan w:val="2"/>
          </w:tcPr>
          <w:p>
            <w:pPr>
              <w:jc w:val="right"/>
              <w:ind w:right="720"/>
              <w:spacing w:after="0"/>
              <w:rPr>
                <w:sz w:val="20"/>
                <w:szCs w:val="20"/>
                <w:color w:val="auto"/>
              </w:rPr>
            </w:pPr>
            <w:r>
              <w:rPr>
                <w:rFonts w:ascii="Arial" w:cs="Arial" w:eastAsia="Arial" w:hAnsi="Arial"/>
                <w:sz w:val="9"/>
                <w:szCs w:val="9"/>
                <w:b w:val="1"/>
                <w:bCs w:val="1"/>
                <w:color w:val="auto"/>
                <w:w w:val="87"/>
              </w:rPr>
              <w:t>increase</w:t>
            </w:r>
          </w:p>
        </w:tc>
        <w:tc>
          <w:tcPr>
            <w:tcW w:w="840" w:type="dxa"/>
            <w:vAlign w:val="bottom"/>
          </w:tcPr>
          <w:p>
            <w:pPr>
              <w:jc w:val="right"/>
              <w:spacing w:after="0"/>
              <w:rPr>
                <w:sz w:val="20"/>
                <w:szCs w:val="20"/>
                <w:color w:val="auto"/>
              </w:rPr>
            </w:pPr>
            <w:r>
              <w:rPr>
                <w:rFonts w:ascii="Arial" w:cs="Arial" w:eastAsia="Arial" w:hAnsi="Arial"/>
                <w:sz w:val="9"/>
                <w:szCs w:val="9"/>
                <w:b w:val="1"/>
                <w:bCs w:val="1"/>
                <w:color w:val="auto"/>
              </w:rPr>
              <w:t>point decrease</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88"/>
        </w:trPr>
        <w:tc>
          <w:tcPr>
            <w:tcW w:w="554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Effect on total service and interest cost components</w:t>
            </w:r>
          </w:p>
        </w:tc>
        <w:tc>
          <w:tcPr>
            <w:tcW w:w="35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rPr>
              <w:t>$</w:t>
            </w:r>
          </w:p>
        </w:tc>
        <w:tc>
          <w:tcPr>
            <w:tcW w:w="3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16</w:t>
            </w:r>
          </w:p>
        </w:tc>
        <w:tc>
          <w:tcPr>
            <w:tcW w:w="70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jc w:val="right"/>
              <w:ind w:right="195"/>
              <w:spacing w:after="0" w:line="88" w:lineRule="exact"/>
              <w:rPr>
                <w:sz w:val="20"/>
                <w:szCs w:val="20"/>
                <w:color w:val="auto"/>
              </w:rPr>
            </w:pPr>
            <w:r>
              <w:rPr>
                <w:rFonts w:ascii="Arial" w:cs="Arial" w:eastAsia="Arial" w:hAnsi="Arial"/>
                <w:sz w:val="9"/>
                <w:szCs w:val="9"/>
                <w:b w:val="1"/>
                <w:bCs w:val="1"/>
                <w:color w:val="auto"/>
              </w:rPr>
              <w:t>$</w:t>
            </w:r>
          </w:p>
        </w:tc>
        <w:tc>
          <w:tcPr>
            <w:tcW w:w="2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(13)</w:t>
            </w:r>
          </w:p>
        </w:tc>
        <w:tc>
          <w:tcPr>
            <w:tcW w:w="60" w:type="dxa"/>
            <w:vAlign w:val="bottom"/>
            <w:tcBorders>
              <w:top w:val="single" w:sz="8" w:color="CCEEFF"/>
            </w:tcBorders>
            <w:shd w:val="clear" w:color="auto" w:fill="CCEEFF"/>
          </w:tcPr>
          <w:p>
            <w:pPr>
              <w:spacing w:after="0"/>
              <w:rPr>
                <w:sz w:val="7"/>
                <w:szCs w:val="7"/>
                <w:color w:val="auto"/>
              </w:rPr>
            </w:pPr>
          </w:p>
        </w:tc>
      </w:tr>
      <w:tr>
        <w:trPr>
          <w:trHeight w:val="116"/>
        </w:trPr>
        <w:tc>
          <w:tcPr>
            <w:tcW w:w="5540" w:type="dxa"/>
            <w:vAlign w:val="bottom"/>
          </w:tcPr>
          <w:p>
            <w:pPr>
              <w:spacing w:after="0"/>
              <w:rPr>
                <w:sz w:val="20"/>
                <w:szCs w:val="20"/>
                <w:color w:val="auto"/>
              </w:rPr>
            </w:pPr>
            <w:r>
              <w:rPr>
                <w:rFonts w:ascii="Arial" w:cs="Arial" w:eastAsia="Arial" w:hAnsi="Arial"/>
                <w:sz w:val="9"/>
                <w:szCs w:val="9"/>
                <w:color w:val="auto"/>
              </w:rPr>
              <w:t>Effect on accumulated postretirement benefit obligation</w:t>
            </w:r>
          </w:p>
        </w:tc>
        <w:tc>
          <w:tcPr>
            <w:tcW w:w="3780" w:type="dxa"/>
            <w:vAlign w:val="bottom"/>
            <w:gridSpan w:val="2"/>
          </w:tcPr>
          <w:p>
            <w:pPr>
              <w:ind w:left="3540"/>
              <w:spacing w:after="0"/>
              <w:rPr>
                <w:sz w:val="20"/>
                <w:szCs w:val="20"/>
                <w:color w:val="auto"/>
              </w:rPr>
            </w:pPr>
            <w:r>
              <w:rPr>
                <w:rFonts w:ascii="Arial" w:cs="Arial" w:eastAsia="Arial" w:hAnsi="Arial"/>
                <w:sz w:val="9"/>
                <w:szCs w:val="9"/>
                <w:b w:val="1"/>
                <w:bCs w:val="1"/>
                <w:color w:val="auto"/>
              </w:rPr>
              <w:t>$</w:t>
            </w:r>
          </w:p>
        </w:tc>
        <w:tc>
          <w:tcPr>
            <w:tcW w:w="1060" w:type="dxa"/>
            <w:vAlign w:val="bottom"/>
            <w:gridSpan w:val="2"/>
          </w:tcPr>
          <w:p>
            <w:pPr>
              <w:jc w:val="right"/>
              <w:ind w:right="700"/>
              <w:spacing w:after="0"/>
              <w:rPr>
                <w:sz w:val="20"/>
                <w:szCs w:val="20"/>
                <w:color w:val="auto"/>
              </w:rPr>
            </w:pPr>
            <w:r>
              <w:rPr>
                <w:rFonts w:ascii="Arial" w:cs="Arial" w:eastAsia="Arial" w:hAnsi="Arial"/>
                <w:sz w:val="9"/>
                <w:szCs w:val="9"/>
                <w:b w:val="1"/>
                <w:bCs w:val="1"/>
                <w:color w:val="auto"/>
              </w:rPr>
              <w:t>196</w:t>
            </w:r>
          </w:p>
        </w:tc>
        <w:tc>
          <w:tcPr>
            <w:tcW w:w="840" w:type="dxa"/>
            <w:vAlign w:val="bottom"/>
          </w:tcPr>
          <w:p>
            <w:pPr>
              <w:jc w:val="right"/>
              <w:ind w:right="195"/>
              <w:spacing w:after="0"/>
              <w:rPr>
                <w:sz w:val="20"/>
                <w:szCs w:val="20"/>
                <w:color w:val="auto"/>
              </w:rPr>
            </w:pPr>
            <w:r>
              <w:rPr>
                <w:rFonts w:ascii="Arial" w:cs="Arial" w:eastAsia="Arial" w:hAnsi="Arial"/>
                <w:sz w:val="9"/>
                <w:szCs w:val="9"/>
                <w:b w:val="1"/>
                <w:bCs w:val="1"/>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(160)</w:t>
            </w:r>
          </w:p>
        </w:tc>
      </w:tr>
    </w:tbl>
    <w:p>
      <w:pPr>
        <w:spacing w:after="0" w:line="8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Other Information</w:t>
      </w:r>
    </w:p>
    <w:p>
      <w:pPr>
        <w:spacing w:after="0" w:line="60" w:lineRule="exact"/>
        <w:rPr>
          <w:sz w:val="20"/>
          <w:szCs w:val="20"/>
          <w:color w:val="auto"/>
        </w:rPr>
      </w:pPr>
    </w:p>
    <w:p>
      <w:pPr>
        <w:ind w:left="8" w:right="180" w:firstLine="459"/>
        <w:spacing w:after="0" w:line="268" w:lineRule="auto"/>
        <w:rPr>
          <w:sz w:val="20"/>
          <w:szCs w:val="20"/>
          <w:color w:val="auto"/>
        </w:rPr>
      </w:pPr>
      <w:r>
        <w:rPr>
          <w:rFonts w:ascii="Arial" w:cs="Arial" w:eastAsia="Arial" w:hAnsi="Arial"/>
          <w:sz w:val="12"/>
          <w:szCs w:val="12"/>
          <w:color w:val="auto"/>
        </w:rPr>
        <w:t>The expected benefits to be paid under the US and International pension plans as well as the postretirement medical plan (which is disclosed net of the annual Medicare Part D subsidy, which ranges from $3 million to $6 million per year) were as follows:</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450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9"/>
                <w:szCs w:val="9"/>
                <w:b w:val="1"/>
                <w:bCs w:val="1"/>
                <w:color w:val="auto"/>
              </w:rPr>
              <w:t>(Stated in millions)</w:t>
            </w:r>
          </w:p>
        </w:tc>
      </w:tr>
      <w:tr>
        <w:trPr>
          <w:trHeight w:val="199"/>
        </w:trPr>
        <w:tc>
          <w:tcPr>
            <w:tcW w:w="45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240"/>
              <w:spacing w:after="0"/>
              <w:rPr>
                <w:sz w:val="20"/>
                <w:szCs w:val="20"/>
                <w:color w:val="auto"/>
              </w:rPr>
            </w:pPr>
            <w:r>
              <w:rPr>
                <w:rFonts w:ascii="Arial" w:cs="Arial" w:eastAsia="Arial" w:hAnsi="Arial"/>
                <w:sz w:val="9"/>
                <w:szCs w:val="9"/>
                <w:b w:val="1"/>
                <w:bCs w:val="1"/>
                <w:color w:val="auto"/>
                <w:w w:val="98"/>
              </w:rPr>
              <w:t>Pension Benefits</w:t>
            </w:r>
          </w:p>
        </w:tc>
        <w:tc>
          <w:tcPr>
            <w:tcW w:w="320" w:type="dxa"/>
            <w:vAlign w:val="bottom"/>
            <w:tcBorders>
              <w:bottom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w w:val="84"/>
              </w:rPr>
              <w:t>Postretirement</w:t>
            </w:r>
          </w:p>
        </w:tc>
      </w:tr>
      <w:tr>
        <w:trPr>
          <w:trHeight w:val="88"/>
        </w:trPr>
        <w:tc>
          <w:tcPr>
            <w:tcW w:w="45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180" w:type="dxa"/>
            <w:vAlign w:val="bottom"/>
          </w:tcPr>
          <w:p>
            <w:pPr>
              <w:jc w:val="right"/>
              <w:spacing w:after="0" w:line="88" w:lineRule="exact"/>
              <w:rPr>
                <w:sz w:val="20"/>
                <w:szCs w:val="20"/>
                <w:color w:val="auto"/>
              </w:rPr>
            </w:pPr>
            <w:r>
              <w:rPr>
                <w:rFonts w:ascii="Arial" w:cs="Arial" w:eastAsia="Arial" w:hAnsi="Arial"/>
                <w:sz w:val="9"/>
                <w:szCs w:val="9"/>
                <w:b w:val="1"/>
                <w:bCs w:val="1"/>
                <w:color w:val="auto"/>
                <w:w w:val="95"/>
              </w:rPr>
              <w:t>US</w:t>
            </w:r>
          </w:p>
        </w:tc>
        <w:tc>
          <w:tcPr>
            <w:tcW w:w="780" w:type="dxa"/>
            <w:vAlign w:val="bottom"/>
          </w:tcPr>
          <w:p>
            <w:pPr>
              <w:spacing w:after="0"/>
              <w:rPr>
                <w:sz w:val="7"/>
                <w:szCs w:val="7"/>
                <w:color w:val="auto"/>
              </w:rPr>
            </w:pPr>
          </w:p>
        </w:tc>
        <w:tc>
          <w:tcPr>
            <w:tcW w:w="520" w:type="dxa"/>
            <w:vAlign w:val="bottom"/>
            <w:gridSpan w:val="2"/>
          </w:tcPr>
          <w:p>
            <w:pPr>
              <w:ind w:left="20"/>
              <w:spacing w:after="0" w:line="88" w:lineRule="exact"/>
              <w:rPr>
                <w:sz w:val="20"/>
                <w:szCs w:val="20"/>
                <w:color w:val="auto"/>
              </w:rPr>
            </w:pPr>
            <w:r>
              <w:rPr>
                <w:rFonts w:ascii="Arial" w:cs="Arial" w:eastAsia="Arial" w:hAnsi="Arial"/>
                <w:sz w:val="9"/>
                <w:szCs w:val="9"/>
                <w:b w:val="1"/>
                <w:bCs w:val="1"/>
                <w:color w:val="auto"/>
                <w:w w:val="88"/>
              </w:rPr>
              <w:t>International</w:t>
            </w:r>
          </w:p>
        </w:tc>
        <w:tc>
          <w:tcPr>
            <w:tcW w:w="800" w:type="dxa"/>
            <w:vAlign w:val="bottom"/>
          </w:tcPr>
          <w:p>
            <w:pPr>
              <w:spacing w:after="0"/>
              <w:rPr>
                <w:sz w:val="7"/>
                <w:szCs w:val="7"/>
                <w:color w:val="auto"/>
              </w:rPr>
            </w:pPr>
          </w:p>
        </w:tc>
        <w:tc>
          <w:tcPr>
            <w:tcW w:w="620" w:type="dxa"/>
            <w:vAlign w:val="bottom"/>
            <w:gridSpan w:val="3"/>
          </w:tcPr>
          <w:p>
            <w:pPr>
              <w:ind w:left="20"/>
              <w:spacing w:after="0" w:line="88" w:lineRule="exact"/>
              <w:rPr>
                <w:sz w:val="20"/>
                <w:szCs w:val="20"/>
                <w:color w:val="auto"/>
              </w:rPr>
            </w:pPr>
            <w:r>
              <w:rPr>
                <w:rFonts w:ascii="Arial" w:cs="Arial" w:eastAsia="Arial" w:hAnsi="Arial"/>
                <w:sz w:val="9"/>
                <w:szCs w:val="9"/>
                <w:b w:val="1"/>
                <w:bCs w:val="1"/>
                <w:color w:val="auto"/>
              </w:rPr>
              <w:t>Medical Plan</w:t>
            </w:r>
          </w:p>
        </w:tc>
      </w:tr>
      <w:tr>
        <w:trPr>
          <w:trHeight w:val="88"/>
        </w:trPr>
        <w:tc>
          <w:tcPr>
            <w:tcW w:w="450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2012</w:t>
            </w:r>
          </w:p>
        </w:tc>
        <w:tc>
          <w:tcPr>
            <w:tcW w:w="408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9"/>
              </w:rPr>
              <w:t>$135</w:t>
            </w:r>
          </w:p>
        </w:tc>
        <w:tc>
          <w:tcPr>
            <w:tcW w:w="7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156</w:t>
            </w:r>
          </w:p>
        </w:tc>
        <w:tc>
          <w:tcPr>
            <w:tcW w:w="8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45</w:t>
            </w:r>
          </w:p>
        </w:tc>
        <w:tc>
          <w:tcPr>
            <w:tcW w:w="40" w:type="dxa"/>
            <w:vAlign w:val="bottom"/>
            <w:tcBorders>
              <w:top w:val="single" w:sz="8" w:color="CCEEFF"/>
            </w:tcBorders>
            <w:shd w:val="clear" w:color="auto" w:fill="CCEEFF"/>
          </w:tcPr>
          <w:p>
            <w:pPr>
              <w:spacing w:after="0"/>
              <w:rPr>
                <w:sz w:val="7"/>
                <w:szCs w:val="7"/>
                <w:color w:val="auto"/>
              </w:rPr>
            </w:pPr>
          </w:p>
        </w:tc>
      </w:tr>
      <w:tr>
        <w:trPr>
          <w:trHeight w:val="99"/>
        </w:trPr>
        <w:tc>
          <w:tcPr>
            <w:tcW w:w="4500" w:type="dxa"/>
            <w:vAlign w:val="bottom"/>
          </w:tcPr>
          <w:p>
            <w:pPr>
              <w:spacing w:after="0" w:line="99" w:lineRule="exact"/>
              <w:rPr>
                <w:sz w:val="20"/>
                <w:szCs w:val="20"/>
                <w:color w:val="auto"/>
              </w:rPr>
            </w:pPr>
            <w:r>
              <w:rPr>
                <w:rFonts w:ascii="Arial" w:cs="Arial" w:eastAsia="Arial" w:hAnsi="Arial"/>
                <w:sz w:val="9"/>
                <w:szCs w:val="9"/>
                <w:color w:val="auto"/>
              </w:rPr>
              <w:t>2013</w:t>
            </w:r>
          </w:p>
        </w:tc>
        <w:tc>
          <w:tcPr>
            <w:tcW w:w="4260" w:type="dxa"/>
            <w:vAlign w:val="bottom"/>
            <w:gridSpan w:val="2"/>
          </w:tcPr>
          <w:p>
            <w:pPr>
              <w:jc w:val="right"/>
              <w:spacing w:after="0" w:line="99" w:lineRule="exact"/>
              <w:rPr>
                <w:sz w:val="20"/>
                <w:szCs w:val="20"/>
                <w:color w:val="auto"/>
              </w:rPr>
            </w:pPr>
            <w:r>
              <w:rPr>
                <w:rFonts w:ascii="Arial" w:cs="Arial" w:eastAsia="Arial" w:hAnsi="Arial"/>
                <w:sz w:val="9"/>
                <w:szCs w:val="9"/>
                <w:color w:val="auto"/>
              </w:rPr>
              <w:t>139</w:t>
            </w: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9"/>
                <w:szCs w:val="9"/>
                <w:color w:val="auto"/>
              </w:rPr>
              <w:t>168</w:t>
            </w: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49</w:t>
            </w:r>
          </w:p>
        </w:tc>
      </w:tr>
      <w:tr>
        <w:trPr>
          <w:trHeight w:val="99"/>
        </w:trPr>
        <w:tc>
          <w:tcPr>
            <w:tcW w:w="45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2014</w:t>
            </w:r>
          </w:p>
        </w:tc>
        <w:tc>
          <w:tcPr>
            <w:tcW w:w="42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143</w:t>
            </w: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183</w:t>
            </w: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52</w:t>
            </w:r>
          </w:p>
        </w:tc>
      </w:tr>
      <w:tr>
        <w:trPr>
          <w:trHeight w:val="99"/>
        </w:trPr>
        <w:tc>
          <w:tcPr>
            <w:tcW w:w="4500" w:type="dxa"/>
            <w:vAlign w:val="bottom"/>
          </w:tcPr>
          <w:p>
            <w:pPr>
              <w:spacing w:after="0" w:line="99" w:lineRule="exact"/>
              <w:rPr>
                <w:sz w:val="20"/>
                <w:szCs w:val="20"/>
                <w:color w:val="auto"/>
              </w:rPr>
            </w:pPr>
            <w:r>
              <w:rPr>
                <w:rFonts w:ascii="Arial" w:cs="Arial" w:eastAsia="Arial" w:hAnsi="Arial"/>
                <w:sz w:val="9"/>
                <w:szCs w:val="9"/>
                <w:color w:val="auto"/>
              </w:rPr>
              <w:t>2015</w:t>
            </w:r>
          </w:p>
        </w:tc>
        <w:tc>
          <w:tcPr>
            <w:tcW w:w="4260" w:type="dxa"/>
            <w:vAlign w:val="bottom"/>
            <w:gridSpan w:val="2"/>
          </w:tcPr>
          <w:p>
            <w:pPr>
              <w:jc w:val="right"/>
              <w:spacing w:after="0" w:line="99" w:lineRule="exact"/>
              <w:rPr>
                <w:sz w:val="20"/>
                <w:szCs w:val="20"/>
                <w:color w:val="auto"/>
              </w:rPr>
            </w:pPr>
            <w:r>
              <w:rPr>
                <w:rFonts w:ascii="Arial" w:cs="Arial" w:eastAsia="Arial" w:hAnsi="Arial"/>
                <w:sz w:val="9"/>
                <w:szCs w:val="9"/>
                <w:color w:val="auto"/>
              </w:rPr>
              <w:t>149</w:t>
            </w: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9"/>
                <w:szCs w:val="9"/>
                <w:color w:val="auto"/>
              </w:rPr>
              <w:t>197</w:t>
            </w: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55</w:t>
            </w:r>
          </w:p>
        </w:tc>
      </w:tr>
      <w:tr>
        <w:trPr>
          <w:trHeight w:val="99"/>
        </w:trPr>
        <w:tc>
          <w:tcPr>
            <w:tcW w:w="45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2016</w:t>
            </w:r>
          </w:p>
        </w:tc>
        <w:tc>
          <w:tcPr>
            <w:tcW w:w="42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155</w:t>
            </w: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215</w:t>
            </w: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59</w:t>
            </w:r>
          </w:p>
        </w:tc>
      </w:tr>
      <w:tr>
        <w:trPr>
          <w:trHeight w:val="114"/>
        </w:trPr>
        <w:tc>
          <w:tcPr>
            <w:tcW w:w="4500" w:type="dxa"/>
            <w:vAlign w:val="bottom"/>
          </w:tcPr>
          <w:p>
            <w:pPr>
              <w:spacing w:after="0"/>
              <w:rPr>
                <w:sz w:val="20"/>
                <w:szCs w:val="20"/>
                <w:color w:val="auto"/>
              </w:rPr>
            </w:pPr>
            <w:r>
              <w:rPr>
                <w:rFonts w:ascii="Arial" w:cs="Arial" w:eastAsia="Arial" w:hAnsi="Arial"/>
                <w:sz w:val="9"/>
                <w:szCs w:val="9"/>
                <w:color w:val="auto"/>
              </w:rPr>
              <w:t>2017- 2021</w:t>
            </w:r>
          </w:p>
        </w:tc>
        <w:tc>
          <w:tcPr>
            <w:tcW w:w="4260" w:type="dxa"/>
            <w:vAlign w:val="bottom"/>
            <w:gridSpan w:val="2"/>
          </w:tcPr>
          <w:p>
            <w:pPr>
              <w:jc w:val="right"/>
              <w:spacing w:after="0"/>
              <w:rPr>
                <w:sz w:val="20"/>
                <w:szCs w:val="20"/>
                <w:color w:val="auto"/>
              </w:rPr>
            </w:pPr>
            <w:r>
              <w:rPr>
                <w:rFonts w:ascii="Arial" w:cs="Arial" w:eastAsia="Arial" w:hAnsi="Arial"/>
                <w:sz w:val="9"/>
                <w:szCs w:val="9"/>
                <w:color w:val="auto"/>
              </w:rPr>
              <w:t>911</w:t>
            </w: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1,250</w:t>
            </w: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rPr>
              <w:t>352</w:t>
            </w:r>
          </w:p>
        </w:tc>
      </w:tr>
    </w:tbl>
    <w:p>
      <w:pPr>
        <w:spacing w:after="0" w:line="87" w:lineRule="exact"/>
        <w:rPr>
          <w:sz w:val="20"/>
          <w:szCs w:val="20"/>
          <w:color w:val="auto"/>
        </w:rPr>
      </w:pPr>
    </w:p>
    <w:p>
      <w:pPr>
        <w:jc w:val="both"/>
        <w:ind w:left="8" w:right="20" w:firstLine="230"/>
        <w:spacing w:after="0" w:line="314" w:lineRule="auto"/>
        <w:rPr>
          <w:sz w:val="20"/>
          <w:szCs w:val="20"/>
          <w:color w:val="auto"/>
        </w:rPr>
      </w:pPr>
      <w:r>
        <w:rPr>
          <w:rFonts w:ascii="Arial" w:cs="Arial" w:eastAsia="Arial" w:hAnsi="Arial"/>
          <w:sz w:val="11"/>
          <w:szCs w:val="11"/>
          <w:color w:val="auto"/>
        </w:rPr>
        <w:t xml:space="preserve">Included in </w:t>
      </w:r>
      <w:r>
        <w:rPr>
          <w:rFonts w:ascii="Arial" w:cs="Arial" w:eastAsia="Arial" w:hAnsi="Arial"/>
          <w:sz w:val="11"/>
          <w:szCs w:val="11"/>
          <w:i w:val="1"/>
          <w:iCs w:val="1"/>
          <w:color w:val="auto"/>
        </w:rPr>
        <w:t>Accumulated other comprehensive loss</w:t>
      </w:r>
      <w:r>
        <w:rPr>
          <w:rFonts w:ascii="Arial" w:cs="Arial" w:eastAsia="Arial" w:hAnsi="Arial"/>
          <w:sz w:val="11"/>
          <w:szCs w:val="11"/>
          <w:color w:val="auto"/>
        </w:rPr>
        <w:t xml:space="preserve"> at December 31, 2011 are non-cash pretax charges which have not yet been recognized in net periodic benefit cost. The estimated amounts that will be amortized from the estimated portion of each component of </w:t>
      </w:r>
      <w:r>
        <w:rPr>
          <w:rFonts w:ascii="Arial" w:cs="Arial" w:eastAsia="Arial" w:hAnsi="Arial"/>
          <w:sz w:val="11"/>
          <w:szCs w:val="11"/>
          <w:i w:val="1"/>
          <w:iCs w:val="1"/>
          <w:color w:val="auto"/>
        </w:rPr>
        <w:t>Accumulated other comprehensive loss</w:t>
      </w:r>
      <w:r>
        <w:rPr>
          <w:rFonts w:ascii="Arial" w:cs="Arial" w:eastAsia="Arial" w:hAnsi="Arial"/>
          <w:sz w:val="11"/>
          <w:szCs w:val="11"/>
          <w:color w:val="auto"/>
        </w:rPr>
        <w:t xml:space="preserve"> which is expected to be recognized as a component of net periodic benefit cost during the year-ending December 31, 2012 are as follows:</w:t>
      </w:r>
    </w:p>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9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9"/>
                <w:szCs w:val="9"/>
                <w:b w:val="1"/>
                <w:bCs w:val="1"/>
                <w:color w:val="auto"/>
              </w:rPr>
              <w:t>(Stated in millions)</w:t>
            </w:r>
          </w:p>
        </w:tc>
      </w:tr>
      <w:tr>
        <w:trPr>
          <w:trHeight w:val="190"/>
        </w:trPr>
        <w:tc>
          <w:tcPr>
            <w:tcW w:w="9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w w:val="88"/>
              </w:rPr>
              <w:t>Postretirement</w:t>
            </w:r>
          </w:p>
        </w:tc>
      </w:tr>
      <w:tr>
        <w:trPr>
          <w:trHeight w:val="99"/>
        </w:trPr>
        <w:tc>
          <w:tcPr>
            <w:tcW w:w="9720" w:type="dxa"/>
            <w:vAlign w:val="bottom"/>
          </w:tcPr>
          <w:p>
            <w:pPr>
              <w:spacing w:after="0"/>
              <w:rPr>
                <w:sz w:val="8"/>
                <w:szCs w:val="8"/>
                <w:color w:val="auto"/>
              </w:rPr>
            </w:pPr>
          </w:p>
        </w:tc>
        <w:tc>
          <w:tcPr>
            <w:tcW w:w="640" w:type="dxa"/>
            <w:vAlign w:val="bottom"/>
            <w:gridSpan w:val="3"/>
          </w:tcPr>
          <w:p>
            <w:pPr>
              <w:jc w:val="right"/>
              <w:ind w:right="320"/>
              <w:spacing w:after="0" w:line="99" w:lineRule="exact"/>
              <w:rPr>
                <w:sz w:val="20"/>
                <w:szCs w:val="20"/>
                <w:color w:val="auto"/>
              </w:rPr>
            </w:pPr>
            <w:r>
              <w:rPr>
                <w:rFonts w:ascii="Arial" w:cs="Arial" w:eastAsia="Arial" w:hAnsi="Arial"/>
                <w:sz w:val="9"/>
                <w:szCs w:val="9"/>
                <w:b w:val="1"/>
                <w:bCs w:val="1"/>
                <w:color w:val="auto"/>
                <w:w w:val="85"/>
              </w:rPr>
              <w:t>Pension</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Arial" w:cs="Arial" w:eastAsia="Arial" w:hAnsi="Arial"/>
                <w:sz w:val="9"/>
                <w:szCs w:val="9"/>
                <w:b w:val="1"/>
                <w:bCs w:val="1"/>
                <w:color w:val="auto"/>
              </w:rPr>
              <w:t>Medical</w:t>
            </w:r>
          </w:p>
        </w:tc>
      </w:tr>
      <w:tr>
        <w:trPr>
          <w:trHeight w:val="108"/>
        </w:trPr>
        <w:tc>
          <w:tcPr>
            <w:tcW w:w="9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w w:val="91"/>
              </w:rPr>
              <w:t>Plans</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Plan</w:t>
            </w:r>
          </w:p>
        </w:tc>
      </w:tr>
      <w:tr>
        <w:trPr>
          <w:trHeight w:val="88"/>
        </w:trPr>
        <w:tc>
          <w:tcPr>
            <w:tcW w:w="972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Net actuarial losses</w:t>
            </w:r>
          </w:p>
        </w:tc>
        <w:tc>
          <w:tcPr>
            <w:tcW w:w="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104</w:t>
            </w:r>
          </w:p>
        </w:tc>
        <w:tc>
          <w:tcPr>
            <w:tcW w:w="3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jc w:val="right"/>
              <w:ind w:right="55"/>
              <w:spacing w:after="0" w:line="88" w:lineRule="exact"/>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18</w:t>
            </w:r>
          </w:p>
        </w:tc>
        <w:tc>
          <w:tcPr>
            <w:tcW w:w="60" w:type="dxa"/>
            <w:vAlign w:val="bottom"/>
            <w:tcBorders>
              <w:top w:val="single" w:sz="8" w:color="CCEEFF"/>
            </w:tcBorders>
            <w:shd w:val="clear" w:color="auto" w:fill="CCEEFF"/>
          </w:tcPr>
          <w:p>
            <w:pPr>
              <w:spacing w:after="0"/>
              <w:rPr>
                <w:sz w:val="7"/>
                <w:szCs w:val="7"/>
                <w:color w:val="auto"/>
              </w:rPr>
            </w:pPr>
          </w:p>
        </w:tc>
      </w:tr>
      <w:tr>
        <w:trPr>
          <w:trHeight w:val="114"/>
        </w:trPr>
        <w:tc>
          <w:tcPr>
            <w:tcW w:w="9720" w:type="dxa"/>
            <w:vAlign w:val="bottom"/>
          </w:tcPr>
          <w:p>
            <w:pPr>
              <w:spacing w:after="0"/>
              <w:rPr>
                <w:sz w:val="20"/>
                <w:szCs w:val="20"/>
                <w:color w:val="auto"/>
              </w:rPr>
            </w:pPr>
            <w:r>
              <w:rPr>
                <w:rFonts w:ascii="Arial" w:cs="Arial" w:eastAsia="Arial" w:hAnsi="Arial"/>
                <w:sz w:val="9"/>
                <w:szCs w:val="9"/>
                <w:color w:val="auto"/>
              </w:rPr>
              <w:t>Prior service cost (credit)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40" w:type="dxa"/>
            <w:vAlign w:val="bottom"/>
          </w:tcPr>
          <w:p>
            <w:pPr>
              <w:jc w:val="right"/>
              <w:spacing w:after="0"/>
              <w:rPr>
                <w:sz w:val="20"/>
                <w:szCs w:val="20"/>
                <w:color w:val="auto"/>
              </w:rPr>
            </w:pPr>
            <w:r>
              <w:rPr>
                <w:rFonts w:ascii="Arial" w:cs="Arial" w:eastAsia="Arial" w:hAnsi="Arial"/>
                <w:sz w:val="9"/>
                <w:szCs w:val="9"/>
                <w:color w:val="auto"/>
              </w:rPr>
              <w:t>132</w:t>
            </w:r>
          </w:p>
        </w:tc>
        <w:tc>
          <w:tcPr>
            <w:tcW w:w="320" w:type="dxa"/>
            <w:vAlign w:val="bottom"/>
          </w:tcPr>
          <w:p>
            <w:pPr>
              <w:spacing w:after="0"/>
              <w:rPr>
                <w:sz w:val="9"/>
                <w:szCs w:val="9"/>
                <w:color w:val="auto"/>
              </w:rPr>
            </w:pPr>
          </w:p>
        </w:tc>
        <w:tc>
          <w:tcPr>
            <w:tcW w:w="640" w:type="dxa"/>
            <w:vAlign w:val="bottom"/>
            <w:gridSpan w:val="2"/>
          </w:tcPr>
          <w:p>
            <w:pPr>
              <w:jc w:val="right"/>
              <w:ind w:right="55"/>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9"/>
                <w:szCs w:val="9"/>
                <w:color w:val="auto"/>
              </w:rPr>
              <w:t>(8)</w:t>
            </w:r>
          </w:p>
        </w:tc>
      </w:tr>
    </w:tbl>
    <w:p>
      <w:pPr>
        <w:spacing w:after="0" w:line="33" w:lineRule="exact"/>
        <w:rPr>
          <w:sz w:val="20"/>
          <w:szCs w:val="20"/>
          <w:color w:val="auto"/>
        </w:rPr>
      </w:pPr>
    </w:p>
    <w:p>
      <w:pPr>
        <w:jc w:val="both"/>
        <w:ind w:left="8" w:firstLine="230"/>
        <w:spacing w:after="0" w:line="268" w:lineRule="auto"/>
        <w:rPr>
          <w:sz w:val="20"/>
          <w:szCs w:val="20"/>
          <w:color w:val="auto"/>
        </w:rPr>
      </w:pPr>
      <w:r>
        <w:rPr>
          <w:rFonts w:ascii="Arial" w:cs="Arial" w:eastAsia="Arial" w:hAnsi="Arial"/>
          <w:sz w:val="12"/>
          <w:szCs w:val="12"/>
          <w:color w:val="auto"/>
        </w:rPr>
        <w:t>In addition to providing defined pension benefits and a postretirement medical plan, Schlumberger and its subsidiaries have other deferred benefit programs, primarily profit sharing and defined contribution pension plans. Expenses for these programs were $582 million, $403 million and $418 million in 2011, 2010 and 2009, respectively.</w:t>
      </w:r>
    </w:p>
    <w:p>
      <w:pPr>
        <w:spacing w:after="0" w:line="86" w:lineRule="exact"/>
        <w:rPr>
          <w:sz w:val="20"/>
          <w:szCs w:val="20"/>
          <w:color w:val="auto"/>
        </w:rPr>
      </w:pPr>
    </w:p>
    <w:p>
      <w:pPr>
        <w:ind w:left="268" w:hanging="268"/>
        <w:spacing w:after="0"/>
        <w:tabs>
          <w:tab w:leader="none" w:pos="268" w:val="left"/>
        </w:tabs>
        <w:numPr>
          <w:ilvl w:val="0"/>
          <w:numId w:val="4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Supplementary Information</w:t>
      </w:r>
    </w:p>
    <w:p>
      <w:pPr>
        <w:spacing w:after="0" w:line="62" w:lineRule="exact"/>
        <w:rPr>
          <w:sz w:val="20"/>
          <w:szCs w:val="20"/>
          <w:color w:val="auto"/>
        </w:rPr>
      </w:pPr>
    </w:p>
    <w:p>
      <w:pPr>
        <w:ind w:left="228"/>
        <w:spacing w:after="0"/>
        <w:rPr>
          <w:sz w:val="20"/>
          <w:szCs w:val="20"/>
          <w:color w:val="auto"/>
        </w:rPr>
      </w:pPr>
      <w:r>
        <w:rPr>
          <w:rFonts w:ascii="Arial" w:cs="Arial" w:eastAsia="Arial" w:hAnsi="Arial"/>
          <w:sz w:val="12"/>
          <w:szCs w:val="12"/>
          <w:color w:val="auto"/>
        </w:rPr>
        <w:t>Cash paid for interest and income taxes was as follows: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52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6"/>
          </w:tcPr>
          <w:p>
            <w:pPr>
              <w:spacing w:after="0"/>
              <w:rPr>
                <w:sz w:val="20"/>
                <w:szCs w:val="20"/>
                <w:color w:val="auto"/>
              </w:rPr>
            </w:pPr>
            <w:r>
              <w:rPr>
                <w:rFonts w:ascii="Arial" w:cs="Arial" w:eastAsia="Arial" w:hAnsi="Arial"/>
                <w:sz w:val="9"/>
                <w:szCs w:val="9"/>
                <w:b w:val="1"/>
                <w:bCs w:val="1"/>
                <w:color w:val="auto"/>
                <w:w w:val="96"/>
              </w:rPr>
              <w:t>(Stated in millions)</w:t>
            </w:r>
          </w:p>
        </w:tc>
      </w:tr>
      <w:tr>
        <w:trPr>
          <w:trHeight w:val="199"/>
        </w:trPr>
        <w:tc>
          <w:tcPr>
            <w:tcW w:w="52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2011</w:t>
            </w:r>
          </w:p>
        </w:tc>
        <w:tc>
          <w:tcPr>
            <w:tcW w:w="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9"/>
                <w:szCs w:val="9"/>
                <w:b w:val="1"/>
                <w:bCs w:val="1"/>
                <w:color w:val="auto"/>
                <w:w w:val="79"/>
              </w:rPr>
              <w:t>2010</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9"/>
                <w:szCs w:val="9"/>
                <w:b w:val="1"/>
                <w:bCs w:val="1"/>
                <w:color w:val="auto"/>
                <w:w w:val="89"/>
              </w:rPr>
              <w:t>2009</w:t>
            </w:r>
          </w:p>
        </w:tc>
        <w:tc>
          <w:tcPr>
            <w:tcW w:w="60" w:type="dxa"/>
            <w:vAlign w:val="bottom"/>
          </w:tcPr>
          <w:p>
            <w:pPr>
              <w:spacing w:after="0"/>
              <w:rPr>
                <w:sz w:val="17"/>
                <w:szCs w:val="17"/>
                <w:color w:val="auto"/>
              </w:rPr>
            </w:pPr>
          </w:p>
        </w:tc>
      </w:tr>
      <w:tr>
        <w:trPr>
          <w:trHeight w:val="88"/>
        </w:trPr>
        <w:tc>
          <w:tcPr>
            <w:tcW w:w="52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Interest</w:t>
            </w:r>
          </w:p>
        </w:tc>
        <w:tc>
          <w:tcPr>
            <w:tcW w:w="48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w w:val="78"/>
              </w:rPr>
              <w:t>$</w:t>
            </w:r>
          </w:p>
        </w:tc>
        <w:tc>
          <w:tcPr>
            <w:tcW w:w="2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294</w:t>
            </w: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5"/>
                <w:szCs w:val="5"/>
                <w:color w:val="auto"/>
                <w:w w:val="70"/>
              </w:rPr>
              <w:t>$</w:t>
            </w:r>
          </w:p>
        </w:tc>
        <w:tc>
          <w:tcPr>
            <w:tcW w:w="1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234</w:t>
            </w: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249</w:t>
            </w:r>
          </w:p>
        </w:tc>
        <w:tc>
          <w:tcPr>
            <w:tcW w:w="60" w:type="dxa"/>
            <w:vAlign w:val="bottom"/>
            <w:tcBorders>
              <w:top w:val="single" w:sz="8" w:color="CCEEFF"/>
            </w:tcBorders>
            <w:shd w:val="clear" w:color="auto" w:fill="CCEEFF"/>
          </w:tcPr>
          <w:p>
            <w:pPr>
              <w:spacing w:after="0"/>
              <w:rPr>
                <w:sz w:val="7"/>
                <w:szCs w:val="7"/>
                <w:color w:val="auto"/>
              </w:rPr>
            </w:pPr>
          </w:p>
        </w:tc>
      </w:tr>
      <w:tr>
        <w:trPr>
          <w:trHeight w:val="116"/>
        </w:trPr>
        <w:tc>
          <w:tcPr>
            <w:tcW w:w="5280" w:type="dxa"/>
            <w:vAlign w:val="bottom"/>
          </w:tcPr>
          <w:p>
            <w:pPr>
              <w:spacing w:after="0"/>
              <w:rPr>
                <w:sz w:val="20"/>
                <w:szCs w:val="20"/>
                <w:color w:val="auto"/>
              </w:rPr>
            </w:pPr>
            <w:r>
              <w:rPr>
                <w:rFonts w:ascii="Arial" w:cs="Arial" w:eastAsia="Arial" w:hAnsi="Arial"/>
                <w:sz w:val="9"/>
                <w:szCs w:val="9"/>
                <w:color w:val="auto"/>
              </w:rPr>
              <w:t>Income taxes</w:t>
            </w:r>
          </w:p>
        </w:tc>
        <w:tc>
          <w:tcPr>
            <w:tcW w:w="4880" w:type="dxa"/>
            <w:vAlign w:val="bottom"/>
            <w:gridSpan w:val="2"/>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97"/>
              </w:rPr>
              <w:t>1,836</w:t>
            </w: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180" w:type="dxa"/>
            <w:vAlign w:val="bottom"/>
          </w:tcPr>
          <w:p>
            <w:pPr>
              <w:jc w:val="right"/>
              <w:spacing w:after="0"/>
              <w:rPr>
                <w:sz w:val="20"/>
                <w:szCs w:val="20"/>
                <w:color w:val="auto"/>
              </w:rPr>
            </w:pPr>
            <w:r>
              <w:rPr>
                <w:rFonts w:ascii="Arial" w:cs="Arial" w:eastAsia="Arial" w:hAnsi="Arial"/>
                <w:sz w:val="9"/>
                <w:szCs w:val="9"/>
                <w:color w:val="auto"/>
              </w:rPr>
              <w:t>571</w:t>
            </w:r>
          </w:p>
        </w:tc>
        <w:tc>
          <w:tcPr>
            <w:tcW w:w="28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00" w:type="dxa"/>
            <w:vAlign w:val="bottom"/>
          </w:tcPr>
          <w:p>
            <w:pPr>
              <w:jc w:val="right"/>
              <w:spacing w:after="0"/>
              <w:rPr>
                <w:sz w:val="20"/>
                <w:szCs w:val="20"/>
                <w:color w:val="auto"/>
              </w:rPr>
            </w:pPr>
            <w:r>
              <w:rPr>
                <w:rFonts w:ascii="Arial" w:cs="Arial" w:eastAsia="Arial" w:hAnsi="Arial"/>
                <w:sz w:val="9"/>
                <w:szCs w:val="9"/>
                <w:color w:val="auto"/>
              </w:rPr>
              <w:t>665</w:t>
            </w:r>
          </w:p>
        </w:tc>
        <w:tc>
          <w:tcPr>
            <w:tcW w:w="60" w:type="dxa"/>
            <w:vAlign w:val="bottom"/>
          </w:tcPr>
          <w:p>
            <w:pPr>
              <w:spacing w:after="0"/>
              <w:rPr>
                <w:sz w:val="10"/>
                <w:szCs w:val="10"/>
                <w:color w:val="auto"/>
              </w:rPr>
            </w:pPr>
          </w:p>
        </w:tc>
      </w:tr>
    </w:tbl>
    <w:p>
      <w:pPr>
        <w:spacing w:after="0" w:line="31" w:lineRule="exact"/>
        <w:rPr>
          <w:sz w:val="20"/>
          <w:szCs w:val="20"/>
          <w:color w:val="auto"/>
        </w:rPr>
      </w:pPr>
    </w:p>
    <w:p>
      <w:pPr>
        <w:ind w:left="228"/>
        <w:spacing w:after="0"/>
        <w:rPr>
          <w:sz w:val="20"/>
          <w:szCs w:val="20"/>
          <w:color w:val="auto"/>
        </w:rPr>
      </w:pPr>
      <w:r>
        <w:rPr>
          <w:rFonts w:ascii="Arial" w:cs="Arial" w:eastAsia="Arial" w:hAnsi="Arial"/>
          <w:sz w:val="12"/>
          <w:szCs w:val="12"/>
          <w:i w:val="1"/>
          <w:iCs w:val="1"/>
          <w:color w:val="auto"/>
        </w:rPr>
        <w:t xml:space="preserve">Accounts payable and accrued liabilities </w:t>
      </w:r>
      <w:r>
        <w:rPr>
          <w:rFonts w:ascii="Arial" w:cs="Arial" w:eastAsia="Arial" w:hAnsi="Arial"/>
          <w:sz w:val="12"/>
          <w:szCs w:val="12"/>
          <w:color w:val="auto"/>
        </w:rPr>
        <w:t>are summarized as follows: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356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5"/>
          </w:tcPr>
          <w:p>
            <w:pPr>
              <w:ind w:left="160"/>
              <w:spacing w:after="0"/>
              <w:rPr>
                <w:sz w:val="20"/>
                <w:szCs w:val="20"/>
                <w:color w:val="auto"/>
              </w:rPr>
            </w:pPr>
            <w:r>
              <w:rPr>
                <w:rFonts w:ascii="Arial" w:cs="Arial" w:eastAsia="Arial" w:hAnsi="Arial"/>
                <w:sz w:val="9"/>
                <w:szCs w:val="9"/>
                <w:b w:val="1"/>
                <w:bCs w:val="1"/>
                <w:color w:val="auto"/>
                <w:w w:val="96"/>
              </w:rPr>
              <w:t>(Stated in millions)</w:t>
            </w:r>
          </w:p>
        </w:tc>
      </w:tr>
      <w:tr>
        <w:trPr>
          <w:trHeight w:val="199"/>
        </w:trPr>
        <w:tc>
          <w:tcPr>
            <w:tcW w:w="3560" w:type="dxa"/>
            <w:vAlign w:val="bottom"/>
            <w:tcBorders>
              <w:bottom w:val="single" w:sz="8" w:color="CCEEFF"/>
            </w:tcBorders>
          </w:tcPr>
          <w:p>
            <w:pPr>
              <w:spacing w:after="0"/>
              <w:rPr>
                <w:sz w:val="17"/>
                <w:szCs w:val="17"/>
                <w:color w:val="auto"/>
              </w:rPr>
            </w:pPr>
          </w:p>
        </w:tc>
        <w:tc>
          <w:tcPr>
            <w:tcW w:w="68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2011</w:t>
            </w:r>
          </w:p>
        </w:tc>
        <w:tc>
          <w:tcPr>
            <w:tcW w:w="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2010</w:t>
            </w:r>
          </w:p>
        </w:tc>
        <w:tc>
          <w:tcPr>
            <w:tcW w:w="80" w:type="dxa"/>
            <w:vAlign w:val="bottom"/>
            <w:tcBorders>
              <w:bottom w:val="single" w:sz="8" w:color="CCEEFF"/>
            </w:tcBorders>
          </w:tcPr>
          <w:p>
            <w:pPr>
              <w:spacing w:after="0"/>
              <w:rPr>
                <w:sz w:val="17"/>
                <w:szCs w:val="17"/>
                <w:color w:val="auto"/>
              </w:rPr>
            </w:pPr>
          </w:p>
        </w:tc>
      </w:tr>
      <w:tr>
        <w:trPr>
          <w:trHeight w:val="88"/>
        </w:trPr>
        <w:tc>
          <w:tcPr>
            <w:tcW w:w="35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Payroll, vacation and employee benefits</w:t>
            </w:r>
          </w:p>
        </w:tc>
        <w:tc>
          <w:tcPr>
            <w:tcW w:w="688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260" w:type="dxa"/>
            <w:vAlign w:val="bottom"/>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1,597</w:t>
            </w: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1,414</w:t>
            </w:r>
          </w:p>
        </w:tc>
        <w:tc>
          <w:tcPr>
            <w:tcW w:w="80" w:type="dxa"/>
            <w:vAlign w:val="bottom"/>
            <w:shd w:val="clear" w:color="auto" w:fill="CCEEFF"/>
          </w:tcPr>
          <w:p>
            <w:pPr>
              <w:spacing w:after="0"/>
              <w:rPr>
                <w:sz w:val="7"/>
                <w:szCs w:val="7"/>
                <w:color w:val="auto"/>
              </w:rPr>
            </w:pPr>
          </w:p>
        </w:tc>
      </w:tr>
      <w:tr>
        <w:trPr>
          <w:trHeight w:val="99"/>
        </w:trPr>
        <w:tc>
          <w:tcPr>
            <w:tcW w:w="3560" w:type="dxa"/>
            <w:vAlign w:val="bottom"/>
          </w:tcPr>
          <w:p>
            <w:pPr>
              <w:spacing w:after="0" w:line="99" w:lineRule="exact"/>
              <w:rPr>
                <w:sz w:val="20"/>
                <w:szCs w:val="20"/>
                <w:color w:val="auto"/>
              </w:rPr>
            </w:pPr>
            <w:r>
              <w:rPr>
                <w:rFonts w:ascii="Arial" w:cs="Arial" w:eastAsia="Arial" w:hAnsi="Arial"/>
                <w:sz w:val="9"/>
                <w:szCs w:val="9"/>
                <w:color w:val="auto"/>
              </w:rPr>
              <w:t>Trade</w:t>
            </w:r>
          </w:p>
        </w:tc>
        <w:tc>
          <w:tcPr>
            <w:tcW w:w="6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3,389</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jc w:val="right"/>
              <w:spacing w:after="0" w:line="99" w:lineRule="exact"/>
              <w:rPr>
                <w:sz w:val="20"/>
                <w:szCs w:val="20"/>
                <w:color w:val="auto"/>
              </w:rPr>
            </w:pPr>
            <w:r>
              <w:rPr>
                <w:rFonts w:ascii="Arial" w:cs="Arial" w:eastAsia="Arial" w:hAnsi="Arial"/>
                <w:sz w:val="9"/>
                <w:szCs w:val="9"/>
                <w:color w:val="auto"/>
              </w:rPr>
              <w:t>2,649</w:t>
            </w:r>
          </w:p>
        </w:tc>
        <w:tc>
          <w:tcPr>
            <w:tcW w:w="80" w:type="dxa"/>
            <w:vAlign w:val="bottom"/>
          </w:tcPr>
          <w:p>
            <w:pPr>
              <w:spacing w:after="0"/>
              <w:rPr>
                <w:sz w:val="8"/>
                <w:szCs w:val="8"/>
                <w:color w:val="auto"/>
              </w:rPr>
            </w:pPr>
          </w:p>
        </w:tc>
      </w:tr>
      <w:tr>
        <w:trPr>
          <w:trHeight w:val="99"/>
        </w:trPr>
        <w:tc>
          <w:tcPr>
            <w:tcW w:w="3560" w:type="dxa"/>
            <w:vAlign w:val="bottom"/>
            <w:tcBorders>
              <w:bottom w:val="single" w:sz="8" w:color="auto"/>
            </w:tcBorders>
            <w:shd w:val="clear" w:color="auto" w:fill="CCEEFF"/>
          </w:tcPr>
          <w:p>
            <w:pPr>
              <w:spacing w:after="0" w:line="99" w:lineRule="exact"/>
              <w:rPr>
                <w:sz w:val="20"/>
                <w:szCs w:val="20"/>
                <w:color w:val="auto"/>
              </w:rPr>
            </w:pPr>
            <w:r>
              <w:rPr>
                <w:rFonts w:ascii="Arial" w:cs="Arial" w:eastAsia="Arial" w:hAnsi="Arial"/>
                <w:sz w:val="9"/>
                <w:szCs w:val="9"/>
                <w:color w:val="auto"/>
              </w:rPr>
              <w:t>Other</w:t>
            </w:r>
          </w:p>
        </w:tc>
        <w:tc>
          <w:tcPr>
            <w:tcW w:w="688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2,593</w:t>
            </w:r>
          </w:p>
        </w:tc>
        <w:tc>
          <w:tcPr>
            <w:tcW w:w="2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2,425</w:t>
            </w:r>
          </w:p>
        </w:tc>
        <w:tc>
          <w:tcPr>
            <w:tcW w:w="80" w:type="dxa"/>
            <w:vAlign w:val="bottom"/>
            <w:shd w:val="clear" w:color="auto" w:fill="CCEEFF"/>
          </w:tcPr>
          <w:p>
            <w:pPr>
              <w:spacing w:after="0"/>
              <w:rPr>
                <w:sz w:val="8"/>
                <w:szCs w:val="8"/>
                <w:color w:val="auto"/>
              </w:rPr>
            </w:pPr>
          </w:p>
        </w:tc>
      </w:tr>
      <w:tr>
        <w:trPr>
          <w:trHeight w:val="97"/>
        </w:trPr>
        <w:tc>
          <w:tcPr>
            <w:tcW w:w="3560" w:type="dxa"/>
            <w:vAlign w:val="bottom"/>
          </w:tcPr>
          <w:p>
            <w:pPr>
              <w:spacing w:after="0"/>
              <w:rPr>
                <w:sz w:val="8"/>
                <w:szCs w:val="8"/>
                <w:color w:val="auto"/>
              </w:rPr>
            </w:pPr>
          </w:p>
        </w:tc>
        <w:tc>
          <w:tcPr>
            <w:tcW w:w="6960" w:type="dxa"/>
            <w:vAlign w:val="bottom"/>
            <w:gridSpan w:val="2"/>
          </w:tcPr>
          <w:p>
            <w:pPr>
              <w:jc w:val="right"/>
              <w:ind w:right="17"/>
              <w:spacing w:after="0" w:line="98" w:lineRule="exact"/>
              <w:rPr>
                <w:sz w:val="20"/>
                <w:szCs w:val="20"/>
                <w:color w:val="auto"/>
              </w:rPr>
            </w:pPr>
            <w:r>
              <w:rPr>
                <w:rFonts w:ascii="Arial" w:cs="Arial" w:eastAsia="Arial" w:hAnsi="Arial"/>
                <w:sz w:val="9"/>
                <w:szCs w:val="9"/>
                <w:b w:val="1"/>
                <w:bCs w:val="1"/>
                <w:color w:val="auto"/>
              </w:rPr>
              <w:t>$</w:t>
            </w:r>
          </w:p>
        </w:tc>
        <w:tc>
          <w:tcPr>
            <w:tcW w:w="26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7,579</w:t>
            </w:r>
          </w:p>
        </w:tc>
        <w:tc>
          <w:tcPr>
            <w:tcW w:w="360" w:type="dxa"/>
            <w:vAlign w:val="bottom"/>
            <w:gridSpan w:val="2"/>
          </w:tcPr>
          <w:p>
            <w:pPr>
              <w:jc w:val="right"/>
              <w:ind w:right="17"/>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jc w:val="right"/>
              <w:spacing w:after="0" w:line="98" w:lineRule="exact"/>
              <w:rPr>
                <w:sz w:val="20"/>
                <w:szCs w:val="20"/>
                <w:color w:val="auto"/>
              </w:rPr>
            </w:pPr>
            <w:r>
              <w:rPr>
                <w:rFonts w:ascii="Arial" w:cs="Arial" w:eastAsia="Arial" w:hAnsi="Arial"/>
                <w:sz w:val="9"/>
                <w:szCs w:val="9"/>
                <w:color w:val="auto"/>
              </w:rPr>
              <w:t>6,488</w:t>
            </w:r>
          </w:p>
        </w:tc>
        <w:tc>
          <w:tcPr>
            <w:tcW w:w="80" w:type="dxa"/>
            <w:vAlign w:val="bottom"/>
          </w:tcPr>
          <w:p>
            <w:pPr>
              <w:spacing w:after="0"/>
              <w:rPr>
                <w:sz w:val="8"/>
                <w:szCs w:val="8"/>
                <w:color w:val="auto"/>
              </w:rPr>
            </w:pPr>
          </w:p>
        </w:tc>
      </w:tr>
      <w:tr>
        <w:trPr>
          <w:trHeight w:val="204"/>
        </w:trPr>
        <w:tc>
          <w:tcPr>
            <w:tcW w:w="3560" w:type="dxa"/>
            <w:vAlign w:val="bottom"/>
          </w:tcPr>
          <w:p>
            <w:pPr>
              <w:spacing w:after="0"/>
              <w:rPr>
                <w:sz w:val="17"/>
                <w:szCs w:val="17"/>
                <w:color w:val="auto"/>
              </w:rPr>
            </w:pPr>
          </w:p>
        </w:tc>
        <w:tc>
          <w:tcPr>
            <w:tcW w:w="6880" w:type="dxa"/>
            <w:vAlign w:val="bottom"/>
          </w:tcPr>
          <w:p>
            <w:pPr>
              <w:jc w:val="right"/>
              <w:ind w:right="4615"/>
              <w:spacing w:after="0"/>
              <w:rPr>
                <w:sz w:val="20"/>
                <w:szCs w:val="20"/>
                <w:color w:val="auto"/>
              </w:rPr>
            </w:pPr>
            <w:r>
              <w:rPr>
                <w:rFonts w:ascii="Arial" w:cs="Arial" w:eastAsia="Arial" w:hAnsi="Arial"/>
                <w:sz w:val="9"/>
                <w:szCs w:val="9"/>
                <w:color w:val="auto"/>
              </w:rPr>
              <w:t>69</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ectPr>
          <w:pgSz w:w="11900" w:h="16838" w:orient="portrait"/>
          <w:cols w:equalWidth="0" w:num="1">
            <w:col w:w="11488"/>
          </w:cols>
          <w:pgMar w:left="212" w:top="354" w:right="199"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Interest and other income, net </w:t>
      </w:r>
      <w:r>
        <w:rPr>
          <w:rFonts w:ascii="Arial" w:cs="Arial" w:eastAsia="Arial" w:hAnsi="Arial"/>
          <w:sz w:val="12"/>
          <w:szCs w:val="12"/>
          <w:color w:val="auto"/>
        </w:rPr>
        <w:t>includes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10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9"/>
                <w:szCs w:val="9"/>
                <w:b w:val="1"/>
                <w:bCs w:val="1"/>
                <w:color w:val="auto"/>
                <w:w w:val="89"/>
              </w:rPr>
              <w:t>(Stated in millions)</w:t>
            </w:r>
          </w:p>
        </w:tc>
      </w:tr>
      <w:tr>
        <w:trPr>
          <w:trHeight w:val="199"/>
        </w:trPr>
        <w:tc>
          <w:tcPr>
            <w:tcW w:w="10100" w:type="dxa"/>
            <w:vAlign w:val="bottom"/>
          </w:tcPr>
          <w:p>
            <w:pPr>
              <w:spacing w:after="0"/>
              <w:rPr>
                <w:sz w:val="17"/>
                <w:szCs w:val="17"/>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8"/>
                <w:szCs w:val="8"/>
                <w:b w:val="1"/>
                <w:bCs w:val="1"/>
                <w:color w:val="auto"/>
                <w:w w:val="78"/>
              </w:rPr>
              <w:t>2011</w:t>
            </w:r>
          </w:p>
        </w:tc>
        <w:tc>
          <w:tcPr>
            <w:tcW w:w="160" w:type="dxa"/>
            <w:vAlign w:val="bottom"/>
          </w:tcPr>
          <w:p>
            <w:pPr>
              <w:jc w:val="right"/>
              <w:spacing w:after="0"/>
              <w:rPr>
                <w:sz w:val="20"/>
                <w:szCs w:val="20"/>
                <w:color w:val="auto"/>
              </w:rPr>
            </w:pPr>
            <w:r>
              <w:rPr>
                <w:rFonts w:ascii="Arial" w:cs="Arial" w:eastAsia="Arial" w:hAnsi="Arial"/>
                <w:sz w:val="8"/>
                <w:szCs w:val="8"/>
                <w:b w:val="1"/>
                <w:bCs w:val="1"/>
                <w:color w:val="auto"/>
                <w:w w:val="78"/>
              </w:rPr>
              <w:t>2010</w:t>
            </w:r>
          </w:p>
        </w:tc>
        <w:tc>
          <w:tcPr>
            <w:tcW w:w="4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w w:val="78"/>
              </w:rPr>
              <w:t>2009</w:t>
            </w:r>
          </w:p>
        </w:tc>
      </w:tr>
      <w:tr>
        <w:trPr>
          <w:trHeight w:val="88"/>
        </w:trPr>
        <w:tc>
          <w:tcPr>
            <w:tcW w:w="10100" w:type="dxa"/>
            <w:vAlign w:val="bottom"/>
            <w:tcBorders>
              <w:top w:val="single" w:sz="8" w:color="CCEEFF"/>
              <w:right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Interest income</w:t>
            </w:r>
          </w:p>
        </w:tc>
        <w:tc>
          <w:tcPr>
            <w:tcW w:w="1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w w:val="79"/>
              </w:rPr>
              <w:t>$ 40</w:t>
            </w:r>
          </w:p>
        </w:tc>
        <w:tc>
          <w:tcPr>
            <w:tcW w:w="420" w:type="dxa"/>
            <w:vAlign w:val="bottom"/>
            <w:tcBorders>
              <w:top w:val="single" w:sz="8" w:color="CCEEFF"/>
              <w:right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9"/>
              </w:rPr>
              <w:t>$ 50</w:t>
            </w:r>
          </w:p>
        </w:tc>
        <w:tc>
          <w:tcPr>
            <w:tcW w:w="420" w:type="dxa"/>
            <w:vAlign w:val="bottom"/>
            <w:tcBorders>
              <w:top w:val="single" w:sz="8" w:color="CCEEFF"/>
              <w:right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79"/>
              </w:rPr>
              <w:t>$ 61</w:t>
            </w:r>
          </w:p>
        </w:tc>
        <w:tc>
          <w:tcPr>
            <w:tcW w:w="60" w:type="dxa"/>
            <w:vAlign w:val="bottom"/>
            <w:tcBorders>
              <w:top w:val="single" w:sz="8" w:color="CCEEFF"/>
            </w:tcBorders>
            <w:shd w:val="clear" w:color="auto" w:fill="CCEEFF"/>
          </w:tcPr>
          <w:p>
            <w:pPr>
              <w:spacing w:after="0"/>
              <w:rPr>
                <w:sz w:val="7"/>
                <w:szCs w:val="7"/>
                <w:color w:val="auto"/>
              </w:rPr>
            </w:pPr>
          </w:p>
        </w:tc>
      </w:tr>
      <w:tr>
        <w:trPr>
          <w:trHeight w:val="99"/>
        </w:trPr>
        <w:tc>
          <w:tcPr>
            <w:tcW w:w="10100" w:type="dxa"/>
            <w:vAlign w:val="bottom"/>
          </w:tcPr>
          <w:p>
            <w:pPr>
              <w:spacing w:after="0" w:line="99" w:lineRule="exact"/>
              <w:rPr>
                <w:sz w:val="20"/>
                <w:szCs w:val="20"/>
                <w:color w:val="auto"/>
              </w:rPr>
            </w:pPr>
            <w:r>
              <w:rPr>
                <w:rFonts w:ascii="Arial" w:cs="Arial" w:eastAsia="Arial" w:hAnsi="Arial"/>
                <w:sz w:val="9"/>
                <w:szCs w:val="9"/>
                <w:color w:val="auto"/>
              </w:rPr>
              <w:t>Equity in net earnings of affiliated companies:</w:t>
            </w: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10100" w:type="dxa"/>
            <w:vAlign w:val="bottom"/>
            <w:tcBorders>
              <w:right w:val="single" w:sz="8" w:color="CCEEFF"/>
            </w:tcBorders>
            <w:shd w:val="clear" w:color="auto" w:fill="CCEEFF"/>
          </w:tcPr>
          <w:p>
            <w:pPr>
              <w:ind w:left="140"/>
              <w:spacing w:after="0" w:line="99" w:lineRule="exact"/>
              <w:rPr>
                <w:sz w:val="20"/>
                <w:szCs w:val="20"/>
                <w:color w:val="auto"/>
              </w:rPr>
            </w:pPr>
            <w:r>
              <w:rPr>
                <w:rFonts w:ascii="Arial" w:cs="Arial" w:eastAsia="Arial" w:hAnsi="Arial"/>
                <w:sz w:val="9"/>
                <w:szCs w:val="9"/>
                <w:color w:val="auto"/>
              </w:rPr>
              <w:t>M-I SWACO</w:t>
            </w:r>
          </w:p>
        </w:tc>
        <w:tc>
          <w:tcPr>
            <w:tcW w:w="580" w:type="dxa"/>
            <w:vAlign w:val="bottom"/>
            <w:tcBorders>
              <w:right w:val="single" w:sz="8" w:color="CCEEFF"/>
            </w:tcBorders>
            <w:gridSpan w:val="2"/>
            <w:shd w:val="clear" w:color="auto" w:fill="CCEEFF"/>
          </w:tcPr>
          <w:p>
            <w:pPr>
              <w:jc w:val="right"/>
              <w:ind w:right="420"/>
              <w:spacing w:after="0" w:line="99" w:lineRule="exact"/>
              <w:rPr>
                <w:sz w:val="20"/>
                <w:szCs w:val="20"/>
                <w:color w:val="auto"/>
              </w:rPr>
            </w:pPr>
            <w:r>
              <w:rPr>
                <w:rFonts w:ascii="Arial" w:cs="Arial" w:eastAsia="Arial" w:hAnsi="Arial"/>
                <w:sz w:val="9"/>
                <w:szCs w:val="9"/>
                <w:b w:val="1"/>
                <w:bCs w:val="1"/>
                <w:color w:val="auto"/>
              </w:rPr>
              <w:t>–</w:t>
            </w:r>
          </w:p>
        </w:tc>
        <w:tc>
          <w:tcPr>
            <w:tcW w:w="1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78</w:t>
            </w:r>
          </w:p>
        </w:tc>
        <w:tc>
          <w:tcPr>
            <w:tcW w:w="420" w:type="dxa"/>
            <w:vAlign w:val="bottom"/>
            <w:tcBorders>
              <w:right w:val="single" w:sz="8" w:color="CCEEFF"/>
            </w:tcBorders>
            <w:shd w:val="clear" w:color="auto" w:fill="CCEEFF"/>
          </w:tcPr>
          <w:p>
            <w:pPr>
              <w:spacing w:after="0"/>
              <w:rPr>
                <w:sz w:val="8"/>
                <w:szCs w:val="8"/>
                <w:color w:val="auto"/>
              </w:rPr>
            </w:pPr>
          </w:p>
        </w:tc>
        <w:tc>
          <w:tcPr>
            <w:tcW w:w="2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w w:val="92"/>
              </w:rPr>
              <w:t>131</w:t>
            </w:r>
          </w:p>
        </w:tc>
      </w:tr>
      <w:tr>
        <w:trPr>
          <w:trHeight w:val="99"/>
        </w:trPr>
        <w:tc>
          <w:tcPr>
            <w:tcW w:w="10100" w:type="dxa"/>
            <w:vAlign w:val="bottom"/>
          </w:tcPr>
          <w:p>
            <w:pPr>
              <w:ind w:left="140"/>
              <w:spacing w:after="0" w:line="99" w:lineRule="exact"/>
              <w:rPr>
                <w:sz w:val="20"/>
                <w:szCs w:val="20"/>
                <w:color w:val="auto"/>
              </w:rPr>
            </w:pPr>
            <w:r>
              <w:rPr>
                <w:rFonts w:ascii="Arial" w:cs="Arial" w:eastAsia="Arial" w:hAnsi="Arial"/>
                <w:sz w:val="9"/>
                <w:szCs w:val="9"/>
                <w:color w:val="auto"/>
              </w:rPr>
              <w:t>Others</w:t>
            </w:r>
          </w:p>
        </w:tc>
        <w:tc>
          <w:tcPr>
            <w:tcW w:w="1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89</w:t>
            </w:r>
          </w:p>
        </w:tc>
        <w:tc>
          <w:tcPr>
            <w:tcW w:w="420" w:type="dxa"/>
            <w:vAlign w:val="bottom"/>
          </w:tcPr>
          <w:p>
            <w:pPr>
              <w:spacing w:after="0"/>
              <w:rPr>
                <w:sz w:val="8"/>
                <w:szCs w:val="8"/>
                <w:color w:val="auto"/>
              </w:rPr>
            </w:pPr>
          </w:p>
        </w:tc>
        <w:tc>
          <w:tcPr>
            <w:tcW w:w="160" w:type="dxa"/>
            <w:vAlign w:val="bottom"/>
          </w:tcPr>
          <w:p>
            <w:pPr>
              <w:jc w:val="right"/>
              <w:spacing w:after="0" w:line="99" w:lineRule="exact"/>
              <w:rPr>
                <w:sz w:val="20"/>
                <w:szCs w:val="20"/>
                <w:color w:val="auto"/>
              </w:rPr>
            </w:pPr>
            <w:r>
              <w:rPr>
                <w:rFonts w:ascii="Arial" w:cs="Arial" w:eastAsia="Arial" w:hAnsi="Arial"/>
                <w:sz w:val="9"/>
                <w:szCs w:val="9"/>
                <w:color w:val="auto"/>
              </w:rPr>
              <w:t>86</w:t>
            </w:r>
          </w:p>
        </w:tc>
        <w:tc>
          <w:tcPr>
            <w:tcW w:w="420" w:type="dxa"/>
            <w:vAlign w:val="bottom"/>
          </w:tcPr>
          <w:p>
            <w:pPr>
              <w:spacing w:after="0"/>
              <w:rPr>
                <w:sz w:val="8"/>
                <w:szCs w:val="8"/>
                <w:color w:val="auto"/>
              </w:rPr>
            </w:pPr>
          </w:p>
        </w:tc>
        <w:tc>
          <w:tcPr>
            <w:tcW w:w="22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78</w:t>
            </w:r>
          </w:p>
        </w:tc>
      </w:tr>
      <w:tr>
        <w:trPr>
          <w:trHeight w:val="99"/>
        </w:trPr>
        <w:tc>
          <w:tcPr>
            <w:tcW w:w="1010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color w:val="auto"/>
              </w:rPr>
              <w:t>Other</w:t>
            </w:r>
          </w:p>
        </w:tc>
        <w:tc>
          <w:tcPr>
            <w:tcW w:w="580" w:type="dxa"/>
            <w:vAlign w:val="bottom"/>
            <w:tcBorders>
              <w:right w:val="single" w:sz="8" w:color="CCEEFF"/>
            </w:tcBorders>
            <w:gridSpan w:val="2"/>
            <w:shd w:val="clear" w:color="auto" w:fill="CCEEFF"/>
          </w:tcPr>
          <w:p>
            <w:pPr>
              <w:jc w:val="right"/>
              <w:ind w:right="420"/>
              <w:spacing w:after="0" w:line="99" w:lineRule="exact"/>
              <w:rPr>
                <w:sz w:val="20"/>
                <w:szCs w:val="20"/>
                <w:color w:val="auto"/>
              </w:rPr>
            </w:pPr>
            <w:r>
              <w:rPr>
                <w:rFonts w:ascii="Arial" w:cs="Arial" w:eastAsia="Arial" w:hAnsi="Arial"/>
                <w:sz w:val="9"/>
                <w:szCs w:val="9"/>
                <w:b w:val="1"/>
                <w:bCs w:val="1"/>
                <w:color w:val="auto"/>
              </w:rPr>
              <w:t>–</w:t>
            </w:r>
          </w:p>
        </w:tc>
        <w:tc>
          <w:tcPr>
            <w:tcW w:w="580" w:type="dxa"/>
            <w:vAlign w:val="bottom"/>
            <w:tcBorders>
              <w:right w:val="single" w:sz="8" w:color="CCEEFF"/>
            </w:tcBorders>
            <w:gridSpan w:val="2"/>
            <w:shd w:val="clear" w:color="auto" w:fill="CCEEFF"/>
          </w:tcPr>
          <w:p>
            <w:pPr>
              <w:jc w:val="right"/>
              <w:ind w:right="420"/>
              <w:spacing w:after="0" w:line="99"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3</w:t>
            </w:r>
          </w:p>
        </w:tc>
      </w:tr>
      <w:tr>
        <w:trPr>
          <w:trHeight w:val="20"/>
        </w:trPr>
        <w:tc>
          <w:tcPr>
            <w:tcW w:w="10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7"/>
        </w:trPr>
        <w:tc>
          <w:tcPr>
            <w:tcW w:w="10100" w:type="dxa"/>
            <w:vAlign w:val="bottom"/>
          </w:tcPr>
          <w:p>
            <w:pPr>
              <w:spacing w:after="0"/>
              <w:rPr>
                <w:sz w:val="8"/>
                <w:szCs w:val="8"/>
                <w:color w:val="auto"/>
              </w:rPr>
            </w:pPr>
          </w:p>
        </w:tc>
        <w:tc>
          <w:tcPr>
            <w:tcW w:w="160" w:type="dxa"/>
            <w:vAlign w:val="bottom"/>
          </w:tcPr>
          <w:p>
            <w:pPr>
              <w:jc w:val="right"/>
              <w:spacing w:after="0"/>
              <w:rPr>
                <w:sz w:val="20"/>
                <w:szCs w:val="20"/>
                <w:color w:val="auto"/>
              </w:rPr>
            </w:pPr>
            <w:r>
              <w:rPr>
                <w:rFonts w:ascii="Arial" w:cs="Arial" w:eastAsia="Arial" w:hAnsi="Arial"/>
                <w:sz w:val="8"/>
                <w:szCs w:val="8"/>
                <w:b w:val="1"/>
                <w:bCs w:val="1"/>
                <w:u w:val="single" w:color="auto"/>
                <w:color w:val="auto"/>
                <w:w w:val="78"/>
              </w:rPr>
              <w:t>$</w:t>
            </w:r>
            <w:r>
              <w:rPr>
                <w:rFonts w:ascii="Arial" w:cs="Arial" w:eastAsia="Arial" w:hAnsi="Arial"/>
                <w:sz w:val="8"/>
                <w:szCs w:val="8"/>
                <w:b w:val="1"/>
                <w:bCs w:val="1"/>
                <w:color w:val="auto"/>
                <w:w w:val="78"/>
              </w:rPr>
              <w:t>129</w:t>
            </w:r>
          </w:p>
        </w:tc>
        <w:tc>
          <w:tcPr>
            <w:tcW w:w="420" w:type="dxa"/>
            <w:vAlign w:val="bottom"/>
          </w:tcPr>
          <w:p>
            <w:pPr>
              <w:spacing w:after="0"/>
              <w:rPr>
                <w:sz w:val="8"/>
                <w:szCs w:val="8"/>
                <w:color w:val="auto"/>
              </w:rPr>
            </w:pPr>
          </w:p>
        </w:tc>
        <w:tc>
          <w:tcPr>
            <w:tcW w:w="160" w:type="dxa"/>
            <w:vAlign w:val="bottom"/>
          </w:tcPr>
          <w:p>
            <w:pPr>
              <w:jc w:val="right"/>
              <w:spacing w:after="0"/>
              <w:rPr>
                <w:sz w:val="20"/>
                <w:szCs w:val="20"/>
                <w:color w:val="auto"/>
              </w:rPr>
            </w:pPr>
            <w:r>
              <w:rPr>
                <w:rFonts w:ascii="Arial" w:cs="Arial" w:eastAsia="Arial" w:hAnsi="Arial"/>
                <w:sz w:val="8"/>
                <w:szCs w:val="8"/>
                <w:u w:val="single" w:color="auto"/>
                <w:color w:val="auto"/>
                <w:w w:val="78"/>
              </w:rPr>
              <w:t>$</w:t>
            </w:r>
            <w:r>
              <w:rPr>
                <w:rFonts w:ascii="Arial" w:cs="Arial" w:eastAsia="Arial" w:hAnsi="Arial"/>
                <w:sz w:val="8"/>
                <w:szCs w:val="8"/>
                <w:color w:val="auto"/>
                <w:w w:val="78"/>
              </w:rPr>
              <w:t>214</w:t>
            </w:r>
          </w:p>
        </w:tc>
        <w:tc>
          <w:tcPr>
            <w:tcW w:w="420" w:type="dxa"/>
            <w:vAlign w:val="bottom"/>
          </w:tcPr>
          <w:p>
            <w:pPr>
              <w:spacing w:after="0"/>
              <w:rPr>
                <w:sz w:val="8"/>
                <w:szCs w:val="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8"/>
                <w:szCs w:val="8"/>
                <w:u w:val="single" w:color="auto"/>
                <w:color w:val="auto"/>
                <w:w w:val="78"/>
              </w:rPr>
              <w:t>$</w:t>
            </w:r>
            <w:r>
              <w:rPr>
                <w:rFonts w:ascii="Arial" w:cs="Arial" w:eastAsia="Arial" w:hAnsi="Arial"/>
                <w:sz w:val="8"/>
                <w:szCs w:val="8"/>
                <w:color w:val="auto"/>
                <w:w w:val="78"/>
              </w:rPr>
              <w:t>273</w:t>
            </w:r>
          </w:p>
        </w:tc>
      </w:tr>
      <w:tr>
        <w:trPr>
          <w:trHeight w:val="194"/>
        </w:trPr>
        <w:tc>
          <w:tcPr>
            <w:tcW w:w="10100" w:type="dxa"/>
            <w:vAlign w:val="bottom"/>
          </w:tcPr>
          <w:p>
            <w:pPr>
              <w:ind w:left="220"/>
              <w:spacing w:after="0"/>
              <w:rPr>
                <w:sz w:val="20"/>
                <w:szCs w:val="20"/>
                <w:color w:val="auto"/>
              </w:rPr>
            </w:pPr>
            <w:r>
              <w:rPr>
                <w:rFonts w:ascii="Arial" w:cs="Arial" w:eastAsia="Arial" w:hAnsi="Arial"/>
                <w:sz w:val="12"/>
                <w:szCs w:val="12"/>
                <w:i w:val="1"/>
                <w:iCs w:val="1"/>
                <w:color w:val="auto"/>
              </w:rPr>
              <w:t xml:space="preserve">Allowance for doubtful accounts </w:t>
            </w:r>
            <w:r>
              <w:rPr>
                <w:rFonts w:ascii="Arial" w:cs="Arial" w:eastAsia="Arial" w:hAnsi="Arial"/>
                <w:sz w:val="12"/>
                <w:szCs w:val="12"/>
                <w:color w:val="auto"/>
              </w:rPr>
              <w:t>is as follows:</w:t>
            </w:r>
          </w:p>
        </w:tc>
        <w:tc>
          <w:tcPr>
            <w:tcW w:w="16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44"/>
        </w:trPr>
        <w:tc>
          <w:tcPr>
            <w:tcW w:w="10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9"/>
                <w:szCs w:val="9"/>
                <w:b w:val="1"/>
                <w:bCs w:val="1"/>
                <w:color w:val="auto"/>
                <w:w w:val="89"/>
              </w:rPr>
              <w:t>(Stated in millions)</w:t>
            </w:r>
          </w:p>
        </w:tc>
      </w:tr>
      <w:tr>
        <w:trPr>
          <w:trHeight w:val="199"/>
        </w:trPr>
        <w:tc>
          <w:tcPr>
            <w:tcW w:w="10100" w:type="dxa"/>
            <w:vAlign w:val="bottom"/>
          </w:tcPr>
          <w:p>
            <w:pPr>
              <w:spacing w:after="0"/>
              <w:rPr>
                <w:sz w:val="17"/>
                <w:szCs w:val="17"/>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8"/>
                <w:szCs w:val="8"/>
                <w:b w:val="1"/>
                <w:bCs w:val="1"/>
                <w:color w:val="auto"/>
                <w:w w:val="78"/>
              </w:rPr>
              <w:t>2011</w:t>
            </w:r>
          </w:p>
        </w:tc>
        <w:tc>
          <w:tcPr>
            <w:tcW w:w="160" w:type="dxa"/>
            <w:vAlign w:val="bottom"/>
          </w:tcPr>
          <w:p>
            <w:pPr>
              <w:jc w:val="right"/>
              <w:spacing w:after="0"/>
              <w:rPr>
                <w:sz w:val="20"/>
                <w:szCs w:val="20"/>
                <w:color w:val="auto"/>
              </w:rPr>
            </w:pPr>
            <w:r>
              <w:rPr>
                <w:rFonts w:ascii="Arial" w:cs="Arial" w:eastAsia="Arial" w:hAnsi="Arial"/>
                <w:sz w:val="8"/>
                <w:szCs w:val="8"/>
                <w:b w:val="1"/>
                <w:bCs w:val="1"/>
                <w:color w:val="auto"/>
                <w:w w:val="78"/>
              </w:rPr>
              <w:t>2010</w:t>
            </w:r>
          </w:p>
        </w:tc>
        <w:tc>
          <w:tcPr>
            <w:tcW w:w="4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w w:val="78"/>
              </w:rPr>
              <w:t>2009</w:t>
            </w:r>
          </w:p>
        </w:tc>
      </w:tr>
      <w:tr>
        <w:trPr>
          <w:trHeight w:val="88"/>
        </w:trPr>
        <w:tc>
          <w:tcPr>
            <w:tcW w:w="10100" w:type="dxa"/>
            <w:vAlign w:val="bottom"/>
            <w:tcBorders>
              <w:top w:val="single" w:sz="8" w:color="CCEEFF"/>
              <w:right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Balance at beginning of year</w:t>
            </w:r>
          </w:p>
        </w:tc>
        <w:tc>
          <w:tcPr>
            <w:tcW w:w="1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8"/>
                <w:szCs w:val="8"/>
                <w:b w:val="1"/>
                <w:bCs w:val="1"/>
                <w:color w:val="auto"/>
                <w:w w:val="78"/>
              </w:rPr>
              <w:t>$185</w:t>
            </w:r>
          </w:p>
        </w:tc>
        <w:tc>
          <w:tcPr>
            <w:tcW w:w="420" w:type="dxa"/>
            <w:vAlign w:val="bottom"/>
            <w:tcBorders>
              <w:top w:val="single" w:sz="8" w:color="CCEEFF"/>
              <w:right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8"/>
                <w:szCs w:val="8"/>
                <w:color w:val="auto"/>
                <w:w w:val="78"/>
              </w:rPr>
              <w:t>$160</w:t>
            </w:r>
          </w:p>
        </w:tc>
        <w:tc>
          <w:tcPr>
            <w:tcW w:w="420" w:type="dxa"/>
            <w:vAlign w:val="bottom"/>
            <w:tcBorders>
              <w:top w:val="single" w:sz="8" w:color="CCEEFF"/>
              <w:right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8"/>
                <w:szCs w:val="8"/>
                <w:color w:val="auto"/>
                <w:w w:val="78"/>
              </w:rPr>
              <w:t>$133</w:t>
            </w:r>
          </w:p>
        </w:tc>
        <w:tc>
          <w:tcPr>
            <w:tcW w:w="60" w:type="dxa"/>
            <w:vAlign w:val="bottom"/>
            <w:tcBorders>
              <w:top w:val="single" w:sz="8" w:color="CCEEFF"/>
            </w:tcBorders>
            <w:shd w:val="clear" w:color="auto" w:fill="CCEEFF"/>
          </w:tcPr>
          <w:p>
            <w:pPr>
              <w:spacing w:after="0"/>
              <w:rPr>
                <w:sz w:val="7"/>
                <w:szCs w:val="7"/>
                <w:color w:val="auto"/>
              </w:rPr>
            </w:pPr>
          </w:p>
        </w:tc>
      </w:tr>
      <w:tr>
        <w:trPr>
          <w:trHeight w:val="99"/>
        </w:trPr>
        <w:tc>
          <w:tcPr>
            <w:tcW w:w="10100" w:type="dxa"/>
            <w:vAlign w:val="bottom"/>
          </w:tcPr>
          <w:p>
            <w:pPr>
              <w:spacing w:after="0" w:line="99" w:lineRule="exact"/>
              <w:rPr>
                <w:sz w:val="20"/>
                <w:szCs w:val="20"/>
                <w:color w:val="auto"/>
              </w:rPr>
            </w:pPr>
            <w:r>
              <w:rPr>
                <w:rFonts w:ascii="Arial" w:cs="Arial" w:eastAsia="Arial" w:hAnsi="Arial"/>
                <w:sz w:val="9"/>
                <w:szCs w:val="9"/>
                <w:color w:val="auto"/>
              </w:rPr>
              <w:t>Provision</w:t>
            </w:r>
          </w:p>
        </w:tc>
        <w:tc>
          <w:tcPr>
            <w:tcW w:w="1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37</w:t>
            </w:r>
          </w:p>
        </w:tc>
        <w:tc>
          <w:tcPr>
            <w:tcW w:w="420" w:type="dxa"/>
            <w:vAlign w:val="bottom"/>
          </w:tcPr>
          <w:p>
            <w:pPr>
              <w:spacing w:after="0"/>
              <w:rPr>
                <w:sz w:val="8"/>
                <w:szCs w:val="8"/>
                <w:color w:val="auto"/>
              </w:rPr>
            </w:pPr>
          </w:p>
        </w:tc>
        <w:tc>
          <w:tcPr>
            <w:tcW w:w="160" w:type="dxa"/>
            <w:vAlign w:val="bottom"/>
          </w:tcPr>
          <w:p>
            <w:pPr>
              <w:jc w:val="right"/>
              <w:spacing w:after="0" w:line="99" w:lineRule="exact"/>
              <w:rPr>
                <w:sz w:val="20"/>
                <w:szCs w:val="20"/>
                <w:color w:val="auto"/>
              </w:rPr>
            </w:pPr>
            <w:r>
              <w:rPr>
                <w:rFonts w:ascii="Arial" w:cs="Arial" w:eastAsia="Arial" w:hAnsi="Arial"/>
                <w:sz w:val="9"/>
                <w:szCs w:val="9"/>
                <w:color w:val="auto"/>
              </w:rPr>
              <w:t>38</w:t>
            </w:r>
          </w:p>
        </w:tc>
        <w:tc>
          <w:tcPr>
            <w:tcW w:w="420" w:type="dxa"/>
            <w:vAlign w:val="bottom"/>
          </w:tcPr>
          <w:p>
            <w:pPr>
              <w:spacing w:after="0"/>
              <w:rPr>
                <w:sz w:val="8"/>
                <w:szCs w:val="8"/>
                <w:color w:val="auto"/>
              </w:rPr>
            </w:pPr>
          </w:p>
        </w:tc>
        <w:tc>
          <w:tcPr>
            <w:tcW w:w="22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54</w:t>
            </w:r>
          </w:p>
        </w:tc>
      </w:tr>
      <w:tr>
        <w:trPr>
          <w:trHeight w:val="99"/>
        </w:trPr>
        <w:tc>
          <w:tcPr>
            <w:tcW w:w="1010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color w:val="auto"/>
              </w:rPr>
              <w:t>Amounts written off</w:t>
            </w:r>
          </w:p>
        </w:tc>
        <w:tc>
          <w:tcPr>
            <w:tcW w:w="580" w:type="dxa"/>
            <w:vAlign w:val="bottom"/>
            <w:tcBorders>
              <w:right w:val="single" w:sz="8" w:color="CCEEFF"/>
            </w:tcBorders>
            <w:gridSpan w:val="2"/>
            <w:shd w:val="clear" w:color="auto" w:fill="CCEEFF"/>
          </w:tcPr>
          <w:p>
            <w:pPr>
              <w:jc w:val="right"/>
              <w:ind w:right="380"/>
              <w:spacing w:after="0" w:line="99" w:lineRule="exact"/>
              <w:rPr>
                <w:sz w:val="20"/>
                <w:szCs w:val="20"/>
                <w:color w:val="auto"/>
              </w:rPr>
            </w:pPr>
            <w:r>
              <w:rPr>
                <w:rFonts w:ascii="Arial" w:cs="Arial" w:eastAsia="Arial" w:hAnsi="Arial"/>
                <w:sz w:val="9"/>
                <w:szCs w:val="9"/>
                <w:b w:val="1"/>
                <w:bCs w:val="1"/>
                <w:color w:val="auto"/>
              </w:rPr>
              <w:t>(45)</w:t>
            </w:r>
          </w:p>
        </w:tc>
        <w:tc>
          <w:tcPr>
            <w:tcW w:w="580" w:type="dxa"/>
            <w:vAlign w:val="bottom"/>
            <w:tcBorders>
              <w:right w:val="single" w:sz="8" w:color="CCEEFF"/>
            </w:tcBorders>
            <w:gridSpan w:val="2"/>
            <w:shd w:val="clear" w:color="auto" w:fill="CCEEFF"/>
          </w:tcPr>
          <w:p>
            <w:pPr>
              <w:jc w:val="right"/>
              <w:ind w:right="380"/>
              <w:spacing w:after="0" w:line="99" w:lineRule="exact"/>
              <w:rPr>
                <w:sz w:val="20"/>
                <w:szCs w:val="20"/>
                <w:color w:val="auto"/>
              </w:rPr>
            </w:pPr>
            <w:r>
              <w:rPr>
                <w:rFonts w:ascii="Arial" w:cs="Arial" w:eastAsia="Arial" w:hAnsi="Arial"/>
                <w:sz w:val="9"/>
                <w:szCs w:val="9"/>
                <w:color w:val="auto"/>
              </w:rPr>
              <w:t>(13)</w:t>
            </w:r>
          </w:p>
        </w:tc>
        <w:tc>
          <w:tcPr>
            <w:tcW w:w="22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color w:val="auto"/>
              </w:rPr>
              <w:t>(27)</w:t>
            </w:r>
          </w:p>
        </w:tc>
      </w:tr>
      <w:tr>
        <w:trPr>
          <w:trHeight w:val="20"/>
        </w:trPr>
        <w:tc>
          <w:tcPr>
            <w:tcW w:w="10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7"/>
        </w:trPr>
        <w:tc>
          <w:tcPr>
            <w:tcW w:w="10100" w:type="dxa"/>
            <w:vAlign w:val="bottom"/>
          </w:tcPr>
          <w:p>
            <w:pPr>
              <w:spacing w:after="0" w:line="98" w:lineRule="exact"/>
              <w:rPr>
                <w:sz w:val="20"/>
                <w:szCs w:val="20"/>
                <w:color w:val="auto"/>
              </w:rPr>
            </w:pPr>
            <w:r>
              <w:rPr>
                <w:rFonts w:ascii="Arial" w:cs="Arial" w:eastAsia="Arial" w:hAnsi="Arial"/>
                <w:sz w:val="9"/>
                <w:szCs w:val="9"/>
                <w:color w:val="auto"/>
              </w:rPr>
              <w:t>Balance at end of year</w:t>
            </w:r>
          </w:p>
        </w:tc>
        <w:tc>
          <w:tcPr>
            <w:tcW w:w="160" w:type="dxa"/>
            <w:vAlign w:val="bottom"/>
          </w:tcPr>
          <w:p>
            <w:pPr>
              <w:jc w:val="right"/>
              <w:spacing w:after="0"/>
              <w:rPr>
                <w:sz w:val="20"/>
                <w:szCs w:val="20"/>
                <w:color w:val="auto"/>
              </w:rPr>
            </w:pPr>
            <w:r>
              <w:rPr>
                <w:rFonts w:ascii="Arial" w:cs="Arial" w:eastAsia="Arial" w:hAnsi="Arial"/>
                <w:sz w:val="8"/>
                <w:szCs w:val="8"/>
                <w:b w:val="1"/>
                <w:bCs w:val="1"/>
                <w:u w:val="single" w:color="auto"/>
                <w:color w:val="auto"/>
                <w:w w:val="78"/>
              </w:rPr>
              <w:t>$</w:t>
            </w:r>
            <w:r>
              <w:rPr>
                <w:rFonts w:ascii="Arial" w:cs="Arial" w:eastAsia="Arial" w:hAnsi="Arial"/>
                <w:sz w:val="8"/>
                <w:szCs w:val="8"/>
                <w:b w:val="1"/>
                <w:bCs w:val="1"/>
                <w:color w:val="auto"/>
                <w:w w:val="78"/>
              </w:rPr>
              <w:t>177</w:t>
            </w:r>
          </w:p>
        </w:tc>
        <w:tc>
          <w:tcPr>
            <w:tcW w:w="420" w:type="dxa"/>
            <w:vAlign w:val="bottom"/>
          </w:tcPr>
          <w:p>
            <w:pPr>
              <w:spacing w:after="0"/>
              <w:rPr>
                <w:sz w:val="8"/>
                <w:szCs w:val="8"/>
                <w:color w:val="auto"/>
              </w:rPr>
            </w:pPr>
          </w:p>
        </w:tc>
        <w:tc>
          <w:tcPr>
            <w:tcW w:w="160" w:type="dxa"/>
            <w:vAlign w:val="bottom"/>
          </w:tcPr>
          <w:p>
            <w:pPr>
              <w:jc w:val="right"/>
              <w:spacing w:after="0"/>
              <w:rPr>
                <w:sz w:val="20"/>
                <w:szCs w:val="20"/>
                <w:color w:val="auto"/>
              </w:rPr>
            </w:pPr>
            <w:r>
              <w:rPr>
                <w:rFonts w:ascii="Arial" w:cs="Arial" w:eastAsia="Arial" w:hAnsi="Arial"/>
                <w:sz w:val="8"/>
                <w:szCs w:val="8"/>
                <w:u w:val="single" w:color="auto"/>
                <w:color w:val="auto"/>
                <w:w w:val="78"/>
              </w:rPr>
              <w:t>$</w:t>
            </w:r>
            <w:r>
              <w:rPr>
                <w:rFonts w:ascii="Arial" w:cs="Arial" w:eastAsia="Arial" w:hAnsi="Arial"/>
                <w:sz w:val="8"/>
                <w:szCs w:val="8"/>
                <w:color w:val="auto"/>
                <w:w w:val="78"/>
              </w:rPr>
              <w:t>185</w:t>
            </w:r>
          </w:p>
        </w:tc>
        <w:tc>
          <w:tcPr>
            <w:tcW w:w="420" w:type="dxa"/>
            <w:vAlign w:val="bottom"/>
          </w:tcPr>
          <w:p>
            <w:pPr>
              <w:spacing w:after="0"/>
              <w:rPr>
                <w:sz w:val="8"/>
                <w:szCs w:val="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8"/>
                <w:szCs w:val="8"/>
                <w:u w:val="single" w:color="auto"/>
                <w:color w:val="auto"/>
                <w:w w:val="78"/>
              </w:rPr>
              <w:t>$</w:t>
            </w:r>
            <w:r>
              <w:rPr>
                <w:rFonts w:ascii="Arial" w:cs="Arial" w:eastAsia="Arial" w:hAnsi="Arial"/>
                <w:sz w:val="8"/>
                <w:szCs w:val="8"/>
                <w:color w:val="auto"/>
                <w:w w:val="78"/>
              </w:rPr>
              <w:t>160</w:t>
            </w:r>
          </w:p>
        </w:tc>
      </w:tr>
      <w:tr>
        <w:trPr>
          <w:trHeight w:val="20"/>
        </w:trPr>
        <w:tc>
          <w:tcPr>
            <w:tcW w:w="10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Discontinued Operations</w:t>
      </w:r>
    </w:p>
    <w:p>
      <w:pPr>
        <w:spacing w:after="0" w:line="60" w:lineRule="exact"/>
        <w:rPr>
          <w:sz w:val="20"/>
          <w:szCs w:val="20"/>
          <w:color w:val="auto"/>
        </w:rPr>
      </w:pPr>
    </w:p>
    <w:p>
      <w:pPr>
        <w:ind w:right="200" w:firstLine="230"/>
        <w:spacing w:after="0" w:line="253" w:lineRule="auto"/>
        <w:rPr>
          <w:sz w:val="20"/>
          <w:szCs w:val="20"/>
          <w:color w:val="auto"/>
        </w:rPr>
      </w:pPr>
      <w:r>
        <w:rPr>
          <w:rFonts w:ascii="Arial" w:cs="Arial" w:eastAsia="Arial" w:hAnsi="Arial"/>
          <w:sz w:val="12"/>
          <w:szCs w:val="12"/>
          <w:color w:val="auto"/>
        </w:rPr>
        <w:t xml:space="preserve">During the second quarter of 2011, Schlumberger completed the divestiture of its Global Connectivity Services business for approximately $385 million in cash. An after-tax gain of $220 million was recognized in connection with this transaction, and is classified in </w:t>
      </w:r>
      <w:r>
        <w:rPr>
          <w:rFonts w:ascii="Arial" w:cs="Arial" w:eastAsia="Arial" w:hAnsi="Arial"/>
          <w:sz w:val="12"/>
          <w:szCs w:val="12"/>
          <w:i w:val="1"/>
          <w:iCs w:val="1"/>
          <w:color w:val="auto"/>
        </w:rPr>
        <w:t>Income (loss) from discontinued operations</w:t>
      </w:r>
      <w:r>
        <w:rPr>
          <w:rFonts w:ascii="Arial" w:cs="Arial" w:eastAsia="Arial" w:hAnsi="Arial"/>
          <w:sz w:val="12"/>
          <w:szCs w:val="12"/>
          <w:color w:val="auto"/>
        </w:rPr>
        <w:t xml:space="preserve"> in the </w:t>
      </w:r>
      <w:r>
        <w:rPr>
          <w:rFonts w:ascii="Arial" w:cs="Arial" w:eastAsia="Arial" w:hAnsi="Arial"/>
          <w:sz w:val="12"/>
          <w:szCs w:val="12"/>
          <w:i w:val="1"/>
          <w:iCs w:val="1"/>
          <w:color w:val="auto"/>
        </w:rPr>
        <w:t>Consolidated Statement of Income</w:t>
      </w:r>
      <w:r>
        <w:rPr>
          <w:rFonts w:ascii="Arial" w:cs="Arial" w:eastAsia="Arial" w:hAnsi="Arial"/>
          <w:sz w:val="12"/>
          <w:szCs w:val="12"/>
          <w:color w:val="auto"/>
        </w:rPr>
        <w:t>. The historical results of this business were not significant to Schlumberger’s consolidated financial statements and, as such, have not been reclassified to discontinued operations.</w:t>
      </w:r>
    </w:p>
    <w:p>
      <w:pPr>
        <w:ind w:right="660" w:firstLine="230"/>
        <w:spacing w:after="0" w:line="306" w:lineRule="auto"/>
        <w:rPr>
          <w:sz w:val="20"/>
          <w:szCs w:val="20"/>
          <w:color w:val="auto"/>
        </w:rPr>
      </w:pPr>
      <w:r>
        <w:rPr>
          <w:rFonts w:ascii="Arial" w:cs="Arial" w:eastAsia="Arial" w:hAnsi="Arial"/>
          <w:sz w:val="11"/>
          <w:szCs w:val="11"/>
          <w:color w:val="auto"/>
        </w:rPr>
        <w:t xml:space="preserve">During the fourth quarter of 2009, Schlumberger recorded a net $22 million charge related to the resolution of a customs assessment pertaining to its former offshore contract drilling business, as well as the resolution of certain contingencies associated with other previously disposed of businesses. This amount is included in </w:t>
      </w:r>
      <w:r>
        <w:rPr>
          <w:rFonts w:ascii="Arial" w:cs="Arial" w:eastAsia="Arial" w:hAnsi="Arial"/>
          <w:sz w:val="11"/>
          <w:szCs w:val="11"/>
          <w:i w:val="1"/>
          <w:iCs w:val="1"/>
          <w:color w:val="auto"/>
        </w:rPr>
        <w:t>Income (loss) from discontinued operations</w:t>
      </w:r>
      <w:r>
        <w:rPr>
          <w:rFonts w:ascii="Arial" w:cs="Arial" w:eastAsia="Arial" w:hAnsi="Arial"/>
          <w:sz w:val="11"/>
          <w:szCs w:val="11"/>
          <w:color w:val="auto"/>
        </w:rPr>
        <w:t xml:space="preserve"> in the </w:t>
      </w:r>
      <w:r>
        <w:rPr>
          <w:rFonts w:ascii="Arial" w:cs="Arial" w:eastAsia="Arial" w:hAnsi="Arial"/>
          <w:sz w:val="11"/>
          <w:szCs w:val="11"/>
          <w:i w:val="1"/>
          <w:iCs w:val="1"/>
          <w:color w:val="auto"/>
        </w:rPr>
        <w:t>Consolidated Statement of Income</w:t>
      </w:r>
      <w:r>
        <w:rPr>
          <w:rFonts w:ascii="Arial" w:cs="Arial" w:eastAsia="Arial" w:hAnsi="Arial"/>
          <w:sz w:val="11"/>
          <w:szCs w:val="11"/>
          <w:color w:val="auto"/>
        </w:rPr>
        <w:t>.</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9"/>
          <w:szCs w:val="9"/>
          <w:color w:val="auto"/>
        </w:rPr>
        <w:t>70</w:t>
      </w:r>
    </w:p>
    <w:p>
      <w:pPr>
        <w:sectPr>
          <w:pgSz w:w="11900" w:h="16838" w:orient="portrait"/>
          <w:cols w:equalWidth="0" w:num="1">
            <w:col w:w="11480"/>
          </w:cols>
          <w:pgMar w:left="220" w:top="354" w:right="199"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62" w:lineRule="exact"/>
        <w:rPr>
          <w:sz w:val="20"/>
          <w:szCs w:val="20"/>
          <w:color w:val="auto"/>
        </w:rPr>
      </w:pPr>
    </w:p>
    <w:p>
      <w:pPr>
        <w:ind w:firstLine="230"/>
        <w:spacing w:after="0" w:line="253" w:lineRule="auto"/>
        <w:rPr>
          <w:sz w:val="20"/>
          <w:szCs w:val="20"/>
          <w:color w:val="auto"/>
        </w:rPr>
      </w:pPr>
      <w:r>
        <w:rPr>
          <w:rFonts w:ascii="Arial" w:cs="Arial" w:eastAsia="Arial" w:hAnsi="Arial"/>
          <w:sz w:val="12"/>
          <w:szCs w:val="12"/>
          <w:color w:val="auto"/>
        </w:rPr>
        <w:t>Schlumberger management is responsible for establishing and maintaining adequate internal control over financial reporting as defined in Rule 13a–15(f) of the Securities Exchange Act of 1934, as amended. Schlumberger’s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ind w:right="260" w:firstLine="230"/>
        <w:spacing w:after="0" w:line="25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right="80" w:firstLine="230"/>
        <w:spacing w:after="0" w:line="250" w:lineRule="auto"/>
        <w:rPr>
          <w:sz w:val="20"/>
          <w:szCs w:val="20"/>
          <w:color w:val="auto"/>
        </w:rPr>
      </w:pPr>
      <w:r>
        <w:rPr>
          <w:rFonts w:ascii="Arial" w:cs="Arial" w:eastAsia="Arial" w:hAnsi="Arial"/>
          <w:sz w:val="12"/>
          <w:szCs w:val="12"/>
          <w:color w:val="auto"/>
        </w:rPr>
        <w:t>Schlumberger management assessed the effectiveness of its internal control over financial reporting as of December 31, 2011. In making this assessment, it used the criteria set forth by the Committee of Sponsoring Organizations of the Treadway Commission (COSO) in Internal Control—Integrated Framework. Based on this assessment Schlumberger’s management has concluded that, as of December 31, 2011, its internal control over financial reporting is effective based on those criteria.</w:t>
      </w:r>
    </w:p>
    <w:p>
      <w:pPr>
        <w:spacing w:after="0" w:line="1" w:lineRule="exact"/>
        <w:rPr>
          <w:sz w:val="20"/>
          <w:szCs w:val="20"/>
          <w:color w:val="auto"/>
        </w:rPr>
      </w:pPr>
    </w:p>
    <w:p>
      <w:pPr>
        <w:ind w:right="220" w:firstLine="230"/>
        <w:spacing w:after="0" w:line="261" w:lineRule="auto"/>
        <w:rPr>
          <w:sz w:val="20"/>
          <w:szCs w:val="20"/>
          <w:color w:val="auto"/>
        </w:rPr>
      </w:pPr>
      <w:r>
        <w:rPr>
          <w:rFonts w:ascii="Arial" w:cs="Arial" w:eastAsia="Arial" w:hAnsi="Arial"/>
          <w:sz w:val="12"/>
          <w:szCs w:val="12"/>
          <w:color w:val="auto"/>
        </w:rPr>
        <w:t>The effectiveness of Schlumberger’s internal control over financial reporting as of December 31, 2011, has been audited by PricewaterhouseCoopers LLP, an independent registered public accounting firm, as stated in their report which appears herein.</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9"/>
          <w:szCs w:val="9"/>
          <w:color w:val="auto"/>
        </w:rPr>
        <w:t>71</w:t>
      </w:r>
    </w:p>
    <w:p>
      <w:pPr>
        <w:sectPr>
          <w:pgSz w:w="11900" w:h="16838" w:orient="portrait"/>
          <w:cols w:equalWidth="0" w:num="1">
            <w:col w:w="11440"/>
          </w:cols>
          <w:pgMar w:left="220" w:top="354" w:right="239"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of Schlumberger Limited</w:t>
      </w:r>
    </w:p>
    <w:p>
      <w:pPr>
        <w:spacing w:after="0" w:line="56" w:lineRule="exact"/>
        <w:rPr>
          <w:sz w:val="20"/>
          <w:szCs w:val="20"/>
          <w:color w:val="auto"/>
        </w:rPr>
      </w:pPr>
    </w:p>
    <w:p>
      <w:pPr>
        <w:ind w:firstLine="230"/>
        <w:spacing w:after="0" w:line="274" w:lineRule="auto"/>
        <w:rPr>
          <w:sz w:val="20"/>
          <w:szCs w:val="20"/>
          <w:color w:val="auto"/>
        </w:rPr>
      </w:pPr>
      <w:r>
        <w:rPr>
          <w:rFonts w:ascii="Arial" w:cs="Arial" w:eastAsia="Arial" w:hAnsi="Arial"/>
          <w:sz w:val="11"/>
          <w:szCs w:val="11"/>
          <w:color w:val="auto"/>
        </w:rPr>
        <w:t xml:space="preserve">In our opinion, the accompanying consolidated balance sheets and the related consolidated statements of income, of comprehensive income, of stockholders’ equity and of cash flows present fairly, in all material respects, the financial position of Schlumberger Limited and its subsidiaries at December 31, 2011 and 2010, and the results of their operations and their cash flows for each of the three years in the period ended December 31, 2011 in conformity with accounting principles generally accepted in the United States of America. Also in our opinion, the Company maintained, in all material respects, effective internal control over financial reporting as of December 31, 2011, based on criteria established in </w:t>
      </w:r>
      <w:r>
        <w:rPr>
          <w:rFonts w:ascii="Arial" w:cs="Arial" w:eastAsia="Arial" w:hAnsi="Arial"/>
          <w:sz w:val="11"/>
          <w:szCs w:val="11"/>
          <w:i w:val="1"/>
          <w:iCs w:val="1"/>
          <w:color w:val="auto"/>
        </w:rPr>
        <w:t xml:space="preserve">Internal Control – Integrated Framework </w:t>
      </w:r>
      <w:r>
        <w:rPr>
          <w:rFonts w:ascii="Arial" w:cs="Arial" w:eastAsia="Arial" w:hAnsi="Arial"/>
          <w:sz w:val="11"/>
          <w:szCs w:val="11"/>
          <w:color w:val="auto"/>
        </w:rPr>
        <w:t>issued by the Committee of Sponsoring Organizations of the Treadway Commission (COSO). The Company’s management is responsible for these financial statements, for maintaining effective internal</w:t>
      </w:r>
      <w:r>
        <w:rPr>
          <w:rFonts w:ascii="Arial" w:cs="Arial" w:eastAsia="Arial" w:hAnsi="Arial"/>
          <w:sz w:val="11"/>
          <w:szCs w:val="11"/>
          <w:i w:val="1"/>
          <w:iCs w:val="1"/>
          <w:color w:val="auto"/>
        </w:rPr>
        <w:t xml:space="preserve"> </w:t>
      </w:r>
      <w:r>
        <w:rPr>
          <w:rFonts w:ascii="Arial" w:cs="Arial" w:eastAsia="Arial" w:hAnsi="Arial"/>
          <w:sz w:val="11"/>
          <w:szCs w:val="11"/>
          <w:color w:val="auto"/>
        </w:rPr>
        <w:t>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 w:lineRule="exact"/>
        <w:rPr>
          <w:sz w:val="20"/>
          <w:szCs w:val="20"/>
          <w:color w:val="auto"/>
        </w:rPr>
      </w:pPr>
    </w:p>
    <w:p>
      <w:pPr>
        <w:ind w:right="60" w:firstLine="230"/>
        <w:spacing w:after="0" w:line="273"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 w:lineRule="exact"/>
        <w:rPr>
          <w:sz w:val="20"/>
          <w:szCs w:val="20"/>
          <w:color w:val="auto"/>
        </w:rPr>
      </w:pPr>
    </w:p>
    <w:p>
      <w:pPr>
        <w:ind w:right="260" w:firstLine="230"/>
        <w:spacing w:after="0" w:line="261"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spacing w:after="0"/>
        <w:tabs>
          <w:tab w:leader="none" w:pos="200" w:val="left"/>
        </w:tabs>
        <w:rPr>
          <w:sz w:val="20"/>
          <w:szCs w:val="20"/>
          <w:color w:val="auto"/>
        </w:rPr>
      </w:pPr>
      <w:r>
        <w:rPr>
          <w:rFonts w:ascii="Arial" w:cs="Arial" w:eastAsia="Arial" w:hAnsi="Arial"/>
          <w:sz w:val="12"/>
          <w:szCs w:val="12"/>
          <w:u w:val="single" w:color="auto"/>
          <w:color w:val="auto"/>
        </w:rPr>
        <w:t>/s/</w:t>
      </w:r>
      <w:r>
        <w:rPr>
          <w:sz w:val="20"/>
          <w:szCs w:val="20"/>
          <w:color w:val="auto"/>
        </w:rPr>
        <w:tab/>
      </w:r>
      <w:r>
        <w:rPr>
          <w:rFonts w:ascii="Arial" w:cs="Arial" w:eastAsia="Arial" w:hAnsi="Arial"/>
          <w:sz w:val="9"/>
          <w:szCs w:val="9"/>
          <w:u w:val="single" w:color="auto"/>
          <w:color w:val="auto"/>
        </w:rPr>
        <w:t>PricewaterhouseCoopers LLP</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PricewaterhouseCoopers LLP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Houston, Texas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1, 2012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72</w:t>
      </w:r>
    </w:p>
    <w:p>
      <w:pPr>
        <w:sectPr>
          <w:pgSz w:w="11900" w:h="16838" w:orient="portrait"/>
          <w:cols w:equalWidth="0" w:num="1">
            <w:col w:w="11440"/>
          </w:cols>
          <w:pgMar w:left="220" w:top="354" w:right="239" w:bottom="1440" w:gutter="0" w:footer="0" w:header="0"/>
        </w:sectPr>
      </w:pPr>
    </w:p>
    <w:bookmarkStart w:id="72" w:name="page73"/>
    <w:bookmarkEnd w:id="72"/>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u w:val="single" w:color="auto"/>
          <w:color w:val="auto"/>
        </w:rPr>
        <w:t>Quarterly Results</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2"/>
          <w:szCs w:val="12"/>
          <w:color w:val="auto"/>
        </w:rPr>
        <w:t>(Unaudited)</w:t>
      </w:r>
    </w:p>
    <w:p>
      <w:pPr>
        <w:spacing w:after="0" w:line="56" w:lineRule="exact"/>
        <w:rPr>
          <w:sz w:val="20"/>
          <w:szCs w:val="20"/>
          <w:color w:val="auto"/>
        </w:rPr>
      </w:pPr>
    </w:p>
    <w:p>
      <w:pPr>
        <w:ind w:left="228"/>
        <w:spacing w:after="0"/>
        <w:rPr>
          <w:sz w:val="20"/>
          <w:szCs w:val="20"/>
          <w:color w:val="auto"/>
        </w:rPr>
      </w:pPr>
      <w:r>
        <w:rPr>
          <w:rFonts w:ascii="Arial" w:cs="Arial" w:eastAsia="Arial" w:hAnsi="Arial"/>
          <w:sz w:val="12"/>
          <w:szCs w:val="12"/>
          <w:color w:val="auto"/>
        </w:rPr>
        <w:t>The following table summarizes Schlumberger’s results by quarter for the years ended December 31, 2011 and 2010.</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00" w:type="dxa"/>
            <w:vAlign w:val="bottom"/>
            <w:gridSpan w:val="7"/>
          </w:tcPr>
          <w:p>
            <w:pPr>
              <w:jc w:val="right"/>
              <w:ind w:right="40"/>
              <w:spacing w:after="0"/>
              <w:rPr>
                <w:sz w:val="20"/>
                <w:szCs w:val="20"/>
                <w:color w:val="auto"/>
              </w:rPr>
            </w:pPr>
            <w:r>
              <w:rPr>
                <w:rFonts w:ascii="Arial" w:cs="Arial" w:eastAsia="Arial" w:hAnsi="Arial"/>
                <w:sz w:val="9"/>
                <w:szCs w:val="9"/>
                <w:b w:val="1"/>
                <w:bCs w:val="1"/>
                <w:color w:val="auto"/>
              </w:rPr>
              <w:t>(Stated in millions except per share amounts)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center"/>
              <w:ind w:right="6"/>
              <w:spacing w:after="0"/>
              <w:rPr>
                <w:sz w:val="20"/>
                <w:szCs w:val="20"/>
                <w:color w:val="auto"/>
              </w:rPr>
            </w:pPr>
            <w:r>
              <w:rPr>
                <w:rFonts w:ascii="Arial" w:cs="Arial" w:eastAsia="Arial" w:hAnsi="Arial"/>
                <w:sz w:val="9"/>
                <w:szCs w:val="9"/>
                <w:b w:val="1"/>
                <w:bCs w:val="1"/>
                <w:color w:val="auto"/>
                <w:w w:val="90"/>
              </w:rPr>
              <w:t>Earnings per</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2"/>
          </w:tcPr>
          <w:p>
            <w:pPr>
              <w:jc w:val="center"/>
              <w:ind w:right="580"/>
              <w:spacing w:after="0" w:line="91" w:lineRule="exact"/>
              <w:rPr>
                <w:sz w:val="20"/>
                <w:szCs w:val="20"/>
                <w:color w:val="auto"/>
              </w:rPr>
            </w:pPr>
            <w:r>
              <w:rPr>
                <w:rFonts w:ascii="Arial" w:cs="Arial" w:eastAsia="Arial" w:hAnsi="Arial"/>
                <w:sz w:val="9"/>
                <w:szCs w:val="9"/>
                <w:b w:val="1"/>
                <w:bCs w:val="1"/>
                <w:color w:val="auto"/>
                <w:w w:val="90"/>
              </w:rPr>
              <w:t>Net Income</w:t>
            </w:r>
          </w:p>
        </w:tc>
        <w:tc>
          <w:tcPr>
            <w:tcW w:w="220" w:type="dxa"/>
            <w:vAlign w:val="bottom"/>
          </w:tcPr>
          <w:p>
            <w:pPr>
              <w:spacing w:after="0"/>
              <w:rPr>
                <w:sz w:val="7"/>
                <w:szCs w:val="7"/>
                <w:color w:val="auto"/>
              </w:rPr>
            </w:pPr>
          </w:p>
        </w:tc>
        <w:tc>
          <w:tcPr>
            <w:tcW w:w="620" w:type="dxa"/>
            <w:vAlign w:val="bottom"/>
            <w:gridSpan w:val="2"/>
          </w:tcPr>
          <w:p>
            <w:pPr>
              <w:jc w:val="center"/>
              <w:spacing w:after="0" w:line="91" w:lineRule="exact"/>
              <w:rPr>
                <w:sz w:val="20"/>
                <w:szCs w:val="20"/>
                <w:color w:val="auto"/>
              </w:rPr>
            </w:pPr>
            <w:r>
              <w:rPr>
                <w:rFonts w:ascii="Arial" w:cs="Arial" w:eastAsia="Arial" w:hAnsi="Arial"/>
                <w:sz w:val="9"/>
                <w:szCs w:val="9"/>
                <w:b w:val="1"/>
                <w:bCs w:val="1"/>
                <w:color w:val="auto"/>
                <w:w w:val="91"/>
              </w:rPr>
              <w:t>share of</w:t>
            </w: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ind w:right="35"/>
              <w:spacing w:after="0"/>
              <w:rPr>
                <w:sz w:val="20"/>
                <w:szCs w:val="20"/>
                <w:color w:val="auto"/>
              </w:rPr>
            </w:pPr>
            <w:r>
              <w:rPr>
                <w:rFonts w:ascii="Arial" w:cs="Arial" w:eastAsia="Arial" w:hAnsi="Arial"/>
                <w:sz w:val="9"/>
                <w:szCs w:val="9"/>
                <w:b w:val="1"/>
                <w:bCs w:val="1"/>
                <w:color w:val="auto"/>
                <w:w w:val="84"/>
              </w:rPr>
              <w:t>Gross</w:t>
            </w:r>
          </w:p>
        </w:tc>
        <w:tc>
          <w:tcPr>
            <w:tcW w:w="520" w:type="dxa"/>
            <w:vAlign w:val="bottom"/>
          </w:tcPr>
          <w:p>
            <w:pPr>
              <w:spacing w:after="0"/>
              <w:rPr>
                <w:sz w:val="9"/>
                <w:szCs w:val="9"/>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9"/>
                <w:szCs w:val="9"/>
                <w:b w:val="1"/>
                <w:bCs w:val="1"/>
                <w:color w:val="auto"/>
                <w:w w:val="93"/>
              </w:rPr>
              <w:t>attributable to</w:t>
            </w: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2"/>
          </w:tcPr>
          <w:p>
            <w:pPr>
              <w:jc w:val="center"/>
              <w:spacing w:after="0" w:line="106" w:lineRule="exact"/>
              <w:rPr>
                <w:sz w:val="20"/>
                <w:szCs w:val="20"/>
                <w:color w:val="auto"/>
              </w:rPr>
            </w:pPr>
            <w:r>
              <w:rPr>
                <w:rFonts w:ascii="Arial" w:cs="Arial" w:eastAsia="Arial" w:hAnsi="Arial"/>
                <w:sz w:val="8"/>
                <w:szCs w:val="8"/>
                <w:b w:val="1"/>
                <w:bCs w:val="1"/>
                <w:color w:val="auto"/>
                <w:w w:val="99"/>
              </w:rPr>
              <w:t xml:space="preserve">Schlumberger </w:t>
            </w:r>
            <w:r>
              <w:rPr>
                <w:rFonts w:ascii="Arial" w:cs="Arial" w:eastAsia="Arial" w:hAnsi="Arial"/>
                <w:sz w:val="12"/>
                <w:szCs w:val="12"/>
                <w:b w:val="1"/>
                <w:bCs w:val="1"/>
                <w:color w:val="auto"/>
                <w:w w:val="99"/>
                <w:vertAlign w:val="superscript"/>
              </w:rPr>
              <w:t>2</w:t>
            </w: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0" w:type="dxa"/>
            <w:vAlign w:val="bottom"/>
          </w:tcPr>
          <w:p>
            <w:pPr>
              <w:spacing w:after="0"/>
              <w:rPr>
                <w:sz w:val="8"/>
                <w:szCs w:val="8"/>
                <w:color w:val="auto"/>
              </w:rPr>
            </w:pPr>
          </w:p>
        </w:tc>
        <w:tc>
          <w:tcPr>
            <w:tcW w:w="84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Revenue</w:t>
            </w:r>
          </w:p>
        </w:tc>
        <w:tc>
          <w:tcPr>
            <w:tcW w:w="400" w:type="dxa"/>
            <w:vAlign w:val="bottom"/>
            <w:gridSpan w:val="2"/>
          </w:tcPr>
          <w:p>
            <w:pPr>
              <w:spacing w:after="0" w:line="99" w:lineRule="exact"/>
              <w:rPr>
                <w:sz w:val="20"/>
                <w:szCs w:val="20"/>
                <w:color w:val="auto"/>
              </w:rPr>
            </w:pPr>
            <w:r>
              <w:rPr>
                <w:rFonts w:ascii="Arial" w:cs="Arial" w:eastAsia="Arial" w:hAnsi="Arial"/>
                <w:sz w:val="7"/>
                <w:szCs w:val="7"/>
                <w:b w:val="1"/>
                <w:bCs w:val="1"/>
                <w:color w:val="auto"/>
              </w:rPr>
              <w:t>Margin</w:t>
            </w:r>
            <w:r>
              <w:rPr>
                <w:rFonts w:ascii="Arial" w:cs="Arial" w:eastAsia="Arial" w:hAnsi="Arial"/>
                <w:sz w:val="11"/>
                <w:szCs w:val="11"/>
                <w:b w:val="1"/>
                <w:bCs w:val="1"/>
                <w:color w:val="auto"/>
                <w:vertAlign w:val="superscript"/>
              </w:rPr>
              <w:t>1, 2</w:t>
            </w:r>
          </w:p>
        </w:tc>
        <w:tc>
          <w:tcPr>
            <w:tcW w:w="520" w:type="dxa"/>
            <w:vAlign w:val="bottom"/>
          </w:tcPr>
          <w:p>
            <w:pPr>
              <w:spacing w:after="0"/>
              <w:rPr>
                <w:sz w:val="8"/>
                <w:szCs w:val="8"/>
                <w:color w:val="auto"/>
              </w:rPr>
            </w:pPr>
          </w:p>
        </w:tc>
        <w:tc>
          <w:tcPr>
            <w:tcW w:w="1080" w:type="dxa"/>
            <w:vAlign w:val="bottom"/>
            <w:gridSpan w:val="3"/>
          </w:tcPr>
          <w:p>
            <w:pPr>
              <w:jc w:val="center"/>
              <w:ind w:right="500"/>
              <w:spacing w:after="0" w:line="99" w:lineRule="exact"/>
              <w:rPr>
                <w:sz w:val="20"/>
                <w:szCs w:val="20"/>
                <w:color w:val="auto"/>
              </w:rPr>
            </w:pPr>
            <w:r>
              <w:rPr>
                <w:rFonts w:ascii="Arial" w:cs="Arial" w:eastAsia="Arial" w:hAnsi="Arial"/>
                <w:sz w:val="7"/>
                <w:szCs w:val="7"/>
                <w:b w:val="1"/>
                <w:bCs w:val="1"/>
                <w:color w:val="auto"/>
              </w:rPr>
              <w:t>Schlumberger</w:t>
            </w:r>
            <w:r>
              <w:rPr>
                <w:rFonts w:ascii="Arial" w:cs="Arial" w:eastAsia="Arial" w:hAnsi="Arial"/>
                <w:sz w:val="11"/>
                <w:szCs w:val="11"/>
                <w:b w:val="1"/>
                <w:bCs w:val="1"/>
                <w:color w:val="auto"/>
                <w:vertAlign w:val="superscript"/>
              </w:rPr>
              <w:t>2</w:t>
            </w: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83"/>
              </w:rPr>
              <w:t>Basic</w:t>
            </w:r>
          </w:p>
        </w:tc>
        <w:tc>
          <w:tcPr>
            <w:tcW w:w="500" w:type="dxa"/>
            <w:vAlign w:val="bottom"/>
          </w:tcPr>
          <w:p>
            <w:pPr>
              <w:spacing w:after="0"/>
              <w:rPr>
                <w:sz w:val="8"/>
                <w:szCs w:val="8"/>
                <w:color w:val="auto"/>
              </w:rPr>
            </w:pPr>
          </w:p>
        </w:tc>
        <w:tc>
          <w:tcPr>
            <w:tcW w:w="32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w w:val="91"/>
              </w:rPr>
              <w:t>Diluted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540" w:type="dxa"/>
            <w:vAlign w:val="bottom"/>
            <w:tcBorders>
              <w:top w:val="single" w:sz="8" w:color="CCEEFF"/>
            </w:tcBorders>
            <w:gridSpan w:val="2"/>
            <w:shd w:val="clear" w:color="auto" w:fill="CCEEFF"/>
          </w:tcPr>
          <w:p>
            <w:pPr>
              <w:spacing w:after="0" w:line="79" w:lineRule="exact"/>
              <w:rPr>
                <w:sz w:val="20"/>
                <w:szCs w:val="20"/>
                <w:color w:val="auto"/>
              </w:rPr>
            </w:pPr>
            <w:r>
              <w:rPr>
                <w:rFonts w:ascii="Arial" w:cs="Arial" w:eastAsia="Arial" w:hAnsi="Arial"/>
                <w:sz w:val="9"/>
                <w:szCs w:val="9"/>
                <w:b w:val="1"/>
                <w:bCs w:val="1"/>
                <w:color w:val="auto"/>
              </w:rPr>
              <w:t>Quarters-2011</w:t>
            </w:r>
          </w:p>
        </w:tc>
        <w:tc>
          <w:tcPr>
            <w:tcW w:w="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0" w:type="dxa"/>
            <w:vAlign w:val="bottom"/>
          </w:tcPr>
          <w:p>
            <w:pPr>
              <w:ind w:left="120"/>
              <w:spacing w:after="0" w:line="99" w:lineRule="exact"/>
              <w:rPr>
                <w:sz w:val="20"/>
                <w:szCs w:val="20"/>
                <w:color w:val="auto"/>
              </w:rPr>
            </w:pPr>
            <w:r>
              <w:rPr>
                <w:rFonts w:ascii="Arial" w:cs="Arial" w:eastAsia="Arial" w:hAnsi="Arial"/>
                <w:sz w:val="7"/>
                <w:szCs w:val="7"/>
                <w:color w:val="auto"/>
              </w:rPr>
              <w:t xml:space="preserve">First </w:t>
            </w:r>
            <w:r>
              <w:rPr>
                <w:rFonts w:ascii="Arial" w:cs="Arial" w:eastAsia="Arial" w:hAnsi="Arial"/>
                <w:sz w:val="11"/>
                <w:szCs w:val="11"/>
                <w:color w:val="auto"/>
                <w:vertAlign w:val="superscript"/>
              </w:rPr>
              <w:t>3</w:t>
            </w:r>
          </w:p>
        </w:tc>
        <w:tc>
          <w:tcPr>
            <w:tcW w:w="80" w:type="dxa"/>
            <w:vAlign w:val="bottom"/>
          </w:tcPr>
          <w:p>
            <w:pPr>
              <w:spacing w:after="0" w:line="99" w:lineRule="exact"/>
              <w:rPr>
                <w:sz w:val="20"/>
                <w:szCs w:val="20"/>
                <w:color w:val="auto"/>
              </w:rPr>
            </w:pPr>
            <w:r>
              <w:rPr>
                <w:rFonts w:ascii="Arial" w:cs="Arial" w:eastAsia="Arial" w:hAnsi="Arial"/>
                <w:sz w:val="9"/>
                <w:szCs w:val="9"/>
                <w:b w:val="1"/>
                <w:bCs w:val="1"/>
                <w:color w:val="auto"/>
              </w:rPr>
              <w:t>$</w:t>
            </w:r>
          </w:p>
        </w:tc>
        <w:tc>
          <w:tcPr>
            <w:tcW w:w="760" w:type="dxa"/>
            <w:vAlign w:val="bottom"/>
            <w:gridSpan w:val="2"/>
          </w:tcPr>
          <w:p>
            <w:pPr>
              <w:jc w:val="right"/>
              <w:ind w:right="500"/>
              <w:spacing w:after="0" w:line="99" w:lineRule="exact"/>
              <w:rPr>
                <w:sz w:val="20"/>
                <w:szCs w:val="20"/>
                <w:color w:val="auto"/>
              </w:rPr>
            </w:pPr>
            <w:r>
              <w:rPr>
                <w:rFonts w:ascii="Arial" w:cs="Arial" w:eastAsia="Arial" w:hAnsi="Arial"/>
                <w:sz w:val="9"/>
                <w:szCs w:val="9"/>
                <w:b w:val="1"/>
                <w:bCs w:val="1"/>
                <w:color w:val="auto"/>
              </w:rPr>
              <w:t>8,716</w:t>
            </w:r>
          </w:p>
        </w:tc>
        <w:tc>
          <w:tcPr>
            <w:tcW w:w="80" w:type="dxa"/>
            <w:vAlign w:val="bottom"/>
          </w:tcPr>
          <w:p>
            <w:pPr>
              <w:spacing w:after="0" w:line="99" w:lineRule="exact"/>
              <w:rPr>
                <w:sz w:val="20"/>
                <w:szCs w:val="20"/>
                <w:color w:val="auto"/>
              </w:rPr>
            </w:pPr>
            <w:r>
              <w:rPr>
                <w:rFonts w:ascii="Arial" w:cs="Arial" w:eastAsia="Arial" w:hAnsi="Arial"/>
                <w:sz w:val="9"/>
                <w:szCs w:val="9"/>
                <w:b w:val="1"/>
                <w:bCs w:val="1"/>
                <w:color w:val="auto"/>
              </w:rPr>
              <w:t>$</w:t>
            </w:r>
          </w:p>
        </w:tc>
        <w:tc>
          <w:tcPr>
            <w:tcW w:w="3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1,663</w:t>
            </w:r>
          </w:p>
        </w:tc>
        <w:tc>
          <w:tcPr>
            <w:tcW w:w="580" w:type="dxa"/>
            <w:vAlign w:val="bottom"/>
            <w:gridSpan w:val="2"/>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1020" w:type="dxa"/>
            <w:vAlign w:val="bottom"/>
            <w:gridSpan w:val="2"/>
          </w:tcPr>
          <w:p>
            <w:pPr>
              <w:jc w:val="right"/>
              <w:ind w:right="500"/>
              <w:spacing w:after="0" w:line="99" w:lineRule="exact"/>
              <w:rPr>
                <w:sz w:val="20"/>
                <w:szCs w:val="20"/>
                <w:color w:val="auto"/>
              </w:rPr>
            </w:pPr>
            <w:r>
              <w:rPr>
                <w:rFonts w:ascii="Arial" w:cs="Arial" w:eastAsia="Arial" w:hAnsi="Arial"/>
                <w:sz w:val="9"/>
                <w:szCs w:val="9"/>
                <w:b w:val="1"/>
                <w:bCs w:val="1"/>
                <w:color w:val="auto"/>
              </w:rPr>
              <w:t>944</w:t>
            </w: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88"/>
              </w:rPr>
              <w:t>$0.69</w:t>
            </w:r>
          </w:p>
        </w:tc>
        <w:tc>
          <w:tcPr>
            <w:tcW w:w="620" w:type="dxa"/>
            <w:vAlign w:val="bottom"/>
            <w:gridSpan w:val="2"/>
          </w:tcPr>
          <w:p>
            <w:pPr>
              <w:jc w:val="right"/>
              <w:ind w:right="46"/>
              <w:spacing w:after="0" w:line="99" w:lineRule="exact"/>
              <w:rPr>
                <w:sz w:val="20"/>
                <w:szCs w:val="20"/>
                <w:color w:val="auto"/>
              </w:rPr>
            </w:pPr>
            <w:r>
              <w:rPr>
                <w:rFonts w:ascii="Arial" w:cs="Arial" w:eastAsia="Arial" w:hAnsi="Arial"/>
                <w:sz w:val="9"/>
                <w:szCs w:val="9"/>
                <w:b w:val="1"/>
                <w:bCs w:val="1"/>
                <w:color w:val="auto"/>
              </w:rPr>
              <w:t>$</w:t>
            </w:r>
          </w:p>
        </w:tc>
        <w:tc>
          <w:tcPr>
            <w:tcW w:w="240" w:type="dxa"/>
            <w:vAlign w:val="bottom"/>
            <w:gridSpan w:val="2"/>
          </w:tcPr>
          <w:p>
            <w:pPr>
              <w:jc w:val="right"/>
              <w:ind w:right="40"/>
              <w:spacing w:after="0" w:line="99" w:lineRule="exact"/>
              <w:rPr>
                <w:sz w:val="20"/>
                <w:szCs w:val="20"/>
                <w:color w:val="auto"/>
              </w:rPr>
            </w:pPr>
            <w:r>
              <w:rPr>
                <w:rFonts w:ascii="Arial" w:cs="Arial" w:eastAsia="Arial" w:hAnsi="Arial"/>
                <w:sz w:val="9"/>
                <w:szCs w:val="9"/>
                <w:b w:val="1"/>
                <w:bCs w:val="1"/>
                <w:color w:val="auto"/>
              </w:rPr>
              <w:t>0.69</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0" w:type="dxa"/>
            <w:vAlign w:val="bottom"/>
            <w:shd w:val="clear" w:color="auto" w:fill="CCEEFF"/>
          </w:tcPr>
          <w:p>
            <w:pPr>
              <w:ind w:left="120"/>
              <w:spacing w:after="0" w:line="99" w:lineRule="exact"/>
              <w:rPr>
                <w:sz w:val="20"/>
                <w:szCs w:val="20"/>
                <w:color w:val="auto"/>
              </w:rPr>
            </w:pPr>
            <w:r>
              <w:rPr>
                <w:rFonts w:ascii="Arial" w:cs="Arial" w:eastAsia="Arial" w:hAnsi="Arial"/>
                <w:sz w:val="7"/>
                <w:szCs w:val="7"/>
                <w:color w:val="auto"/>
              </w:rPr>
              <w:t xml:space="preserve">Second </w:t>
            </w:r>
            <w:r>
              <w:rPr>
                <w:rFonts w:ascii="Arial" w:cs="Arial" w:eastAsia="Arial" w:hAnsi="Arial"/>
                <w:sz w:val="11"/>
                <w:szCs w:val="11"/>
                <w:color w:val="auto"/>
                <w:vertAlign w:val="superscript"/>
              </w:rPr>
              <w:t>4</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500"/>
              <w:spacing w:after="0" w:line="99" w:lineRule="exact"/>
              <w:rPr>
                <w:sz w:val="20"/>
                <w:szCs w:val="20"/>
                <w:color w:val="auto"/>
              </w:rPr>
            </w:pPr>
            <w:r>
              <w:rPr>
                <w:rFonts w:ascii="Arial" w:cs="Arial" w:eastAsia="Arial" w:hAnsi="Arial"/>
                <w:sz w:val="9"/>
                <w:szCs w:val="9"/>
                <w:b w:val="1"/>
                <w:bCs w:val="1"/>
                <w:color w:val="auto"/>
              </w:rPr>
              <w:t>9,621</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1,991</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500"/>
              <w:spacing w:after="0" w:line="99" w:lineRule="exact"/>
              <w:rPr>
                <w:sz w:val="20"/>
                <w:szCs w:val="20"/>
                <w:color w:val="auto"/>
              </w:rPr>
            </w:pPr>
            <w:r>
              <w:rPr>
                <w:rFonts w:ascii="Arial" w:cs="Arial" w:eastAsia="Arial" w:hAnsi="Arial"/>
                <w:sz w:val="9"/>
                <w:szCs w:val="9"/>
                <w:b w:val="1"/>
                <w:bCs w:val="1"/>
                <w:color w:val="auto"/>
              </w:rPr>
              <w:t>1,339</w:t>
            </w: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0.99</w:t>
            </w: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b w:val="1"/>
                <w:bCs w:val="1"/>
                <w:color w:val="auto"/>
              </w:rPr>
              <w:t>0.98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0" w:type="dxa"/>
            <w:vAlign w:val="bottom"/>
          </w:tcPr>
          <w:p>
            <w:pPr>
              <w:ind w:left="120"/>
              <w:spacing w:after="0" w:line="99" w:lineRule="exact"/>
              <w:rPr>
                <w:sz w:val="20"/>
                <w:szCs w:val="20"/>
                <w:color w:val="auto"/>
              </w:rPr>
            </w:pPr>
            <w:r>
              <w:rPr>
                <w:rFonts w:ascii="Arial" w:cs="Arial" w:eastAsia="Arial" w:hAnsi="Arial"/>
                <w:sz w:val="7"/>
                <w:szCs w:val="7"/>
                <w:color w:val="auto"/>
              </w:rPr>
              <w:t xml:space="preserve">Third </w:t>
            </w:r>
            <w:r>
              <w:rPr>
                <w:rFonts w:ascii="Arial" w:cs="Arial" w:eastAsia="Arial" w:hAnsi="Arial"/>
                <w:sz w:val="11"/>
                <w:szCs w:val="11"/>
                <w:color w:val="auto"/>
                <w:vertAlign w:val="superscript"/>
              </w:rPr>
              <w:t>5</w:t>
            </w:r>
          </w:p>
        </w:tc>
        <w:tc>
          <w:tcPr>
            <w:tcW w:w="80" w:type="dxa"/>
            <w:vAlign w:val="bottom"/>
          </w:tcPr>
          <w:p>
            <w:pPr>
              <w:spacing w:after="0"/>
              <w:rPr>
                <w:sz w:val="8"/>
                <w:szCs w:val="8"/>
                <w:color w:val="auto"/>
              </w:rPr>
            </w:pPr>
          </w:p>
        </w:tc>
        <w:tc>
          <w:tcPr>
            <w:tcW w:w="760" w:type="dxa"/>
            <w:vAlign w:val="bottom"/>
            <w:gridSpan w:val="2"/>
          </w:tcPr>
          <w:p>
            <w:pPr>
              <w:jc w:val="right"/>
              <w:ind w:right="500"/>
              <w:spacing w:after="0" w:line="99" w:lineRule="exact"/>
              <w:rPr>
                <w:sz w:val="20"/>
                <w:szCs w:val="20"/>
                <w:color w:val="auto"/>
              </w:rPr>
            </w:pPr>
            <w:r>
              <w:rPr>
                <w:rFonts w:ascii="Arial" w:cs="Arial" w:eastAsia="Arial" w:hAnsi="Arial"/>
                <w:sz w:val="9"/>
                <w:szCs w:val="9"/>
                <w:b w:val="1"/>
                <w:bCs w:val="1"/>
                <w:color w:val="auto"/>
                <w:w w:val="87"/>
              </w:rPr>
              <w:t>10,229</w:t>
            </w:r>
          </w:p>
        </w:tc>
        <w:tc>
          <w:tcPr>
            <w:tcW w:w="8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2,136</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2"/>
          </w:tcPr>
          <w:p>
            <w:pPr>
              <w:jc w:val="right"/>
              <w:ind w:right="500"/>
              <w:spacing w:after="0" w:line="99" w:lineRule="exact"/>
              <w:rPr>
                <w:sz w:val="20"/>
                <w:szCs w:val="20"/>
                <w:color w:val="auto"/>
              </w:rPr>
            </w:pPr>
            <w:r>
              <w:rPr>
                <w:rFonts w:ascii="Arial" w:cs="Arial" w:eastAsia="Arial" w:hAnsi="Arial"/>
                <w:sz w:val="9"/>
                <w:szCs w:val="9"/>
                <w:b w:val="1"/>
                <w:bCs w:val="1"/>
                <w:color w:val="auto"/>
              </w:rPr>
              <w:t>1,301</w:t>
            </w:r>
          </w:p>
        </w:tc>
        <w:tc>
          <w:tcPr>
            <w:tcW w:w="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0.97</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gridSpan w:val="2"/>
          </w:tcPr>
          <w:p>
            <w:pPr>
              <w:jc w:val="right"/>
              <w:ind w:right="40"/>
              <w:spacing w:after="0" w:line="99" w:lineRule="exact"/>
              <w:rPr>
                <w:sz w:val="20"/>
                <w:szCs w:val="20"/>
                <w:color w:val="auto"/>
              </w:rPr>
            </w:pPr>
            <w:r>
              <w:rPr>
                <w:rFonts w:ascii="Arial" w:cs="Arial" w:eastAsia="Arial" w:hAnsi="Arial"/>
                <w:sz w:val="9"/>
                <w:szCs w:val="9"/>
                <w:b w:val="1"/>
                <w:bCs w:val="1"/>
                <w:color w:val="auto"/>
              </w:rPr>
              <w:t>0.96</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0" w:type="dxa"/>
            <w:vAlign w:val="bottom"/>
            <w:shd w:val="clear" w:color="auto" w:fill="CCEEFF"/>
          </w:tcPr>
          <w:p>
            <w:pPr>
              <w:ind w:left="120"/>
              <w:spacing w:after="0" w:line="99" w:lineRule="exact"/>
              <w:rPr>
                <w:sz w:val="20"/>
                <w:szCs w:val="20"/>
                <w:color w:val="auto"/>
              </w:rPr>
            </w:pPr>
            <w:r>
              <w:rPr>
                <w:rFonts w:ascii="Arial" w:cs="Arial" w:eastAsia="Arial" w:hAnsi="Arial"/>
                <w:sz w:val="7"/>
                <w:szCs w:val="7"/>
                <w:color w:val="auto"/>
              </w:rPr>
              <w:t xml:space="preserve">Fourth </w:t>
            </w:r>
            <w:r>
              <w:rPr>
                <w:rFonts w:ascii="Arial" w:cs="Arial" w:eastAsia="Arial" w:hAnsi="Arial"/>
                <w:sz w:val="11"/>
                <w:szCs w:val="11"/>
                <w:color w:val="auto"/>
                <w:vertAlign w:val="superscript"/>
              </w:rPr>
              <w:t>6</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500"/>
              <w:spacing w:after="0" w:line="99" w:lineRule="exact"/>
              <w:rPr>
                <w:sz w:val="20"/>
                <w:szCs w:val="20"/>
                <w:color w:val="auto"/>
              </w:rPr>
            </w:pPr>
            <w:r>
              <w:rPr>
                <w:rFonts w:ascii="Arial" w:cs="Arial" w:eastAsia="Arial" w:hAnsi="Arial"/>
                <w:sz w:val="9"/>
                <w:szCs w:val="9"/>
                <w:b w:val="1"/>
                <w:bCs w:val="1"/>
                <w:color w:val="auto"/>
                <w:w w:val="87"/>
              </w:rPr>
              <w:t>10,974</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2,332</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500"/>
              <w:spacing w:after="0" w:line="99" w:lineRule="exact"/>
              <w:rPr>
                <w:sz w:val="20"/>
                <w:szCs w:val="20"/>
                <w:color w:val="auto"/>
              </w:rPr>
            </w:pPr>
            <w:r>
              <w:rPr>
                <w:rFonts w:ascii="Arial" w:cs="Arial" w:eastAsia="Arial" w:hAnsi="Arial"/>
                <w:sz w:val="9"/>
                <w:szCs w:val="9"/>
                <w:b w:val="1"/>
                <w:bCs w:val="1"/>
                <w:color w:val="auto"/>
              </w:rPr>
              <w:t>1,414</w:t>
            </w: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1.06</w:t>
            </w: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b w:val="1"/>
                <w:bCs w:val="1"/>
                <w:color w:val="auto"/>
              </w:rPr>
              <w:t>1.05</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b w:val="1"/>
                <w:bCs w:val="1"/>
                <w:color w:val="auto"/>
              </w:rPr>
              <w:t>$</w:t>
            </w:r>
          </w:p>
        </w:tc>
        <w:tc>
          <w:tcPr>
            <w:tcW w:w="2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w w:val="87"/>
              </w:rPr>
              <w:t>39,540</w:t>
            </w:r>
          </w:p>
        </w:tc>
        <w:tc>
          <w:tcPr>
            <w:tcW w:w="5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b w:val="1"/>
                <w:bCs w:val="1"/>
                <w:color w:val="auto"/>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8,121</w:t>
            </w:r>
          </w:p>
        </w:tc>
        <w:tc>
          <w:tcPr>
            <w:tcW w:w="52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4,997</w:t>
            </w:r>
          </w:p>
        </w:tc>
        <w:tc>
          <w:tcPr>
            <w:tcW w:w="500" w:type="dxa"/>
            <w:vAlign w:val="bottom"/>
          </w:tcPr>
          <w:p>
            <w:pPr>
              <w:spacing w:after="0"/>
              <w:rPr>
                <w:sz w:val="8"/>
                <w:szCs w:val="8"/>
                <w:color w:val="auto"/>
              </w:rPr>
            </w:pPr>
          </w:p>
        </w:tc>
        <w:tc>
          <w:tcPr>
            <w:tcW w:w="2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u w:val="single" w:color="auto"/>
                <w:color w:val="auto"/>
                <w:w w:val="88"/>
              </w:rPr>
              <w:t>$</w:t>
            </w:r>
            <w:r>
              <w:rPr>
                <w:rFonts w:ascii="Arial" w:cs="Arial" w:eastAsia="Arial" w:hAnsi="Arial"/>
                <w:sz w:val="9"/>
                <w:szCs w:val="9"/>
                <w:b w:val="1"/>
                <w:bCs w:val="1"/>
                <w:color w:val="auto"/>
                <w:w w:val="88"/>
              </w:rPr>
              <w:t>3.70</w:t>
            </w:r>
          </w:p>
        </w:tc>
        <w:tc>
          <w:tcPr>
            <w:tcW w:w="50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5"/>
                <w:szCs w:val="5"/>
                <w:b w:val="1"/>
                <w:bCs w:val="1"/>
                <w:color w:val="auto"/>
                <w:w w:val="70"/>
              </w:rPr>
              <w:t>$</w:t>
            </w:r>
          </w:p>
        </w:tc>
        <w:tc>
          <w:tcPr>
            <w:tcW w:w="2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3.67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7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754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Quarters-2010</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0" w:type="dxa"/>
            <w:vAlign w:val="bottom"/>
          </w:tcPr>
          <w:p>
            <w:pPr>
              <w:ind w:left="120"/>
              <w:spacing w:after="0" w:line="99" w:lineRule="exact"/>
              <w:rPr>
                <w:sz w:val="20"/>
                <w:szCs w:val="20"/>
                <w:color w:val="auto"/>
              </w:rPr>
            </w:pPr>
            <w:r>
              <w:rPr>
                <w:rFonts w:ascii="Arial" w:cs="Arial" w:eastAsia="Arial" w:hAnsi="Arial"/>
                <w:sz w:val="7"/>
                <w:szCs w:val="7"/>
                <w:color w:val="auto"/>
              </w:rPr>
              <w:t xml:space="preserve">First </w:t>
            </w:r>
            <w:r>
              <w:rPr>
                <w:rFonts w:ascii="Arial" w:cs="Arial" w:eastAsia="Arial" w:hAnsi="Arial"/>
                <w:sz w:val="11"/>
                <w:szCs w:val="11"/>
                <w:color w:val="auto"/>
                <w:vertAlign w:val="superscript"/>
              </w:rPr>
              <w:t>7</w:t>
            </w:r>
          </w:p>
        </w:tc>
        <w:tc>
          <w:tcPr>
            <w:tcW w:w="80" w:type="dxa"/>
            <w:vAlign w:val="bottom"/>
          </w:tcPr>
          <w:p>
            <w:pPr>
              <w:spacing w:after="0" w:line="99"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500"/>
              <w:spacing w:after="0" w:line="99" w:lineRule="exact"/>
              <w:rPr>
                <w:sz w:val="20"/>
                <w:szCs w:val="20"/>
                <w:color w:val="auto"/>
              </w:rPr>
            </w:pPr>
            <w:r>
              <w:rPr>
                <w:rFonts w:ascii="Arial" w:cs="Arial" w:eastAsia="Arial" w:hAnsi="Arial"/>
                <w:sz w:val="9"/>
                <w:szCs w:val="9"/>
                <w:color w:val="auto"/>
              </w:rPr>
              <w:t>5,598</w:t>
            </w:r>
          </w:p>
        </w:tc>
        <w:tc>
          <w:tcPr>
            <w:tcW w:w="80" w:type="dxa"/>
            <w:vAlign w:val="bottom"/>
          </w:tcPr>
          <w:p>
            <w:pPr>
              <w:spacing w:after="0" w:line="99"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9" w:lineRule="exact"/>
              <w:rPr>
                <w:sz w:val="20"/>
                <w:szCs w:val="20"/>
                <w:color w:val="auto"/>
              </w:rPr>
            </w:pPr>
            <w:r>
              <w:rPr>
                <w:rFonts w:ascii="Arial" w:cs="Arial" w:eastAsia="Arial" w:hAnsi="Arial"/>
                <w:sz w:val="9"/>
                <w:szCs w:val="9"/>
                <w:color w:val="auto"/>
              </w:rPr>
              <w:t>1,183</w:t>
            </w:r>
          </w:p>
        </w:tc>
        <w:tc>
          <w:tcPr>
            <w:tcW w:w="58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1020" w:type="dxa"/>
            <w:vAlign w:val="bottom"/>
            <w:gridSpan w:val="2"/>
          </w:tcPr>
          <w:p>
            <w:pPr>
              <w:jc w:val="right"/>
              <w:ind w:right="500"/>
              <w:spacing w:after="0" w:line="99" w:lineRule="exact"/>
              <w:rPr>
                <w:sz w:val="20"/>
                <w:szCs w:val="20"/>
                <w:color w:val="auto"/>
              </w:rPr>
            </w:pPr>
            <w:r>
              <w:rPr>
                <w:rFonts w:ascii="Arial" w:cs="Arial" w:eastAsia="Arial" w:hAnsi="Arial"/>
                <w:sz w:val="9"/>
                <w:szCs w:val="9"/>
                <w:color w:val="auto"/>
              </w:rPr>
              <w:t>672</w:t>
            </w: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w w:val="88"/>
              </w:rPr>
              <w:t>$0.56</w:t>
            </w:r>
          </w:p>
        </w:tc>
        <w:tc>
          <w:tcPr>
            <w:tcW w:w="620" w:type="dxa"/>
            <w:vAlign w:val="bottom"/>
            <w:gridSpan w:val="2"/>
          </w:tcPr>
          <w:p>
            <w:pPr>
              <w:jc w:val="right"/>
              <w:ind w:right="46"/>
              <w:spacing w:after="0" w:line="99" w:lineRule="exact"/>
              <w:rPr>
                <w:sz w:val="20"/>
                <w:szCs w:val="20"/>
                <w:color w:val="auto"/>
              </w:rPr>
            </w:pPr>
            <w:r>
              <w:rPr>
                <w:rFonts w:ascii="Arial" w:cs="Arial" w:eastAsia="Arial" w:hAnsi="Arial"/>
                <w:sz w:val="9"/>
                <w:szCs w:val="9"/>
                <w:color w:val="auto"/>
              </w:rPr>
              <w:t>$</w:t>
            </w:r>
          </w:p>
        </w:tc>
        <w:tc>
          <w:tcPr>
            <w:tcW w:w="24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0.56</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0" w:type="dxa"/>
            <w:vAlign w:val="bottom"/>
            <w:shd w:val="clear" w:color="auto" w:fill="CCEEFF"/>
          </w:tcPr>
          <w:p>
            <w:pPr>
              <w:ind w:left="120"/>
              <w:spacing w:after="0" w:line="99" w:lineRule="exact"/>
              <w:rPr>
                <w:sz w:val="20"/>
                <w:szCs w:val="20"/>
                <w:color w:val="auto"/>
              </w:rPr>
            </w:pPr>
            <w:r>
              <w:rPr>
                <w:rFonts w:ascii="Arial" w:cs="Arial" w:eastAsia="Arial" w:hAnsi="Arial"/>
                <w:sz w:val="9"/>
                <w:szCs w:val="9"/>
                <w:color w:val="auto"/>
              </w:rPr>
              <w:t>Second</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500"/>
              <w:spacing w:after="0" w:line="99" w:lineRule="exact"/>
              <w:rPr>
                <w:sz w:val="20"/>
                <w:szCs w:val="20"/>
                <w:color w:val="auto"/>
              </w:rPr>
            </w:pPr>
            <w:r>
              <w:rPr>
                <w:rFonts w:ascii="Arial" w:cs="Arial" w:eastAsia="Arial" w:hAnsi="Arial"/>
                <w:sz w:val="9"/>
                <w:szCs w:val="9"/>
                <w:color w:val="auto"/>
              </w:rPr>
              <w:t>5,937</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1,285</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500"/>
              <w:spacing w:after="0" w:line="99" w:lineRule="exact"/>
              <w:rPr>
                <w:sz w:val="20"/>
                <w:szCs w:val="20"/>
                <w:color w:val="auto"/>
              </w:rPr>
            </w:pPr>
            <w:r>
              <w:rPr>
                <w:rFonts w:ascii="Arial" w:cs="Arial" w:eastAsia="Arial" w:hAnsi="Arial"/>
                <w:sz w:val="9"/>
                <w:szCs w:val="9"/>
                <w:color w:val="auto"/>
              </w:rPr>
              <w:t>818</w:t>
            </w: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0.69</w:t>
            </w: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0.68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0" w:type="dxa"/>
            <w:vAlign w:val="bottom"/>
          </w:tcPr>
          <w:p>
            <w:pPr>
              <w:ind w:left="120"/>
              <w:spacing w:after="0" w:line="99" w:lineRule="exact"/>
              <w:rPr>
                <w:sz w:val="20"/>
                <w:szCs w:val="20"/>
                <w:color w:val="auto"/>
              </w:rPr>
            </w:pPr>
            <w:r>
              <w:rPr>
                <w:rFonts w:ascii="Arial" w:cs="Arial" w:eastAsia="Arial" w:hAnsi="Arial"/>
                <w:sz w:val="7"/>
                <w:szCs w:val="7"/>
                <w:color w:val="auto"/>
              </w:rPr>
              <w:t xml:space="preserve">Third </w:t>
            </w:r>
            <w:r>
              <w:rPr>
                <w:rFonts w:ascii="Arial" w:cs="Arial" w:eastAsia="Arial" w:hAnsi="Arial"/>
                <w:sz w:val="11"/>
                <w:szCs w:val="11"/>
                <w:color w:val="auto"/>
                <w:vertAlign w:val="superscript"/>
              </w:rPr>
              <w:t>8</w:t>
            </w:r>
          </w:p>
        </w:tc>
        <w:tc>
          <w:tcPr>
            <w:tcW w:w="80" w:type="dxa"/>
            <w:vAlign w:val="bottom"/>
          </w:tcPr>
          <w:p>
            <w:pPr>
              <w:spacing w:after="0"/>
              <w:rPr>
                <w:sz w:val="8"/>
                <w:szCs w:val="8"/>
                <w:color w:val="auto"/>
              </w:rPr>
            </w:pPr>
          </w:p>
        </w:tc>
        <w:tc>
          <w:tcPr>
            <w:tcW w:w="760" w:type="dxa"/>
            <w:vAlign w:val="bottom"/>
            <w:gridSpan w:val="2"/>
          </w:tcPr>
          <w:p>
            <w:pPr>
              <w:jc w:val="right"/>
              <w:ind w:right="500"/>
              <w:spacing w:after="0" w:line="99" w:lineRule="exact"/>
              <w:rPr>
                <w:sz w:val="20"/>
                <w:szCs w:val="20"/>
                <w:color w:val="auto"/>
              </w:rPr>
            </w:pPr>
            <w:r>
              <w:rPr>
                <w:rFonts w:ascii="Arial" w:cs="Arial" w:eastAsia="Arial" w:hAnsi="Arial"/>
                <w:sz w:val="9"/>
                <w:szCs w:val="9"/>
                <w:color w:val="auto"/>
              </w:rPr>
              <w:t>6,845</w:t>
            </w:r>
          </w:p>
        </w:tc>
        <w:tc>
          <w:tcPr>
            <w:tcW w:w="80" w:type="dxa"/>
            <w:vAlign w:val="bottom"/>
          </w:tcPr>
          <w:p>
            <w:pPr>
              <w:spacing w:after="0"/>
              <w:rPr>
                <w:sz w:val="8"/>
                <w:szCs w:val="8"/>
                <w:color w:val="auto"/>
              </w:rPr>
            </w:pPr>
          </w:p>
        </w:tc>
        <w:tc>
          <w:tcPr>
            <w:tcW w:w="320" w:type="dxa"/>
            <w:vAlign w:val="bottom"/>
          </w:tcPr>
          <w:p>
            <w:pPr>
              <w:jc w:val="right"/>
              <w:spacing w:after="0" w:line="99" w:lineRule="exact"/>
              <w:rPr>
                <w:sz w:val="20"/>
                <w:szCs w:val="20"/>
                <w:color w:val="auto"/>
              </w:rPr>
            </w:pPr>
            <w:r>
              <w:rPr>
                <w:rFonts w:ascii="Arial" w:cs="Arial" w:eastAsia="Arial" w:hAnsi="Arial"/>
                <w:sz w:val="9"/>
                <w:szCs w:val="9"/>
                <w:color w:val="auto"/>
              </w:rPr>
              <w:t>1,374</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2"/>
          </w:tcPr>
          <w:p>
            <w:pPr>
              <w:jc w:val="right"/>
              <w:ind w:right="500"/>
              <w:spacing w:after="0" w:line="99" w:lineRule="exact"/>
              <w:rPr>
                <w:sz w:val="20"/>
                <w:szCs w:val="20"/>
                <w:color w:val="auto"/>
              </w:rPr>
            </w:pPr>
            <w:r>
              <w:rPr>
                <w:rFonts w:ascii="Arial" w:cs="Arial" w:eastAsia="Arial" w:hAnsi="Arial"/>
                <w:sz w:val="9"/>
                <w:szCs w:val="9"/>
                <w:color w:val="auto"/>
              </w:rPr>
              <w:t>1,734</w:t>
            </w:r>
          </w:p>
        </w:tc>
        <w:tc>
          <w:tcPr>
            <w:tcW w:w="220" w:type="dxa"/>
            <w:vAlign w:val="bottom"/>
          </w:tcPr>
          <w:p>
            <w:pPr>
              <w:jc w:val="right"/>
              <w:spacing w:after="0" w:line="99" w:lineRule="exact"/>
              <w:rPr>
                <w:sz w:val="20"/>
                <w:szCs w:val="20"/>
                <w:color w:val="auto"/>
              </w:rPr>
            </w:pPr>
            <w:r>
              <w:rPr>
                <w:rFonts w:ascii="Arial" w:cs="Arial" w:eastAsia="Arial" w:hAnsi="Arial"/>
                <w:sz w:val="9"/>
                <w:szCs w:val="9"/>
                <w:color w:val="auto"/>
              </w:rPr>
              <w:t>1.39</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1.38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0" w:type="dxa"/>
            <w:vAlign w:val="bottom"/>
            <w:shd w:val="clear" w:color="auto" w:fill="CCEEFF"/>
          </w:tcPr>
          <w:p>
            <w:pPr>
              <w:ind w:left="120"/>
              <w:spacing w:after="0" w:line="99" w:lineRule="exact"/>
              <w:rPr>
                <w:sz w:val="20"/>
                <w:szCs w:val="20"/>
                <w:color w:val="auto"/>
              </w:rPr>
            </w:pPr>
            <w:r>
              <w:rPr>
                <w:rFonts w:ascii="Arial" w:cs="Arial" w:eastAsia="Arial" w:hAnsi="Arial"/>
                <w:sz w:val="7"/>
                <w:szCs w:val="7"/>
                <w:color w:val="auto"/>
              </w:rPr>
              <w:t xml:space="preserve">Fourth </w:t>
            </w:r>
            <w:r>
              <w:rPr>
                <w:rFonts w:ascii="Arial" w:cs="Arial" w:eastAsia="Arial" w:hAnsi="Arial"/>
                <w:sz w:val="11"/>
                <w:szCs w:val="11"/>
                <w:color w:val="auto"/>
                <w:vertAlign w:val="superscript"/>
              </w:rPr>
              <w:t>9</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500"/>
              <w:spacing w:after="0" w:line="99" w:lineRule="exact"/>
              <w:rPr>
                <w:sz w:val="20"/>
                <w:szCs w:val="20"/>
                <w:color w:val="auto"/>
              </w:rPr>
            </w:pPr>
            <w:r>
              <w:rPr>
                <w:rFonts w:ascii="Arial" w:cs="Arial" w:eastAsia="Arial" w:hAnsi="Arial"/>
                <w:sz w:val="9"/>
                <w:szCs w:val="9"/>
                <w:color w:val="auto"/>
              </w:rPr>
              <w:t>9,067</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1,762</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500"/>
              <w:spacing w:after="0" w:line="99" w:lineRule="exact"/>
              <w:rPr>
                <w:sz w:val="20"/>
                <w:szCs w:val="20"/>
                <w:color w:val="auto"/>
              </w:rPr>
            </w:pPr>
            <w:r>
              <w:rPr>
                <w:rFonts w:ascii="Arial" w:cs="Arial" w:eastAsia="Arial" w:hAnsi="Arial"/>
                <w:sz w:val="9"/>
                <w:szCs w:val="9"/>
                <w:color w:val="auto"/>
              </w:rPr>
              <w:t>1,043</w:t>
            </w: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0.76</w:t>
            </w: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0" w:type="dxa"/>
            <w:vAlign w:val="bottom"/>
          </w:tcPr>
          <w:p>
            <w:pPr>
              <w:spacing w:after="0"/>
              <w:rPr>
                <w:sz w:val="8"/>
                <w:szCs w:val="8"/>
                <w:color w:val="auto"/>
              </w:rPr>
            </w:pPr>
          </w:p>
        </w:tc>
        <w:tc>
          <w:tcPr>
            <w:tcW w:w="80" w:type="dxa"/>
            <w:vAlign w:val="bottom"/>
          </w:tcPr>
          <w:p>
            <w:pPr>
              <w:spacing w:after="0" w:line="98"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w w:val="87"/>
              </w:rPr>
              <w:t>27,447</w:t>
            </w:r>
          </w:p>
        </w:tc>
        <w:tc>
          <w:tcPr>
            <w:tcW w:w="80" w:type="dxa"/>
            <w:vAlign w:val="bottom"/>
          </w:tcPr>
          <w:p>
            <w:pPr>
              <w:spacing w:after="0" w:line="98"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8" w:lineRule="exact"/>
              <w:rPr>
                <w:sz w:val="20"/>
                <w:szCs w:val="20"/>
                <w:color w:val="auto"/>
              </w:rPr>
            </w:pPr>
            <w:r>
              <w:rPr>
                <w:rFonts w:ascii="Arial" w:cs="Arial" w:eastAsia="Arial" w:hAnsi="Arial"/>
                <w:sz w:val="9"/>
                <w:szCs w:val="9"/>
                <w:color w:val="auto"/>
              </w:rPr>
              <w:t>5,604</w:t>
            </w:r>
          </w:p>
        </w:tc>
        <w:tc>
          <w:tcPr>
            <w:tcW w:w="58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102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4,267</w:t>
            </w:r>
          </w:p>
        </w:tc>
        <w:tc>
          <w:tcPr>
            <w:tcW w:w="220" w:type="dxa"/>
            <w:vAlign w:val="bottom"/>
          </w:tcPr>
          <w:p>
            <w:pPr>
              <w:jc w:val="right"/>
              <w:spacing w:after="0" w:line="98" w:lineRule="exact"/>
              <w:rPr>
                <w:sz w:val="20"/>
                <w:szCs w:val="20"/>
                <w:color w:val="auto"/>
              </w:rPr>
            </w:pPr>
            <w:r>
              <w:rPr>
                <w:rFonts w:ascii="Arial" w:cs="Arial" w:eastAsia="Arial" w:hAnsi="Arial"/>
                <w:sz w:val="9"/>
                <w:szCs w:val="9"/>
                <w:u w:val="single" w:color="auto"/>
                <w:color w:val="auto"/>
                <w:w w:val="88"/>
              </w:rPr>
              <w:t>$</w:t>
            </w:r>
            <w:r>
              <w:rPr>
                <w:rFonts w:ascii="Arial" w:cs="Arial" w:eastAsia="Arial" w:hAnsi="Arial"/>
                <w:sz w:val="9"/>
                <w:szCs w:val="9"/>
                <w:color w:val="auto"/>
                <w:w w:val="88"/>
              </w:rPr>
              <w:t>3.41</w:t>
            </w:r>
          </w:p>
        </w:tc>
        <w:tc>
          <w:tcPr>
            <w:tcW w:w="620" w:type="dxa"/>
            <w:vAlign w:val="bottom"/>
            <w:gridSpan w:val="2"/>
          </w:tcPr>
          <w:p>
            <w:pPr>
              <w:jc w:val="right"/>
              <w:ind w:right="46"/>
              <w:spacing w:after="0" w:line="98" w:lineRule="exact"/>
              <w:rPr>
                <w:sz w:val="20"/>
                <w:szCs w:val="20"/>
                <w:color w:val="auto"/>
              </w:rPr>
            </w:pPr>
            <w:r>
              <w:rPr>
                <w:rFonts w:ascii="Arial" w:cs="Arial" w:eastAsia="Arial" w:hAnsi="Arial"/>
                <w:sz w:val="9"/>
                <w:szCs w:val="9"/>
                <w:color w:val="auto"/>
              </w:rPr>
              <w:t>$</w:t>
            </w:r>
          </w:p>
        </w:tc>
        <w:tc>
          <w:tcPr>
            <w:tcW w:w="2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3.38</w:t>
            </w:r>
          </w:p>
        </w:tc>
        <w:tc>
          <w:tcPr>
            <w:tcW w:w="0" w:type="dxa"/>
            <w:vAlign w:val="bottom"/>
          </w:tcPr>
          <w:p>
            <w:pPr>
              <w:spacing w:after="0"/>
              <w:rPr>
                <w:sz w:val="1"/>
                <w:szCs w:val="1"/>
                <w:color w:val="auto"/>
              </w:rPr>
            </w:pPr>
          </w:p>
        </w:tc>
      </w:tr>
      <w:tr>
        <w:trPr>
          <w:trHeight w:val="133"/>
        </w:trPr>
        <w:tc>
          <w:tcPr>
            <w:tcW w:w="160" w:type="dxa"/>
            <w:vAlign w:val="bottom"/>
            <w:gridSpan w:val="2"/>
          </w:tcPr>
          <w:p>
            <w:pPr>
              <w:spacing w:after="0"/>
              <w:rPr>
                <w:sz w:val="20"/>
                <w:szCs w:val="20"/>
                <w:color w:val="auto"/>
              </w:rPr>
            </w:pPr>
            <w:r>
              <w:rPr>
                <w:rFonts w:ascii="Arial" w:cs="Arial" w:eastAsia="Arial" w:hAnsi="Arial"/>
                <w:sz w:val="8"/>
                <w:szCs w:val="8"/>
                <w:color w:val="auto"/>
              </w:rPr>
              <w:t>1.</w:t>
            </w:r>
          </w:p>
        </w:tc>
        <w:tc>
          <w:tcPr>
            <w:tcW w:w="7400" w:type="dxa"/>
            <w:vAlign w:val="bottom"/>
          </w:tcPr>
          <w:p>
            <w:pPr>
              <w:ind w:left="180"/>
              <w:spacing w:after="0"/>
              <w:rPr>
                <w:sz w:val="20"/>
                <w:szCs w:val="20"/>
                <w:color w:val="auto"/>
              </w:rPr>
            </w:pPr>
            <w:r>
              <w:rPr>
                <w:rFonts w:ascii="Arial" w:cs="Arial" w:eastAsia="Arial" w:hAnsi="Arial"/>
                <w:sz w:val="9"/>
                <w:szCs w:val="9"/>
                <w:color w:val="auto"/>
              </w:rPr>
              <w:t xml:space="preserve">Gross margin equals </w:t>
            </w:r>
            <w:r>
              <w:rPr>
                <w:rFonts w:ascii="Arial" w:cs="Arial" w:eastAsia="Arial" w:hAnsi="Arial"/>
                <w:sz w:val="9"/>
                <w:szCs w:val="9"/>
                <w:i w:val="1"/>
                <w:iCs w:val="1"/>
                <w:color w:val="auto"/>
              </w:rPr>
              <w:t>Revenue</w:t>
            </w:r>
            <w:r>
              <w:rPr>
                <w:rFonts w:ascii="Arial" w:cs="Arial" w:eastAsia="Arial" w:hAnsi="Arial"/>
                <w:sz w:val="9"/>
                <w:szCs w:val="9"/>
                <w:color w:val="auto"/>
              </w:rPr>
              <w:t xml:space="preserve"> less </w:t>
            </w:r>
            <w:r>
              <w:rPr>
                <w:rFonts w:ascii="Arial" w:cs="Arial" w:eastAsia="Arial" w:hAnsi="Arial"/>
                <w:sz w:val="9"/>
                <w:szCs w:val="9"/>
                <w:i w:val="1"/>
                <w:iCs w:val="1"/>
                <w:color w:val="auto"/>
              </w:rPr>
              <w:t>Cost of revenue</w:t>
            </w:r>
            <w:r>
              <w:rPr>
                <w:rFonts w:ascii="Arial" w:cs="Arial" w:eastAsia="Arial" w:hAnsi="Arial"/>
                <w:sz w:val="9"/>
                <w:szCs w:val="9"/>
                <w:color w:val="auto"/>
              </w:rPr>
              <w:t>.</w:t>
            </w: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60" w:type="dxa"/>
            <w:vAlign w:val="bottom"/>
            <w:gridSpan w:val="2"/>
          </w:tcPr>
          <w:p>
            <w:pPr>
              <w:spacing w:after="0"/>
              <w:rPr>
                <w:sz w:val="20"/>
                <w:szCs w:val="20"/>
                <w:color w:val="auto"/>
              </w:rPr>
            </w:pPr>
            <w:r>
              <w:rPr>
                <w:rFonts w:ascii="Arial" w:cs="Arial" w:eastAsia="Arial" w:hAnsi="Arial"/>
                <w:sz w:val="8"/>
                <w:szCs w:val="8"/>
                <w:color w:val="auto"/>
              </w:rPr>
              <w:t>2.</w:t>
            </w:r>
          </w:p>
        </w:tc>
        <w:tc>
          <w:tcPr>
            <w:tcW w:w="7400" w:type="dxa"/>
            <w:vAlign w:val="bottom"/>
          </w:tcPr>
          <w:p>
            <w:pPr>
              <w:ind w:left="180"/>
              <w:spacing w:after="0" w:line="99" w:lineRule="exact"/>
              <w:rPr>
                <w:sz w:val="20"/>
                <w:szCs w:val="20"/>
                <w:color w:val="auto"/>
              </w:rPr>
            </w:pPr>
            <w:r>
              <w:rPr>
                <w:rFonts w:ascii="Arial" w:cs="Arial" w:eastAsia="Arial" w:hAnsi="Arial"/>
                <w:sz w:val="9"/>
                <w:szCs w:val="9"/>
                <w:color w:val="auto"/>
              </w:rPr>
              <w:t>Amounts may not add due to rounding.</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 w:type="dxa"/>
            <w:vAlign w:val="bottom"/>
            <w:gridSpan w:val="2"/>
          </w:tcPr>
          <w:p>
            <w:pPr>
              <w:spacing w:after="0"/>
              <w:rPr>
                <w:sz w:val="20"/>
                <w:szCs w:val="20"/>
                <w:color w:val="auto"/>
              </w:rPr>
            </w:pPr>
            <w:r>
              <w:rPr>
                <w:rFonts w:ascii="Arial" w:cs="Arial" w:eastAsia="Arial" w:hAnsi="Arial"/>
                <w:sz w:val="8"/>
                <w:szCs w:val="8"/>
                <w:color w:val="auto"/>
              </w:rPr>
              <w:t>3.</w:t>
            </w:r>
          </w:p>
        </w:tc>
        <w:tc>
          <w:tcPr>
            <w:tcW w:w="7400" w:type="dxa"/>
            <w:vAlign w:val="bottom"/>
          </w:tcPr>
          <w:p>
            <w:pPr>
              <w:ind w:left="180"/>
              <w:spacing w:after="0" w:line="99" w:lineRule="exact"/>
              <w:rPr>
                <w:sz w:val="20"/>
                <w:szCs w:val="20"/>
                <w:color w:val="auto"/>
              </w:rPr>
            </w:pPr>
            <w:r>
              <w:rPr>
                <w:rFonts w:ascii="Arial" w:cs="Arial" w:eastAsia="Arial" w:hAnsi="Arial"/>
                <w:sz w:val="9"/>
                <w:szCs w:val="9"/>
                <w:color w:val="auto"/>
              </w:rPr>
              <w:t>Net income in the first quarter of 2011 includes after-tax charges of $28 million.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 w:type="dxa"/>
            <w:vAlign w:val="bottom"/>
            <w:gridSpan w:val="2"/>
          </w:tcPr>
          <w:p>
            <w:pPr>
              <w:spacing w:after="0"/>
              <w:rPr>
                <w:sz w:val="20"/>
                <w:szCs w:val="20"/>
                <w:color w:val="auto"/>
              </w:rPr>
            </w:pPr>
            <w:r>
              <w:rPr>
                <w:rFonts w:ascii="Arial" w:cs="Arial" w:eastAsia="Arial" w:hAnsi="Arial"/>
                <w:sz w:val="8"/>
                <w:szCs w:val="8"/>
                <w:color w:val="auto"/>
              </w:rPr>
              <w:t>4.</w:t>
            </w:r>
          </w:p>
        </w:tc>
        <w:tc>
          <w:tcPr>
            <w:tcW w:w="7400" w:type="dxa"/>
            <w:vAlign w:val="bottom"/>
          </w:tcPr>
          <w:p>
            <w:pPr>
              <w:ind w:left="180"/>
              <w:spacing w:after="0" w:line="99" w:lineRule="exact"/>
              <w:rPr>
                <w:sz w:val="20"/>
                <w:szCs w:val="20"/>
                <w:color w:val="auto"/>
              </w:rPr>
            </w:pPr>
            <w:r>
              <w:rPr>
                <w:rFonts w:ascii="Arial" w:cs="Arial" w:eastAsia="Arial" w:hAnsi="Arial"/>
                <w:sz w:val="9"/>
                <w:szCs w:val="9"/>
                <w:color w:val="auto"/>
              </w:rPr>
              <w:t>Net income in the second quarter of 2011 includes after-tax charges of $64 million.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 w:type="dxa"/>
            <w:vAlign w:val="bottom"/>
            <w:gridSpan w:val="2"/>
          </w:tcPr>
          <w:p>
            <w:pPr>
              <w:spacing w:after="0"/>
              <w:rPr>
                <w:sz w:val="20"/>
                <w:szCs w:val="20"/>
                <w:color w:val="auto"/>
              </w:rPr>
            </w:pPr>
            <w:r>
              <w:rPr>
                <w:rFonts w:ascii="Arial" w:cs="Arial" w:eastAsia="Arial" w:hAnsi="Arial"/>
                <w:sz w:val="8"/>
                <w:szCs w:val="8"/>
                <w:color w:val="auto"/>
              </w:rPr>
              <w:t>5.</w:t>
            </w:r>
          </w:p>
        </w:tc>
        <w:tc>
          <w:tcPr>
            <w:tcW w:w="7400" w:type="dxa"/>
            <w:vAlign w:val="bottom"/>
          </w:tcPr>
          <w:p>
            <w:pPr>
              <w:ind w:left="180"/>
              <w:spacing w:after="0" w:line="99" w:lineRule="exact"/>
              <w:rPr>
                <w:sz w:val="20"/>
                <w:szCs w:val="20"/>
                <w:color w:val="auto"/>
              </w:rPr>
            </w:pPr>
            <w:r>
              <w:rPr>
                <w:rFonts w:ascii="Arial" w:cs="Arial" w:eastAsia="Arial" w:hAnsi="Arial"/>
                <w:sz w:val="9"/>
                <w:szCs w:val="9"/>
                <w:color w:val="auto"/>
              </w:rPr>
              <w:t>Net income in the third quarter of 2011 includes after-tax charges of $23 million.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 w:type="dxa"/>
            <w:vAlign w:val="bottom"/>
            <w:gridSpan w:val="2"/>
          </w:tcPr>
          <w:p>
            <w:pPr>
              <w:spacing w:after="0"/>
              <w:rPr>
                <w:sz w:val="20"/>
                <w:szCs w:val="20"/>
                <w:color w:val="auto"/>
              </w:rPr>
            </w:pPr>
            <w:r>
              <w:rPr>
                <w:rFonts w:ascii="Arial" w:cs="Arial" w:eastAsia="Arial" w:hAnsi="Arial"/>
                <w:sz w:val="8"/>
                <w:szCs w:val="8"/>
                <w:color w:val="auto"/>
              </w:rPr>
              <w:t>6.</w:t>
            </w:r>
          </w:p>
        </w:tc>
        <w:tc>
          <w:tcPr>
            <w:tcW w:w="7400" w:type="dxa"/>
            <w:vAlign w:val="bottom"/>
          </w:tcPr>
          <w:p>
            <w:pPr>
              <w:ind w:left="180"/>
              <w:spacing w:after="0" w:line="99" w:lineRule="exact"/>
              <w:rPr>
                <w:sz w:val="20"/>
                <w:szCs w:val="20"/>
                <w:color w:val="auto"/>
              </w:rPr>
            </w:pPr>
            <w:r>
              <w:rPr>
                <w:rFonts w:ascii="Arial" w:cs="Arial" w:eastAsia="Arial" w:hAnsi="Arial"/>
                <w:sz w:val="9"/>
                <w:szCs w:val="9"/>
                <w:color w:val="auto"/>
              </w:rPr>
              <w:t>Net income in the fourth quarter of 2011 includes after-tax charges of $80 million.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 w:type="dxa"/>
            <w:vAlign w:val="bottom"/>
            <w:gridSpan w:val="2"/>
          </w:tcPr>
          <w:p>
            <w:pPr>
              <w:spacing w:after="0"/>
              <w:rPr>
                <w:sz w:val="20"/>
                <w:szCs w:val="20"/>
                <w:color w:val="auto"/>
              </w:rPr>
            </w:pPr>
            <w:r>
              <w:rPr>
                <w:rFonts w:ascii="Arial" w:cs="Arial" w:eastAsia="Arial" w:hAnsi="Arial"/>
                <w:sz w:val="8"/>
                <w:szCs w:val="8"/>
                <w:color w:val="auto"/>
              </w:rPr>
              <w:t>7.</w:t>
            </w:r>
          </w:p>
        </w:tc>
        <w:tc>
          <w:tcPr>
            <w:tcW w:w="7400" w:type="dxa"/>
            <w:vAlign w:val="bottom"/>
          </w:tcPr>
          <w:p>
            <w:pPr>
              <w:ind w:left="180"/>
              <w:spacing w:after="0" w:line="99" w:lineRule="exact"/>
              <w:rPr>
                <w:sz w:val="20"/>
                <w:szCs w:val="20"/>
                <w:color w:val="auto"/>
              </w:rPr>
            </w:pPr>
            <w:r>
              <w:rPr>
                <w:rFonts w:ascii="Arial" w:cs="Arial" w:eastAsia="Arial" w:hAnsi="Arial"/>
                <w:sz w:val="9"/>
                <w:szCs w:val="9"/>
                <w:color w:val="auto"/>
              </w:rPr>
              <w:t>Net income in the first quarter of 2010 includes after-tax charges of $75 million.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 w:type="dxa"/>
            <w:vAlign w:val="bottom"/>
            <w:gridSpan w:val="2"/>
          </w:tcPr>
          <w:p>
            <w:pPr>
              <w:spacing w:after="0"/>
              <w:rPr>
                <w:sz w:val="20"/>
                <w:szCs w:val="20"/>
                <w:color w:val="auto"/>
              </w:rPr>
            </w:pPr>
            <w:r>
              <w:rPr>
                <w:rFonts w:ascii="Arial" w:cs="Arial" w:eastAsia="Arial" w:hAnsi="Arial"/>
                <w:sz w:val="8"/>
                <w:szCs w:val="8"/>
                <w:color w:val="auto"/>
              </w:rPr>
              <w:t>8.</w:t>
            </w:r>
          </w:p>
        </w:tc>
        <w:tc>
          <w:tcPr>
            <w:tcW w:w="7400" w:type="dxa"/>
            <w:vAlign w:val="bottom"/>
          </w:tcPr>
          <w:p>
            <w:pPr>
              <w:ind w:left="180"/>
              <w:spacing w:after="0" w:line="99" w:lineRule="exact"/>
              <w:rPr>
                <w:sz w:val="20"/>
                <w:szCs w:val="20"/>
                <w:color w:val="auto"/>
              </w:rPr>
            </w:pPr>
            <w:r>
              <w:rPr>
                <w:rFonts w:ascii="Arial" w:cs="Arial" w:eastAsia="Arial" w:hAnsi="Arial"/>
                <w:sz w:val="9"/>
                <w:szCs w:val="9"/>
                <w:color w:val="auto"/>
              </w:rPr>
              <w:t>Net income in the third quarter of 2010 includes net after-tax credits of $859 million.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60" w:type="dxa"/>
            <w:vAlign w:val="bottom"/>
            <w:gridSpan w:val="2"/>
          </w:tcPr>
          <w:p>
            <w:pPr>
              <w:spacing w:after="0"/>
              <w:rPr>
                <w:sz w:val="20"/>
                <w:szCs w:val="20"/>
                <w:color w:val="auto"/>
              </w:rPr>
            </w:pPr>
            <w:r>
              <w:rPr>
                <w:rFonts w:ascii="Arial" w:cs="Arial" w:eastAsia="Arial" w:hAnsi="Arial"/>
                <w:sz w:val="8"/>
                <w:szCs w:val="8"/>
                <w:color w:val="auto"/>
              </w:rPr>
              <w:t>9.</w:t>
            </w:r>
          </w:p>
        </w:tc>
        <w:tc>
          <w:tcPr>
            <w:tcW w:w="7400" w:type="dxa"/>
            <w:vAlign w:val="bottom"/>
          </w:tcPr>
          <w:p>
            <w:pPr>
              <w:ind w:left="180"/>
              <w:spacing w:after="0"/>
              <w:rPr>
                <w:sz w:val="20"/>
                <w:szCs w:val="20"/>
                <w:color w:val="auto"/>
              </w:rPr>
            </w:pPr>
            <w:r>
              <w:rPr>
                <w:rFonts w:ascii="Arial" w:cs="Arial" w:eastAsia="Arial" w:hAnsi="Arial"/>
                <w:sz w:val="9"/>
                <w:szCs w:val="9"/>
                <w:color w:val="auto"/>
              </w:rPr>
              <w:t>Net income in the fourth quarter of 2010 includes after-tax charges of $121 million.</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48" w:hanging="348"/>
        <w:spacing w:after="0"/>
        <w:tabs>
          <w:tab w:leader="none" w:pos="348" w:val="left"/>
        </w:tabs>
        <w:numPr>
          <w:ilvl w:val="0"/>
          <w:numId w:val="50"/>
        </w:numPr>
        <w:rPr>
          <w:rFonts w:ascii="Arial" w:cs="Arial" w:eastAsia="Arial" w:hAnsi="Arial"/>
          <w:sz w:val="9"/>
          <w:szCs w:val="9"/>
          <w:color w:val="auto"/>
        </w:rPr>
      </w:pPr>
      <w:r>
        <w:rPr>
          <w:rFonts w:ascii="Arial" w:cs="Arial" w:eastAsia="Arial" w:hAnsi="Arial"/>
          <w:sz w:val="9"/>
          <w:szCs w:val="9"/>
          <w:color w:val="auto"/>
        </w:rPr>
        <w:t>Mark of Schlumberger</w:t>
      </w:r>
    </w:p>
    <w:p>
      <w:pPr>
        <w:spacing w:after="0" w:line="130"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2"/>
          <w:szCs w:val="12"/>
          <w:b w:val="1"/>
          <w:bCs w:val="1"/>
          <w:u w:val="single" w:color="auto"/>
          <w:color w:val="auto"/>
        </w:rPr>
        <w:t>Item 9.</w:t>
      </w:r>
      <w:r>
        <w:rPr>
          <w:sz w:val="20"/>
          <w:szCs w:val="20"/>
          <w:color w:val="auto"/>
        </w:rPr>
        <w:tab/>
      </w:r>
      <w:r>
        <w:rPr>
          <w:rFonts w:ascii="Arial" w:cs="Arial" w:eastAsia="Arial" w:hAnsi="Arial"/>
          <w:sz w:val="9"/>
          <w:szCs w:val="9"/>
          <w:b w:val="1"/>
          <w:bCs w:val="1"/>
          <w:u w:val="single" w:color="auto"/>
          <w:color w:val="auto"/>
        </w:rPr>
        <w:t>Changes in and Disagreements with Accountants on Accounting and Financial Disclosure.</w:t>
      </w:r>
    </w:p>
    <w:p>
      <w:pPr>
        <w:spacing w:after="0" w:line="62" w:lineRule="exact"/>
        <w:rPr>
          <w:sz w:val="20"/>
          <w:szCs w:val="20"/>
          <w:color w:val="auto"/>
        </w:rPr>
      </w:pPr>
    </w:p>
    <w:p>
      <w:pPr>
        <w:ind w:left="228"/>
        <w:spacing w:after="0"/>
        <w:rPr>
          <w:sz w:val="20"/>
          <w:szCs w:val="20"/>
          <w:color w:val="auto"/>
        </w:rPr>
      </w:pPr>
      <w:r>
        <w:rPr>
          <w:rFonts w:ascii="Arial" w:cs="Arial" w:eastAsia="Arial" w:hAnsi="Arial"/>
          <w:sz w:val="12"/>
          <w:szCs w:val="12"/>
          <w:color w:val="auto"/>
        </w:rPr>
        <w:t>None.</w:t>
      </w:r>
    </w:p>
    <w:p>
      <w:pPr>
        <w:spacing w:after="0" w:line="58"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2"/>
          <w:szCs w:val="12"/>
          <w:b w:val="1"/>
          <w:bCs w:val="1"/>
          <w:u w:val="single" w:color="auto"/>
          <w:color w:val="auto"/>
        </w:rPr>
        <w:t>Item 9A.</w:t>
      </w:r>
      <w:r>
        <w:rPr>
          <w:sz w:val="20"/>
          <w:szCs w:val="20"/>
          <w:color w:val="auto"/>
        </w:rPr>
        <w:tab/>
      </w:r>
      <w:r>
        <w:rPr>
          <w:rFonts w:ascii="Arial" w:cs="Arial" w:eastAsia="Arial" w:hAnsi="Arial"/>
          <w:sz w:val="9"/>
          <w:szCs w:val="9"/>
          <w:b w:val="1"/>
          <w:bCs w:val="1"/>
          <w:u w:val="single" w:color="auto"/>
          <w:color w:val="auto"/>
        </w:rPr>
        <w:t>Controls and Procedures.</w:t>
      </w:r>
    </w:p>
    <w:p>
      <w:pPr>
        <w:spacing w:after="0" w:line="62" w:lineRule="exact"/>
        <w:rPr>
          <w:sz w:val="20"/>
          <w:szCs w:val="20"/>
          <w:color w:val="auto"/>
        </w:rPr>
      </w:pPr>
    </w:p>
    <w:p>
      <w:pPr>
        <w:ind w:left="8" w:right="20" w:firstLine="230"/>
        <w:spacing w:after="0" w:line="280" w:lineRule="auto"/>
        <w:rPr>
          <w:sz w:val="20"/>
          <w:szCs w:val="20"/>
          <w:color w:val="auto"/>
        </w:rPr>
      </w:pPr>
      <w:r>
        <w:rPr>
          <w:rFonts w:ascii="Arial" w:cs="Arial" w:eastAsia="Arial" w:hAnsi="Arial"/>
          <w:sz w:val="11"/>
          <w:szCs w:val="11"/>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fourth quarter of 2011 that has materially affected, or is reasonably likely to materially affect, Schlumberger’s internal control over financial reporting.</w:t>
      </w:r>
    </w:p>
    <w:p>
      <w:pPr>
        <w:spacing w:after="0" w:line="74"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73</w:t>
      </w:r>
    </w:p>
    <w:p>
      <w:pPr>
        <w:sectPr>
          <w:pgSz w:w="11900" w:h="16838" w:orient="portrait"/>
          <w:cols w:equalWidth="0" w:num="1">
            <w:col w:w="11488"/>
          </w:cols>
          <w:pgMar w:left="212" w:top="354" w:right="199"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9B.</w:t>
      </w:r>
      <w:r>
        <w:rPr>
          <w:sz w:val="20"/>
          <w:szCs w:val="20"/>
          <w:color w:val="auto"/>
        </w:rPr>
        <w:tab/>
      </w:r>
      <w:r>
        <w:rPr>
          <w:rFonts w:ascii="Arial" w:cs="Arial" w:eastAsia="Arial" w:hAnsi="Arial"/>
          <w:sz w:val="9"/>
          <w:szCs w:val="9"/>
          <w:b w:val="1"/>
          <w:bCs w:val="1"/>
          <w:u w:val="single" w:color="auto"/>
          <w:color w:val="auto"/>
        </w:rPr>
        <w:t>Other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III</w:t>
      </w:r>
    </w:p>
    <w:p>
      <w:pPr>
        <w:spacing w:after="0" w:line="141"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10.</w:t>
      </w:r>
      <w:r>
        <w:rPr>
          <w:sz w:val="20"/>
          <w:szCs w:val="20"/>
          <w:color w:val="auto"/>
        </w:rPr>
        <w:tab/>
      </w:r>
      <w:r>
        <w:rPr>
          <w:rFonts w:ascii="Arial" w:cs="Arial" w:eastAsia="Arial" w:hAnsi="Arial"/>
          <w:sz w:val="9"/>
          <w:szCs w:val="9"/>
          <w:b w:val="1"/>
          <w:bCs w:val="1"/>
          <w:u w:val="single" w:color="auto"/>
          <w:color w:val="auto"/>
        </w:rPr>
        <w:t>Directors, Executive Officers and Corporate Governance of Schlumberger.</w:t>
      </w:r>
    </w:p>
    <w:p>
      <w:pPr>
        <w:spacing w:after="0" w:line="62" w:lineRule="exact"/>
        <w:rPr>
          <w:sz w:val="20"/>
          <w:szCs w:val="20"/>
          <w:color w:val="auto"/>
        </w:rPr>
      </w:pPr>
    </w:p>
    <w:p>
      <w:pPr>
        <w:ind w:right="340" w:firstLine="230"/>
        <w:spacing w:after="0" w:line="339" w:lineRule="auto"/>
        <w:rPr>
          <w:sz w:val="20"/>
          <w:szCs w:val="20"/>
          <w:color w:val="auto"/>
        </w:rPr>
      </w:pPr>
      <w:r>
        <w:rPr>
          <w:rFonts w:ascii="Arial" w:cs="Arial" w:eastAsia="Arial" w:hAnsi="Arial"/>
          <w:sz w:val="9"/>
          <w:szCs w:val="9"/>
          <w:color w:val="auto"/>
        </w:rPr>
        <w:t>See “Item 1. Business – Executive Officers of Schlumberger” of this Report for Item 10 information regarding executive officers of Schlumberger. The information under the captions “Election of Directors,” “Section 16(a) Beneficial Ownership Reporting Compliance,” “Corporate Governance – Director Nominations” and “Corporate Governance – Board Committees – Audit Committee” in Schlumberger’s 2012 Proxy Statement is incorporated herein by reference.</w:t>
      </w:r>
    </w:p>
    <w:p>
      <w:pPr>
        <w:ind w:firstLine="230"/>
        <w:spacing w:after="0" w:line="255" w:lineRule="auto"/>
        <w:rPr>
          <w:sz w:val="20"/>
          <w:szCs w:val="20"/>
          <w:color w:val="auto"/>
        </w:rPr>
      </w:pPr>
      <w:r>
        <w:rPr>
          <w:rFonts w:ascii="Arial" w:cs="Arial" w:eastAsia="Arial" w:hAnsi="Arial"/>
          <w:sz w:val="12"/>
          <w:szCs w:val="12"/>
          <w:color w:val="auto"/>
        </w:rPr>
        <w:t xml:space="preserve">Schlumberger has adopted a Code of Ethics that applies to all of its directors, officers and employees, including its principal executive, financial and accounting officers, or persons performing similar functions. Schlumberger’s Code of Ethics is posted on its corporate governance website located at </w:t>
      </w:r>
      <w:r>
        <w:rPr>
          <w:rFonts w:ascii="Arial" w:cs="Arial" w:eastAsia="Arial" w:hAnsi="Arial"/>
          <w:sz w:val="12"/>
          <w:szCs w:val="12"/>
          <w:u w:val="single" w:color="auto"/>
          <w:color w:val="auto"/>
        </w:rPr>
        <w:t>www.slb.com/ir</w:t>
      </w:r>
      <w:r>
        <w:rPr>
          <w:rFonts w:ascii="Arial" w:cs="Arial" w:eastAsia="Arial" w:hAnsi="Arial"/>
          <w:sz w:val="12"/>
          <w:szCs w:val="12"/>
          <w:color w:val="auto"/>
        </w:rPr>
        <w:t xml:space="preserve">. In addition, amendments to the Code of Ethics and any grant of a waiver from a provision of the Code of Ethics requiring disclosure under applicable SEC rules will be disclosed on Schlumberger’s corporate governance website located at </w:t>
      </w:r>
      <w:r>
        <w:rPr>
          <w:rFonts w:ascii="Arial" w:cs="Arial" w:eastAsia="Arial" w:hAnsi="Arial"/>
          <w:sz w:val="12"/>
          <w:szCs w:val="12"/>
          <w:u w:val="single" w:color="auto"/>
          <w:color w:val="auto"/>
        </w:rPr>
        <w:t>www.slb.com/ir</w:t>
      </w:r>
      <w:r>
        <w:rPr>
          <w:rFonts w:ascii="Arial" w:cs="Arial" w:eastAsia="Arial" w:hAnsi="Arial"/>
          <w:sz w:val="12"/>
          <w:szCs w:val="12"/>
          <w:color w:val="auto"/>
        </w:rPr>
        <w:t>.</w:t>
      </w:r>
    </w:p>
    <w:p>
      <w:pPr>
        <w:spacing w:after="0" w:line="121"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11.</w:t>
      </w:r>
      <w:r>
        <w:rPr>
          <w:sz w:val="20"/>
          <w:szCs w:val="20"/>
          <w:color w:val="auto"/>
        </w:rPr>
        <w:tab/>
      </w:r>
      <w:r>
        <w:rPr>
          <w:rFonts w:ascii="Arial" w:cs="Arial" w:eastAsia="Arial" w:hAnsi="Arial"/>
          <w:sz w:val="9"/>
          <w:szCs w:val="9"/>
          <w:b w:val="1"/>
          <w:bCs w:val="1"/>
          <w:u w:val="single" w:color="auto"/>
          <w:color w:val="auto"/>
        </w:rPr>
        <w:t>Executive Compensation.</w:t>
      </w:r>
    </w:p>
    <w:p>
      <w:pPr>
        <w:spacing w:after="0" w:line="62" w:lineRule="exact"/>
        <w:rPr>
          <w:sz w:val="20"/>
          <w:szCs w:val="20"/>
          <w:color w:val="auto"/>
        </w:rPr>
      </w:pPr>
    </w:p>
    <w:p>
      <w:pPr>
        <w:ind w:right="20" w:firstLine="230"/>
        <w:spacing w:after="0" w:line="268" w:lineRule="auto"/>
        <w:rPr>
          <w:sz w:val="20"/>
          <w:szCs w:val="20"/>
          <w:color w:val="auto"/>
        </w:rPr>
      </w:pPr>
      <w:r>
        <w:rPr>
          <w:rFonts w:ascii="Arial" w:cs="Arial" w:eastAsia="Arial" w:hAnsi="Arial"/>
          <w:sz w:val="12"/>
          <w:szCs w:val="12"/>
          <w:color w:val="auto"/>
        </w:rPr>
        <w:t>The information set forth under the captions “Compensation Discussion and Analysis,” “Executive Compensation Tables and Accompanying Narrative,” “Compensation Committee Report” and “Director Compensation in Fiscal Year 2011” in Schlumberger’s 2012 Proxy Statement is incorporated herein by reference.</w:t>
      </w:r>
    </w:p>
    <w:p>
      <w:pPr>
        <w:spacing w:after="0" w:line="113"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12.</w:t>
      </w:r>
      <w:r>
        <w:rPr>
          <w:sz w:val="20"/>
          <w:szCs w:val="20"/>
          <w:color w:val="auto"/>
        </w:rPr>
        <w:tab/>
      </w:r>
      <w:r>
        <w:rPr>
          <w:rFonts w:ascii="Arial" w:cs="Arial" w:eastAsia="Arial" w:hAnsi="Arial"/>
          <w:sz w:val="9"/>
          <w:szCs w:val="9"/>
          <w:b w:val="1"/>
          <w:bCs w:val="1"/>
          <w:u w:val="single" w:color="auto"/>
          <w:color w:val="auto"/>
        </w:rPr>
        <w:t>Security Ownership of Certain Beneficial Owners and Management and Related Stockholder Matters.</w:t>
      </w:r>
    </w:p>
    <w:p>
      <w:pPr>
        <w:spacing w:after="0" w:line="62" w:lineRule="exact"/>
        <w:rPr>
          <w:sz w:val="20"/>
          <w:szCs w:val="20"/>
          <w:color w:val="auto"/>
        </w:rPr>
      </w:pPr>
    </w:p>
    <w:p>
      <w:pPr>
        <w:ind w:right="20" w:firstLine="230"/>
        <w:spacing w:after="0" w:line="268" w:lineRule="auto"/>
        <w:rPr>
          <w:sz w:val="20"/>
          <w:szCs w:val="20"/>
          <w:color w:val="auto"/>
        </w:rPr>
      </w:pPr>
      <w:r>
        <w:rPr>
          <w:rFonts w:ascii="Arial" w:cs="Arial" w:eastAsia="Arial" w:hAnsi="Arial"/>
          <w:sz w:val="12"/>
          <w:szCs w:val="12"/>
          <w:color w:val="auto"/>
        </w:rPr>
        <w:t>The information under the captions “Stock Ownership Information – Security Ownership by Certain Beneficial Owners,” “Stock Ownership Information – Security Ownership by Management” and “Equity Compensation Plan Information” in Schlumberger’s 2012 Proxy Statement is incorporated herein by reference.</w:t>
      </w:r>
    </w:p>
    <w:p>
      <w:pPr>
        <w:spacing w:after="0" w:line="113"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13.</w:t>
      </w:r>
      <w:r>
        <w:rPr>
          <w:sz w:val="20"/>
          <w:szCs w:val="20"/>
          <w:color w:val="auto"/>
        </w:rPr>
        <w:tab/>
      </w:r>
      <w:r>
        <w:rPr>
          <w:rFonts w:ascii="Arial" w:cs="Arial" w:eastAsia="Arial" w:hAnsi="Arial"/>
          <w:sz w:val="9"/>
          <w:szCs w:val="9"/>
          <w:b w:val="1"/>
          <w:bCs w:val="1"/>
          <w:u w:val="single" w:color="auto"/>
          <w:color w:val="auto"/>
        </w:rPr>
        <w:t>Certain Relationships and Related Transactions, and Director Independence.</w:t>
      </w:r>
    </w:p>
    <w:p>
      <w:pPr>
        <w:spacing w:after="0" w:line="62" w:lineRule="exact"/>
        <w:rPr>
          <w:sz w:val="20"/>
          <w:szCs w:val="20"/>
          <w:color w:val="auto"/>
        </w:rPr>
      </w:pPr>
    </w:p>
    <w:p>
      <w:pPr>
        <w:ind w:right="520" w:firstLine="230"/>
        <w:spacing w:after="0" w:line="268" w:lineRule="auto"/>
        <w:rPr>
          <w:sz w:val="20"/>
          <w:szCs w:val="20"/>
          <w:color w:val="auto"/>
        </w:rPr>
      </w:pPr>
      <w:r>
        <w:rPr>
          <w:rFonts w:ascii="Arial" w:cs="Arial" w:eastAsia="Arial" w:hAnsi="Arial"/>
          <w:sz w:val="12"/>
          <w:szCs w:val="12"/>
          <w:color w:val="auto"/>
        </w:rPr>
        <w:t>The information under the captions “Corporate Governance – Board Independence” and “Corporate Governance – Policies and Procedures for Approval of Related Person Transactions” in Schlumberger’s 2012 Proxy Statement is incorporated herein by reference.</w:t>
      </w:r>
    </w:p>
    <w:p>
      <w:pPr>
        <w:spacing w:after="0" w:line="113"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u w:val="single" w:color="auto"/>
          <w:color w:val="auto"/>
        </w:rPr>
        <w:t>Item 14.</w:t>
      </w:r>
      <w:r>
        <w:rPr>
          <w:sz w:val="20"/>
          <w:szCs w:val="20"/>
          <w:color w:val="auto"/>
        </w:rPr>
        <w:tab/>
      </w:r>
      <w:r>
        <w:rPr>
          <w:rFonts w:ascii="Arial" w:cs="Arial" w:eastAsia="Arial" w:hAnsi="Arial"/>
          <w:sz w:val="9"/>
          <w:szCs w:val="9"/>
          <w:b w:val="1"/>
          <w:bCs w:val="1"/>
          <w:u w:val="single" w:color="auto"/>
          <w:color w:val="auto"/>
        </w:rPr>
        <w:t>Principal Accounting Fees and Services.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information under the caption “Appointment of Independent Registered Public Accounting Firm” in Schlumberger’s 2012 Proxy Statement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IV</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 w:type="dxa"/>
            <w:vAlign w:val="bottom"/>
            <w:gridSpan w:val="2"/>
          </w:tcPr>
          <w:p>
            <w:pPr>
              <w:spacing w:after="0"/>
              <w:rPr>
                <w:sz w:val="20"/>
                <w:szCs w:val="20"/>
                <w:color w:val="auto"/>
              </w:rPr>
            </w:pPr>
            <w:r>
              <w:rPr>
                <w:rFonts w:ascii="Arial" w:cs="Arial" w:eastAsia="Arial" w:hAnsi="Arial"/>
                <w:sz w:val="12"/>
                <w:szCs w:val="12"/>
                <w:b w:val="1"/>
                <w:bCs w:val="1"/>
                <w:color w:val="auto"/>
                <w:w w:val="89"/>
              </w:rPr>
              <w:t>Item 15.</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gridSpan w:val="4"/>
          </w:tcPr>
          <w:p>
            <w:pPr>
              <w:spacing w:after="0"/>
              <w:rPr>
                <w:sz w:val="20"/>
                <w:szCs w:val="20"/>
                <w:color w:val="auto"/>
              </w:rPr>
            </w:pPr>
            <w:r>
              <w:rPr>
                <w:rFonts w:ascii="Arial" w:cs="Arial" w:eastAsia="Arial" w:hAnsi="Arial"/>
                <w:sz w:val="12"/>
                <w:szCs w:val="12"/>
                <w:b w:val="1"/>
                <w:bCs w:val="1"/>
                <w:color w:val="auto"/>
              </w:rPr>
              <w:t>Exhibits and Financial Statement Schedules.</w:t>
            </w:r>
          </w:p>
        </w:tc>
        <w:tc>
          <w:tcPr>
            <w:tcW w:w="7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20"/>
                <w:szCs w:val="20"/>
                <w:color w:val="auto"/>
              </w:rPr>
            </w:pPr>
            <w:r>
              <w:rPr>
                <w:rFonts w:ascii="Arial" w:cs="Arial" w:eastAsia="Arial" w:hAnsi="Arial"/>
                <w:sz w:val="12"/>
                <w:szCs w:val="12"/>
                <w:color w:val="auto"/>
              </w:rPr>
              <w:t>(a)</w:t>
            </w:r>
          </w:p>
        </w:tc>
        <w:tc>
          <w:tcPr>
            <w:tcW w:w="20" w:type="dxa"/>
            <w:vAlign w:val="bottom"/>
          </w:tcPr>
          <w:p>
            <w:pPr>
              <w:spacing w:after="0"/>
              <w:rPr>
                <w:sz w:val="17"/>
                <w:szCs w:val="17"/>
                <w:color w:val="auto"/>
              </w:rPr>
            </w:pPr>
          </w:p>
        </w:tc>
        <w:tc>
          <w:tcPr>
            <w:tcW w:w="3620" w:type="dxa"/>
            <w:vAlign w:val="bottom"/>
            <w:gridSpan w:val="6"/>
          </w:tcPr>
          <w:p>
            <w:pPr>
              <w:ind w:left="40"/>
              <w:spacing w:after="0"/>
              <w:rPr>
                <w:sz w:val="20"/>
                <w:szCs w:val="20"/>
                <w:color w:val="auto"/>
              </w:rPr>
            </w:pPr>
            <w:r>
              <w:rPr>
                <w:rFonts w:ascii="Arial" w:cs="Arial" w:eastAsia="Arial" w:hAnsi="Arial"/>
                <w:sz w:val="12"/>
                <w:szCs w:val="12"/>
                <w:color w:val="auto"/>
              </w:rPr>
              <w:t>The following documents are filed as part of this Report:</w:t>
            </w:r>
          </w:p>
        </w:tc>
        <w:tc>
          <w:tcPr>
            <w:tcW w:w="7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20" w:type="dxa"/>
            <w:vAlign w:val="bottom"/>
          </w:tcPr>
          <w:p>
            <w:pPr>
              <w:spacing w:after="0"/>
              <w:rPr>
                <w:sz w:val="21"/>
                <w:szCs w:val="21"/>
                <w:color w:val="auto"/>
              </w:rPr>
            </w:pPr>
          </w:p>
        </w:tc>
        <w:tc>
          <w:tcPr>
            <w:tcW w:w="3620" w:type="dxa"/>
            <w:vAlign w:val="bottom"/>
            <w:gridSpan w:val="6"/>
            <w:vMerge w:val="restart"/>
          </w:tcPr>
          <w:p>
            <w:pPr>
              <w:ind w:left="60"/>
              <w:spacing w:after="0"/>
              <w:rPr>
                <w:sz w:val="20"/>
                <w:szCs w:val="20"/>
                <w:color w:val="auto"/>
              </w:rPr>
            </w:pPr>
            <w:r>
              <w:rPr>
                <w:rFonts w:ascii="Arial" w:cs="Arial" w:eastAsia="Arial" w:hAnsi="Arial"/>
                <w:sz w:val="9"/>
                <w:szCs w:val="9"/>
                <w:color w:val="auto"/>
              </w:rPr>
              <w:t>Financial Statements</w:t>
            </w:r>
          </w:p>
        </w:tc>
        <w:tc>
          <w:tcPr>
            <w:tcW w:w="7140" w:type="dxa"/>
            <w:vAlign w:val="bottom"/>
          </w:tcPr>
          <w:p>
            <w:pPr>
              <w:ind w:left="6860"/>
              <w:spacing w:after="0"/>
              <w:rPr>
                <w:sz w:val="20"/>
                <w:szCs w:val="20"/>
                <w:color w:val="auto"/>
              </w:rPr>
            </w:pPr>
            <w:r>
              <w:rPr>
                <w:rFonts w:ascii="Arial" w:cs="Arial" w:eastAsia="Arial" w:hAnsi="Arial"/>
                <w:sz w:val="9"/>
                <w:szCs w:val="9"/>
                <w:b w:val="1"/>
                <w:bCs w:val="1"/>
                <w:color w:val="auto"/>
                <w:w w:val="79"/>
              </w:rPr>
              <w:t>Page(s)</w:t>
            </w:r>
          </w:p>
        </w:tc>
        <w:tc>
          <w:tcPr>
            <w:tcW w:w="0" w:type="dxa"/>
            <w:vAlign w:val="bottom"/>
          </w:tcPr>
          <w:p>
            <w:pPr>
              <w:spacing w:after="0"/>
              <w:rPr>
                <w:sz w:val="1"/>
                <w:szCs w:val="1"/>
                <w:color w:val="auto"/>
              </w:rPr>
            </w:pPr>
          </w:p>
        </w:tc>
      </w:tr>
      <w:tr>
        <w:trPr>
          <w:trHeight w:val="84"/>
        </w:trPr>
        <w:tc>
          <w:tcPr>
            <w:tcW w:w="4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620" w:type="dxa"/>
            <w:vAlign w:val="bottom"/>
            <w:gridSpan w:val="6"/>
            <w:vMerge w:val="continue"/>
          </w:tcPr>
          <w:p>
            <w:pPr>
              <w:spacing w:after="0"/>
              <w:rPr>
                <w:sz w:val="7"/>
                <w:szCs w:val="7"/>
                <w:color w:val="auto"/>
              </w:rPr>
            </w:pPr>
          </w:p>
        </w:tc>
        <w:tc>
          <w:tcPr>
            <w:tcW w:w="7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80" w:type="dxa"/>
            <w:vAlign w:val="bottom"/>
            <w:gridSpan w:val="5"/>
          </w:tcPr>
          <w:p>
            <w:pPr>
              <w:spacing w:after="0" w:line="98" w:lineRule="exact"/>
              <w:rPr>
                <w:rFonts w:ascii="Arial" w:cs="Arial" w:eastAsia="Arial" w:hAnsi="Arial"/>
                <w:sz w:val="9"/>
                <w:szCs w:val="9"/>
                <w:color w:val="0000EE"/>
              </w:rPr>
            </w:pPr>
            <w:hyperlink w:anchor="page33">
              <w:r>
                <w:rPr>
                  <w:rFonts w:ascii="Arial" w:cs="Arial" w:eastAsia="Arial" w:hAnsi="Arial"/>
                  <w:sz w:val="9"/>
                  <w:szCs w:val="9"/>
                  <w:color w:val="0000EE"/>
                </w:rPr>
                <w:t>Consolidated Statement of Income for the three years ended December 31, 2011</w:t>
              </w:r>
            </w:hyperlink>
          </w:p>
        </w:tc>
        <w:tc>
          <w:tcPr>
            <w:tcW w:w="7140" w:type="dxa"/>
            <w:vAlign w:val="bottom"/>
          </w:tcPr>
          <w:p>
            <w:pPr>
              <w:ind w:left="6860"/>
              <w:spacing w:after="0" w:line="98" w:lineRule="exact"/>
              <w:rPr>
                <w:sz w:val="20"/>
                <w:szCs w:val="20"/>
                <w:color w:val="auto"/>
              </w:rPr>
            </w:pPr>
            <w:r>
              <w:rPr>
                <w:rFonts w:ascii="Arial" w:cs="Arial" w:eastAsia="Arial" w:hAnsi="Arial"/>
                <w:sz w:val="9"/>
                <w:szCs w:val="9"/>
                <w:color w:val="auto"/>
              </w:rPr>
              <w:t>33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40" w:type="dxa"/>
            <w:vAlign w:val="bottom"/>
            <w:vMerge w:val="restart"/>
          </w:tcPr>
          <w:p>
            <w:pPr>
              <w:ind w:left="6860"/>
              <w:spacing w:after="0" w:line="99" w:lineRule="exact"/>
              <w:rPr>
                <w:sz w:val="20"/>
                <w:szCs w:val="20"/>
                <w:color w:val="auto"/>
              </w:rPr>
            </w:pPr>
            <w:r>
              <w:rPr>
                <w:rFonts w:ascii="Arial" w:cs="Arial" w:eastAsia="Arial" w:hAnsi="Arial"/>
                <w:sz w:val="9"/>
                <w:szCs w:val="9"/>
                <w:color w:val="auto"/>
              </w:rPr>
              <w:t>34</w:t>
            </w:r>
          </w:p>
        </w:tc>
        <w:tc>
          <w:tcPr>
            <w:tcW w:w="0" w:type="dxa"/>
            <w:vAlign w:val="bottom"/>
          </w:tcPr>
          <w:p>
            <w:pPr>
              <w:spacing w:after="0" w:line="20" w:lineRule="exact"/>
              <w:rPr>
                <w:sz w:val="1"/>
                <w:szCs w:val="1"/>
                <w:color w:val="auto"/>
              </w:rPr>
            </w:pPr>
          </w:p>
        </w:tc>
      </w:tr>
      <w:tr>
        <w:trPr>
          <w:trHeight w:val="79"/>
        </w:trPr>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80" w:type="dxa"/>
            <w:vAlign w:val="bottom"/>
            <w:tcBorders>
              <w:bottom w:val="single" w:sz="8" w:color="0000EE"/>
            </w:tcBorders>
            <w:gridSpan w:val="5"/>
          </w:tcPr>
          <w:p>
            <w:pPr>
              <w:spacing w:after="0" w:line="79" w:lineRule="exact"/>
              <w:rPr>
                <w:rFonts w:ascii="Arial" w:cs="Arial" w:eastAsia="Arial" w:hAnsi="Arial"/>
                <w:sz w:val="9"/>
                <w:szCs w:val="9"/>
                <w:color w:val="0000EE"/>
                <w:w w:val="89"/>
              </w:rPr>
            </w:pPr>
            <w:hyperlink w:anchor="page34">
              <w:r>
                <w:rPr>
                  <w:rFonts w:ascii="Arial" w:cs="Arial" w:eastAsia="Arial" w:hAnsi="Arial"/>
                  <w:sz w:val="9"/>
                  <w:szCs w:val="9"/>
                  <w:color w:val="0000EE"/>
                  <w:w w:val="89"/>
                </w:rPr>
                <w:t>Consolidated Statement of Comprehensive Income for the three years ended December 31, 2011</w:t>
              </w:r>
            </w:hyperlink>
          </w:p>
        </w:tc>
        <w:tc>
          <w:tcPr>
            <w:tcW w:w="7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80" w:type="dxa"/>
            <w:vAlign w:val="bottom"/>
            <w:gridSpan w:val="5"/>
          </w:tcPr>
          <w:p>
            <w:pPr>
              <w:spacing w:after="0" w:line="79" w:lineRule="exact"/>
              <w:rPr>
                <w:rFonts w:ascii="Arial" w:cs="Arial" w:eastAsia="Arial" w:hAnsi="Arial"/>
                <w:sz w:val="9"/>
                <w:szCs w:val="9"/>
                <w:color w:val="0000EE"/>
              </w:rPr>
            </w:pPr>
            <w:hyperlink w:anchor="page35">
              <w:r>
                <w:rPr>
                  <w:rFonts w:ascii="Arial" w:cs="Arial" w:eastAsia="Arial" w:hAnsi="Arial"/>
                  <w:sz w:val="9"/>
                  <w:szCs w:val="9"/>
                  <w:color w:val="0000EE"/>
                </w:rPr>
                <w:t>Consolidated Balance Sheet at December 31, 2011 and 2010</w:t>
              </w:r>
            </w:hyperlink>
          </w:p>
        </w:tc>
        <w:tc>
          <w:tcPr>
            <w:tcW w:w="7140" w:type="dxa"/>
            <w:vAlign w:val="bottom"/>
          </w:tcPr>
          <w:p>
            <w:pPr>
              <w:ind w:left="6860"/>
              <w:spacing w:after="0" w:line="79" w:lineRule="exact"/>
              <w:rPr>
                <w:sz w:val="20"/>
                <w:szCs w:val="20"/>
                <w:color w:val="auto"/>
              </w:rPr>
            </w:pPr>
            <w:r>
              <w:rPr>
                <w:rFonts w:ascii="Arial" w:cs="Arial" w:eastAsia="Arial" w:hAnsi="Arial"/>
                <w:sz w:val="9"/>
                <w:szCs w:val="9"/>
                <w:color w:val="auto"/>
              </w:rPr>
              <w:t>35</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82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140" w:type="dxa"/>
            <w:vAlign w:val="bottom"/>
          </w:tcPr>
          <w:p>
            <w:pPr>
              <w:ind w:left="1640"/>
              <w:spacing w:after="0"/>
              <w:rPr>
                <w:sz w:val="20"/>
                <w:szCs w:val="20"/>
                <w:color w:val="auto"/>
              </w:rPr>
            </w:pPr>
            <w:r>
              <w:rPr>
                <w:rFonts w:ascii="Arial" w:cs="Arial" w:eastAsia="Arial" w:hAnsi="Arial"/>
                <w:sz w:val="9"/>
                <w:szCs w:val="9"/>
                <w:color w:val="auto"/>
              </w:rPr>
              <w:t>74</w:t>
            </w: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103"/>
        </w:trPr>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780" w:type="dxa"/>
            <w:vAlign w:val="bottom"/>
          </w:tcPr>
          <w:p>
            <w:pPr>
              <w:ind w:left="3440"/>
              <w:spacing w:after="0"/>
              <w:rPr>
                <w:sz w:val="20"/>
                <w:szCs w:val="20"/>
                <w:color w:val="auto"/>
              </w:rPr>
            </w:pPr>
            <w:r>
              <w:rPr>
                <w:rFonts w:ascii="Arial" w:cs="Arial" w:eastAsia="Arial" w:hAnsi="Arial"/>
                <w:sz w:val="9"/>
                <w:szCs w:val="9"/>
                <w:b w:val="1"/>
                <w:bCs w:val="1"/>
                <w:color w:val="auto"/>
                <w:w w:val="98"/>
              </w:rPr>
              <w:t>Page(s)</w:t>
            </w:r>
          </w:p>
        </w:tc>
      </w:tr>
      <w:tr>
        <w:trPr>
          <w:trHeight w:val="97"/>
        </w:trPr>
        <w:tc>
          <w:tcPr>
            <w:tcW w:w="6800" w:type="dxa"/>
            <w:vAlign w:val="bottom"/>
            <w:gridSpan w:val="6"/>
          </w:tcPr>
          <w:p>
            <w:pPr>
              <w:spacing w:after="0" w:line="98" w:lineRule="exact"/>
              <w:rPr>
                <w:rFonts w:ascii="Arial" w:cs="Arial" w:eastAsia="Arial" w:hAnsi="Arial"/>
                <w:sz w:val="9"/>
                <w:szCs w:val="9"/>
                <w:color w:val="0000EE"/>
              </w:rPr>
            </w:pPr>
            <w:hyperlink w:anchor="page36">
              <w:r>
                <w:rPr>
                  <w:rFonts w:ascii="Arial" w:cs="Arial" w:eastAsia="Arial" w:hAnsi="Arial"/>
                  <w:sz w:val="9"/>
                  <w:szCs w:val="9"/>
                  <w:color w:val="0000EE"/>
                </w:rPr>
                <w:t>Consolidated Statement of Cash Flows for the three years ended December 31, 2011</w:t>
              </w:r>
            </w:hyperlink>
          </w:p>
        </w:tc>
        <w:tc>
          <w:tcPr>
            <w:tcW w:w="3780" w:type="dxa"/>
            <w:vAlign w:val="bottom"/>
          </w:tcPr>
          <w:p>
            <w:pPr>
              <w:ind w:left="3440"/>
              <w:spacing w:after="0" w:line="98" w:lineRule="exact"/>
              <w:rPr>
                <w:sz w:val="20"/>
                <w:szCs w:val="20"/>
                <w:color w:val="auto"/>
              </w:rPr>
            </w:pPr>
            <w:r>
              <w:rPr>
                <w:rFonts w:ascii="Arial" w:cs="Arial" w:eastAsia="Arial" w:hAnsi="Arial"/>
                <w:sz w:val="9"/>
                <w:szCs w:val="9"/>
                <w:color w:val="auto"/>
              </w:rPr>
              <w:t>36</w:t>
            </w:r>
          </w:p>
        </w:tc>
      </w:tr>
      <w:tr>
        <w:trPr>
          <w:trHeight w:val="79"/>
        </w:trPr>
        <w:tc>
          <w:tcPr>
            <w:tcW w:w="3040" w:type="dxa"/>
            <w:vAlign w:val="bottom"/>
            <w:tcBorders>
              <w:top w:val="single" w:sz="8" w:color="0000EE"/>
            </w:tcBorders>
            <w:gridSpan w:val="4"/>
          </w:tcPr>
          <w:p>
            <w:pPr>
              <w:spacing w:after="0" w:line="79" w:lineRule="exact"/>
              <w:rPr>
                <w:rFonts w:ascii="Arial" w:cs="Arial" w:eastAsia="Arial" w:hAnsi="Arial"/>
                <w:sz w:val="9"/>
                <w:szCs w:val="9"/>
                <w:color w:val="0000EE"/>
                <w:w w:val="89"/>
              </w:rPr>
            </w:pPr>
            <w:hyperlink w:anchor="page37">
              <w:r>
                <w:rPr>
                  <w:rFonts w:ascii="Arial" w:cs="Arial" w:eastAsia="Arial" w:hAnsi="Arial"/>
                  <w:sz w:val="9"/>
                  <w:szCs w:val="9"/>
                  <w:color w:val="0000EE"/>
                  <w:w w:val="89"/>
                </w:rPr>
                <w:t>Consolidated Statement of Stockholders’ Equity for the three years ended December</w:t>
              </w:r>
            </w:hyperlink>
          </w:p>
        </w:tc>
        <w:tc>
          <w:tcPr>
            <w:tcW w:w="3760" w:type="dxa"/>
            <w:vAlign w:val="bottom"/>
            <w:gridSpan w:val="2"/>
          </w:tcPr>
          <w:p>
            <w:pPr>
              <w:jc w:val="right"/>
              <w:ind w:right="3420"/>
              <w:spacing w:after="0" w:line="79" w:lineRule="exact"/>
              <w:rPr>
                <w:rFonts w:ascii="Arial" w:cs="Arial" w:eastAsia="Arial" w:hAnsi="Arial"/>
                <w:sz w:val="9"/>
                <w:szCs w:val="9"/>
                <w:color w:val="0000EE"/>
                <w:w w:val="91"/>
              </w:rPr>
            </w:pPr>
            <w:hyperlink w:anchor="page37">
              <w:r>
                <w:rPr>
                  <w:rFonts w:ascii="Arial" w:cs="Arial" w:eastAsia="Arial" w:hAnsi="Arial"/>
                  <w:sz w:val="9"/>
                  <w:szCs w:val="9"/>
                  <w:color w:val="0000EE"/>
                  <w:w w:val="91"/>
                </w:rPr>
                <w:t>31, 2011</w:t>
              </w:r>
            </w:hyperlink>
          </w:p>
        </w:tc>
        <w:tc>
          <w:tcPr>
            <w:tcW w:w="3780" w:type="dxa"/>
            <w:vAlign w:val="bottom"/>
          </w:tcPr>
          <w:p>
            <w:pPr>
              <w:ind w:left="3440"/>
              <w:spacing w:after="0" w:line="79" w:lineRule="exact"/>
              <w:rPr>
                <w:sz w:val="20"/>
                <w:szCs w:val="20"/>
                <w:color w:val="auto"/>
              </w:rPr>
            </w:pPr>
            <w:r>
              <w:rPr>
                <w:rFonts w:ascii="Arial" w:cs="Arial" w:eastAsia="Arial" w:hAnsi="Arial"/>
                <w:sz w:val="9"/>
                <w:szCs w:val="9"/>
                <w:color w:val="auto"/>
                <w:w w:val="79"/>
              </w:rPr>
              <w:t>37 and 38</w:t>
            </w:r>
          </w:p>
        </w:tc>
      </w:tr>
      <w:tr>
        <w:trPr>
          <w:trHeight w:val="79"/>
        </w:trPr>
        <w:tc>
          <w:tcPr>
            <w:tcW w:w="3380" w:type="dxa"/>
            <w:vAlign w:val="bottom"/>
            <w:tcBorders>
              <w:top w:val="single" w:sz="8" w:color="0000EE"/>
            </w:tcBorders>
            <w:gridSpan w:val="5"/>
          </w:tcPr>
          <w:p>
            <w:pPr>
              <w:spacing w:after="0" w:line="79" w:lineRule="exact"/>
              <w:rPr>
                <w:rFonts w:ascii="Arial" w:cs="Arial" w:eastAsia="Arial" w:hAnsi="Arial"/>
                <w:sz w:val="9"/>
                <w:szCs w:val="9"/>
                <w:color w:val="0000EE"/>
              </w:rPr>
            </w:pPr>
            <w:hyperlink w:anchor="page39">
              <w:r>
                <w:rPr>
                  <w:rFonts w:ascii="Arial" w:cs="Arial" w:eastAsia="Arial" w:hAnsi="Arial"/>
                  <w:sz w:val="9"/>
                  <w:szCs w:val="9"/>
                  <w:color w:val="0000EE"/>
                </w:rPr>
                <w:t>Notes to Consolidated Financial Statements</w:t>
              </w:r>
            </w:hyperlink>
          </w:p>
        </w:tc>
        <w:tc>
          <w:tcPr>
            <w:tcW w:w="3420" w:type="dxa"/>
            <w:vAlign w:val="bottom"/>
          </w:tcPr>
          <w:p>
            <w:pPr>
              <w:spacing w:after="0"/>
              <w:rPr>
                <w:sz w:val="6"/>
                <w:szCs w:val="6"/>
                <w:color w:val="auto"/>
              </w:rPr>
            </w:pPr>
          </w:p>
        </w:tc>
        <w:tc>
          <w:tcPr>
            <w:tcW w:w="3780" w:type="dxa"/>
            <w:vAlign w:val="bottom"/>
          </w:tcPr>
          <w:p>
            <w:pPr>
              <w:ind w:left="3440"/>
              <w:spacing w:after="0" w:line="79" w:lineRule="exact"/>
              <w:rPr>
                <w:sz w:val="20"/>
                <w:szCs w:val="20"/>
                <w:color w:val="auto"/>
              </w:rPr>
            </w:pPr>
            <w:r>
              <w:rPr>
                <w:rFonts w:ascii="Arial" w:cs="Arial" w:eastAsia="Arial" w:hAnsi="Arial"/>
                <w:sz w:val="9"/>
                <w:szCs w:val="9"/>
                <w:color w:val="auto"/>
                <w:w w:val="98"/>
              </w:rPr>
              <w:t>39 to 71</w:t>
            </w:r>
          </w:p>
        </w:tc>
      </w:tr>
      <w:tr>
        <w:trPr>
          <w:trHeight w:val="79"/>
        </w:trPr>
        <w:tc>
          <w:tcPr>
            <w:tcW w:w="1560" w:type="dxa"/>
            <w:vAlign w:val="bottom"/>
            <w:tcBorders>
              <w:top w:val="single" w:sz="8" w:color="0000EE"/>
            </w:tcBorders>
            <w:gridSpan w:val="2"/>
          </w:tcPr>
          <w:p>
            <w:pPr>
              <w:spacing w:after="0" w:line="79" w:lineRule="exact"/>
              <w:rPr>
                <w:rFonts w:ascii="Arial" w:cs="Arial" w:eastAsia="Arial" w:hAnsi="Arial"/>
                <w:sz w:val="9"/>
                <w:szCs w:val="9"/>
                <w:color w:val="0000EE"/>
                <w:w w:val="94"/>
              </w:rPr>
            </w:pPr>
            <w:hyperlink w:anchor="page72">
              <w:r>
                <w:rPr>
                  <w:rFonts w:ascii="Arial" w:cs="Arial" w:eastAsia="Arial" w:hAnsi="Arial"/>
                  <w:sz w:val="9"/>
                  <w:szCs w:val="9"/>
                  <w:color w:val="0000EE"/>
                  <w:w w:val="94"/>
                </w:rPr>
                <w:t>Report of Independent Registered Public</w:t>
              </w:r>
            </w:hyperlink>
          </w:p>
        </w:tc>
        <w:tc>
          <w:tcPr>
            <w:tcW w:w="5240" w:type="dxa"/>
            <w:vAlign w:val="bottom"/>
            <w:gridSpan w:val="4"/>
          </w:tcPr>
          <w:p>
            <w:pPr>
              <w:spacing w:after="0" w:line="79" w:lineRule="exact"/>
              <w:rPr>
                <w:rFonts w:ascii="Arial" w:cs="Arial" w:eastAsia="Arial" w:hAnsi="Arial"/>
                <w:sz w:val="9"/>
                <w:szCs w:val="9"/>
                <w:color w:val="0000EE"/>
              </w:rPr>
            </w:pPr>
            <w:hyperlink w:anchor="page72">
              <w:r>
                <w:rPr>
                  <w:rFonts w:ascii="Arial" w:cs="Arial" w:eastAsia="Arial" w:hAnsi="Arial"/>
                  <w:sz w:val="9"/>
                  <w:szCs w:val="9"/>
                  <w:color w:val="0000EE"/>
                </w:rPr>
                <w:t>Accounting Firm</w:t>
              </w:r>
            </w:hyperlink>
          </w:p>
        </w:tc>
        <w:tc>
          <w:tcPr>
            <w:tcW w:w="3780" w:type="dxa"/>
            <w:vAlign w:val="bottom"/>
          </w:tcPr>
          <w:p>
            <w:pPr>
              <w:ind w:left="3440"/>
              <w:spacing w:after="0" w:line="79" w:lineRule="exact"/>
              <w:rPr>
                <w:sz w:val="20"/>
                <w:szCs w:val="20"/>
                <w:color w:val="auto"/>
              </w:rPr>
            </w:pPr>
            <w:r>
              <w:rPr>
                <w:rFonts w:ascii="Arial" w:cs="Arial" w:eastAsia="Arial" w:hAnsi="Arial"/>
                <w:sz w:val="9"/>
                <w:szCs w:val="9"/>
                <w:color w:val="auto"/>
              </w:rPr>
              <w:t>72</w:t>
            </w:r>
          </w:p>
        </w:tc>
      </w:tr>
      <w:tr>
        <w:trPr>
          <w:trHeight w:val="79"/>
        </w:trPr>
        <w:tc>
          <w:tcPr>
            <w:tcW w:w="2100" w:type="dxa"/>
            <w:vAlign w:val="bottom"/>
            <w:tcBorders>
              <w:top w:val="single" w:sz="8" w:color="0000EE"/>
            </w:tcBorders>
            <w:gridSpan w:val="3"/>
          </w:tcPr>
          <w:p>
            <w:pPr>
              <w:spacing w:after="0" w:line="79" w:lineRule="exact"/>
              <w:rPr>
                <w:rFonts w:ascii="Arial" w:cs="Arial" w:eastAsia="Arial" w:hAnsi="Arial"/>
                <w:sz w:val="9"/>
                <w:szCs w:val="9"/>
                <w:color w:val="0000EE"/>
              </w:rPr>
            </w:pPr>
            <w:hyperlink w:anchor="page73">
              <w:r>
                <w:rPr>
                  <w:rFonts w:ascii="Arial" w:cs="Arial" w:eastAsia="Arial" w:hAnsi="Arial"/>
                  <w:sz w:val="9"/>
                  <w:szCs w:val="9"/>
                  <w:color w:val="0000EE"/>
                </w:rPr>
                <w:t>Quarterly Results (Unaudited)</w:t>
              </w:r>
            </w:hyperlink>
          </w:p>
        </w:tc>
        <w:tc>
          <w:tcPr>
            <w:tcW w:w="4700" w:type="dxa"/>
            <w:vAlign w:val="bottom"/>
            <w:gridSpan w:val="3"/>
          </w:tcPr>
          <w:p>
            <w:pPr>
              <w:spacing w:after="0"/>
              <w:rPr>
                <w:sz w:val="6"/>
                <w:szCs w:val="6"/>
                <w:color w:val="auto"/>
              </w:rPr>
            </w:pPr>
          </w:p>
        </w:tc>
        <w:tc>
          <w:tcPr>
            <w:tcW w:w="3780" w:type="dxa"/>
            <w:vAlign w:val="bottom"/>
          </w:tcPr>
          <w:p>
            <w:pPr>
              <w:ind w:left="3440"/>
              <w:spacing w:after="0" w:line="79" w:lineRule="exact"/>
              <w:rPr>
                <w:sz w:val="20"/>
                <w:szCs w:val="20"/>
                <w:color w:val="auto"/>
              </w:rPr>
            </w:pPr>
            <w:r>
              <w:rPr>
                <w:rFonts w:ascii="Arial" w:cs="Arial" w:eastAsia="Arial" w:hAnsi="Arial"/>
                <w:sz w:val="9"/>
                <w:szCs w:val="9"/>
                <w:color w:val="auto"/>
              </w:rPr>
              <w:t>73</w:t>
            </w:r>
          </w:p>
        </w:tc>
      </w:tr>
      <w:tr>
        <w:trPr>
          <w:trHeight w:val="20"/>
        </w:trPr>
        <w:tc>
          <w:tcPr>
            <w:tcW w:w="1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Financial statements of 20%-50% owned companies accounted for under the equity method and unconsolidated subsidiaries have been omitted because they do not meet the materiality tests for assets or income.</w:t>
      </w:r>
    </w:p>
    <w:p>
      <w:pPr>
        <w:spacing w:after="0" w:line="99" w:lineRule="exact"/>
        <w:rPr>
          <w:sz w:val="20"/>
          <w:szCs w:val="20"/>
          <w:color w:val="auto"/>
        </w:rPr>
      </w:pPr>
    </w:p>
    <w:p>
      <w:pPr>
        <w:ind w:left="540" w:hanging="260"/>
        <w:spacing w:after="0"/>
        <w:tabs>
          <w:tab w:leader="none" w:pos="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Financial Statement Schedules not required</w:t>
      </w:r>
    </w:p>
    <w:p>
      <w:pPr>
        <w:spacing w:after="0" w:line="78" w:lineRule="exact"/>
        <w:rPr>
          <w:rFonts w:ascii="Arial" w:cs="Arial" w:eastAsia="Arial" w:hAnsi="Arial"/>
          <w:sz w:val="12"/>
          <w:szCs w:val="12"/>
          <w:color w:val="auto"/>
        </w:rPr>
      </w:pPr>
    </w:p>
    <w:p>
      <w:pPr>
        <w:ind w:left="540" w:hanging="260"/>
        <w:spacing w:after="0"/>
        <w:tabs>
          <w:tab w:leader="none" w:pos="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Exhibits: the exhibits listed in the accompanying “Index to Exhibits” are filed or incorporated by reference as part of this Form 10-K.</w:t>
      </w:r>
    </w:p>
    <w:p>
      <w:pPr>
        <w:spacing w:after="0" w:line="104" w:lineRule="exact"/>
        <w:rPr>
          <w:sz w:val="20"/>
          <w:szCs w:val="20"/>
          <w:color w:val="auto"/>
        </w:rPr>
      </w:pPr>
    </w:p>
    <w:p>
      <w:pPr>
        <w:jc w:val="center"/>
        <w:ind w:right="-319"/>
        <w:spacing w:after="0"/>
        <w:rPr>
          <w:sz w:val="20"/>
          <w:szCs w:val="20"/>
          <w:color w:val="auto"/>
        </w:rPr>
      </w:pPr>
      <w:r>
        <w:rPr>
          <w:rFonts w:ascii="Arial" w:cs="Arial" w:eastAsia="Arial" w:hAnsi="Arial"/>
          <w:sz w:val="9"/>
          <w:szCs w:val="9"/>
          <w:color w:val="auto"/>
        </w:rPr>
        <w:t>75</w:t>
      </w:r>
    </w:p>
    <w:p>
      <w:pPr>
        <w:sectPr>
          <w:pgSz w:w="11900" w:h="16838" w:orient="portrait"/>
          <w:cols w:equalWidth="0" w:num="1">
            <w:col w:w="11140"/>
          </w:cols>
          <w:pgMar w:left="220" w:top="354" w:right="539"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9"/>
          <w:szCs w:val="9"/>
          <w:color w:val="auto"/>
        </w:rPr>
        <w:t>Pursuant to the requirements of Section 13 or 15(d) of the Securities Exchange Act of 1934, the Registrant has duly caused this Report to be signed on its behalf by the undersigned, thereunto duly authorized.</w:t>
      </w:r>
    </w:p>
    <w:p>
      <w:pPr>
        <w:spacing w:after="0" w:line="230" w:lineRule="exact"/>
        <w:rPr>
          <w:sz w:val="20"/>
          <w:szCs w:val="20"/>
          <w:color w:val="auto"/>
        </w:rPr>
      </w:pPr>
    </w:p>
    <w:p>
      <w:pPr>
        <w:spacing w:after="0"/>
        <w:tabs>
          <w:tab w:leader="none" w:pos="5960" w:val="left"/>
        </w:tabs>
        <w:rPr>
          <w:sz w:val="20"/>
          <w:szCs w:val="20"/>
          <w:color w:val="auto"/>
        </w:rPr>
      </w:pPr>
      <w:r>
        <w:rPr>
          <w:rFonts w:ascii="Arial" w:cs="Arial" w:eastAsia="Arial" w:hAnsi="Arial"/>
          <w:sz w:val="12"/>
          <w:szCs w:val="12"/>
          <w:color w:val="auto"/>
        </w:rPr>
        <w:t>Date: February 1, 2012</w:t>
      </w:r>
      <w:r>
        <w:rPr>
          <w:sz w:val="20"/>
          <w:szCs w:val="20"/>
          <w:color w:val="auto"/>
        </w:rPr>
        <w:tab/>
      </w:r>
      <w:r>
        <w:rPr>
          <w:rFonts w:ascii="Arial" w:cs="Arial" w:eastAsia="Arial" w:hAnsi="Arial"/>
          <w:sz w:val="12"/>
          <w:szCs w:val="12"/>
          <w:color w:val="auto"/>
        </w:rPr>
        <w:t>S</w:t>
      </w:r>
      <w:r>
        <w:rPr>
          <w:rFonts w:ascii="Arial" w:cs="Arial" w:eastAsia="Arial" w:hAnsi="Arial"/>
          <w:sz w:val="9"/>
          <w:szCs w:val="9"/>
          <w:color w:val="auto"/>
        </w:rPr>
        <w:t>CHLUMBERGER</w:t>
      </w:r>
      <w:r>
        <w:rPr>
          <w:rFonts w:ascii="Arial" w:cs="Arial" w:eastAsia="Arial" w:hAnsi="Arial"/>
          <w:sz w:val="12"/>
          <w:szCs w:val="12"/>
          <w:color w:val="auto"/>
        </w:rPr>
        <w:t xml:space="preserve"> L</w:t>
      </w:r>
      <w:r>
        <w:rPr>
          <w:rFonts w:ascii="Arial" w:cs="Arial" w:eastAsia="Arial" w:hAnsi="Arial"/>
          <w:sz w:val="9"/>
          <w:szCs w:val="9"/>
          <w:color w:val="auto"/>
        </w:rPr>
        <w:t>IMITED</w:t>
      </w:r>
    </w:p>
    <w:p>
      <w:pPr>
        <w:spacing w:after="0" w:line="150" w:lineRule="exact"/>
        <w:rPr>
          <w:sz w:val="20"/>
          <w:szCs w:val="20"/>
          <w:color w:val="auto"/>
        </w:rPr>
      </w:pPr>
    </w:p>
    <w:p>
      <w:pPr>
        <w:ind w:left="5980"/>
        <w:spacing w:after="0"/>
        <w:tabs>
          <w:tab w:leader="none" w:pos="8400" w:val="left"/>
          <w:tab w:leader="none" w:pos="86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w:t>
        <w:tab/>
        <w:t>H</w:t>
      </w:r>
      <w:r>
        <w:rPr>
          <w:rFonts w:ascii="Arial" w:cs="Arial" w:eastAsia="Arial" w:hAnsi="Arial"/>
          <w:sz w:val="9"/>
          <w:szCs w:val="9"/>
          <w:color w:val="auto"/>
        </w:rPr>
        <w:t>OWARD</w:t>
      </w:r>
      <w:r>
        <w:rPr>
          <w:rFonts w:ascii="Arial" w:cs="Arial" w:eastAsia="Arial" w:hAnsi="Arial"/>
          <w:sz w:val="12"/>
          <w:szCs w:val="12"/>
          <w:color w:val="auto"/>
        </w:rPr>
        <w:t xml:space="preserve"> G</w:t>
      </w:r>
      <w:r>
        <w:rPr>
          <w:rFonts w:ascii="Arial" w:cs="Arial" w:eastAsia="Arial" w:hAnsi="Arial"/>
          <w:sz w:val="9"/>
          <w:szCs w:val="9"/>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7620</wp:posOffset>
            </wp:positionV>
            <wp:extent cx="32772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77235" cy="5715"/>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2"/>
          <w:szCs w:val="12"/>
          <w:color w:val="auto"/>
        </w:rPr>
        <w:t>Howard Guild</w:t>
      </w:r>
    </w:p>
    <w:p>
      <w:pPr>
        <w:spacing w:after="0" w:line="10" w:lineRule="exact"/>
        <w:rPr>
          <w:sz w:val="20"/>
          <w:szCs w:val="20"/>
          <w:color w:val="auto"/>
        </w:rPr>
      </w:pPr>
    </w:p>
    <w:p>
      <w:pPr>
        <w:ind w:left="6420"/>
        <w:spacing w:after="0"/>
        <w:rPr>
          <w:sz w:val="20"/>
          <w:szCs w:val="20"/>
          <w:color w:val="auto"/>
        </w:rPr>
      </w:pPr>
      <w:r>
        <w:rPr>
          <w:rFonts w:ascii="Arial" w:cs="Arial" w:eastAsia="Arial" w:hAnsi="Arial"/>
          <w:sz w:val="12"/>
          <w:szCs w:val="12"/>
          <w:color w:val="auto"/>
        </w:rPr>
        <w:t>Chief Accounting Officer</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9"/>
          <w:szCs w:val="9"/>
          <w:color w:val="auto"/>
        </w:rPr>
        <w:t>Pursuant to the requirements of the Securities Exchange Act of 1934, this Report has been signed below by the following persons on behalf of the Registrant and in the capacities and on 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060" w:type="dxa"/>
            <w:vAlign w:val="bottom"/>
          </w:tcPr>
          <w:p>
            <w:pPr>
              <w:jc w:val="center"/>
              <w:spacing w:after="0"/>
              <w:rPr>
                <w:sz w:val="20"/>
                <w:szCs w:val="20"/>
                <w:color w:val="auto"/>
              </w:rPr>
            </w:pPr>
            <w:r>
              <w:rPr>
                <w:rFonts w:ascii="Arial" w:cs="Arial" w:eastAsia="Arial" w:hAnsi="Arial"/>
                <w:sz w:val="9"/>
                <w:szCs w:val="9"/>
                <w:b w:val="1"/>
                <w:bCs w:val="1"/>
                <w:color w:val="auto"/>
                <w:w w:val="89"/>
              </w:rPr>
              <w:t>Name</w:t>
            </w:r>
          </w:p>
        </w:tc>
        <w:tc>
          <w:tcPr>
            <w:tcW w:w="3580" w:type="dxa"/>
            <w:vAlign w:val="bottom"/>
          </w:tcPr>
          <w:p>
            <w:pPr>
              <w:ind w:left="3400"/>
              <w:spacing w:after="0"/>
              <w:rPr>
                <w:sz w:val="20"/>
                <w:szCs w:val="20"/>
                <w:color w:val="auto"/>
              </w:rPr>
            </w:pPr>
            <w:r>
              <w:rPr>
                <w:rFonts w:ascii="Arial" w:cs="Arial" w:eastAsia="Arial" w:hAnsi="Arial"/>
                <w:sz w:val="9"/>
                <w:szCs w:val="9"/>
                <w:b w:val="1"/>
                <w:bCs w:val="1"/>
                <w:color w:val="auto"/>
                <w:w w:val="86"/>
              </w:rPr>
              <w:t>Title</w:t>
            </w:r>
          </w:p>
        </w:tc>
        <w:tc>
          <w:tcPr>
            <w:tcW w:w="0" w:type="dxa"/>
            <w:vAlign w:val="bottom"/>
          </w:tcPr>
          <w:p>
            <w:pPr>
              <w:spacing w:after="0"/>
              <w:rPr>
                <w:sz w:val="1"/>
                <w:szCs w:val="1"/>
                <w:color w:val="auto"/>
              </w:rPr>
            </w:pPr>
          </w:p>
        </w:tc>
      </w:tr>
      <w:tr>
        <w:trPr>
          <w:trHeight w:val="278"/>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Director and Chief Executive Officer</w:t>
            </w:r>
          </w:p>
        </w:tc>
        <w:tc>
          <w:tcPr>
            <w:tcW w:w="0" w:type="dxa"/>
            <w:vAlign w:val="bottom"/>
          </w:tcPr>
          <w:p>
            <w:pPr>
              <w:spacing w:after="0"/>
              <w:rPr>
                <w:sz w:val="1"/>
                <w:szCs w:val="1"/>
                <w:color w:val="auto"/>
              </w:rPr>
            </w:pPr>
          </w:p>
        </w:tc>
      </w:tr>
      <w:tr>
        <w:trPr>
          <w:trHeight w:val="139"/>
        </w:trPr>
        <w:tc>
          <w:tcPr>
            <w:tcW w:w="5060" w:type="dxa"/>
            <w:vAlign w:val="bottom"/>
          </w:tcPr>
          <w:p>
            <w:pPr>
              <w:jc w:val="center"/>
              <w:spacing w:after="0"/>
              <w:rPr>
                <w:sz w:val="20"/>
                <w:szCs w:val="20"/>
                <w:color w:val="auto"/>
              </w:rPr>
            </w:pPr>
            <w:r>
              <w:rPr>
                <w:rFonts w:ascii="Arial" w:cs="Arial" w:eastAsia="Arial" w:hAnsi="Arial"/>
                <w:sz w:val="12"/>
                <w:szCs w:val="12"/>
                <w:color w:val="auto"/>
                <w:w w:val="88"/>
              </w:rPr>
              <w:t>Paal Kibsgaard</w:t>
            </w:r>
          </w:p>
        </w:tc>
        <w:tc>
          <w:tcPr>
            <w:tcW w:w="3580" w:type="dxa"/>
            <w:vAlign w:val="bottom"/>
          </w:tcPr>
          <w:p>
            <w:pPr>
              <w:ind w:left="560"/>
              <w:spacing w:after="0" w:line="129" w:lineRule="exact"/>
              <w:rPr>
                <w:sz w:val="20"/>
                <w:szCs w:val="20"/>
                <w:color w:val="auto"/>
              </w:rPr>
            </w:pPr>
            <w:r>
              <w:rPr>
                <w:rFonts w:ascii="Arial" w:cs="Arial" w:eastAsia="Arial" w:hAnsi="Arial"/>
                <w:sz w:val="12"/>
                <w:szCs w:val="12"/>
                <w:color w:val="auto"/>
              </w:rPr>
              <w:t>(Principal Executive Officer)</w:t>
            </w:r>
          </w:p>
        </w:tc>
        <w:tc>
          <w:tcPr>
            <w:tcW w:w="0" w:type="dxa"/>
            <w:vAlign w:val="bottom"/>
          </w:tcPr>
          <w:p>
            <w:pPr>
              <w:spacing w:after="0"/>
              <w:rPr>
                <w:sz w:val="1"/>
                <w:szCs w:val="1"/>
                <w:color w:val="auto"/>
              </w:rPr>
            </w:pPr>
          </w:p>
        </w:tc>
      </w:tr>
      <w:tr>
        <w:trPr>
          <w:trHeight w:val="291"/>
        </w:trPr>
        <w:tc>
          <w:tcPr>
            <w:tcW w:w="506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9"/>
                <w:szCs w:val="9"/>
                <w:color w:val="auto"/>
                <w:w w:val="99"/>
              </w:rPr>
              <w:t>S</w:t>
            </w:r>
            <w:r>
              <w:rPr>
                <w:rFonts w:ascii="Arial" w:cs="Arial" w:eastAsia="Arial" w:hAnsi="Arial"/>
                <w:sz w:val="12"/>
                <w:szCs w:val="12"/>
                <w:color w:val="auto"/>
                <w:w w:val="99"/>
              </w:rPr>
              <w:t>/ S</w:t>
            </w:r>
            <w:r>
              <w:rPr>
                <w:rFonts w:ascii="Arial" w:cs="Arial" w:eastAsia="Arial" w:hAnsi="Arial"/>
                <w:sz w:val="9"/>
                <w:szCs w:val="9"/>
                <w:color w:val="auto"/>
                <w:w w:val="99"/>
              </w:rPr>
              <w:t>IMON</w:t>
            </w:r>
            <w:r>
              <w:rPr>
                <w:rFonts w:ascii="Arial" w:cs="Arial" w:eastAsia="Arial" w:hAnsi="Arial"/>
                <w:sz w:val="12"/>
                <w:szCs w:val="12"/>
                <w:color w:val="auto"/>
                <w:w w:val="99"/>
              </w:rPr>
              <w:t xml:space="preserve"> A</w:t>
            </w:r>
            <w:r>
              <w:rPr>
                <w:rFonts w:ascii="Arial" w:cs="Arial" w:eastAsia="Arial" w:hAnsi="Arial"/>
                <w:sz w:val="9"/>
                <w:szCs w:val="9"/>
                <w:color w:val="auto"/>
                <w:w w:val="99"/>
              </w:rPr>
              <w:t>YAT</w:t>
            </w:r>
          </w:p>
        </w:tc>
        <w:tc>
          <w:tcPr>
            <w:tcW w:w="3580" w:type="dxa"/>
            <w:vAlign w:val="bottom"/>
          </w:tcPr>
          <w:p>
            <w:pPr>
              <w:ind w:left="560"/>
              <w:spacing w:after="0"/>
              <w:rPr>
                <w:sz w:val="20"/>
                <w:szCs w:val="20"/>
                <w:color w:val="auto"/>
              </w:rPr>
            </w:pPr>
            <w:r>
              <w:rPr>
                <w:rFonts w:ascii="Arial" w:cs="Arial" w:eastAsia="Arial" w:hAnsi="Arial"/>
                <w:sz w:val="12"/>
                <w:szCs w:val="12"/>
                <w:color w:val="auto"/>
              </w:rPr>
              <w:t>Executive Vice President and Chief Financial Officer</w:t>
            </w:r>
          </w:p>
        </w:tc>
        <w:tc>
          <w:tcPr>
            <w:tcW w:w="0" w:type="dxa"/>
            <w:vAlign w:val="bottom"/>
          </w:tcPr>
          <w:p>
            <w:pPr>
              <w:spacing w:after="0"/>
              <w:rPr>
                <w:sz w:val="1"/>
                <w:szCs w:val="1"/>
                <w:color w:val="auto"/>
              </w:rPr>
            </w:pPr>
          </w:p>
        </w:tc>
      </w:tr>
      <w:tr>
        <w:trPr>
          <w:trHeight w:val="110"/>
        </w:trPr>
        <w:tc>
          <w:tcPr>
            <w:tcW w:w="5060" w:type="dxa"/>
            <w:vAlign w:val="bottom"/>
            <w:tcBorders>
              <w:bottom w:val="single" w:sz="8" w:color="auto"/>
            </w:tcBorders>
          </w:tcPr>
          <w:p>
            <w:pPr>
              <w:spacing w:after="0"/>
              <w:rPr>
                <w:sz w:val="9"/>
                <w:szCs w:val="9"/>
                <w:color w:val="auto"/>
              </w:rPr>
            </w:pPr>
          </w:p>
        </w:tc>
        <w:tc>
          <w:tcPr>
            <w:tcW w:w="3580" w:type="dxa"/>
            <w:vAlign w:val="bottom"/>
            <w:vMerge w:val="restart"/>
          </w:tcPr>
          <w:p>
            <w:pPr>
              <w:ind w:left="560"/>
              <w:spacing w:after="0"/>
              <w:rPr>
                <w:sz w:val="20"/>
                <w:szCs w:val="20"/>
                <w:color w:val="auto"/>
              </w:rPr>
            </w:pPr>
            <w:r>
              <w:rPr>
                <w:rFonts w:ascii="Arial" w:cs="Arial" w:eastAsia="Arial" w:hAnsi="Arial"/>
                <w:sz w:val="12"/>
                <w:szCs w:val="12"/>
                <w:color w:val="auto"/>
              </w:rPr>
              <w:t>(Principal Financial Officer)</w:t>
            </w:r>
          </w:p>
        </w:tc>
        <w:tc>
          <w:tcPr>
            <w:tcW w:w="0" w:type="dxa"/>
            <w:vAlign w:val="bottom"/>
          </w:tcPr>
          <w:p>
            <w:pPr>
              <w:spacing w:after="0"/>
              <w:rPr>
                <w:sz w:val="1"/>
                <w:szCs w:val="1"/>
                <w:color w:val="auto"/>
              </w:rPr>
            </w:pPr>
          </w:p>
        </w:tc>
      </w:tr>
      <w:tr>
        <w:trPr>
          <w:trHeight w:val="137"/>
        </w:trPr>
        <w:tc>
          <w:tcPr>
            <w:tcW w:w="5060" w:type="dxa"/>
            <w:vAlign w:val="bottom"/>
          </w:tcPr>
          <w:p>
            <w:pPr>
              <w:jc w:val="center"/>
              <w:spacing w:after="0"/>
              <w:rPr>
                <w:sz w:val="20"/>
                <w:szCs w:val="20"/>
                <w:color w:val="auto"/>
              </w:rPr>
            </w:pPr>
            <w:r>
              <w:rPr>
                <w:rFonts w:ascii="Arial" w:cs="Arial" w:eastAsia="Arial" w:hAnsi="Arial"/>
                <w:sz w:val="12"/>
                <w:szCs w:val="12"/>
                <w:color w:val="auto"/>
                <w:w w:val="91"/>
              </w:rPr>
              <w:t>Simon Ayat</w:t>
            </w:r>
          </w:p>
        </w:tc>
        <w:tc>
          <w:tcPr>
            <w:tcW w:w="3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506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 H</w:t>
            </w:r>
            <w:r>
              <w:rPr>
                <w:rFonts w:ascii="Arial" w:cs="Arial" w:eastAsia="Arial" w:hAnsi="Arial"/>
                <w:sz w:val="9"/>
                <w:szCs w:val="9"/>
                <w:color w:val="auto"/>
              </w:rPr>
              <w:t>OWARD</w:t>
            </w:r>
            <w:r>
              <w:rPr>
                <w:rFonts w:ascii="Arial" w:cs="Arial" w:eastAsia="Arial" w:hAnsi="Arial"/>
                <w:sz w:val="12"/>
                <w:szCs w:val="12"/>
                <w:color w:val="auto"/>
              </w:rPr>
              <w:t xml:space="preserve"> G</w:t>
            </w:r>
            <w:r>
              <w:rPr>
                <w:rFonts w:ascii="Arial" w:cs="Arial" w:eastAsia="Arial" w:hAnsi="Arial"/>
                <w:sz w:val="9"/>
                <w:szCs w:val="9"/>
                <w:color w:val="auto"/>
              </w:rPr>
              <w:t>UILD</w:t>
            </w:r>
          </w:p>
        </w:tc>
        <w:tc>
          <w:tcPr>
            <w:tcW w:w="3580" w:type="dxa"/>
            <w:vAlign w:val="bottom"/>
          </w:tcPr>
          <w:p>
            <w:pPr>
              <w:ind w:left="560"/>
              <w:spacing w:after="0"/>
              <w:rPr>
                <w:sz w:val="20"/>
                <w:szCs w:val="20"/>
                <w:color w:val="auto"/>
              </w:rPr>
            </w:pPr>
            <w:r>
              <w:rPr>
                <w:rFonts w:ascii="Arial" w:cs="Arial" w:eastAsia="Arial" w:hAnsi="Arial"/>
                <w:sz w:val="12"/>
                <w:szCs w:val="12"/>
                <w:color w:val="auto"/>
              </w:rPr>
              <w:t>Chief Accounting Officer</w:t>
            </w:r>
          </w:p>
        </w:tc>
        <w:tc>
          <w:tcPr>
            <w:tcW w:w="0" w:type="dxa"/>
            <w:vAlign w:val="bottom"/>
          </w:tcPr>
          <w:p>
            <w:pPr>
              <w:spacing w:after="0"/>
              <w:rPr>
                <w:sz w:val="1"/>
                <w:szCs w:val="1"/>
                <w:color w:val="auto"/>
              </w:rPr>
            </w:pPr>
          </w:p>
        </w:tc>
      </w:tr>
      <w:tr>
        <w:trPr>
          <w:trHeight w:val="110"/>
        </w:trPr>
        <w:tc>
          <w:tcPr>
            <w:tcW w:w="5060" w:type="dxa"/>
            <w:vAlign w:val="bottom"/>
            <w:tcBorders>
              <w:bottom w:val="single" w:sz="8" w:color="auto"/>
            </w:tcBorders>
          </w:tcPr>
          <w:p>
            <w:pPr>
              <w:spacing w:after="0"/>
              <w:rPr>
                <w:sz w:val="9"/>
                <w:szCs w:val="9"/>
                <w:color w:val="auto"/>
              </w:rPr>
            </w:pPr>
          </w:p>
        </w:tc>
        <w:tc>
          <w:tcPr>
            <w:tcW w:w="3580" w:type="dxa"/>
            <w:vAlign w:val="bottom"/>
            <w:vMerge w:val="restart"/>
          </w:tcPr>
          <w:p>
            <w:pPr>
              <w:ind w:left="560"/>
              <w:spacing w:after="0"/>
              <w:rPr>
                <w:sz w:val="20"/>
                <w:szCs w:val="20"/>
                <w:color w:val="auto"/>
              </w:rPr>
            </w:pPr>
            <w:r>
              <w:rPr>
                <w:rFonts w:ascii="Arial" w:cs="Arial" w:eastAsia="Arial" w:hAnsi="Arial"/>
                <w:sz w:val="12"/>
                <w:szCs w:val="12"/>
                <w:color w:val="auto"/>
              </w:rPr>
              <w:t>(Principal Accounting Officer)</w:t>
            </w:r>
          </w:p>
        </w:tc>
        <w:tc>
          <w:tcPr>
            <w:tcW w:w="0" w:type="dxa"/>
            <w:vAlign w:val="bottom"/>
          </w:tcPr>
          <w:p>
            <w:pPr>
              <w:spacing w:after="0"/>
              <w:rPr>
                <w:sz w:val="1"/>
                <w:szCs w:val="1"/>
                <w:color w:val="auto"/>
              </w:rPr>
            </w:pPr>
          </w:p>
        </w:tc>
      </w:tr>
      <w:tr>
        <w:trPr>
          <w:trHeight w:val="137"/>
        </w:trPr>
        <w:tc>
          <w:tcPr>
            <w:tcW w:w="5060" w:type="dxa"/>
            <w:vAlign w:val="bottom"/>
          </w:tcPr>
          <w:p>
            <w:pPr>
              <w:jc w:val="center"/>
              <w:spacing w:after="0"/>
              <w:rPr>
                <w:sz w:val="20"/>
                <w:szCs w:val="20"/>
                <w:color w:val="auto"/>
              </w:rPr>
            </w:pPr>
            <w:r>
              <w:rPr>
                <w:rFonts w:ascii="Arial" w:cs="Arial" w:eastAsia="Arial" w:hAnsi="Arial"/>
                <w:sz w:val="12"/>
                <w:szCs w:val="12"/>
                <w:color w:val="auto"/>
                <w:w w:val="93"/>
              </w:rPr>
              <w:t>Howard Guild</w:t>
            </w:r>
          </w:p>
        </w:tc>
        <w:tc>
          <w:tcPr>
            <w:tcW w:w="3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38"/>
        </w:trPr>
        <w:tc>
          <w:tcPr>
            <w:tcW w:w="5060" w:type="dxa"/>
            <w:vAlign w:val="bottom"/>
          </w:tcPr>
          <w:p>
            <w:pPr>
              <w:jc w:val="center"/>
              <w:spacing w:after="0"/>
              <w:rPr>
                <w:sz w:val="20"/>
                <w:szCs w:val="20"/>
                <w:color w:val="auto"/>
              </w:rPr>
            </w:pPr>
            <w:r>
              <w:rPr>
                <w:rFonts w:ascii="Arial" w:cs="Arial" w:eastAsia="Arial" w:hAnsi="Arial"/>
                <w:sz w:val="12"/>
                <w:szCs w:val="12"/>
                <w:color w:val="auto"/>
                <w:w w:val="88"/>
              </w:rPr>
              <w:t>Philippe Camus</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38"/>
        </w:trPr>
        <w:tc>
          <w:tcPr>
            <w:tcW w:w="5060" w:type="dxa"/>
            <w:vAlign w:val="bottom"/>
          </w:tcPr>
          <w:p>
            <w:pPr>
              <w:jc w:val="center"/>
              <w:spacing w:after="0"/>
              <w:rPr>
                <w:sz w:val="20"/>
                <w:szCs w:val="20"/>
                <w:color w:val="auto"/>
              </w:rPr>
            </w:pPr>
            <w:r>
              <w:rPr>
                <w:rFonts w:ascii="Arial" w:cs="Arial" w:eastAsia="Arial" w:hAnsi="Arial"/>
                <w:sz w:val="12"/>
                <w:szCs w:val="12"/>
                <w:color w:val="auto"/>
                <w:w w:val="89"/>
              </w:rPr>
              <w:t>Peter L.S. Currie</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Chairman and Executive Officer</w:t>
            </w:r>
          </w:p>
        </w:tc>
        <w:tc>
          <w:tcPr>
            <w:tcW w:w="0" w:type="dxa"/>
            <w:vAlign w:val="bottom"/>
          </w:tcPr>
          <w:p>
            <w:pPr>
              <w:spacing w:after="0"/>
              <w:rPr>
                <w:sz w:val="1"/>
                <w:szCs w:val="1"/>
                <w:color w:val="auto"/>
              </w:rPr>
            </w:pPr>
          </w:p>
        </w:tc>
      </w:tr>
      <w:tr>
        <w:trPr>
          <w:trHeight w:val="138"/>
        </w:trPr>
        <w:tc>
          <w:tcPr>
            <w:tcW w:w="5060" w:type="dxa"/>
            <w:vAlign w:val="bottom"/>
          </w:tcPr>
          <w:p>
            <w:pPr>
              <w:jc w:val="center"/>
              <w:spacing w:after="0"/>
              <w:rPr>
                <w:sz w:val="20"/>
                <w:szCs w:val="20"/>
                <w:color w:val="auto"/>
              </w:rPr>
            </w:pPr>
            <w:r>
              <w:rPr>
                <w:rFonts w:ascii="Arial" w:cs="Arial" w:eastAsia="Arial" w:hAnsi="Arial"/>
                <w:sz w:val="12"/>
                <w:szCs w:val="12"/>
                <w:color w:val="auto"/>
                <w:w w:val="92"/>
              </w:rPr>
              <w:t>Andrew Gould</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38"/>
        </w:trPr>
        <w:tc>
          <w:tcPr>
            <w:tcW w:w="5060" w:type="dxa"/>
            <w:vAlign w:val="bottom"/>
          </w:tcPr>
          <w:p>
            <w:pPr>
              <w:jc w:val="center"/>
              <w:spacing w:after="0"/>
              <w:rPr>
                <w:sz w:val="20"/>
                <w:szCs w:val="20"/>
                <w:color w:val="auto"/>
              </w:rPr>
            </w:pPr>
            <w:r>
              <w:rPr>
                <w:rFonts w:ascii="Arial" w:cs="Arial" w:eastAsia="Arial" w:hAnsi="Arial"/>
                <w:sz w:val="12"/>
                <w:szCs w:val="12"/>
                <w:color w:val="auto"/>
                <w:w w:val="88"/>
              </w:rPr>
              <w:t>Tony Isaac</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38"/>
        </w:trPr>
        <w:tc>
          <w:tcPr>
            <w:tcW w:w="5060" w:type="dxa"/>
            <w:vAlign w:val="bottom"/>
          </w:tcPr>
          <w:p>
            <w:pPr>
              <w:jc w:val="center"/>
              <w:spacing w:after="0"/>
              <w:rPr>
                <w:sz w:val="20"/>
                <w:szCs w:val="20"/>
                <w:color w:val="auto"/>
              </w:rPr>
            </w:pPr>
            <w:r>
              <w:rPr>
                <w:rFonts w:ascii="Arial" w:cs="Arial" w:eastAsia="Arial" w:hAnsi="Arial"/>
                <w:sz w:val="12"/>
                <w:szCs w:val="12"/>
                <w:color w:val="auto"/>
                <w:w w:val="88"/>
              </w:rPr>
              <w:t>K.V. Kamath</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38"/>
        </w:trPr>
        <w:tc>
          <w:tcPr>
            <w:tcW w:w="5060" w:type="dxa"/>
            <w:vAlign w:val="bottom"/>
          </w:tcPr>
          <w:p>
            <w:pPr>
              <w:jc w:val="center"/>
              <w:spacing w:after="0"/>
              <w:rPr>
                <w:sz w:val="20"/>
                <w:szCs w:val="20"/>
                <w:color w:val="auto"/>
              </w:rPr>
            </w:pPr>
            <w:r>
              <w:rPr>
                <w:rFonts w:ascii="Arial" w:cs="Arial" w:eastAsia="Arial" w:hAnsi="Arial"/>
                <w:sz w:val="12"/>
                <w:szCs w:val="12"/>
                <w:color w:val="auto"/>
                <w:w w:val="91"/>
              </w:rPr>
              <w:t>Nikolay Kudryavtsev</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38"/>
        </w:trPr>
        <w:tc>
          <w:tcPr>
            <w:tcW w:w="5060" w:type="dxa"/>
            <w:vAlign w:val="bottom"/>
          </w:tcPr>
          <w:p>
            <w:pPr>
              <w:jc w:val="center"/>
              <w:spacing w:after="0"/>
              <w:rPr>
                <w:sz w:val="20"/>
                <w:szCs w:val="20"/>
                <w:color w:val="auto"/>
              </w:rPr>
            </w:pPr>
            <w:r>
              <w:rPr>
                <w:rFonts w:ascii="Arial" w:cs="Arial" w:eastAsia="Arial" w:hAnsi="Arial"/>
                <w:sz w:val="12"/>
                <w:szCs w:val="12"/>
                <w:color w:val="auto"/>
                <w:w w:val="92"/>
              </w:rPr>
              <w:t>Adrian Lajous</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38"/>
        </w:trPr>
        <w:tc>
          <w:tcPr>
            <w:tcW w:w="5060" w:type="dxa"/>
            <w:vAlign w:val="bottom"/>
          </w:tcPr>
          <w:p>
            <w:pPr>
              <w:jc w:val="center"/>
              <w:spacing w:after="0"/>
              <w:rPr>
                <w:sz w:val="20"/>
                <w:szCs w:val="20"/>
                <w:color w:val="auto"/>
              </w:rPr>
            </w:pPr>
            <w:r>
              <w:rPr>
                <w:rFonts w:ascii="Arial" w:cs="Arial" w:eastAsia="Arial" w:hAnsi="Arial"/>
                <w:sz w:val="12"/>
                <w:szCs w:val="12"/>
                <w:color w:val="auto"/>
                <w:w w:val="91"/>
              </w:rPr>
              <w:t>Michael E. Marks</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38"/>
        </w:trPr>
        <w:tc>
          <w:tcPr>
            <w:tcW w:w="5060" w:type="dxa"/>
            <w:vAlign w:val="bottom"/>
          </w:tcPr>
          <w:p>
            <w:pPr>
              <w:jc w:val="center"/>
              <w:spacing w:after="0"/>
              <w:rPr>
                <w:sz w:val="20"/>
                <w:szCs w:val="20"/>
                <w:color w:val="auto"/>
              </w:rPr>
            </w:pPr>
            <w:r>
              <w:rPr>
                <w:rFonts w:ascii="Arial" w:cs="Arial" w:eastAsia="Arial" w:hAnsi="Arial"/>
                <w:sz w:val="12"/>
                <w:szCs w:val="12"/>
                <w:color w:val="auto"/>
                <w:w w:val="91"/>
              </w:rPr>
              <w:t>Elizabeth Moler</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38"/>
        </w:trPr>
        <w:tc>
          <w:tcPr>
            <w:tcW w:w="5060" w:type="dxa"/>
            <w:vAlign w:val="bottom"/>
          </w:tcPr>
          <w:p>
            <w:pPr>
              <w:jc w:val="center"/>
              <w:spacing w:after="0"/>
              <w:rPr>
                <w:sz w:val="20"/>
                <w:szCs w:val="20"/>
                <w:color w:val="auto"/>
              </w:rPr>
            </w:pPr>
            <w:r>
              <w:rPr>
                <w:rFonts w:ascii="Arial" w:cs="Arial" w:eastAsia="Arial" w:hAnsi="Arial"/>
                <w:sz w:val="12"/>
                <w:szCs w:val="12"/>
                <w:color w:val="auto"/>
                <w:w w:val="89"/>
              </w:rPr>
              <w:t>Lubna S. Olayan</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38"/>
        </w:trPr>
        <w:tc>
          <w:tcPr>
            <w:tcW w:w="5060" w:type="dxa"/>
            <w:vAlign w:val="bottom"/>
          </w:tcPr>
          <w:p>
            <w:pPr>
              <w:jc w:val="center"/>
              <w:spacing w:after="0"/>
              <w:rPr>
                <w:sz w:val="20"/>
                <w:szCs w:val="20"/>
                <w:color w:val="auto"/>
              </w:rPr>
            </w:pPr>
            <w:r>
              <w:rPr>
                <w:rFonts w:ascii="Arial" w:cs="Arial" w:eastAsia="Arial" w:hAnsi="Arial"/>
                <w:sz w:val="12"/>
                <w:szCs w:val="12"/>
                <w:color w:val="auto"/>
                <w:w w:val="91"/>
              </w:rPr>
              <w:t>Leo Rafael Reif</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38"/>
        </w:trPr>
        <w:tc>
          <w:tcPr>
            <w:tcW w:w="5060" w:type="dxa"/>
            <w:vAlign w:val="bottom"/>
          </w:tcPr>
          <w:p>
            <w:pPr>
              <w:jc w:val="center"/>
              <w:spacing w:after="0"/>
              <w:rPr>
                <w:sz w:val="20"/>
                <w:szCs w:val="20"/>
                <w:color w:val="auto"/>
              </w:rPr>
            </w:pPr>
            <w:r>
              <w:rPr>
                <w:rFonts w:ascii="Arial" w:cs="Arial" w:eastAsia="Arial" w:hAnsi="Arial"/>
                <w:sz w:val="12"/>
                <w:szCs w:val="12"/>
                <w:color w:val="auto"/>
                <w:w w:val="87"/>
              </w:rPr>
              <w:t>Tore Sandvold</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3580" w:type="dxa"/>
            <w:vAlign w:val="bottom"/>
          </w:tcPr>
          <w:p>
            <w:pPr>
              <w:ind w:left="56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38"/>
        </w:trPr>
        <w:tc>
          <w:tcPr>
            <w:tcW w:w="5060" w:type="dxa"/>
            <w:vAlign w:val="bottom"/>
          </w:tcPr>
          <w:p>
            <w:pPr>
              <w:jc w:val="center"/>
              <w:spacing w:after="0"/>
              <w:rPr>
                <w:sz w:val="20"/>
                <w:szCs w:val="20"/>
                <w:color w:val="auto"/>
              </w:rPr>
            </w:pPr>
            <w:r>
              <w:rPr>
                <w:rFonts w:ascii="Arial" w:cs="Arial" w:eastAsia="Arial" w:hAnsi="Arial"/>
                <w:sz w:val="12"/>
                <w:szCs w:val="12"/>
                <w:color w:val="auto"/>
                <w:w w:val="88"/>
              </w:rPr>
              <w:t>Henri Seydoux</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506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 A</w:t>
            </w:r>
            <w:r>
              <w:rPr>
                <w:rFonts w:ascii="Arial" w:cs="Arial" w:eastAsia="Arial" w:hAnsi="Arial"/>
                <w:sz w:val="9"/>
                <w:szCs w:val="9"/>
                <w:color w:val="auto"/>
              </w:rPr>
              <w:t>LEXANDER</w:t>
            </w:r>
            <w:r>
              <w:rPr>
                <w:rFonts w:ascii="Arial" w:cs="Arial" w:eastAsia="Arial" w:hAnsi="Arial"/>
                <w:sz w:val="12"/>
                <w:szCs w:val="12"/>
                <w:color w:val="auto"/>
              </w:rPr>
              <w:t xml:space="preserve"> C. J</w:t>
            </w:r>
            <w:r>
              <w:rPr>
                <w:rFonts w:ascii="Arial" w:cs="Arial" w:eastAsia="Arial" w:hAnsi="Arial"/>
                <w:sz w:val="9"/>
                <w:szCs w:val="9"/>
                <w:color w:val="auto"/>
              </w:rPr>
              <w:t>UDEN</w:t>
            </w:r>
          </w:p>
        </w:tc>
        <w:tc>
          <w:tcPr>
            <w:tcW w:w="3580" w:type="dxa"/>
            <w:vAlign w:val="bottom"/>
          </w:tcPr>
          <w:p>
            <w:pPr>
              <w:ind w:left="560"/>
              <w:spacing w:after="0"/>
              <w:rPr>
                <w:sz w:val="20"/>
                <w:szCs w:val="20"/>
                <w:color w:val="auto"/>
              </w:rPr>
            </w:pPr>
            <w:r>
              <w:rPr>
                <w:rFonts w:ascii="Arial" w:cs="Arial" w:eastAsia="Arial" w:hAnsi="Arial"/>
                <w:sz w:val="12"/>
                <w:szCs w:val="12"/>
                <w:color w:val="auto"/>
              </w:rPr>
              <w:t>February 1, 2012</w:t>
            </w:r>
          </w:p>
        </w:tc>
        <w:tc>
          <w:tcPr>
            <w:tcW w:w="0" w:type="dxa"/>
            <w:vAlign w:val="bottom"/>
          </w:tcPr>
          <w:p>
            <w:pPr>
              <w:spacing w:after="0"/>
              <w:rPr>
                <w:sz w:val="1"/>
                <w:szCs w:val="1"/>
                <w:color w:val="auto"/>
              </w:rPr>
            </w:pPr>
          </w:p>
        </w:tc>
      </w:tr>
      <w:tr>
        <w:trPr>
          <w:trHeight w:val="110"/>
        </w:trPr>
        <w:tc>
          <w:tcPr>
            <w:tcW w:w="506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5060" w:type="dxa"/>
            <w:vAlign w:val="bottom"/>
          </w:tcPr>
          <w:p>
            <w:pPr>
              <w:jc w:val="center"/>
              <w:spacing w:after="0"/>
              <w:rPr>
                <w:sz w:val="20"/>
                <w:szCs w:val="20"/>
                <w:color w:val="auto"/>
              </w:rPr>
            </w:pPr>
            <w:r>
              <w:rPr>
                <w:rFonts w:ascii="Arial" w:cs="Arial" w:eastAsia="Arial" w:hAnsi="Arial"/>
                <w:sz w:val="12"/>
                <w:szCs w:val="12"/>
                <w:color w:val="auto"/>
                <w:w w:val="90"/>
              </w:rPr>
              <w:t>*By Alexander C. Juden Attorney-in-Fact</w:t>
            </w:r>
          </w:p>
        </w:tc>
        <w:tc>
          <w:tcPr>
            <w:tcW w:w="3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060" w:type="dxa"/>
            <w:vAlign w:val="bottom"/>
          </w:tcPr>
          <w:p>
            <w:pPr>
              <w:spacing w:after="0"/>
              <w:rPr>
                <w:sz w:val="17"/>
                <w:szCs w:val="17"/>
                <w:color w:val="auto"/>
              </w:rPr>
            </w:pPr>
          </w:p>
        </w:tc>
        <w:tc>
          <w:tcPr>
            <w:tcW w:w="3580" w:type="dxa"/>
            <w:vAlign w:val="bottom"/>
          </w:tcPr>
          <w:p>
            <w:pPr>
              <w:ind w:left="620"/>
              <w:spacing w:after="0"/>
              <w:rPr>
                <w:sz w:val="20"/>
                <w:szCs w:val="20"/>
                <w:color w:val="auto"/>
              </w:rPr>
            </w:pPr>
            <w:r>
              <w:rPr>
                <w:rFonts w:ascii="Arial" w:cs="Arial" w:eastAsia="Arial" w:hAnsi="Arial"/>
                <w:sz w:val="9"/>
                <w:szCs w:val="9"/>
                <w:color w:val="auto"/>
              </w:rPr>
              <w:t>76</w:t>
            </w:r>
          </w:p>
        </w:tc>
        <w:tc>
          <w:tcPr>
            <w:tcW w:w="0" w:type="dxa"/>
            <w:vAlign w:val="bottom"/>
          </w:tcPr>
          <w:p>
            <w:pPr>
              <w:spacing w:after="0"/>
              <w:rPr>
                <w:sz w:val="1"/>
                <w:szCs w:val="1"/>
                <w:color w:val="auto"/>
              </w:rPr>
            </w:pPr>
          </w:p>
        </w:tc>
      </w:tr>
    </w:tbl>
    <w:p>
      <w:pPr>
        <w:sectPr>
          <w:pgSz w:w="11900" w:h="16838" w:orient="portrait"/>
          <w:cols w:equalWidth="0" w:num="1">
            <w:col w:w="10239"/>
          </w:cols>
          <w:pgMar w:left="220" w:top="354" w:right="1440"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INDEX TO EXHIBITS</w:t>
      </w:r>
    </w:p>
    <w:p>
      <w:pPr>
        <w:spacing w:after="0" w:line="314" w:lineRule="exact"/>
        <w:rPr>
          <w:sz w:val="20"/>
          <w:szCs w:val="20"/>
          <w:color w:val="auto"/>
        </w:rPr>
      </w:pPr>
    </w:p>
    <w:p>
      <w:pPr>
        <w:spacing w:after="0"/>
        <w:rPr>
          <w:sz w:val="20"/>
          <w:szCs w:val="20"/>
          <w:color w:val="auto"/>
        </w:rPr>
      </w:pPr>
      <w:r>
        <w:rPr>
          <w:rFonts w:ascii="Arial" w:cs="Arial" w:eastAsia="Arial" w:hAnsi="Arial"/>
          <w:sz w:val="12"/>
          <w:szCs w:val="12"/>
          <w:color w:val="auto"/>
        </w:rPr>
        <w:t>Articles of Incorporation of Schlumberger Limited (Schlumberger N.V.), as last amended on April 6, 2011 (incorporated by reference to Exhibit 3.1 to Schlumberger’s Current Report on Form 8-K filed on April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332980" cy="914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Amended and Restated By-Laws of Schlumberger Limited (Schlumberger N.V.), as last amended on April 21, 2005 (incorporated by reference to Exhibit 3.1 to Schlumberger’s Current Report on Form 8-K filed on April 22, 2005)</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Indenture dated as of June 9, 2003, by and between Schlumberger Limited and Citibank, N.A., as Trustee (incorporated by reference to Exhibit 4.3 to Schlumberger’s Registration Statement on Form S-3 filed on September 12,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7332980" cy="914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9"/>
          <w:szCs w:val="9"/>
          <w:color w:val="auto"/>
        </w:rPr>
        <w:t>First Supplemental Indenture dated as of June 9, 2003, by and between Schlumberger Limited and Citibank, N.A., as Trustee (incorporated by reference to Exhibit 4.4 to Schlumberger’s Registration Statement on Form S-3 filed on September 12,</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color w:val="auto"/>
        </w:rPr>
        <w:t>Schlumberger 1994 Stock Option Plan, as conformed to include amendments through January 1, 2009 (incorporated by reference to Exhibit 10.1 to Schlumberger’s Annual Report on Form 10-K for year ended December 31, 2008)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7332980" cy="914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9"/>
          <w:szCs w:val="9"/>
          <w:color w:val="auto"/>
        </w:rPr>
        <w:t>Schlumberger Limited Supplementary Benefit Plan, as conformed to include amendments through January 1, 2009 (incorporated by reference to Exhibit 10.2 to Schlumberger’s Annual Report on Form 10-K for year ended December 31, 2008) (+)</w:t>
      </w:r>
    </w:p>
    <w:p>
      <w:pPr>
        <w:spacing w:after="0" w:line="113" w:lineRule="exact"/>
        <w:rPr>
          <w:sz w:val="20"/>
          <w:szCs w:val="20"/>
          <w:color w:val="auto"/>
        </w:rPr>
      </w:pPr>
    </w:p>
    <w:p>
      <w:pPr>
        <w:spacing w:after="0"/>
        <w:rPr>
          <w:sz w:val="20"/>
          <w:szCs w:val="20"/>
          <w:color w:val="auto"/>
        </w:rPr>
      </w:pPr>
      <w:r>
        <w:rPr>
          <w:rFonts w:ascii="Arial" w:cs="Arial" w:eastAsia="Arial" w:hAnsi="Arial"/>
          <w:sz w:val="9"/>
          <w:szCs w:val="9"/>
          <w:color w:val="auto"/>
        </w:rPr>
        <w:t>Schlumberger Limited Restoration Savings Plan, as conformed to include amendments through January 1, 2009 (incorporated by reference to Exhibit 10.3 to Schlumberger’s Annual Report on Form 10-K for year ended December 31, 2008)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332980" cy="914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1"/>
          <w:szCs w:val="11"/>
          <w:color w:val="auto"/>
        </w:rPr>
        <w:t>Schlumberger 1998 Stock Option Plan, as conformed to include amendments through January 1, 2009 (incorporated by reference to Exhibit 10.4 to Schlumberger’s Annual Report on Form 10-K for year ended December 31, 2008) (+)</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Schlumberger 2001 Stock Option Plan, as conformed to include amendments through January 1, 2009 (incorporated by reference to Exhibit 10.5 to Schlumberger’s Annual Report on Form 10-K for year ended December 31, 2008)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7332980" cy="914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Schlumberger 2005 Stock Incentive Plan, as conformed to include amendments through January 1, 2009 (incorporated by reference to Exhibit 10.6 to Schlumberger’s Annual Report on Form 10-K for year ended December 31, 2008) (+)</w:t>
      </w:r>
    </w:p>
    <w:p>
      <w:pPr>
        <w:spacing w:after="0" w:line="90" w:lineRule="exact"/>
        <w:rPr>
          <w:sz w:val="20"/>
          <w:szCs w:val="20"/>
          <w:color w:val="auto"/>
        </w:rPr>
      </w:pPr>
    </w:p>
    <w:p>
      <w:pPr>
        <w:spacing w:after="0"/>
        <w:rPr>
          <w:sz w:val="20"/>
          <w:szCs w:val="20"/>
          <w:color w:val="auto"/>
        </w:rPr>
      </w:pPr>
      <w:r>
        <w:rPr>
          <w:rFonts w:ascii="Arial" w:cs="Arial" w:eastAsia="Arial" w:hAnsi="Arial"/>
          <w:sz w:val="9"/>
          <w:szCs w:val="9"/>
          <w:color w:val="auto"/>
          <w:shd w:val="clear" w:color="auto" w:fill="CCEEFF"/>
        </w:rPr>
        <w:t>Schlumberger Limited 2004 Stock and Deferral Plan for Non-Employee Directors, as conformed to include amendments through January 1, 2009 (incorporated by reference to Exhibit 10.7 to Schlumberger’s Annual Report on Form 10-K for year</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color w:val="auto"/>
        </w:rPr>
        <w:t>Schlumberger 2008 Stock Incentive Plan, as conformed to include amendments through January 1, 2009 (incorporated by reference to Exhibit 10.8 to Schlumberger’s Annual Report on Form 10-K for year ended December 31, 2008) (+)</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Schlumberger 2010 Stock Incentive Plan (incorporated by reference to Exhibit 10.1 to Schlumberger’s Current Report on Form 8-K filed with the SEC on April 9, 2010)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332980" cy="91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Schlumberger Discounted Stock Purchase Plan, as amended and restated January 1, 2010 (incorporated by reference to Exhibit 10.2 to Schlumberger’s Current Report on Form 8-K filed with the SEC on April 9, 2010) (+)</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Form of Option Agreement, Capped Incentive Stock Option (incorporated by reference to Exhibit 10.1 to Schlumberger’s Current Report on Form 8-K filed on January 19, 2006)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332980" cy="914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Form of Option Agreement, Capped Non-Qualified Stock Option (incorporated by reference to Exhibit 10.2 to Schlumberger’s Current Report on Form 8-K filed on January 19, 2006) (+)</w:t>
      </w:r>
    </w:p>
    <w:p>
      <w:pPr>
        <w:spacing w:after="0" w:line="104" w:lineRule="exact"/>
        <w:rPr>
          <w:sz w:val="20"/>
          <w:szCs w:val="20"/>
          <w:color w:val="auto"/>
        </w:rPr>
      </w:pPr>
    </w:p>
    <w:p>
      <w:pPr>
        <w:jc w:val="center"/>
        <w:ind w:right="60"/>
        <w:spacing w:after="0"/>
        <w:rPr>
          <w:sz w:val="20"/>
          <w:szCs w:val="20"/>
          <w:color w:val="auto"/>
        </w:rPr>
      </w:pPr>
      <w:r>
        <w:rPr>
          <w:rFonts w:ascii="Arial" w:cs="Arial" w:eastAsia="Arial" w:hAnsi="Arial"/>
          <w:sz w:val="9"/>
          <w:szCs w:val="9"/>
          <w:color w:val="auto"/>
        </w:rPr>
        <w:t>77</w:t>
      </w:r>
    </w:p>
    <w:p>
      <w:pPr>
        <w:sectPr>
          <w:pgSz w:w="11900" w:h="16838" w:orient="portrait"/>
          <w:cols w:equalWidth="0" w:num="1">
            <w:col w:w="11540"/>
          </w:cols>
          <w:pgMar w:left="220" w:top="354" w:right="139" w:bottom="1440" w:gutter="0" w:footer="0" w:header="0"/>
        </w:sectPr>
      </w:pPr>
    </w:p>
    <w:bookmarkStart w:id="77" w:name="page78"/>
    <w:bookmarkEnd w:id="77"/>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380"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Form of Option Agreement, Uncapped Incentive Stock Option (for 2001, 2005 and 2008 stock plans) (incorporated by reference to Exhibit 10.11 to Schlumberger’s Annual Report on Form 10-K for year ended December 31, 2009)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332980" cy="914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spacing w:after="0" w:line="70"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Form of Option Agreement, Uncapped Non-Qualified Stock Option (for 2001, 2005 and 2008 stock plans) (incorporated by reference to Exhibit 10.12 to Schlumberger’s Annual Report on Form 10-K for year ended December 31, 2009) (+)</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Form of Smith International, Inc. 2010 Restricted Stock Unit Agreement (incorporated by reference to Exhibit 10.3 to Schlumberger’s Quarterly Report on Form 10-Q for the quarter ended September 30, 2010)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332980" cy="914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spacing w:after="0" w:line="58" w:lineRule="exact"/>
        <w:rPr>
          <w:sz w:val="20"/>
          <w:szCs w:val="20"/>
          <w:color w:val="auto"/>
        </w:rPr>
      </w:pPr>
    </w:p>
    <w:p>
      <w:pPr>
        <w:ind w:left="8" w:right="20"/>
        <w:spacing w:after="0" w:line="375" w:lineRule="auto"/>
        <w:rPr>
          <w:sz w:val="20"/>
          <w:szCs w:val="20"/>
          <w:color w:val="auto"/>
        </w:rPr>
      </w:pPr>
      <w:r>
        <w:rPr>
          <w:rFonts w:ascii="Arial" w:cs="Arial" w:eastAsia="Arial" w:hAnsi="Arial"/>
          <w:sz w:val="12"/>
          <w:szCs w:val="12"/>
          <w:color w:val="auto"/>
        </w:rPr>
        <w:t>Employment Agreement dated March 9, 2010 and effective as of February 9, 2010, between Schlumberger Limited and Chakib Sbiti (incorporated by reference to Exhibit 10.3 to Schlumberger’s Quarterly Report on Form 10-Q for the quarter end Form of Indemnification Agreement (incorporated by reference to Exhibit 10.1 to Schlumberger’s Current Report on Form 8-K filed on April 22,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332980" cy="914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ind w:left="148"/>
        <w:spacing w:after="0"/>
        <w:rPr>
          <w:sz w:val="20"/>
          <w:szCs w:val="20"/>
          <w:color w:val="auto"/>
        </w:rPr>
      </w:pPr>
      <w:r>
        <w:rPr>
          <w:rFonts w:ascii="Arial" w:cs="Arial" w:eastAsia="Arial" w:hAnsi="Arial"/>
          <w:sz w:val="12"/>
          <w:szCs w:val="12"/>
          <w:color w:val="auto"/>
        </w:rPr>
        <w:t>Subsidiaries (*)</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Consent of Independent Registered Public Accounting Firm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332980" cy="914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spacing w:after="0" w:line="20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Powers of Attorney (*)</w:t>
            </w:r>
          </w:p>
        </w:tc>
        <w:tc>
          <w:tcPr>
            <w:tcW w:w="6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180" w:type="dxa"/>
            <w:vAlign w:val="bottom"/>
            <w:gridSpan w:val="2"/>
          </w:tcPr>
          <w:p>
            <w:pPr>
              <w:spacing w:after="0"/>
              <w:rPr>
                <w:sz w:val="20"/>
                <w:szCs w:val="20"/>
                <w:color w:val="auto"/>
              </w:rPr>
            </w:pPr>
            <w:r>
              <w:rPr>
                <w:rFonts w:ascii="Arial" w:cs="Arial" w:eastAsia="Arial" w:hAnsi="Arial"/>
                <w:sz w:val="12"/>
                <w:szCs w:val="12"/>
                <w:color w:val="auto"/>
              </w:rPr>
              <w:t>Philippe Camus</w:t>
            </w:r>
          </w:p>
        </w:tc>
        <w:tc>
          <w:tcPr>
            <w:tcW w:w="6360" w:type="dxa"/>
            <w:vAlign w:val="bottom"/>
          </w:tcPr>
          <w:p>
            <w:pPr>
              <w:ind w:left="4100"/>
              <w:spacing w:after="0"/>
              <w:rPr>
                <w:sz w:val="20"/>
                <w:szCs w:val="20"/>
                <w:color w:val="auto"/>
              </w:rPr>
            </w:pPr>
            <w:r>
              <w:rPr>
                <w:rFonts w:ascii="Arial" w:cs="Arial" w:eastAsia="Arial" w:hAnsi="Arial"/>
                <w:sz w:val="12"/>
                <w:szCs w:val="12"/>
                <w:color w:val="auto"/>
              </w:rPr>
              <w:t>dated:</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6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Peter L.S. Currie</w:t>
            </w:r>
          </w:p>
        </w:tc>
        <w:tc>
          <w:tcPr>
            <w:tcW w:w="6360" w:type="dxa"/>
            <w:vAlign w:val="bottom"/>
            <w:shd w:val="clear" w:color="auto" w:fill="CCEEFF"/>
          </w:tcPr>
          <w:p>
            <w:pPr>
              <w:ind w:left="4100"/>
              <w:spacing w:after="0"/>
              <w:rPr>
                <w:sz w:val="20"/>
                <w:szCs w:val="20"/>
                <w:color w:val="auto"/>
              </w:rPr>
            </w:pPr>
            <w:r>
              <w:rPr>
                <w:rFonts w:ascii="Arial" w:cs="Arial" w:eastAsia="Arial" w:hAnsi="Arial"/>
                <w:sz w:val="12"/>
                <w:szCs w:val="12"/>
                <w:color w:val="auto"/>
              </w:rPr>
              <w:t>January 19, 2012</w:t>
            </w:r>
          </w:p>
        </w:tc>
        <w:tc>
          <w:tcPr>
            <w:tcW w:w="0" w:type="dxa"/>
            <w:vAlign w:val="bottom"/>
          </w:tcPr>
          <w:p>
            <w:pPr>
              <w:spacing w:after="0"/>
              <w:rPr>
                <w:sz w:val="1"/>
                <w:szCs w:val="1"/>
                <w:color w:val="auto"/>
              </w:rPr>
            </w:pPr>
          </w:p>
        </w:tc>
      </w:tr>
      <w:tr>
        <w:trPr>
          <w:trHeight w:val="214"/>
        </w:trPr>
        <w:tc>
          <w:tcPr>
            <w:tcW w:w="5180" w:type="dxa"/>
            <w:vAlign w:val="bottom"/>
            <w:gridSpan w:val="2"/>
          </w:tcPr>
          <w:p>
            <w:pPr>
              <w:spacing w:after="0"/>
              <w:rPr>
                <w:sz w:val="20"/>
                <w:szCs w:val="20"/>
                <w:color w:val="auto"/>
              </w:rPr>
            </w:pPr>
            <w:r>
              <w:rPr>
                <w:rFonts w:ascii="Arial" w:cs="Arial" w:eastAsia="Arial" w:hAnsi="Arial"/>
                <w:sz w:val="12"/>
                <w:szCs w:val="12"/>
                <w:color w:val="auto"/>
              </w:rPr>
              <w:t>Andrew Gould</w:t>
            </w: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6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Tony Isaac</w:t>
            </w:r>
          </w:p>
        </w:tc>
        <w:tc>
          <w:tcPr>
            <w:tcW w:w="6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180" w:type="dxa"/>
            <w:vAlign w:val="bottom"/>
            <w:gridSpan w:val="2"/>
          </w:tcPr>
          <w:p>
            <w:pPr>
              <w:spacing w:after="0"/>
              <w:rPr>
                <w:sz w:val="20"/>
                <w:szCs w:val="20"/>
                <w:color w:val="auto"/>
              </w:rPr>
            </w:pPr>
            <w:r>
              <w:rPr>
                <w:rFonts w:ascii="Arial" w:cs="Arial" w:eastAsia="Arial" w:hAnsi="Arial"/>
                <w:sz w:val="12"/>
                <w:szCs w:val="12"/>
                <w:color w:val="auto"/>
              </w:rPr>
              <w:t>K.V. Kamath</w:t>
            </w: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6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Paal Kibsgaard</w:t>
            </w:r>
          </w:p>
        </w:tc>
        <w:tc>
          <w:tcPr>
            <w:tcW w:w="6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180" w:type="dxa"/>
            <w:vAlign w:val="bottom"/>
            <w:gridSpan w:val="2"/>
          </w:tcPr>
          <w:p>
            <w:pPr>
              <w:spacing w:after="0"/>
              <w:rPr>
                <w:sz w:val="20"/>
                <w:szCs w:val="20"/>
                <w:color w:val="auto"/>
              </w:rPr>
            </w:pPr>
            <w:r>
              <w:rPr>
                <w:rFonts w:ascii="Arial" w:cs="Arial" w:eastAsia="Arial" w:hAnsi="Arial"/>
                <w:sz w:val="12"/>
                <w:szCs w:val="12"/>
                <w:color w:val="auto"/>
              </w:rPr>
              <w:t>Nikolay Kudryavtsev</w:t>
            </w: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6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Adrian Lajous</w:t>
            </w:r>
          </w:p>
        </w:tc>
        <w:tc>
          <w:tcPr>
            <w:tcW w:w="6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180" w:type="dxa"/>
            <w:vAlign w:val="bottom"/>
            <w:gridSpan w:val="2"/>
          </w:tcPr>
          <w:p>
            <w:pPr>
              <w:spacing w:after="0"/>
              <w:rPr>
                <w:sz w:val="20"/>
                <w:szCs w:val="20"/>
                <w:color w:val="auto"/>
              </w:rPr>
            </w:pPr>
            <w:r>
              <w:rPr>
                <w:rFonts w:ascii="Arial" w:cs="Arial" w:eastAsia="Arial" w:hAnsi="Arial"/>
                <w:sz w:val="12"/>
                <w:szCs w:val="12"/>
                <w:color w:val="auto"/>
              </w:rPr>
              <w:t>Michael E. Marks</w:t>
            </w: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6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Elizabeth Moler</w:t>
            </w:r>
          </w:p>
        </w:tc>
        <w:tc>
          <w:tcPr>
            <w:tcW w:w="6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180" w:type="dxa"/>
            <w:vAlign w:val="bottom"/>
            <w:gridSpan w:val="2"/>
          </w:tcPr>
          <w:p>
            <w:pPr>
              <w:spacing w:after="0"/>
              <w:rPr>
                <w:sz w:val="20"/>
                <w:szCs w:val="20"/>
                <w:color w:val="auto"/>
              </w:rPr>
            </w:pPr>
            <w:r>
              <w:rPr>
                <w:rFonts w:ascii="Arial" w:cs="Arial" w:eastAsia="Arial" w:hAnsi="Arial"/>
                <w:sz w:val="12"/>
                <w:szCs w:val="12"/>
                <w:color w:val="auto"/>
              </w:rPr>
              <w:t>Lubna S. Olayan</w:t>
            </w: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6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Leo Rafael Reif</w:t>
            </w:r>
          </w:p>
        </w:tc>
        <w:tc>
          <w:tcPr>
            <w:tcW w:w="6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180" w:type="dxa"/>
            <w:vAlign w:val="bottom"/>
            <w:gridSpan w:val="2"/>
          </w:tcPr>
          <w:p>
            <w:pPr>
              <w:spacing w:after="0"/>
              <w:rPr>
                <w:sz w:val="20"/>
                <w:szCs w:val="20"/>
                <w:color w:val="auto"/>
              </w:rPr>
            </w:pPr>
            <w:r>
              <w:rPr>
                <w:rFonts w:ascii="Arial" w:cs="Arial" w:eastAsia="Arial" w:hAnsi="Arial"/>
                <w:sz w:val="12"/>
                <w:szCs w:val="12"/>
                <w:color w:val="auto"/>
              </w:rPr>
              <w:t>Tore I. Sandvold</w:t>
            </w: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6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Henri Seydoux</w:t>
            </w:r>
          </w:p>
        </w:tc>
        <w:tc>
          <w:tcPr>
            <w:tcW w:w="6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8"/>
        <w:spacing w:after="0"/>
        <w:rPr>
          <w:sz w:val="20"/>
          <w:szCs w:val="20"/>
          <w:color w:val="auto"/>
        </w:rPr>
      </w:pPr>
      <w:r>
        <w:rPr>
          <w:rFonts w:ascii="Arial" w:cs="Arial" w:eastAsia="Arial" w:hAnsi="Arial"/>
          <w:sz w:val="12"/>
          <w:szCs w:val="12"/>
          <w:color w:val="auto"/>
        </w:rPr>
        <w:t>Certification of Chief Executive Officer pursuant to Rule 13a-14(a) as Adopted Pursuant to Section 302 of the Sarbanes-Oxley Act of 2002 (*)</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Certification of Chief Financial Officer pursuant to Rule 13a-14(a) as Adopted Pursuant to Section 302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332980" cy="914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spacing w:after="0" w:line="58" w:lineRule="exact"/>
        <w:rPr>
          <w:sz w:val="20"/>
          <w:szCs w:val="20"/>
          <w:color w:val="auto"/>
        </w:rPr>
      </w:pPr>
    </w:p>
    <w:p>
      <w:pPr>
        <w:ind w:left="8"/>
        <w:spacing w:after="0"/>
        <w:rPr>
          <w:sz w:val="20"/>
          <w:szCs w:val="20"/>
          <w:color w:val="auto"/>
        </w:rPr>
      </w:pPr>
      <w:r>
        <w:rPr>
          <w:rFonts w:ascii="Arial" w:cs="Arial" w:eastAsia="Arial" w:hAnsi="Arial"/>
          <w:sz w:val="12"/>
          <w:szCs w:val="12"/>
          <w:color w:val="auto"/>
        </w:rPr>
        <w:t>Certification of Chief Executive Officer pursuant to 18 U.S.C. Section 1350, as Adopted Pursuant to Section 906 of the Sarbanes-Oxley Act of 2002 (*)</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Certification of Chief Financial Officer pursuant to 18 U.S.C. Section 1350, as Adopted Pursuant to Section 906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332980" cy="914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spacing w:after="0" w:line="58" w:lineRule="exact"/>
        <w:rPr>
          <w:sz w:val="20"/>
          <w:szCs w:val="20"/>
          <w:color w:val="auto"/>
        </w:rPr>
      </w:pPr>
    </w:p>
    <w:p>
      <w:pPr>
        <w:ind w:left="8"/>
        <w:spacing w:after="0"/>
        <w:rPr>
          <w:sz w:val="20"/>
          <w:szCs w:val="20"/>
          <w:color w:val="auto"/>
        </w:rPr>
      </w:pPr>
      <w:r>
        <w:rPr>
          <w:rFonts w:ascii="Arial" w:cs="Arial" w:eastAsia="Arial" w:hAnsi="Arial"/>
          <w:sz w:val="12"/>
          <w:szCs w:val="12"/>
          <w:color w:val="auto"/>
        </w:rPr>
        <w:t>Mine Safety Disclosure (*)</w:t>
      </w:r>
    </w:p>
    <w:p>
      <w:pPr>
        <w:spacing w:after="0" w:line="78" w:lineRule="exact"/>
        <w:rPr>
          <w:sz w:val="20"/>
          <w:szCs w:val="20"/>
          <w:color w:val="auto"/>
        </w:rPr>
      </w:pPr>
    </w:p>
    <w:p>
      <w:pPr>
        <w:ind w:left="8"/>
        <w:spacing w:after="0"/>
        <w:rPr>
          <w:sz w:val="20"/>
          <w:szCs w:val="20"/>
          <w:color w:val="auto"/>
        </w:rPr>
      </w:pPr>
      <w:r>
        <w:rPr>
          <w:rFonts w:ascii="Arial" w:cs="Arial" w:eastAsia="Arial" w:hAnsi="Arial"/>
          <w:sz w:val="9"/>
          <w:szCs w:val="9"/>
          <w:color w:val="auto"/>
          <w:shd w:val="clear" w:color="auto" w:fill="CCEEFF"/>
        </w:rPr>
        <w:t>The following materials from Schlumberger Limited’s Annual Report on Form 10-K for the year ended December 31, 2011, formatted in XBRL: (i) Consolidated Statement of Income, (ii) Consolidated Balance Sheet, (iii) Consolidated Statement</w:t>
      </w:r>
    </w:p>
    <w:p>
      <w:pPr>
        <w:spacing w:after="0" w:line="113" w:lineRule="exact"/>
        <w:rPr>
          <w:sz w:val="20"/>
          <w:szCs w:val="20"/>
          <w:color w:val="auto"/>
        </w:rPr>
      </w:pPr>
    </w:p>
    <w:p>
      <w:pPr>
        <w:ind w:left="168" w:hanging="168"/>
        <w:spacing w:after="0"/>
        <w:tabs>
          <w:tab w:leader="none" w:pos="168" w:val="left"/>
        </w:tabs>
        <w:numPr>
          <w:ilvl w:val="0"/>
          <w:numId w:val="52"/>
        </w:numPr>
        <w:rPr>
          <w:rFonts w:ascii="Arial" w:cs="Arial" w:eastAsia="Arial" w:hAnsi="Arial"/>
          <w:sz w:val="12"/>
          <w:szCs w:val="12"/>
          <w:color w:val="auto"/>
        </w:rPr>
      </w:pPr>
      <w:r>
        <w:rPr>
          <w:rFonts w:ascii="Arial" w:cs="Arial" w:eastAsia="Arial" w:hAnsi="Arial"/>
          <w:sz w:val="12"/>
          <w:szCs w:val="12"/>
          <w:color w:val="auto"/>
        </w:rPr>
        <w:t>Exhibits physically filed with this Form 10-K. All other exhibits are incorporated by reference.</w:t>
      </w:r>
    </w:p>
    <w:p>
      <w:pPr>
        <w:spacing w:after="0" w:line="78"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 Management contracts or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332980" cy="914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32980" cy="91440"/>
                    </a:xfrm>
                    <a:prstGeom prst="rect">
                      <a:avLst/>
                    </a:prstGeom>
                    <a:noFill/>
                  </pic:spPr>
                </pic:pic>
              </a:graphicData>
            </a:graphic>
          </wp:anchor>
        </w:drawing>
      </w:r>
    </w:p>
    <w:p>
      <w:pPr>
        <w:spacing w:after="0" w:line="84" w:lineRule="exact"/>
        <w:rPr>
          <w:sz w:val="20"/>
          <w:szCs w:val="20"/>
          <w:color w:val="auto"/>
        </w:rPr>
      </w:pPr>
    </w:p>
    <w:p>
      <w:pPr>
        <w:jc w:val="center"/>
        <w:ind w:right="52"/>
        <w:spacing w:after="0"/>
        <w:rPr>
          <w:sz w:val="20"/>
          <w:szCs w:val="20"/>
          <w:color w:val="auto"/>
        </w:rPr>
      </w:pPr>
      <w:r>
        <w:rPr>
          <w:rFonts w:ascii="Arial" w:cs="Arial" w:eastAsia="Arial" w:hAnsi="Arial"/>
          <w:sz w:val="9"/>
          <w:szCs w:val="9"/>
          <w:color w:val="auto"/>
        </w:rPr>
        <w:t>78</w:t>
      </w:r>
    </w:p>
    <w:p>
      <w:pPr>
        <w:sectPr>
          <w:pgSz w:w="11900" w:h="16838" w:orient="portrait"/>
          <w:cols w:equalWidth="0" w:num="1">
            <w:col w:w="11548"/>
          </w:cols>
          <w:pgMar w:left="212" w:top="354" w:right="139" w:bottom="1440" w:gutter="0" w:footer="0" w:header="0"/>
        </w:sectPr>
      </w:pPr>
    </w:p>
    <w:bookmarkStart w:id="78" w:name="page79"/>
    <w:bookmarkEnd w:id="78"/>
    <w:p>
      <w:pPr>
        <w:jc w:val="right"/>
        <w:spacing w:after="0"/>
        <w:rPr>
          <w:sz w:val="20"/>
          <w:szCs w:val="20"/>
          <w:color w:val="auto"/>
        </w:rPr>
      </w:pPr>
      <w:r>
        <w:rPr>
          <w:rFonts w:ascii="Arial" w:cs="Arial" w:eastAsia="Arial" w:hAnsi="Arial"/>
          <w:sz w:val="12"/>
          <w:szCs w:val="12"/>
          <w:b w:val="1"/>
          <w:bCs w:val="1"/>
          <w:u w:val="single" w:color="auto"/>
          <w:color w:val="auto"/>
        </w:rPr>
        <w:t>Exhibit 21</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Significant Subsidiaries</w:t>
      </w:r>
    </w:p>
    <w:p>
      <w:pPr>
        <w:spacing w:after="0" w:line="62" w:lineRule="exact"/>
        <w:rPr>
          <w:sz w:val="20"/>
          <w:szCs w:val="20"/>
          <w:color w:val="auto"/>
        </w:rPr>
      </w:pPr>
    </w:p>
    <w:p>
      <w:pPr>
        <w:ind w:right="320" w:firstLine="230"/>
        <w:spacing w:after="0" w:line="268" w:lineRule="auto"/>
        <w:rPr>
          <w:sz w:val="20"/>
          <w:szCs w:val="20"/>
          <w:color w:val="auto"/>
        </w:rPr>
      </w:pPr>
      <w:r>
        <w:rPr>
          <w:rFonts w:ascii="Arial" w:cs="Arial" w:eastAsia="Arial" w:hAnsi="Arial"/>
          <w:sz w:val="12"/>
          <w:szCs w:val="12"/>
          <w:color w:val="auto"/>
        </w:rPr>
        <w:t>Listed below are the significant subsidiaries of the Registrant as of December 31, 2011,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2011.</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Schlumberger Antilles N.V., Curacao</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Schlumberger B.V., Netherlands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Schlumberger Canada Limited, Canada</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Schlumberger SA, France</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Services Petroliers Schlumberger, France</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Schlumberger Norge AS, Norway</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Schlumberger Holdings Corporation, Delaware</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Schlumberger Technology Corporation, Texas</w:t>
      </w:r>
    </w:p>
    <w:p>
      <w:pPr>
        <w:spacing w:after="0" w:line="60"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WesternGeco LLC, Delaware</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Smith International Inc, Delaware</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Schlumberger UK Limited, UK</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M-I Holdings (UK) Limited, UK</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Schlumberger Plc, UK</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Schlumberger Oilfield UK Plc, UK</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WesternGeco Limited, UK</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M-I Holdings BV, Netherlands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Schlumberger Oilfield Holdings Limited, BVI</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Schlumberger Holdings Limited, BVI</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Dowell Schlumberger Corporation, BVI</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Schlumberger Logelco, Inc., Panama</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Schlumberger Middle East SA., Panama</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Schlumberger Offshore Services Limited, BVI</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Schlumberger Overseas, SA, Panama</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Schlumberger Seaco, Inc., Panama</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Schlumberger Surenco, SA, Panama</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WesternGeco Seismic Holdings Limited, BVI</w:t>
      </w:r>
    </w:p>
    <w:p>
      <w:pPr>
        <w:sectPr>
          <w:pgSz w:w="11900" w:h="16838" w:orient="portrait"/>
          <w:cols w:equalWidth="0" w:num="1">
            <w:col w:w="11480"/>
          </w:cols>
          <w:pgMar w:left="220" w:top="131" w:right="199" w:bottom="1440" w:gutter="0" w:footer="0" w:header="0"/>
        </w:sectPr>
      </w:pPr>
    </w:p>
    <w:bookmarkStart w:id="79" w:name="page80"/>
    <w:bookmarkEnd w:id="79"/>
    <w:p>
      <w:pPr>
        <w:jc w:val="right"/>
        <w:spacing w:after="0"/>
        <w:rPr>
          <w:sz w:val="20"/>
          <w:szCs w:val="20"/>
          <w:color w:val="auto"/>
        </w:rPr>
      </w:pPr>
      <w:r>
        <w:rPr>
          <w:rFonts w:ascii="Arial" w:cs="Arial" w:eastAsia="Arial" w:hAnsi="Arial"/>
          <w:sz w:val="12"/>
          <w:szCs w:val="12"/>
          <w:b w:val="1"/>
          <w:bCs w:val="1"/>
          <w:u w:val="single" w:color="auto"/>
          <w:color w:val="auto"/>
        </w:rPr>
        <w:t>Exhibit 23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62" w:lineRule="exact"/>
        <w:rPr>
          <w:sz w:val="20"/>
          <w:szCs w:val="20"/>
          <w:color w:val="auto"/>
        </w:rPr>
      </w:pPr>
    </w:p>
    <w:p>
      <w:pPr>
        <w:ind w:right="140" w:firstLine="230"/>
        <w:spacing w:after="0" w:line="259" w:lineRule="auto"/>
        <w:rPr>
          <w:sz w:val="20"/>
          <w:szCs w:val="20"/>
          <w:color w:val="auto"/>
        </w:rPr>
      </w:pPr>
      <w:r>
        <w:rPr>
          <w:rFonts w:ascii="Arial" w:cs="Arial" w:eastAsia="Arial" w:hAnsi="Arial"/>
          <w:sz w:val="12"/>
          <w:szCs w:val="12"/>
          <w:color w:val="auto"/>
        </w:rPr>
        <w:t>We hereby consent to the incorporation by reference in the Registration Statements on Form S-8 (Nos. 333-36364; 333-67330; 333-115277; 333-124534; 333-151920; and 333-173055), on Form S-3 (No. 333-173368); and on Form S-4 (Nos. 333-97899 and 333-166326, as amended by post-effective amendment on Form S-8) of Schlumberger Limited of our report dated February 1, 2012 relating to the consolidated financial statements and the effectiveness of internal control over financial reporting, which appears in this Form 10-K.</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PricewaterhouseCoopers LL</w:t>
      </w:r>
      <w:r>
        <w:rPr>
          <w:rFonts w:ascii="Arial" w:cs="Arial" w:eastAsia="Arial" w:hAnsi="Arial"/>
          <w:sz w:val="12"/>
          <w:szCs w:val="12"/>
          <w:color w:val="auto"/>
        </w:rPr>
        <w:t>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PricewaterhouseCoopers LLP</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Houston, Texas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1, 2012</w:t>
      </w:r>
    </w:p>
    <w:p>
      <w:pPr>
        <w:sectPr>
          <w:pgSz w:w="11900" w:h="16838" w:orient="portrait"/>
          <w:cols w:equalWidth="0" w:num="1">
            <w:col w:w="11480"/>
          </w:cols>
          <w:pgMar w:left="220" w:top="131" w:right="199" w:bottom="1440" w:gutter="0" w:footer="0" w:header="0"/>
        </w:sectPr>
      </w:pPr>
    </w:p>
    <w:bookmarkStart w:id="80" w:name="page81"/>
    <w:bookmarkEnd w:id="80"/>
    <w:p>
      <w:pPr>
        <w:jc w:val="right"/>
        <w:spacing w:after="0"/>
        <w:rPr>
          <w:sz w:val="20"/>
          <w:szCs w:val="20"/>
          <w:color w:val="auto"/>
        </w:rPr>
      </w:pPr>
      <w:r>
        <w:rPr>
          <w:rFonts w:ascii="Arial" w:cs="Arial" w:eastAsia="Arial" w:hAnsi="Arial"/>
          <w:sz w:val="12"/>
          <w:szCs w:val="12"/>
          <w:b w:val="1"/>
          <w:bCs w:val="1"/>
          <w:u w:val="single" w:color="auto"/>
          <w:color w:val="auto"/>
        </w:rPr>
        <w:t>Exhibit 24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62" w:lineRule="exact"/>
        <w:rPr>
          <w:sz w:val="20"/>
          <w:szCs w:val="20"/>
          <w:color w:val="auto"/>
        </w:rPr>
      </w:pPr>
    </w:p>
    <w:p>
      <w:pPr>
        <w:ind w:right="80" w:firstLine="230"/>
        <w:spacing w:after="0" w:line="255" w:lineRule="auto"/>
        <w:rPr>
          <w:sz w:val="20"/>
          <w:szCs w:val="20"/>
          <w:color w:val="auto"/>
        </w:rPr>
      </w:pPr>
      <w:r>
        <w:rPr>
          <w:rFonts w:ascii="Arial" w:cs="Arial" w:eastAsia="Arial" w:hAnsi="Arial"/>
          <w:sz w:val="12"/>
          <w:szCs w:val="12"/>
          <w:color w:val="auto"/>
        </w:rPr>
        <w:t>Each of the undersigned, in the capacity or capacities set forth below his or her signature as a member of the Board of Directors and/or an officer of Schlumberger Limited, a Curaçao corporation (“the Corporation”), hereby appoints Simon Ayat, Howard Guild and Alexander C. Juden,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2011, and any amendment or amendments to any such Annual Report on Form 10-K, and any agreements, consents or waivers relative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480"/>
          </w:cols>
          <w:pgMar w:left="220" w:top="131" w:right="199" w:bottom="1440" w:gutter="0" w:footer="0" w:header="0"/>
        </w:sectPr>
      </w:pPr>
    </w:p>
    <w:p>
      <w:pPr>
        <w:spacing w:after="0" w:line="267" w:lineRule="exact"/>
        <w:rPr>
          <w:sz w:val="20"/>
          <w:szCs w:val="20"/>
          <w:color w:val="auto"/>
        </w:rPr>
      </w:pPr>
    </w:p>
    <w:p>
      <w:pPr>
        <w:ind w:left="2040"/>
        <w:spacing w:after="0"/>
        <w:tabs>
          <w:tab w:leader="none" w:pos="224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9"/>
          <w:szCs w:val="9"/>
          <w:color w:val="auto"/>
        </w:rPr>
        <w:t>Philippe Camus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321437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14370" cy="5715"/>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2"/>
          <w:szCs w:val="12"/>
          <w:color w:val="auto"/>
        </w:rPr>
        <w:t>Philippe Camus</w:t>
      </w:r>
    </w:p>
    <w:p>
      <w:pPr>
        <w:spacing w:after="0" w:line="10" w:lineRule="exact"/>
        <w:rPr>
          <w:sz w:val="20"/>
          <w:szCs w:val="20"/>
          <w:color w:val="auto"/>
        </w:rPr>
      </w:pPr>
    </w:p>
    <w:p>
      <w:pPr>
        <w:jc w:val="center"/>
        <w:ind w:right="760"/>
        <w:spacing w:after="0"/>
        <w:rPr>
          <w:sz w:val="20"/>
          <w:szCs w:val="20"/>
          <w:color w:val="auto"/>
        </w:rPr>
      </w:pPr>
      <w:r>
        <w:rPr>
          <w:rFonts w:ascii="Arial" w:cs="Arial" w:eastAsia="Arial" w:hAnsi="Arial"/>
          <w:sz w:val="12"/>
          <w:szCs w:val="12"/>
          <w:color w:val="auto"/>
        </w:rPr>
        <w:t>Director</w:t>
      </w:r>
    </w:p>
    <w:p>
      <w:pPr>
        <w:spacing w:after="0" w:line="155" w:lineRule="exact"/>
        <w:rPr>
          <w:sz w:val="20"/>
          <w:szCs w:val="20"/>
          <w:color w:val="auto"/>
        </w:rPr>
      </w:pPr>
    </w:p>
    <w:p>
      <w:pPr>
        <w:ind w:left="2020"/>
        <w:spacing w:after="0"/>
        <w:tabs>
          <w:tab w:leader="none" w:pos="222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9"/>
          <w:szCs w:val="9"/>
          <w:color w:val="auto"/>
        </w:rPr>
        <w:t>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321437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14370" cy="571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2"/>
          <w:szCs w:val="12"/>
          <w:color w:val="auto"/>
        </w:rPr>
        <w:t>Peter L.S. Currie</w:t>
      </w:r>
    </w:p>
    <w:p>
      <w:pPr>
        <w:spacing w:after="0" w:line="10" w:lineRule="exact"/>
        <w:rPr>
          <w:sz w:val="20"/>
          <w:szCs w:val="20"/>
          <w:color w:val="auto"/>
        </w:rPr>
      </w:pPr>
    </w:p>
    <w:p>
      <w:pPr>
        <w:jc w:val="center"/>
        <w:ind w:right="760"/>
        <w:spacing w:after="0"/>
        <w:rPr>
          <w:sz w:val="20"/>
          <w:szCs w:val="20"/>
          <w:color w:val="auto"/>
        </w:rPr>
      </w:pPr>
      <w:r>
        <w:rPr>
          <w:rFonts w:ascii="Arial" w:cs="Arial" w:eastAsia="Arial" w:hAnsi="Arial"/>
          <w:sz w:val="12"/>
          <w:szCs w:val="12"/>
          <w:color w:val="auto"/>
        </w:rPr>
        <w:t>Director</w:t>
      </w:r>
    </w:p>
    <w:p>
      <w:pPr>
        <w:spacing w:after="0" w:line="155" w:lineRule="exact"/>
        <w:rPr>
          <w:sz w:val="20"/>
          <w:szCs w:val="20"/>
          <w:color w:val="auto"/>
        </w:rPr>
      </w:pPr>
    </w:p>
    <w:p>
      <w:pPr>
        <w:ind w:left="2060"/>
        <w:spacing w:after="0"/>
        <w:tabs>
          <w:tab w:leader="none" w:pos="226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321437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14370" cy="5715"/>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2"/>
          <w:szCs w:val="12"/>
          <w:color w:val="auto"/>
        </w:rPr>
        <w:t>Andrew Gould</w:t>
      </w:r>
    </w:p>
    <w:p>
      <w:pPr>
        <w:spacing w:after="0" w:line="10" w:lineRule="exact"/>
        <w:rPr>
          <w:sz w:val="20"/>
          <w:szCs w:val="20"/>
          <w:color w:val="auto"/>
        </w:rPr>
      </w:pPr>
    </w:p>
    <w:p>
      <w:pPr>
        <w:jc w:val="center"/>
        <w:ind w:right="760"/>
        <w:spacing w:after="0"/>
        <w:rPr>
          <w:sz w:val="20"/>
          <w:szCs w:val="20"/>
          <w:color w:val="auto"/>
        </w:rPr>
      </w:pPr>
      <w:r>
        <w:rPr>
          <w:rFonts w:ascii="Arial" w:cs="Arial" w:eastAsia="Arial" w:hAnsi="Arial"/>
          <w:sz w:val="12"/>
          <w:szCs w:val="12"/>
          <w:color w:val="auto"/>
        </w:rPr>
        <w:t>Chairman and Executive Officer</w:t>
      </w:r>
    </w:p>
    <w:p>
      <w:pPr>
        <w:spacing w:after="0" w:line="155" w:lineRule="exact"/>
        <w:rPr>
          <w:sz w:val="20"/>
          <w:szCs w:val="20"/>
          <w:color w:val="auto"/>
        </w:rPr>
      </w:pPr>
    </w:p>
    <w:p>
      <w:pPr>
        <w:ind w:left="2160"/>
        <w:spacing w:after="0"/>
        <w:tabs>
          <w:tab w:leader="none" w:pos="236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9"/>
          <w:szCs w:val="9"/>
          <w:color w:val="auto"/>
        </w:rPr>
        <w:t>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321437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14370" cy="571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2"/>
          <w:szCs w:val="12"/>
          <w:color w:val="auto"/>
        </w:rPr>
        <w:t>Tony Isaac</w:t>
      </w:r>
    </w:p>
    <w:p>
      <w:pPr>
        <w:spacing w:after="0" w:line="10" w:lineRule="exact"/>
        <w:rPr>
          <w:sz w:val="20"/>
          <w:szCs w:val="20"/>
          <w:color w:val="auto"/>
        </w:rPr>
      </w:pPr>
    </w:p>
    <w:p>
      <w:pPr>
        <w:jc w:val="center"/>
        <w:ind w:right="760"/>
        <w:spacing w:after="0"/>
        <w:rPr>
          <w:sz w:val="20"/>
          <w:szCs w:val="20"/>
          <w:color w:val="auto"/>
        </w:rPr>
      </w:pPr>
      <w:r>
        <w:rPr>
          <w:rFonts w:ascii="Arial" w:cs="Arial" w:eastAsia="Arial" w:hAnsi="Arial"/>
          <w:sz w:val="12"/>
          <w:szCs w:val="12"/>
          <w:color w:val="auto"/>
        </w:rPr>
        <w:t>Director</w:t>
      </w:r>
    </w:p>
    <w:p>
      <w:pPr>
        <w:spacing w:after="0" w:line="155" w:lineRule="exact"/>
        <w:rPr>
          <w:sz w:val="20"/>
          <w:szCs w:val="20"/>
          <w:color w:val="auto"/>
        </w:rPr>
      </w:pPr>
    </w:p>
    <w:p>
      <w:pPr>
        <w:ind w:left="2100"/>
        <w:spacing w:after="0"/>
        <w:tabs>
          <w:tab w:leader="none" w:pos="232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9"/>
          <w:szCs w:val="9"/>
          <w:color w:val="auto"/>
        </w:rPr>
        <w:t>K.V. Kamath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321437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14370" cy="5715"/>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color w:val="auto"/>
        </w:rPr>
        <w:t>K.V. Kamath</w:t>
      </w:r>
    </w:p>
    <w:p>
      <w:pPr>
        <w:spacing w:after="0" w:line="10" w:lineRule="exact"/>
        <w:rPr>
          <w:sz w:val="20"/>
          <w:szCs w:val="20"/>
          <w:color w:val="auto"/>
        </w:rPr>
      </w:pPr>
    </w:p>
    <w:p>
      <w:pPr>
        <w:jc w:val="center"/>
        <w:ind w:right="760"/>
        <w:spacing w:after="0"/>
        <w:rPr>
          <w:sz w:val="20"/>
          <w:szCs w:val="20"/>
          <w:color w:val="auto"/>
        </w:rPr>
      </w:pPr>
      <w:r>
        <w:rPr>
          <w:rFonts w:ascii="Arial" w:cs="Arial" w:eastAsia="Arial" w:hAnsi="Arial"/>
          <w:sz w:val="12"/>
          <w:szCs w:val="12"/>
          <w:color w:val="auto"/>
        </w:rPr>
        <w:t>Director</w:t>
      </w:r>
    </w:p>
    <w:p>
      <w:pPr>
        <w:spacing w:after="0" w:line="155" w:lineRule="exact"/>
        <w:rPr>
          <w:sz w:val="20"/>
          <w:szCs w:val="20"/>
          <w:color w:val="auto"/>
        </w:rPr>
      </w:pPr>
    </w:p>
    <w:p>
      <w:pPr>
        <w:ind w:left="2060"/>
        <w:spacing w:after="0"/>
        <w:tabs>
          <w:tab w:leader="none" w:pos="226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9"/>
          <w:szCs w:val="9"/>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321437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14370" cy="5715"/>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2"/>
          <w:szCs w:val="12"/>
          <w:color w:val="auto"/>
        </w:rPr>
        <w:t>Paal Kibsgaard</w:t>
      </w:r>
    </w:p>
    <w:p>
      <w:pPr>
        <w:spacing w:after="0" w:line="10" w:lineRule="exact"/>
        <w:rPr>
          <w:sz w:val="20"/>
          <w:szCs w:val="20"/>
          <w:color w:val="auto"/>
        </w:rPr>
      </w:pPr>
    </w:p>
    <w:p>
      <w:pPr>
        <w:jc w:val="center"/>
        <w:ind w:right="760"/>
        <w:spacing w:after="0"/>
        <w:rPr>
          <w:sz w:val="20"/>
          <w:szCs w:val="20"/>
          <w:color w:val="auto"/>
        </w:rPr>
      </w:pPr>
      <w:r>
        <w:rPr>
          <w:rFonts w:ascii="Arial" w:cs="Arial" w:eastAsia="Arial" w:hAnsi="Arial"/>
          <w:sz w:val="9"/>
          <w:szCs w:val="9"/>
          <w:color w:val="auto"/>
        </w:rPr>
        <w:t>Director and Chief Executive Officer</w:t>
      </w:r>
    </w:p>
    <w:p>
      <w:pPr>
        <w:spacing w:after="0" w:line="190" w:lineRule="exact"/>
        <w:rPr>
          <w:sz w:val="20"/>
          <w:szCs w:val="20"/>
          <w:color w:val="auto"/>
        </w:rPr>
      </w:pPr>
    </w:p>
    <w:p>
      <w:pPr>
        <w:ind w:left="1900"/>
        <w:spacing w:after="0"/>
        <w:tabs>
          <w:tab w:leader="none" w:pos="212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321437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14370" cy="5715"/>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2"/>
          <w:szCs w:val="12"/>
          <w:color w:val="auto"/>
        </w:rPr>
        <w:t>Nikolay Kudryavtsev</w:t>
      </w:r>
    </w:p>
    <w:p>
      <w:pPr>
        <w:spacing w:after="0" w:line="10" w:lineRule="exact"/>
        <w:rPr>
          <w:sz w:val="20"/>
          <w:szCs w:val="20"/>
          <w:color w:val="auto"/>
        </w:rPr>
      </w:pPr>
    </w:p>
    <w:p>
      <w:pPr>
        <w:ind w:left="2320"/>
        <w:spacing w:after="0"/>
        <w:rPr>
          <w:sz w:val="20"/>
          <w:szCs w:val="20"/>
          <w:color w:val="auto"/>
        </w:rPr>
      </w:pPr>
      <w:r>
        <w:rPr>
          <w:rFonts w:ascii="Arial" w:cs="Arial" w:eastAsia="Arial" w:hAnsi="Arial"/>
          <w:sz w:val="12"/>
          <w:szCs w:val="12"/>
          <w:color w:val="auto"/>
        </w:rPr>
        <w:t>Director</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Date: January 19, 2012</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Borders>
              <w:bottom w:val="single" w:sz="8" w:color="auto"/>
            </w:tcBorders>
          </w:tcPr>
          <w:p>
            <w:pPr>
              <w:ind w:left="2020"/>
              <w:spacing w:after="0"/>
              <w:rPr>
                <w:sz w:val="20"/>
                <w:szCs w:val="20"/>
                <w:color w:val="auto"/>
              </w:rPr>
            </w:pPr>
            <w:r>
              <w:rPr>
                <w:rFonts w:ascii="Arial" w:cs="Arial" w:eastAsia="Arial" w:hAnsi="Arial"/>
                <w:sz w:val="12"/>
                <w:szCs w:val="12"/>
                <w:color w:val="auto"/>
                <w:w w:val="78"/>
              </w:rPr>
              <w:t>/s/</w:t>
            </w:r>
          </w:p>
        </w:tc>
        <w:tc>
          <w:tcPr>
            <w:tcW w:w="2800" w:type="dxa"/>
            <w:vAlign w:val="bottom"/>
            <w:tcBorders>
              <w:bottom w:val="single" w:sz="8" w:color="auto"/>
            </w:tcBorders>
          </w:tcPr>
          <w:p>
            <w:pPr>
              <w:jc w:val="center"/>
              <w:ind w:right="1861"/>
              <w:spacing w:after="0"/>
              <w:rPr>
                <w:sz w:val="20"/>
                <w:szCs w:val="20"/>
                <w:color w:val="auto"/>
              </w:rPr>
            </w:pPr>
            <w:r>
              <w:rPr>
                <w:rFonts w:ascii="Arial" w:cs="Arial" w:eastAsia="Arial" w:hAnsi="Arial"/>
                <w:sz w:val="12"/>
                <w:szCs w:val="12"/>
                <w:color w:val="auto"/>
                <w:w w:val="92"/>
              </w:rPr>
              <w:t>Adrian Lajous</w:t>
            </w:r>
          </w:p>
        </w:tc>
      </w:tr>
      <w:tr>
        <w:trPr>
          <w:trHeight w:val="128"/>
        </w:trPr>
        <w:tc>
          <w:tcPr>
            <w:tcW w:w="2140" w:type="dxa"/>
            <w:vAlign w:val="bottom"/>
          </w:tcPr>
          <w:p>
            <w:pPr>
              <w:spacing w:after="0"/>
              <w:rPr>
                <w:sz w:val="11"/>
                <w:szCs w:val="11"/>
                <w:color w:val="auto"/>
              </w:rPr>
            </w:pPr>
          </w:p>
        </w:tc>
        <w:tc>
          <w:tcPr>
            <w:tcW w:w="2800" w:type="dxa"/>
            <w:vAlign w:val="bottom"/>
          </w:tcPr>
          <w:p>
            <w:pPr>
              <w:jc w:val="center"/>
              <w:ind w:right="2081"/>
              <w:spacing w:after="0" w:line="128" w:lineRule="exact"/>
              <w:rPr>
                <w:sz w:val="20"/>
                <w:szCs w:val="20"/>
                <w:color w:val="auto"/>
              </w:rPr>
            </w:pPr>
            <w:r>
              <w:rPr>
                <w:rFonts w:ascii="Arial" w:cs="Arial" w:eastAsia="Arial" w:hAnsi="Arial"/>
                <w:sz w:val="12"/>
                <w:szCs w:val="12"/>
                <w:color w:val="auto"/>
                <w:w w:val="89"/>
              </w:rPr>
              <w:t>Adrian Lajous</w:t>
            </w:r>
          </w:p>
        </w:tc>
      </w:tr>
      <w:tr>
        <w:trPr>
          <w:trHeight w:val="148"/>
        </w:trPr>
        <w:tc>
          <w:tcPr>
            <w:tcW w:w="2140" w:type="dxa"/>
            <w:vAlign w:val="bottom"/>
          </w:tcPr>
          <w:p>
            <w:pPr>
              <w:spacing w:after="0"/>
              <w:rPr>
                <w:sz w:val="12"/>
                <w:szCs w:val="12"/>
                <w:color w:val="auto"/>
              </w:rPr>
            </w:pPr>
          </w:p>
        </w:tc>
        <w:tc>
          <w:tcPr>
            <w:tcW w:w="2800" w:type="dxa"/>
            <w:vAlign w:val="bottom"/>
          </w:tcPr>
          <w:p>
            <w:pPr>
              <w:jc w:val="center"/>
              <w:ind w:right="2081"/>
              <w:spacing w:after="0"/>
              <w:rPr>
                <w:sz w:val="20"/>
                <w:szCs w:val="20"/>
                <w:color w:val="auto"/>
              </w:rPr>
            </w:pPr>
            <w:r>
              <w:rPr>
                <w:rFonts w:ascii="Arial" w:cs="Arial" w:eastAsia="Arial" w:hAnsi="Arial"/>
                <w:sz w:val="12"/>
                <w:szCs w:val="12"/>
                <w:color w:val="auto"/>
                <w:w w:val="90"/>
              </w:rPr>
              <w:t>Director</w:t>
            </w:r>
          </w:p>
        </w:tc>
      </w:tr>
      <w:tr>
        <w:trPr>
          <w:trHeight w:val="298"/>
        </w:trPr>
        <w:tc>
          <w:tcPr>
            <w:tcW w:w="2140" w:type="dxa"/>
            <w:vAlign w:val="bottom"/>
            <w:tcBorders>
              <w:bottom w:val="single" w:sz="8" w:color="auto"/>
            </w:tcBorders>
          </w:tcPr>
          <w:p>
            <w:pPr>
              <w:ind w:left="1940"/>
              <w:spacing w:after="0"/>
              <w:rPr>
                <w:sz w:val="20"/>
                <w:szCs w:val="20"/>
                <w:color w:val="auto"/>
              </w:rPr>
            </w:pPr>
            <w:r>
              <w:rPr>
                <w:rFonts w:ascii="Arial" w:cs="Arial" w:eastAsia="Arial" w:hAnsi="Arial"/>
                <w:sz w:val="12"/>
                <w:szCs w:val="12"/>
                <w:color w:val="auto"/>
              </w:rPr>
              <w:t>/s/</w:t>
            </w:r>
          </w:p>
        </w:tc>
        <w:tc>
          <w:tcPr>
            <w:tcW w:w="2800" w:type="dxa"/>
            <w:vAlign w:val="bottom"/>
            <w:tcBorders>
              <w:bottom w:val="single" w:sz="8" w:color="auto"/>
            </w:tcBorders>
          </w:tcPr>
          <w:p>
            <w:pPr>
              <w:jc w:val="center"/>
              <w:ind w:right="1861"/>
              <w:spacing w:after="0"/>
              <w:rPr>
                <w:sz w:val="20"/>
                <w:szCs w:val="20"/>
                <w:color w:val="auto"/>
              </w:rPr>
            </w:pPr>
            <w:r>
              <w:rPr>
                <w:rFonts w:ascii="Arial" w:cs="Arial" w:eastAsia="Arial" w:hAnsi="Arial"/>
                <w:sz w:val="12"/>
                <w:szCs w:val="12"/>
                <w:color w:val="auto"/>
                <w:w w:val="91"/>
              </w:rPr>
              <w:t>Michael E. Marks</w:t>
            </w:r>
          </w:p>
        </w:tc>
      </w:tr>
      <w:tr>
        <w:trPr>
          <w:trHeight w:val="128"/>
        </w:trPr>
        <w:tc>
          <w:tcPr>
            <w:tcW w:w="4940" w:type="dxa"/>
            <w:vAlign w:val="bottom"/>
            <w:gridSpan w:val="2"/>
          </w:tcPr>
          <w:p>
            <w:pPr>
              <w:jc w:val="center"/>
              <w:spacing w:after="0" w:line="128" w:lineRule="exact"/>
              <w:rPr>
                <w:sz w:val="20"/>
                <w:szCs w:val="20"/>
                <w:color w:val="auto"/>
              </w:rPr>
            </w:pPr>
            <w:r>
              <w:rPr>
                <w:rFonts w:ascii="Arial" w:cs="Arial" w:eastAsia="Arial" w:hAnsi="Arial"/>
                <w:sz w:val="12"/>
                <w:szCs w:val="12"/>
                <w:color w:val="auto"/>
                <w:w w:val="91"/>
              </w:rPr>
              <w:t>Michael E. Marks</w:t>
            </w:r>
          </w:p>
        </w:tc>
      </w:tr>
      <w:tr>
        <w:trPr>
          <w:trHeight w:val="148"/>
        </w:trPr>
        <w:tc>
          <w:tcPr>
            <w:tcW w:w="2140" w:type="dxa"/>
            <w:vAlign w:val="bottom"/>
          </w:tcPr>
          <w:p>
            <w:pPr>
              <w:spacing w:after="0"/>
              <w:rPr>
                <w:sz w:val="12"/>
                <w:szCs w:val="12"/>
                <w:color w:val="auto"/>
              </w:rPr>
            </w:pPr>
          </w:p>
        </w:tc>
        <w:tc>
          <w:tcPr>
            <w:tcW w:w="2800" w:type="dxa"/>
            <w:vAlign w:val="bottom"/>
          </w:tcPr>
          <w:p>
            <w:pPr>
              <w:jc w:val="center"/>
              <w:ind w:right="2081"/>
              <w:spacing w:after="0"/>
              <w:rPr>
                <w:sz w:val="20"/>
                <w:szCs w:val="20"/>
                <w:color w:val="auto"/>
              </w:rPr>
            </w:pPr>
            <w:r>
              <w:rPr>
                <w:rFonts w:ascii="Arial" w:cs="Arial" w:eastAsia="Arial" w:hAnsi="Arial"/>
                <w:sz w:val="12"/>
                <w:szCs w:val="12"/>
                <w:color w:val="auto"/>
                <w:w w:val="90"/>
              </w:rPr>
              <w:t>Director</w:t>
            </w:r>
          </w:p>
        </w:tc>
      </w:tr>
      <w:tr>
        <w:trPr>
          <w:trHeight w:val="298"/>
        </w:trPr>
        <w:tc>
          <w:tcPr>
            <w:tcW w:w="2140" w:type="dxa"/>
            <w:vAlign w:val="bottom"/>
            <w:tcBorders>
              <w:bottom w:val="single" w:sz="8" w:color="auto"/>
            </w:tcBorders>
          </w:tcPr>
          <w:p>
            <w:pPr>
              <w:ind w:left="1980"/>
              <w:spacing w:after="0"/>
              <w:rPr>
                <w:sz w:val="20"/>
                <w:szCs w:val="20"/>
                <w:color w:val="auto"/>
              </w:rPr>
            </w:pPr>
            <w:r>
              <w:rPr>
                <w:rFonts w:ascii="Arial" w:cs="Arial" w:eastAsia="Arial" w:hAnsi="Arial"/>
                <w:sz w:val="12"/>
                <w:szCs w:val="12"/>
                <w:color w:val="auto"/>
              </w:rPr>
              <w:t>/s/</w:t>
            </w:r>
          </w:p>
        </w:tc>
        <w:tc>
          <w:tcPr>
            <w:tcW w:w="2800" w:type="dxa"/>
            <w:vAlign w:val="bottom"/>
            <w:tcBorders>
              <w:bottom w:val="single" w:sz="8" w:color="auto"/>
            </w:tcBorders>
          </w:tcPr>
          <w:p>
            <w:pPr>
              <w:jc w:val="center"/>
              <w:ind w:right="1861"/>
              <w:spacing w:after="0"/>
              <w:rPr>
                <w:sz w:val="20"/>
                <w:szCs w:val="20"/>
                <w:color w:val="auto"/>
              </w:rPr>
            </w:pPr>
            <w:r>
              <w:rPr>
                <w:rFonts w:ascii="Arial" w:cs="Arial" w:eastAsia="Arial" w:hAnsi="Arial"/>
                <w:sz w:val="12"/>
                <w:szCs w:val="12"/>
                <w:color w:val="auto"/>
                <w:w w:val="91"/>
              </w:rPr>
              <w:t>Elizabeth Moler</w:t>
            </w:r>
          </w:p>
        </w:tc>
      </w:tr>
      <w:tr>
        <w:trPr>
          <w:trHeight w:val="128"/>
        </w:trPr>
        <w:tc>
          <w:tcPr>
            <w:tcW w:w="4940" w:type="dxa"/>
            <w:vAlign w:val="bottom"/>
            <w:gridSpan w:val="2"/>
          </w:tcPr>
          <w:p>
            <w:pPr>
              <w:jc w:val="center"/>
              <w:spacing w:after="0" w:line="128" w:lineRule="exact"/>
              <w:rPr>
                <w:sz w:val="20"/>
                <w:szCs w:val="20"/>
                <w:color w:val="auto"/>
              </w:rPr>
            </w:pPr>
            <w:r>
              <w:rPr>
                <w:rFonts w:ascii="Arial" w:cs="Arial" w:eastAsia="Arial" w:hAnsi="Arial"/>
                <w:sz w:val="12"/>
                <w:szCs w:val="12"/>
                <w:color w:val="auto"/>
                <w:w w:val="91"/>
              </w:rPr>
              <w:t>Elizabeth Moler</w:t>
            </w:r>
          </w:p>
        </w:tc>
      </w:tr>
      <w:tr>
        <w:trPr>
          <w:trHeight w:val="148"/>
        </w:trPr>
        <w:tc>
          <w:tcPr>
            <w:tcW w:w="2140" w:type="dxa"/>
            <w:vAlign w:val="bottom"/>
          </w:tcPr>
          <w:p>
            <w:pPr>
              <w:spacing w:after="0"/>
              <w:rPr>
                <w:sz w:val="12"/>
                <w:szCs w:val="12"/>
                <w:color w:val="auto"/>
              </w:rPr>
            </w:pPr>
          </w:p>
        </w:tc>
        <w:tc>
          <w:tcPr>
            <w:tcW w:w="2800" w:type="dxa"/>
            <w:vAlign w:val="bottom"/>
          </w:tcPr>
          <w:p>
            <w:pPr>
              <w:jc w:val="center"/>
              <w:ind w:right="2081"/>
              <w:spacing w:after="0"/>
              <w:rPr>
                <w:sz w:val="20"/>
                <w:szCs w:val="20"/>
                <w:color w:val="auto"/>
              </w:rPr>
            </w:pPr>
            <w:r>
              <w:rPr>
                <w:rFonts w:ascii="Arial" w:cs="Arial" w:eastAsia="Arial" w:hAnsi="Arial"/>
                <w:sz w:val="12"/>
                <w:szCs w:val="12"/>
                <w:color w:val="auto"/>
                <w:w w:val="90"/>
              </w:rPr>
              <w:t>Director</w:t>
            </w:r>
          </w:p>
        </w:tc>
      </w:tr>
      <w:tr>
        <w:trPr>
          <w:trHeight w:val="298"/>
        </w:trPr>
        <w:tc>
          <w:tcPr>
            <w:tcW w:w="2140" w:type="dxa"/>
            <w:vAlign w:val="bottom"/>
            <w:tcBorders>
              <w:bottom w:val="single" w:sz="8" w:color="auto"/>
            </w:tcBorders>
          </w:tcPr>
          <w:p>
            <w:pPr>
              <w:ind w:left="1960"/>
              <w:spacing w:after="0"/>
              <w:rPr>
                <w:sz w:val="20"/>
                <w:szCs w:val="20"/>
                <w:color w:val="auto"/>
              </w:rPr>
            </w:pPr>
            <w:r>
              <w:rPr>
                <w:rFonts w:ascii="Arial" w:cs="Arial" w:eastAsia="Arial" w:hAnsi="Arial"/>
                <w:sz w:val="12"/>
                <w:szCs w:val="12"/>
                <w:color w:val="auto"/>
              </w:rPr>
              <w:t>/s/</w:t>
            </w:r>
          </w:p>
        </w:tc>
        <w:tc>
          <w:tcPr>
            <w:tcW w:w="2800" w:type="dxa"/>
            <w:vAlign w:val="bottom"/>
            <w:tcBorders>
              <w:bottom w:val="single" w:sz="8" w:color="auto"/>
            </w:tcBorders>
          </w:tcPr>
          <w:p>
            <w:pPr>
              <w:jc w:val="center"/>
              <w:ind w:right="1861"/>
              <w:spacing w:after="0"/>
              <w:rPr>
                <w:sz w:val="20"/>
                <w:szCs w:val="20"/>
                <w:color w:val="auto"/>
              </w:rPr>
            </w:pPr>
            <w:r>
              <w:rPr>
                <w:rFonts w:ascii="Arial" w:cs="Arial" w:eastAsia="Arial" w:hAnsi="Arial"/>
                <w:sz w:val="12"/>
                <w:szCs w:val="12"/>
                <w:color w:val="auto"/>
                <w:w w:val="89"/>
              </w:rPr>
              <w:t>Lubna S. Olayan</w:t>
            </w:r>
          </w:p>
        </w:tc>
      </w:tr>
      <w:tr>
        <w:trPr>
          <w:trHeight w:val="128"/>
        </w:trPr>
        <w:tc>
          <w:tcPr>
            <w:tcW w:w="4940" w:type="dxa"/>
            <w:vAlign w:val="bottom"/>
            <w:gridSpan w:val="2"/>
          </w:tcPr>
          <w:p>
            <w:pPr>
              <w:jc w:val="center"/>
              <w:spacing w:after="0" w:line="128" w:lineRule="exact"/>
              <w:rPr>
                <w:sz w:val="20"/>
                <w:szCs w:val="20"/>
                <w:color w:val="auto"/>
              </w:rPr>
            </w:pPr>
            <w:r>
              <w:rPr>
                <w:rFonts w:ascii="Arial" w:cs="Arial" w:eastAsia="Arial" w:hAnsi="Arial"/>
                <w:sz w:val="12"/>
                <w:szCs w:val="12"/>
                <w:color w:val="auto"/>
                <w:w w:val="87"/>
              </w:rPr>
              <w:t>Lubna S. Olayan</w:t>
            </w:r>
          </w:p>
        </w:tc>
      </w:tr>
      <w:tr>
        <w:trPr>
          <w:trHeight w:val="148"/>
        </w:trPr>
        <w:tc>
          <w:tcPr>
            <w:tcW w:w="2140" w:type="dxa"/>
            <w:vAlign w:val="bottom"/>
          </w:tcPr>
          <w:p>
            <w:pPr>
              <w:spacing w:after="0"/>
              <w:rPr>
                <w:sz w:val="12"/>
                <w:szCs w:val="12"/>
                <w:color w:val="auto"/>
              </w:rPr>
            </w:pPr>
          </w:p>
        </w:tc>
        <w:tc>
          <w:tcPr>
            <w:tcW w:w="2800" w:type="dxa"/>
            <w:vAlign w:val="bottom"/>
          </w:tcPr>
          <w:p>
            <w:pPr>
              <w:jc w:val="center"/>
              <w:ind w:right="2081"/>
              <w:spacing w:after="0"/>
              <w:rPr>
                <w:sz w:val="20"/>
                <w:szCs w:val="20"/>
                <w:color w:val="auto"/>
              </w:rPr>
            </w:pPr>
            <w:r>
              <w:rPr>
                <w:rFonts w:ascii="Arial" w:cs="Arial" w:eastAsia="Arial" w:hAnsi="Arial"/>
                <w:sz w:val="12"/>
                <w:szCs w:val="12"/>
                <w:color w:val="auto"/>
                <w:w w:val="90"/>
              </w:rPr>
              <w:t>Director</w:t>
            </w:r>
          </w:p>
        </w:tc>
      </w:tr>
      <w:tr>
        <w:trPr>
          <w:trHeight w:val="298"/>
        </w:trPr>
        <w:tc>
          <w:tcPr>
            <w:tcW w:w="2140" w:type="dxa"/>
            <w:vAlign w:val="bottom"/>
            <w:tcBorders>
              <w:bottom w:val="single" w:sz="8" w:color="auto"/>
            </w:tcBorders>
          </w:tcPr>
          <w:p>
            <w:pPr>
              <w:ind w:left="1980"/>
              <w:spacing w:after="0"/>
              <w:rPr>
                <w:sz w:val="20"/>
                <w:szCs w:val="20"/>
                <w:color w:val="auto"/>
              </w:rPr>
            </w:pPr>
            <w:r>
              <w:rPr>
                <w:rFonts w:ascii="Arial" w:cs="Arial" w:eastAsia="Arial" w:hAnsi="Arial"/>
                <w:sz w:val="12"/>
                <w:szCs w:val="12"/>
                <w:color w:val="auto"/>
              </w:rPr>
              <w:t>/s/</w:t>
            </w:r>
          </w:p>
        </w:tc>
        <w:tc>
          <w:tcPr>
            <w:tcW w:w="2800" w:type="dxa"/>
            <w:vAlign w:val="bottom"/>
            <w:tcBorders>
              <w:bottom w:val="single" w:sz="8" w:color="auto"/>
            </w:tcBorders>
          </w:tcPr>
          <w:p>
            <w:pPr>
              <w:jc w:val="center"/>
              <w:ind w:right="1861"/>
              <w:spacing w:after="0"/>
              <w:rPr>
                <w:sz w:val="20"/>
                <w:szCs w:val="20"/>
                <w:color w:val="auto"/>
              </w:rPr>
            </w:pPr>
            <w:r>
              <w:rPr>
                <w:rFonts w:ascii="Arial" w:cs="Arial" w:eastAsia="Arial" w:hAnsi="Arial"/>
                <w:sz w:val="12"/>
                <w:szCs w:val="12"/>
                <w:color w:val="auto"/>
                <w:w w:val="91"/>
              </w:rPr>
              <w:t>Leo Rafael Reif</w:t>
            </w:r>
          </w:p>
        </w:tc>
      </w:tr>
      <w:tr>
        <w:trPr>
          <w:trHeight w:val="128"/>
        </w:trPr>
        <w:tc>
          <w:tcPr>
            <w:tcW w:w="4940" w:type="dxa"/>
            <w:vAlign w:val="bottom"/>
            <w:gridSpan w:val="2"/>
          </w:tcPr>
          <w:p>
            <w:pPr>
              <w:jc w:val="center"/>
              <w:spacing w:after="0" w:line="128" w:lineRule="exact"/>
              <w:rPr>
                <w:sz w:val="20"/>
                <w:szCs w:val="20"/>
                <w:color w:val="auto"/>
              </w:rPr>
            </w:pPr>
            <w:r>
              <w:rPr>
                <w:rFonts w:ascii="Arial" w:cs="Arial" w:eastAsia="Arial" w:hAnsi="Arial"/>
                <w:sz w:val="12"/>
                <w:szCs w:val="12"/>
                <w:color w:val="auto"/>
                <w:w w:val="89"/>
              </w:rPr>
              <w:t>Leo Rafael Reif</w:t>
            </w:r>
          </w:p>
        </w:tc>
      </w:tr>
      <w:tr>
        <w:trPr>
          <w:trHeight w:val="148"/>
        </w:trPr>
        <w:tc>
          <w:tcPr>
            <w:tcW w:w="2140" w:type="dxa"/>
            <w:vAlign w:val="bottom"/>
          </w:tcPr>
          <w:p>
            <w:pPr>
              <w:spacing w:after="0"/>
              <w:rPr>
                <w:sz w:val="12"/>
                <w:szCs w:val="12"/>
                <w:color w:val="auto"/>
              </w:rPr>
            </w:pPr>
          </w:p>
        </w:tc>
        <w:tc>
          <w:tcPr>
            <w:tcW w:w="2800" w:type="dxa"/>
            <w:vAlign w:val="bottom"/>
          </w:tcPr>
          <w:p>
            <w:pPr>
              <w:jc w:val="center"/>
              <w:ind w:right="2081"/>
              <w:spacing w:after="0"/>
              <w:rPr>
                <w:sz w:val="20"/>
                <w:szCs w:val="20"/>
                <w:color w:val="auto"/>
              </w:rPr>
            </w:pPr>
            <w:r>
              <w:rPr>
                <w:rFonts w:ascii="Arial" w:cs="Arial" w:eastAsia="Arial" w:hAnsi="Arial"/>
                <w:sz w:val="12"/>
                <w:szCs w:val="12"/>
                <w:color w:val="auto"/>
                <w:w w:val="90"/>
              </w:rPr>
              <w:t>Director</w:t>
            </w:r>
          </w:p>
        </w:tc>
      </w:tr>
      <w:tr>
        <w:trPr>
          <w:trHeight w:val="298"/>
        </w:trPr>
        <w:tc>
          <w:tcPr>
            <w:tcW w:w="2140" w:type="dxa"/>
            <w:vAlign w:val="bottom"/>
            <w:tcBorders>
              <w:bottom w:val="single" w:sz="8" w:color="auto"/>
            </w:tcBorders>
          </w:tcPr>
          <w:p>
            <w:pPr>
              <w:ind w:left="2020"/>
              <w:spacing w:after="0"/>
              <w:rPr>
                <w:sz w:val="20"/>
                <w:szCs w:val="20"/>
                <w:color w:val="auto"/>
              </w:rPr>
            </w:pPr>
            <w:r>
              <w:rPr>
                <w:rFonts w:ascii="Arial" w:cs="Arial" w:eastAsia="Arial" w:hAnsi="Arial"/>
                <w:sz w:val="12"/>
                <w:szCs w:val="12"/>
                <w:color w:val="auto"/>
                <w:w w:val="78"/>
              </w:rPr>
              <w:t>/s/</w:t>
            </w:r>
          </w:p>
        </w:tc>
        <w:tc>
          <w:tcPr>
            <w:tcW w:w="2800" w:type="dxa"/>
            <w:vAlign w:val="bottom"/>
            <w:tcBorders>
              <w:bottom w:val="single" w:sz="8" w:color="auto"/>
            </w:tcBorders>
          </w:tcPr>
          <w:p>
            <w:pPr>
              <w:jc w:val="center"/>
              <w:ind w:right="1861"/>
              <w:spacing w:after="0"/>
              <w:rPr>
                <w:sz w:val="20"/>
                <w:szCs w:val="20"/>
                <w:color w:val="auto"/>
              </w:rPr>
            </w:pPr>
            <w:r>
              <w:rPr>
                <w:rFonts w:ascii="Arial" w:cs="Arial" w:eastAsia="Arial" w:hAnsi="Arial"/>
                <w:sz w:val="12"/>
                <w:szCs w:val="12"/>
                <w:color w:val="auto"/>
                <w:w w:val="87"/>
              </w:rPr>
              <w:t>Tore Sandvold</w:t>
            </w:r>
          </w:p>
        </w:tc>
      </w:tr>
      <w:tr>
        <w:trPr>
          <w:trHeight w:val="128"/>
        </w:trPr>
        <w:tc>
          <w:tcPr>
            <w:tcW w:w="4940" w:type="dxa"/>
            <w:vAlign w:val="bottom"/>
            <w:gridSpan w:val="2"/>
          </w:tcPr>
          <w:p>
            <w:pPr>
              <w:jc w:val="center"/>
              <w:spacing w:after="0" w:line="128" w:lineRule="exact"/>
              <w:rPr>
                <w:sz w:val="20"/>
                <w:szCs w:val="20"/>
                <w:color w:val="auto"/>
              </w:rPr>
            </w:pPr>
            <w:r>
              <w:rPr>
                <w:rFonts w:ascii="Arial" w:cs="Arial" w:eastAsia="Arial" w:hAnsi="Arial"/>
                <w:sz w:val="12"/>
                <w:szCs w:val="12"/>
                <w:color w:val="auto"/>
                <w:w w:val="89"/>
              </w:rPr>
              <w:t>Tore Sandvold</w:t>
            </w:r>
          </w:p>
        </w:tc>
      </w:tr>
      <w:tr>
        <w:trPr>
          <w:trHeight w:val="148"/>
        </w:trPr>
        <w:tc>
          <w:tcPr>
            <w:tcW w:w="2140" w:type="dxa"/>
            <w:vAlign w:val="bottom"/>
          </w:tcPr>
          <w:p>
            <w:pPr>
              <w:spacing w:after="0"/>
              <w:rPr>
                <w:sz w:val="12"/>
                <w:szCs w:val="12"/>
                <w:color w:val="auto"/>
              </w:rPr>
            </w:pPr>
          </w:p>
        </w:tc>
        <w:tc>
          <w:tcPr>
            <w:tcW w:w="2800" w:type="dxa"/>
            <w:vAlign w:val="bottom"/>
          </w:tcPr>
          <w:p>
            <w:pPr>
              <w:jc w:val="center"/>
              <w:ind w:right="2081"/>
              <w:spacing w:after="0"/>
              <w:rPr>
                <w:sz w:val="20"/>
                <w:szCs w:val="20"/>
                <w:color w:val="auto"/>
              </w:rPr>
            </w:pPr>
            <w:r>
              <w:rPr>
                <w:rFonts w:ascii="Arial" w:cs="Arial" w:eastAsia="Arial" w:hAnsi="Arial"/>
                <w:sz w:val="12"/>
                <w:szCs w:val="12"/>
                <w:color w:val="auto"/>
                <w:w w:val="90"/>
              </w:rPr>
              <w:t>Director</w:t>
            </w:r>
          </w:p>
        </w:tc>
      </w:tr>
      <w:tr>
        <w:trPr>
          <w:trHeight w:val="297"/>
        </w:trPr>
        <w:tc>
          <w:tcPr>
            <w:tcW w:w="2140" w:type="dxa"/>
            <w:vAlign w:val="bottom"/>
          </w:tcPr>
          <w:p>
            <w:pPr>
              <w:ind w:left="2000"/>
              <w:spacing w:after="0"/>
              <w:rPr>
                <w:sz w:val="20"/>
                <w:szCs w:val="20"/>
                <w:color w:val="auto"/>
              </w:rPr>
            </w:pPr>
            <w:r>
              <w:rPr>
                <w:rFonts w:ascii="Arial" w:cs="Arial" w:eastAsia="Arial" w:hAnsi="Arial"/>
                <w:sz w:val="12"/>
                <w:szCs w:val="12"/>
                <w:color w:val="auto"/>
                <w:w w:val="94"/>
              </w:rPr>
              <w:t>/s/</w:t>
            </w:r>
          </w:p>
        </w:tc>
        <w:tc>
          <w:tcPr>
            <w:tcW w:w="2800" w:type="dxa"/>
            <w:vAlign w:val="bottom"/>
          </w:tcPr>
          <w:p>
            <w:pPr>
              <w:jc w:val="center"/>
              <w:ind w:right="1861"/>
              <w:spacing w:after="0"/>
              <w:rPr>
                <w:sz w:val="20"/>
                <w:szCs w:val="20"/>
                <w:color w:val="auto"/>
              </w:rPr>
            </w:pPr>
            <w:r>
              <w:rPr>
                <w:rFonts w:ascii="Arial" w:cs="Arial" w:eastAsia="Arial" w:hAnsi="Arial"/>
                <w:sz w:val="12"/>
                <w:szCs w:val="12"/>
                <w:color w:val="auto"/>
                <w:w w:val="91"/>
              </w:rPr>
              <w:t>Henri Seydoux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313436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34360"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color w:val="auto"/>
        </w:rPr>
        <w:t>Henri Seydoux</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Director</w:t>
      </w:r>
    </w:p>
    <w:p>
      <w:pPr>
        <w:sectPr>
          <w:pgSz w:w="11900" w:h="16838" w:orient="portrait"/>
          <w:cols w:equalWidth="0" w:num="2">
            <w:col w:w="5820" w:space="720"/>
            <w:col w:w="4940"/>
          </w:cols>
          <w:pgMar w:left="220" w:top="131" w:right="19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2"/>
          <w:szCs w:val="12"/>
          <w:b w:val="1"/>
          <w:bCs w:val="1"/>
          <w:u w:val="single" w:color="auto"/>
          <w:color w:val="auto"/>
        </w:rPr>
        <w:t>Exhibit 31.1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CERTIFICATION OF CHIEF EXECUTIVE OFFICER</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I, Paal Kibsgaard, certify that:</w:t>
      </w:r>
    </w:p>
    <w:p>
      <w:pPr>
        <w:spacing w:after="0" w:line="60" w:lineRule="exact"/>
        <w:rPr>
          <w:sz w:val="20"/>
          <w:szCs w:val="20"/>
          <w:color w:val="auto"/>
        </w:rPr>
      </w:pPr>
    </w:p>
    <w:p>
      <w:pPr>
        <w:ind w:left="340" w:hanging="118"/>
        <w:spacing w:after="0"/>
        <w:tabs>
          <w:tab w:leader="none" w:pos="3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Schlumberger Limited;</w:t>
      </w:r>
    </w:p>
    <w:p>
      <w:pPr>
        <w:spacing w:after="0" w:line="60" w:lineRule="exact"/>
        <w:rPr>
          <w:rFonts w:ascii="Arial" w:cs="Arial" w:eastAsia="Arial" w:hAnsi="Arial"/>
          <w:sz w:val="12"/>
          <w:szCs w:val="12"/>
          <w:color w:val="auto"/>
        </w:rPr>
      </w:pPr>
    </w:p>
    <w:p>
      <w:pPr>
        <w:ind w:firstLine="222"/>
        <w:spacing w:after="0" w:line="268" w:lineRule="auto"/>
        <w:tabs>
          <w:tab w:leader="none" w:pos="347" w:val="left"/>
        </w:tabs>
        <w:numPr>
          <w:ilvl w:val="0"/>
          <w:numId w:val="5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Arial" w:cs="Arial" w:eastAsia="Arial" w:hAnsi="Arial"/>
          <w:sz w:val="12"/>
          <w:szCs w:val="12"/>
          <w:color w:val="auto"/>
        </w:rPr>
      </w:pPr>
    </w:p>
    <w:p>
      <w:pPr>
        <w:ind w:right="40" w:firstLine="222"/>
        <w:spacing w:after="0" w:line="268" w:lineRule="auto"/>
        <w:tabs>
          <w:tab w:leader="none" w:pos="347" w:val="left"/>
        </w:tabs>
        <w:numPr>
          <w:ilvl w:val="0"/>
          <w:numId w:val="5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2"/>
          <w:szCs w:val="12"/>
          <w:color w:val="auto"/>
        </w:rPr>
      </w:pPr>
    </w:p>
    <w:p>
      <w:pPr>
        <w:ind w:firstLine="222"/>
        <w:spacing w:after="0" w:line="268" w:lineRule="auto"/>
        <w:tabs>
          <w:tab w:leader="none" w:pos="347"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 w:lineRule="exact"/>
        <w:rPr>
          <w:rFonts w:ascii="Arial" w:cs="Arial" w:eastAsia="Arial" w:hAnsi="Arial"/>
          <w:sz w:val="12"/>
          <w:szCs w:val="12"/>
          <w:color w:val="auto"/>
        </w:rPr>
      </w:pPr>
    </w:p>
    <w:p>
      <w:pPr>
        <w:ind w:left="920" w:right="600" w:hanging="469"/>
        <w:spacing w:after="0" w:line="268" w:lineRule="auto"/>
        <w:tabs>
          <w:tab w:leader="none" w:pos="920" w:val="left"/>
        </w:tabs>
        <w:numPr>
          <w:ilvl w:val="1"/>
          <w:numId w:val="5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2"/>
          <w:szCs w:val="12"/>
          <w:color w:val="auto"/>
        </w:rPr>
      </w:pPr>
    </w:p>
    <w:p>
      <w:pPr>
        <w:ind w:left="920" w:right="360" w:hanging="469"/>
        <w:spacing w:after="0" w:line="268" w:lineRule="auto"/>
        <w:tabs>
          <w:tab w:leader="none" w:pos="920" w:val="left"/>
        </w:tabs>
        <w:numPr>
          <w:ilvl w:val="1"/>
          <w:numId w:val="5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rFonts w:ascii="Arial" w:cs="Arial" w:eastAsia="Arial" w:hAnsi="Arial"/>
          <w:sz w:val="12"/>
          <w:szCs w:val="12"/>
          <w:color w:val="auto"/>
        </w:rPr>
      </w:pPr>
    </w:p>
    <w:p>
      <w:pPr>
        <w:ind w:left="920" w:right="380" w:hanging="469"/>
        <w:spacing w:after="0" w:line="268" w:lineRule="auto"/>
        <w:tabs>
          <w:tab w:leader="none" w:pos="920" w:val="left"/>
        </w:tabs>
        <w:numPr>
          <w:ilvl w:val="1"/>
          <w:numId w:val="5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Arial" w:cs="Arial" w:eastAsia="Arial" w:hAnsi="Arial"/>
          <w:sz w:val="12"/>
          <w:szCs w:val="12"/>
          <w:color w:val="auto"/>
        </w:rPr>
      </w:pPr>
    </w:p>
    <w:p>
      <w:pPr>
        <w:ind w:left="920" w:right="80" w:hanging="469"/>
        <w:spacing w:after="0" w:line="268" w:lineRule="auto"/>
        <w:tabs>
          <w:tab w:leader="none" w:pos="920" w:val="left"/>
        </w:tabs>
        <w:numPr>
          <w:ilvl w:val="1"/>
          <w:numId w:val="5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 w:lineRule="exact"/>
        <w:rPr>
          <w:rFonts w:ascii="Arial" w:cs="Arial" w:eastAsia="Arial" w:hAnsi="Arial"/>
          <w:sz w:val="12"/>
          <w:szCs w:val="12"/>
          <w:color w:val="auto"/>
        </w:rPr>
      </w:pPr>
    </w:p>
    <w:p>
      <w:pPr>
        <w:ind w:right="260" w:firstLine="222"/>
        <w:spacing w:after="0" w:line="268" w:lineRule="auto"/>
        <w:tabs>
          <w:tab w:leader="none" w:pos="347"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rFonts w:ascii="Arial" w:cs="Arial" w:eastAsia="Arial" w:hAnsi="Arial"/>
          <w:sz w:val="12"/>
          <w:szCs w:val="12"/>
          <w:color w:val="auto"/>
        </w:rPr>
      </w:pPr>
    </w:p>
    <w:p>
      <w:pPr>
        <w:ind w:left="920" w:right="200" w:hanging="469"/>
        <w:spacing w:after="0" w:line="268" w:lineRule="auto"/>
        <w:tabs>
          <w:tab w:leader="none" w:pos="920" w:val="left"/>
        </w:tabs>
        <w:numPr>
          <w:ilvl w:val="1"/>
          <w:numId w:val="5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2"/>
          <w:szCs w:val="12"/>
          <w:color w:val="auto"/>
        </w:rPr>
      </w:pPr>
    </w:p>
    <w:p>
      <w:pPr>
        <w:ind w:left="920" w:hanging="469"/>
        <w:spacing w:after="0"/>
        <w:tabs>
          <w:tab w:leader="none" w:pos="920" w:val="left"/>
        </w:tabs>
        <w:numPr>
          <w:ilvl w:val="1"/>
          <w:numId w:val="5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20"/>
                <w:szCs w:val="20"/>
                <w:color w:val="auto"/>
              </w:rPr>
            </w:pPr>
            <w:r>
              <w:rPr>
                <w:rFonts w:ascii="Arial" w:cs="Arial" w:eastAsia="Arial" w:hAnsi="Arial"/>
                <w:sz w:val="12"/>
                <w:szCs w:val="12"/>
                <w:color w:val="auto"/>
              </w:rPr>
              <w:t>Date: February 1, 2012</w:t>
            </w:r>
          </w:p>
        </w:tc>
        <w:tc>
          <w:tcPr>
            <w:tcW w:w="54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/s/  Paal Kibsgaard</w:t>
            </w:r>
          </w:p>
        </w:tc>
      </w:tr>
      <w:tr>
        <w:trPr>
          <w:trHeight w:val="128"/>
        </w:trPr>
        <w:tc>
          <w:tcPr>
            <w:tcW w:w="6080" w:type="dxa"/>
            <w:vAlign w:val="bottom"/>
          </w:tcPr>
          <w:p>
            <w:pPr>
              <w:spacing w:after="0"/>
              <w:rPr>
                <w:sz w:val="11"/>
                <w:szCs w:val="11"/>
                <w:color w:val="auto"/>
              </w:rPr>
            </w:pPr>
          </w:p>
        </w:tc>
        <w:tc>
          <w:tcPr>
            <w:tcW w:w="5400" w:type="dxa"/>
            <w:vAlign w:val="bottom"/>
          </w:tcPr>
          <w:p>
            <w:pPr>
              <w:ind w:left="120"/>
              <w:spacing w:after="0" w:line="128" w:lineRule="exact"/>
              <w:rPr>
                <w:sz w:val="20"/>
                <w:szCs w:val="20"/>
                <w:color w:val="auto"/>
              </w:rPr>
            </w:pPr>
            <w:r>
              <w:rPr>
                <w:rFonts w:ascii="Arial" w:cs="Arial" w:eastAsia="Arial" w:hAnsi="Arial"/>
                <w:sz w:val="12"/>
                <w:szCs w:val="12"/>
                <w:color w:val="auto"/>
              </w:rPr>
              <w:t>Paal Kibsgaard</w:t>
            </w:r>
          </w:p>
        </w:tc>
      </w:tr>
      <w:tr>
        <w:trPr>
          <w:trHeight w:val="148"/>
        </w:trPr>
        <w:tc>
          <w:tcPr>
            <w:tcW w:w="6080" w:type="dxa"/>
            <w:vAlign w:val="bottom"/>
          </w:tcPr>
          <w:p>
            <w:pPr>
              <w:spacing w:after="0"/>
              <w:rPr>
                <w:sz w:val="12"/>
                <w:szCs w:val="12"/>
                <w:color w:val="auto"/>
              </w:rPr>
            </w:pPr>
          </w:p>
        </w:tc>
        <w:tc>
          <w:tcPr>
            <w:tcW w:w="5400" w:type="dxa"/>
            <w:vAlign w:val="bottom"/>
          </w:tcPr>
          <w:p>
            <w:pPr>
              <w:ind w:left="120"/>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1480"/>
          </w:cols>
          <w:pgMar w:left="220" w:top="131" w:right="199" w:bottom="1440" w:gutter="0" w:footer="0" w:header="0"/>
        </w:sectPr>
      </w:pPr>
    </w:p>
    <w:bookmarkStart w:id="82" w:name="page83"/>
    <w:bookmarkEnd w:id="82"/>
    <w:p>
      <w:pPr>
        <w:jc w:val="right"/>
        <w:spacing w:after="0"/>
        <w:rPr>
          <w:sz w:val="20"/>
          <w:szCs w:val="20"/>
          <w:color w:val="auto"/>
        </w:rPr>
      </w:pPr>
      <w:r>
        <w:rPr>
          <w:rFonts w:ascii="Arial" w:cs="Arial" w:eastAsia="Arial" w:hAnsi="Arial"/>
          <w:sz w:val="12"/>
          <w:szCs w:val="12"/>
          <w:b w:val="1"/>
          <w:bCs w:val="1"/>
          <w:u w:val="single" w:color="auto"/>
          <w:color w:val="auto"/>
        </w:rPr>
        <w:t>Exhibit 31.2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CERTIFICATION OF CHIEF FINANCIAL OFFICER</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I, Simon Ayat, certify that:</w:t>
      </w:r>
    </w:p>
    <w:p>
      <w:pPr>
        <w:spacing w:after="0" w:line="60" w:lineRule="exact"/>
        <w:rPr>
          <w:sz w:val="20"/>
          <w:szCs w:val="20"/>
          <w:color w:val="auto"/>
        </w:rPr>
      </w:pPr>
    </w:p>
    <w:p>
      <w:pPr>
        <w:ind w:left="340" w:hanging="118"/>
        <w:spacing w:after="0"/>
        <w:tabs>
          <w:tab w:leader="none" w:pos="3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Schlumberger Limited;</w:t>
      </w:r>
    </w:p>
    <w:p>
      <w:pPr>
        <w:spacing w:after="0" w:line="60" w:lineRule="exact"/>
        <w:rPr>
          <w:rFonts w:ascii="Arial" w:cs="Arial" w:eastAsia="Arial" w:hAnsi="Arial"/>
          <w:sz w:val="12"/>
          <w:szCs w:val="12"/>
          <w:color w:val="auto"/>
        </w:rPr>
      </w:pPr>
    </w:p>
    <w:p>
      <w:pPr>
        <w:ind w:firstLine="222"/>
        <w:spacing w:after="0" w:line="268" w:lineRule="auto"/>
        <w:tabs>
          <w:tab w:leader="none" w:pos="347"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Arial" w:cs="Arial" w:eastAsia="Arial" w:hAnsi="Arial"/>
          <w:sz w:val="12"/>
          <w:szCs w:val="12"/>
          <w:color w:val="auto"/>
        </w:rPr>
      </w:pPr>
    </w:p>
    <w:p>
      <w:pPr>
        <w:ind w:right="40" w:firstLine="222"/>
        <w:spacing w:after="0" w:line="268" w:lineRule="auto"/>
        <w:tabs>
          <w:tab w:leader="none" w:pos="347"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2"/>
          <w:szCs w:val="12"/>
          <w:color w:val="auto"/>
        </w:rPr>
      </w:pPr>
    </w:p>
    <w:p>
      <w:pPr>
        <w:ind w:firstLine="222"/>
        <w:spacing w:after="0" w:line="268" w:lineRule="auto"/>
        <w:tabs>
          <w:tab w:leader="none" w:pos="347"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 w:lineRule="exact"/>
        <w:rPr>
          <w:rFonts w:ascii="Arial" w:cs="Arial" w:eastAsia="Arial" w:hAnsi="Arial"/>
          <w:sz w:val="12"/>
          <w:szCs w:val="12"/>
          <w:color w:val="auto"/>
        </w:rPr>
      </w:pPr>
    </w:p>
    <w:p>
      <w:pPr>
        <w:ind w:left="920" w:right="600" w:hanging="469"/>
        <w:spacing w:after="0" w:line="268" w:lineRule="auto"/>
        <w:tabs>
          <w:tab w:leader="none" w:pos="920" w:val="left"/>
        </w:tabs>
        <w:numPr>
          <w:ilvl w:val="1"/>
          <w:numId w:val="5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2"/>
          <w:szCs w:val="12"/>
          <w:color w:val="auto"/>
        </w:rPr>
      </w:pPr>
    </w:p>
    <w:p>
      <w:pPr>
        <w:ind w:left="920" w:right="360" w:hanging="469"/>
        <w:spacing w:after="0" w:line="268" w:lineRule="auto"/>
        <w:tabs>
          <w:tab w:leader="none" w:pos="920" w:val="left"/>
        </w:tabs>
        <w:numPr>
          <w:ilvl w:val="1"/>
          <w:numId w:val="5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rFonts w:ascii="Arial" w:cs="Arial" w:eastAsia="Arial" w:hAnsi="Arial"/>
          <w:sz w:val="12"/>
          <w:szCs w:val="12"/>
          <w:color w:val="auto"/>
        </w:rPr>
      </w:pPr>
    </w:p>
    <w:p>
      <w:pPr>
        <w:ind w:left="920" w:right="380" w:hanging="469"/>
        <w:spacing w:after="0" w:line="268" w:lineRule="auto"/>
        <w:tabs>
          <w:tab w:leader="none" w:pos="920" w:val="left"/>
        </w:tabs>
        <w:numPr>
          <w:ilvl w:val="1"/>
          <w:numId w:val="5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Arial" w:cs="Arial" w:eastAsia="Arial" w:hAnsi="Arial"/>
          <w:sz w:val="12"/>
          <w:szCs w:val="12"/>
          <w:color w:val="auto"/>
        </w:rPr>
      </w:pPr>
    </w:p>
    <w:p>
      <w:pPr>
        <w:ind w:left="920" w:right="80" w:hanging="469"/>
        <w:spacing w:after="0" w:line="268" w:lineRule="auto"/>
        <w:tabs>
          <w:tab w:leader="none" w:pos="920" w:val="left"/>
        </w:tabs>
        <w:numPr>
          <w:ilvl w:val="1"/>
          <w:numId w:val="5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 w:lineRule="exact"/>
        <w:rPr>
          <w:rFonts w:ascii="Arial" w:cs="Arial" w:eastAsia="Arial" w:hAnsi="Arial"/>
          <w:sz w:val="12"/>
          <w:szCs w:val="12"/>
          <w:color w:val="auto"/>
        </w:rPr>
      </w:pPr>
    </w:p>
    <w:p>
      <w:pPr>
        <w:ind w:right="260" w:firstLine="222"/>
        <w:spacing w:after="0" w:line="268" w:lineRule="auto"/>
        <w:tabs>
          <w:tab w:leader="none" w:pos="347"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rFonts w:ascii="Arial" w:cs="Arial" w:eastAsia="Arial" w:hAnsi="Arial"/>
          <w:sz w:val="12"/>
          <w:szCs w:val="12"/>
          <w:color w:val="auto"/>
        </w:rPr>
      </w:pPr>
    </w:p>
    <w:p>
      <w:pPr>
        <w:ind w:left="920" w:right="200" w:hanging="469"/>
        <w:spacing w:after="0" w:line="268" w:lineRule="auto"/>
        <w:tabs>
          <w:tab w:leader="none" w:pos="920" w:val="left"/>
        </w:tabs>
        <w:numPr>
          <w:ilvl w:val="1"/>
          <w:numId w:val="5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2"/>
          <w:szCs w:val="12"/>
          <w:color w:val="auto"/>
        </w:rPr>
      </w:pPr>
    </w:p>
    <w:p>
      <w:pPr>
        <w:ind w:left="920" w:hanging="469"/>
        <w:spacing w:after="0"/>
        <w:tabs>
          <w:tab w:leader="none" w:pos="920" w:val="left"/>
        </w:tabs>
        <w:numPr>
          <w:ilvl w:val="1"/>
          <w:numId w:val="5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80" w:type="dxa"/>
            <w:vAlign w:val="bottom"/>
          </w:tcPr>
          <w:p>
            <w:pPr>
              <w:spacing w:after="0"/>
              <w:rPr>
                <w:sz w:val="20"/>
                <w:szCs w:val="20"/>
                <w:color w:val="auto"/>
              </w:rPr>
            </w:pPr>
            <w:r>
              <w:rPr>
                <w:rFonts w:ascii="Arial" w:cs="Arial" w:eastAsia="Arial" w:hAnsi="Arial"/>
                <w:sz w:val="12"/>
                <w:szCs w:val="12"/>
                <w:color w:val="auto"/>
              </w:rPr>
              <w:t>Date: February 1, 2012</w:t>
            </w:r>
          </w:p>
        </w:tc>
        <w:tc>
          <w:tcPr>
            <w:tcW w:w="58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/s/  Simon Ayat</w:t>
            </w:r>
          </w:p>
        </w:tc>
      </w:tr>
      <w:tr>
        <w:trPr>
          <w:trHeight w:val="128"/>
        </w:trPr>
        <w:tc>
          <w:tcPr>
            <w:tcW w:w="5680" w:type="dxa"/>
            <w:vAlign w:val="bottom"/>
          </w:tcPr>
          <w:p>
            <w:pPr>
              <w:spacing w:after="0"/>
              <w:rPr>
                <w:sz w:val="11"/>
                <w:szCs w:val="11"/>
                <w:color w:val="auto"/>
              </w:rPr>
            </w:pPr>
          </w:p>
        </w:tc>
        <w:tc>
          <w:tcPr>
            <w:tcW w:w="5800" w:type="dxa"/>
            <w:vAlign w:val="bottom"/>
          </w:tcPr>
          <w:p>
            <w:pPr>
              <w:ind w:left="120"/>
              <w:spacing w:after="0" w:line="128" w:lineRule="exact"/>
              <w:rPr>
                <w:sz w:val="20"/>
                <w:szCs w:val="20"/>
                <w:color w:val="auto"/>
              </w:rPr>
            </w:pPr>
            <w:r>
              <w:rPr>
                <w:rFonts w:ascii="Arial" w:cs="Arial" w:eastAsia="Arial" w:hAnsi="Arial"/>
                <w:sz w:val="12"/>
                <w:szCs w:val="12"/>
                <w:color w:val="auto"/>
              </w:rPr>
              <w:t>Simon Ayat</w:t>
            </w:r>
          </w:p>
        </w:tc>
      </w:tr>
      <w:tr>
        <w:trPr>
          <w:trHeight w:val="148"/>
        </w:trPr>
        <w:tc>
          <w:tcPr>
            <w:tcW w:w="5680" w:type="dxa"/>
            <w:vAlign w:val="bottom"/>
          </w:tcPr>
          <w:p>
            <w:pPr>
              <w:spacing w:after="0"/>
              <w:rPr>
                <w:sz w:val="12"/>
                <w:szCs w:val="12"/>
                <w:color w:val="auto"/>
              </w:rPr>
            </w:pPr>
          </w:p>
        </w:tc>
        <w:tc>
          <w:tcPr>
            <w:tcW w:w="5800" w:type="dxa"/>
            <w:vAlign w:val="bottom"/>
          </w:tcPr>
          <w:p>
            <w:pPr>
              <w:ind w:left="120"/>
              <w:spacing w:after="0"/>
              <w:rPr>
                <w:sz w:val="20"/>
                <w:szCs w:val="20"/>
                <w:color w:val="auto"/>
              </w:rPr>
            </w:pPr>
            <w:r>
              <w:rPr>
                <w:rFonts w:ascii="Arial" w:cs="Arial" w:eastAsia="Arial" w:hAnsi="Arial"/>
                <w:sz w:val="12"/>
                <w:szCs w:val="12"/>
                <w:color w:val="auto"/>
              </w:rPr>
              <w:t>Executive Vice President and Chief Financial Officer</w:t>
            </w:r>
          </w:p>
        </w:tc>
      </w:tr>
    </w:tbl>
    <w:p>
      <w:pPr>
        <w:sectPr>
          <w:pgSz w:w="11900" w:h="16838" w:orient="portrait"/>
          <w:cols w:equalWidth="0" w:num="1">
            <w:col w:w="11480"/>
          </w:cols>
          <w:pgMar w:left="220" w:top="131" w:right="199" w:bottom="1440" w:gutter="0" w:footer="0" w:header="0"/>
        </w:sectPr>
      </w:pPr>
    </w:p>
    <w:bookmarkStart w:id="83" w:name="page84"/>
    <w:bookmarkEnd w:id="83"/>
    <w:p>
      <w:pPr>
        <w:jc w:val="right"/>
        <w:spacing w:after="0"/>
        <w:rPr>
          <w:sz w:val="20"/>
          <w:szCs w:val="20"/>
          <w:color w:val="auto"/>
        </w:rPr>
      </w:pPr>
      <w:r>
        <w:rPr>
          <w:rFonts w:ascii="Arial" w:cs="Arial" w:eastAsia="Arial" w:hAnsi="Arial"/>
          <w:sz w:val="12"/>
          <w:szCs w:val="12"/>
          <w:b w:val="1"/>
          <w:bCs w:val="1"/>
          <w:u w:val="single" w:color="auto"/>
          <w:color w:val="auto"/>
        </w:rPr>
        <w:t>Exhibit 32.1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56" w:lineRule="exact"/>
        <w:rPr>
          <w:sz w:val="20"/>
          <w:szCs w:val="20"/>
          <w:color w:val="auto"/>
        </w:rPr>
      </w:pPr>
    </w:p>
    <w:p>
      <w:pPr>
        <w:ind w:right="240" w:firstLine="230"/>
        <w:spacing w:after="0" w:line="314" w:lineRule="auto"/>
        <w:rPr>
          <w:sz w:val="20"/>
          <w:szCs w:val="20"/>
          <w:color w:val="auto"/>
        </w:rPr>
      </w:pPr>
      <w:r>
        <w:rPr>
          <w:rFonts w:ascii="Arial" w:cs="Arial" w:eastAsia="Arial" w:hAnsi="Arial"/>
          <w:sz w:val="11"/>
          <w:szCs w:val="11"/>
          <w:color w:val="auto"/>
        </w:rPr>
        <w:t>In connection with the Annual Report on Form 10-K of Schlumberger N.V. (Schlumberger Limited) (the “Company”) for the year ended December 31, 2011 as filed with the Securities and Exchange Commission on the date hereof (the “Report”), I, Paal Kibsgaard, Chief Executive Officer of the Company, certify, pursuant to 18 U.S.C. § 1350, as adopted pursuant to § 906 of the Sarbanes-Oxley Act of 2002, that:</w:t>
      </w:r>
    </w:p>
    <w:p>
      <w:pPr>
        <w:spacing w:after="0" w:line="11" w:lineRule="exact"/>
        <w:rPr>
          <w:sz w:val="20"/>
          <w:szCs w:val="20"/>
          <w:color w:val="auto"/>
        </w:rPr>
      </w:pPr>
    </w:p>
    <w:p>
      <w:pPr>
        <w:ind w:left="620" w:hanging="169"/>
        <w:spacing w:after="0"/>
        <w:tabs>
          <w:tab w:leader="none" w:pos="6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60" w:lineRule="exact"/>
        <w:rPr>
          <w:rFonts w:ascii="Arial" w:cs="Arial" w:eastAsia="Arial" w:hAnsi="Arial"/>
          <w:sz w:val="12"/>
          <w:szCs w:val="12"/>
          <w:color w:val="auto"/>
        </w:rPr>
      </w:pPr>
    </w:p>
    <w:p>
      <w:pPr>
        <w:ind w:left="620" w:hanging="169"/>
        <w:spacing w:after="0"/>
        <w:tabs>
          <w:tab w:leader="none" w:pos="6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20"/>
                <w:szCs w:val="20"/>
                <w:color w:val="auto"/>
              </w:rPr>
            </w:pPr>
            <w:r>
              <w:rPr>
                <w:rFonts w:ascii="Arial" w:cs="Arial" w:eastAsia="Arial" w:hAnsi="Arial"/>
                <w:sz w:val="12"/>
                <w:szCs w:val="12"/>
                <w:color w:val="auto"/>
              </w:rPr>
              <w:t>Date: February 1, 2012</w:t>
            </w:r>
          </w:p>
        </w:tc>
        <w:tc>
          <w:tcPr>
            <w:tcW w:w="54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/s/  Paal Kibsgaard</w:t>
            </w:r>
          </w:p>
        </w:tc>
      </w:tr>
      <w:tr>
        <w:trPr>
          <w:trHeight w:val="128"/>
        </w:trPr>
        <w:tc>
          <w:tcPr>
            <w:tcW w:w="6080" w:type="dxa"/>
            <w:vAlign w:val="bottom"/>
          </w:tcPr>
          <w:p>
            <w:pPr>
              <w:spacing w:after="0"/>
              <w:rPr>
                <w:sz w:val="11"/>
                <w:szCs w:val="11"/>
                <w:color w:val="auto"/>
              </w:rPr>
            </w:pPr>
          </w:p>
        </w:tc>
        <w:tc>
          <w:tcPr>
            <w:tcW w:w="5400" w:type="dxa"/>
            <w:vAlign w:val="bottom"/>
          </w:tcPr>
          <w:p>
            <w:pPr>
              <w:ind w:left="120"/>
              <w:spacing w:after="0" w:line="128" w:lineRule="exact"/>
              <w:rPr>
                <w:sz w:val="20"/>
                <w:szCs w:val="20"/>
                <w:color w:val="auto"/>
              </w:rPr>
            </w:pPr>
            <w:r>
              <w:rPr>
                <w:rFonts w:ascii="Arial" w:cs="Arial" w:eastAsia="Arial" w:hAnsi="Arial"/>
                <w:sz w:val="12"/>
                <w:szCs w:val="12"/>
                <w:color w:val="auto"/>
              </w:rPr>
              <w:t>Paal Kibsgaard</w:t>
            </w:r>
          </w:p>
        </w:tc>
      </w:tr>
      <w:tr>
        <w:trPr>
          <w:trHeight w:val="148"/>
        </w:trPr>
        <w:tc>
          <w:tcPr>
            <w:tcW w:w="6080" w:type="dxa"/>
            <w:vAlign w:val="bottom"/>
          </w:tcPr>
          <w:p>
            <w:pPr>
              <w:spacing w:after="0"/>
              <w:rPr>
                <w:sz w:val="12"/>
                <w:szCs w:val="12"/>
                <w:color w:val="auto"/>
              </w:rPr>
            </w:pPr>
          </w:p>
        </w:tc>
        <w:tc>
          <w:tcPr>
            <w:tcW w:w="5400" w:type="dxa"/>
            <w:vAlign w:val="bottom"/>
          </w:tcPr>
          <w:p>
            <w:pPr>
              <w:ind w:left="120"/>
              <w:spacing w:after="0"/>
              <w:rPr>
                <w:sz w:val="20"/>
                <w:szCs w:val="20"/>
                <w:color w:val="auto"/>
              </w:rPr>
            </w:pPr>
            <w:r>
              <w:rPr>
                <w:rFonts w:ascii="Arial" w:cs="Arial" w:eastAsia="Arial" w:hAnsi="Arial"/>
                <w:sz w:val="12"/>
                <w:szCs w:val="12"/>
                <w:color w:val="auto"/>
              </w:rPr>
              <w:t>Chief Executive Officer</w:t>
            </w:r>
          </w:p>
        </w:tc>
      </w:tr>
    </w:tbl>
    <w:p>
      <w:pPr>
        <w:spacing w:after="0" w:line="50" w:lineRule="exact"/>
        <w:rPr>
          <w:sz w:val="20"/>
          <w:szCs w:val="20"/>
          <w:color w:val="auto"/>
        </w:rPr>
      </w:pPr>
    </w:p>
    <w:p>
      <w:pPr>
        <w:ind w:right="320" w:firstLine="230"/>
        <w:spacing w:after="0" w:line="268" w:lineRule="auto"/>
        <w:rPr>
          <w:sz w:val="20"/>
          <w:szCs w:val="20"/>
          <w:color w:val="auto"/>
        </w:rPr>
      </w:pPr>
      <w:r>
        <w:rPr>
          <w:rFonts w:ascii="Arial" w:cs="Arial" w:eastAsia="Arial" w:hAnsi="Arial"/>
          <w:sz w:val="12"/>
          <w:szCs w:val="12"/>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80"/>
          </w:cols>
          <w:pgMar w:left="220" w:top="131" w:right="199" w:bottom="1440" w:gutter="0" w:footer="0" w:header="0"/>
        </w:sectPr>
      </w:pPr>
    </w:p>
    <w:bookmarkStart w:id="84" w:name="page85"/>
    <w:bookmarkEnd w:id="84"/>
    <w:p>
      <w:pPr>
        <w:jc w:val="right"/>
        <w:spacing w:after="0"/>
        <w:rPr>
          <w:sz w:val="20"/>
          <w:szCs w:val="20"/>
          <w:color w:val="auto"/>
        </w:rPr>
      </w:pPr>
      <w:r>
        <w:rPr>
          <w:rFonts w:ascii="Arial" w:cs="Arial" w:eastAsia="Arial" w:hAnsi="Arial"/>
          <w:sz w:val="12"/>
          <w:szCs w:val="12"/>
          <w:b w:val="1"/>
          <w:bCs w:val="1"/>
          <w:u w:val="single" w:color="auto"/>
          <w:color w:val="auto"/>
        </w:rPr>
        <w:t>Exhibit 32.2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56" w:lineRule="exact"/>
        <w:rPr>
          <w:sz w:val="20"/>
          <w:szCs w:val="20"/>
          <w:color w:val="auto"/>
        </w:rPr>
      </w:pPr>
    </w:p>
    <w:p>
      <w:pPr>
        <w:ind w:right="240" w:firstLine="230"/>
        <w:spacing w:after="0" w:line="314" w:lineRule="auto"/>
        <w:rPr>
          <w:sz w:val="20"/>
          <w:szCs w:val="20"/>
          <w:color w:val="auto"/>
        </w:rPr>
      </w:pPr>
      <w:r>
        <w:rPr>
          <w:rFonts w:ascii="Arial" w:cs="Arial" w:eastAsia="Arial" w:hAnsi="Arial"/>
          <w:sz w:val="11"/>
          <w:szCs w:val="11"/>
          <w:color w:val="auto"/>
        </w:rPr>
        <w:t>In connection with the Annual Report on Form 10-K of Schlumberger N.V. (Schlumberger Limited) (the “Company”) for the year ended December 31, 2011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1" w:lineRule="exact"/>
        <w:rPr>
          <w:sz w:val="20"/>
          <w:szCs w:val="20"/>
          <w:color w:val="auto"/>
        </w:rPr>
      </w:pPr>
    </w:p>
    <w:p>
      <w:pPr>
        <w:ind w:left="620" w:hanging="169"/>
        <w:spacing w:after="0"/>
        <w:tabs>
          <w:tab w:leader="none" w:pos="6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60" w:lineRule="exact"/>
        <w:rPr>
          <w:rFonts w:ascii="Arial" w:cs="Arial" w:eastAsia="Arial" w:hAnsi="Arial"/>
          <w:sz w:val="12"/>
          <w:szCs w:val="12"/>
          <w:color w:val="auto"/>
        </w:rPr>
      </w:pPr>
    </w:p>
    <w:p>
      <w:pPr>
        <w:ind w:left="620" w:hanging="169"/>
        <w:spacing w:after="0"/>
        <w:tabs>
          <w:tab w:leader="none" w:pos="6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20"/>
                <w:szCs w:val="20"/>
                <w:color w:val="auto"/>
              </w:rPr>
            </w:pPr>
            <w:r>
              <w:rPr>
                <w:rFonts w:ascii="Arial" w:cs="Arial" w:eastAsia="Arial" w:hAnsi="Arial"/>
                <w:sz w:val="12"/>
                <w:szCs w:val="12"/>
                <w:color w:val="auto"/>
              </w:rPr>
              <w:t>Date: February 1, 2012</w:t>
            </w:r>
          </w:p>
        </w:tc>
        <w:tc>
          <w:tcPr>
            <w:tcW w:w="54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/s/  Simon Ayat</w:t>
            </w:r>
          </w:p>
        </w:tc>
      </w:tr>
      <w:tr>
        <w:trPr>
          <w:trHeight w:val="128"/>
        </w:trPr>
        <w:tc>
          <w:tcPr>
            <w:tcW w:w="6080" w:type="dxa"/>
            <w:vAlign w:val="bottom"/>
          </w:tcPr>
          <w:p>
            <w:pPr>
              <w:spacing w:after="0"/>
              <w:rPr>
                <w:sz w:val="11"/>
                <w:szCs w:val="11"/>
                <w:color w:val="auto"/>
              </w:rPr>
            </w:pPr>
          </w:p>
        </w:tc>
        <w:tc>
          <w:tcPr>
            <w:tcW w:w="5400" w:type="dxa"/>
            <w:vAlign w:val="bottom"/>
          </w:tcPr>
          <w:p>
            <w:pPr>
              <w:ind w:left="120"/>
              <w:spacing w:after="0" w:line="128" w:lineRule="exact"/>
              <w:rPr>
                <w:sz w:val="20"/>
                <w:szCs w:val="20"/>
                <w:color w:val="auto"/>
              </w:rPr>
            </w:pPr>
            <w:r>
              <w:rPr>
                <w:rFonts w:ascii="Arial" w:cs="Arial" w:eastAsia="Arial" w:hAnsi="Arial"/>
                <w:sz w:val="12"/>
                <w:szCs w:val="12"/>
                <w:color w:val="auto"/>
              </w:rPr>
              <w:t>Simon Ayat</w:t>
            </w:r>
          </w:p>
        </w:tc>
      </w:tr>
      <w:tr>
        <w:trPr>
          <w:trHeight w:val="148"/>
        </w:trPr>
        <w:tc>
          <w:tcPr>
            <w:tcW w:w="6080" w:type="dxa"/>
            <w:vAlign w:val="bottom"/>
          </w:tcPr>
          <w:p>
            <w:pPr>
              <w:spacing w:after="0"/>
              <w:rPr>
                <w:sz w:val="12"/>
                <w:szCs w:val="12"/>
                <w:color w:val="auto"/>
              </w:rPr>
            </w:pPr>
          </w:p>
        </w:tc>
        <w:tc>
          <w:tcPr>
            <w:tcW w:w="5400" w:type="dxa"/>
            <w:vAlign w:val="bottom"/>
          </w:tcPr>
          <w:p>
            <w:pPr>
              <w:ind w:left="120"/>
              <w:spacing w:after="0"/>
              <w:rPr>
                <w:sz w:val="20"/>
                <w:szCs w:val="20"/>
                <w:color w:val="auto"/>
              </w:rPr>
            </w:pPr>
            <w:r>
              <w:rPr>
                <w:rFonts w:ascii="Arial" w:cs="Arial" w:eastAsia="Arial" w:hAnsi="Arial"/>
                <w:sz w:val="12"/>
                <w:szCs w:val="12"/>
                <w:color w:val="auto"/>
              </w:rPr>
              <w:t>Executive Vice President and Chief Financial Officer</w:t>
            </w:r>
          </w:p>
        </w:tc>
      </w:tr>
    </w:tbl>
    <w:p>
      <w:pPr>
        <w:spacing w:after="0" w:line="50" w:lineRule="exact"/>
        <w:rPr>
          <w:sz w:val="20"/>
          <w:szCs w:val="20"/>
          <w:color w:val="auto"/>
        </w:rPr>
      </w:pPr>
    </w:p>
    <w:p>
      <w:pPr>
        <w:ind w:right="320" w:firstLine="230"/>
        <w:spacing w:after="0" w:line="268" w:lineRule="auto"/>
        <w:rPr>
          <w:sz w:val="20"/>
          <w:szCs w:val="20"/>
          <w:color w:val="auto"/>
        </w:rPr>
      </w:pPr>
      <w:r>
        <w:rPr>
          <w:rFonts w:ascii="Arial" w:cs="Arial" w:eastAsia="Arial" w:hAnsi="Arial"/>
          <w:sz w:val="12"/>
          <w:szCs w:val="12"/>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80"/>
          </w:cols>
          <w:pgMar w:left="220" w:top="131" w:right="199" w:bottom="1440" w:gutter="0" w:footer="0" w:header="0"/>
        </w:sectPr>
      </w:pPr>
    </w:p>
    <w:bookmarkStart w:id="85" w:name="page86"/>
    <w:bookmarkEnd w:id="85"/>
    <w:p>
      <w:pPr>
        <w:jc w:val="right"/>
        <w:spacing w:after="0"/>
        <w:rPr>
          <w:sz w:val="20"/>
          <w:szCs w:val="20"/>
          <w:color w:val="auto"/>
        </w:rPr>
      </w:pPr>
      <w:r>
        <w:rPr>
          <w:rFonts w:ascii="Arial" w:cs="Arial" w:eastAsia="Arial" w:hAnsi="Arial"/>
          <w:sz w:val="12"/>
          <w:szCs w:val="12"/>
          <w:b w:val="1"/>
          <w:bCs w:val="1"/>
          <w:u w:val="single" w:color="auto"/>
          <w:color w:val="auto"/>
        </w:rPr>
        <w:t>Exhibit 95</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Mine Safety Disclosure</w:t>
      </w:r>
    </w:p>
    <w:p>
      <w:pPr>
        <w:spacing w:after="0" w:line="116" w:lineRule="exact"/>
        <w:rPr>
          <w:sz w:val="20"/>
          <w:szCs w:val="20"/>
          <w:color w:val="auto"/>
        </w:rPr>
      </w:pPr>
    </w:p>
    <w:p>
      <w:pPr>
        <w:ind w:left="8" w:right="60" w:firstLine="230"/>
        <w:spacing w:after="0" w:line="268" w:lineRule="auto"/>
        <w:rPr>
          <w:sz w:val="20"/>
          <w:szCs w:val="20"/>
          <w:color w:val="auto"/>
        </w:rPr>
      </w:pPr>
      <w:r>
        <w:rPr>
          <w:rFonts w:ascii="Arial" w:cs="Arial" w:eastAsia="Arial" w:hAnsi="Arial"/>
          <w:sz w:val="12"/>
          <w:szCs w:val="12"/>
          <w:color w:val="auto"/>
        </w:rPr>
        <w:t>The following disclosures are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88" w:lineRule="exact"/>
        <w:rPr>
          <w:sz w:val="20"/>
          <w:szCs w:val="20"/>
          <w:color w:val="auto"/>
        </w:rPr>
      </w:pPr>
    </w:p>
    <w:p>
      <w:pPr>
        <w:ind w:left="8" w:right="220" w:firstLine="230"/>
        <w:spacing w:after="0" w:line="259" w:lineRule="auto"/>
        <w:rPr>
          <w:sz w:val="20"/>
          <w:szCs w:val="20"/>
          <w:color w:val="auto"/>
        </w:rPr>
      </w:pPr>
      <w:r>
        <w:rPr>
          <w:rFonts w:ascii="Arial" w:cs="Arial" w:eastAsia="Arial" w:hAnsi="Arial"/>
          <w:sz w:val="12"/>
          <w:szCs w:val="12"/>
          <w:color w:val="auto"/>
        </w:rPr>
        <w:t>The table that follows reflects citations, orders, violations and proposed assessments issued by the Mine Safety and Health Administration (the “MSHA”) to M-I LLC, which, following Schlumberger’s acquisition of Smith International, Inc., is an indirect wholly-owned subsidiary of Schlumberger. The disclosure is with respect to the full year 2011. Due to timing and other factors, the data may not agree with the mine data retrieval system maintained by the MSHA at www.MSHA.gov.</w:t>
      </w:r>
    </w:p>
    <w:p>
      <w:pPr>
        <w:spacing w:after="0" w:line="20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Full Year 2011</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10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9"/>
                <w:szCs w:val="9"/>
                <w:color w:val="auto"/>
                <w:w w:val="90"/>
              </w:rPr>
              <w:t>Received</w:t>
            </w: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gridSpan w:val="2"/>
          </w:tcPr>
          <w:p>
            <w:pPr>
              <w:jc w:val="center"/>
              <w:ind w:right="340"/>
              <w:spacing w:after="0" w:line="99" w:lineRule="exact"/>
              <w:rPr>
                <w:sz w:val="20"/>
                <w:szCs w:val="20"/>
                <w:color w:val="auto"/>
              </w:rPr>
            </w:pPr>
            <w:r>
              <w:rPr>
                <w:rFonts w:ascii="Arial" w:cs="Arial" w:eastAsia="Arial" w:hAnsi="Arial"/>
                <w:sz w:val="9"/>
                <w:szCs w:val="9"/>
                <w:color w:val="auto"/>
                <w:w w:val="90"/>
              </w:rPr>
              <w:t>Received</w:t>
            </w:r>
          </w:p>
        </w:tc>
        <w:tc>
          <w:tcPr>
            <w:tcW w:w="760" w:type="dxa"/>
            <w:vAlign w:val="bottom"/>
            <w:gridSpan w:val="2"/>
          </w:tcPr>
          <w:p>
            <w:pPr>
              <w:jc w:val="center"/>
              <w:ind w:right="340"/>
              <w:spacing w:after="0" w:line="99" w:lineRule="exact"/>
              <w:rPr>
                <w:sz w:val="20"/>
                <w:szCs w:val="20"/>
                <w:color w:val="auto"/>
              </w:rPr>
            </w:pPr>
            <w:r>
              <w:rPr>
                <w:rFonts w:ascii="Arial" w:cs="Arial" w:eastAsia="Arial" w:hAnsi="Arial"/>
                <w:sz w:val="9"/>
                <w:szCs w:val="9"/>
                <w:color w:val="auto"/>
                <w:w w:val="95"/>
              </w:rPr>
              <w:t>Notice of</w:t>
            </w: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gridSpan w:val="2"/>
          </w:tcPr>
          <w:p>
            <w:pPr>
              <w:jc w:val="center"/>
              <w:ind w:right="340"/>
              <w:spacing w:after="0" w:line="99" w:lineRule="exact"/>
              <w:rPr>
                <w:sz w:val="20"/>
                <w:szCs w:val="20"/>
                <w:color w:val="auto"/>
              </w:rPr>
            </w:pPr>
            <w:r>
              <w:rPr>
                <w:rFonts w:ascii="Arial" w:cs="Arial" w:eastAsia="Arial" w:hAnsi="Arial"/>
                <w:sz w:val="9"/>
                <w:szCs w:val="9"/>
                <w:color w:val="auto"/>
                <w:w w:val="95"/>
              </w:rPr>
              <w:t>Notice of</w:t>
            </w:r>
          </w:p>
        </w:tc>
        <w:tc>
          <w:tcPr>
            <w:tcW w:w="760" w:type="dxa"/>
            <w:vAlign w:val="bottom"/>
            <w:gridSpan w:val="2"/>
          </w:tcPr>
          <w:p>
            <w:pPr>
              <w:jc w:val="right"/>
              <w:ind w:right="340"/>
              <w:spacing w:after="0" w:line="99" w:lineRule="exact"/>
              <w:rPr>
                <w:sz w:val="20"/>
                <w:szCs w:val="20"/>
                <w:color w:val="auto"/>
              </w:rPr>
            </w:pPr>
            <w:r>
              <w:rPr>
                <w:rFonts w:ascii="Arial" w:cs="Arial" w:eastAsia="Arial" w:hAnsi="Arial"/>
                <w:sz w:val="9"/>
                <w:szCs w:val="9"/>
                <w:color w:val="auto"/>
                <w:w w:val="88"/>
              </w:rPr>
              <w:t>Potential to</w:t>
            </w: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gridSpan w:val="2"/>
          </w:tcPr>
          <w:p>
            <w:pPr>
              <w:jc w:val="center"/>
              <w:ind w:right="360"/>
              <w:spacing w:after="0" w:line="99" w:lineRule="exact"/>
              <w:rPr>
                <w:sz w:val="20"/>
                <w:szCs w:val="20"/>
                <w:color w:val="auto"/>
              </w:rPr>
            </w:pPr>
            <w:r>
              <w:rPr>
                <w:rFonts w:ascii="Arial" w:cs="Arial" w:eastAsia="Arial" w:hAnsi="Arial"/>
                <w:sz w:val="9"/>
                <w:szCs w:val="9"/>
                <w:color w:val="auto"/>
                <w:w w:val="92"/>
              </w:rPr>
              <w:t>Pattern of</w:t>
            </w:r>
          </w:p>
        </w:tc>
        <w:tc>
          <w:tcPr>
            <w:tcW w:w="760" w:type="dxa"/>
            <w:vAlign w:val="bottom"/>
            <w:gridSpan w:val="2"/>
          </w:tcPr>
          <w:p>
            <w:pPr>
              <w:jc w:val="center"/>
              <w:ind w:right="340"/>
              <w:spacing w:after="0" w:line="99" w:lineRule="exact"/>
              <w:rPr>
                <w:sz w:val="20"/>
                <w:szCs w:val="20"/>
                <w:color w:val="auto"/>
              </w:rPr>
            </w:pPr>
            <w:r>
              <w:rPr>
                <w:rFonts w:ascii="Arial" w:cs="Arial" w:eastAsia="Arial" w:hAnsi="Arial"/>
                <w:sz w:val="9"/>
                <w:szCs w:val="9"/>
                <w:color w:val="auto"/>
                <w:w w:val="85"/>
              </w:rPr>
              <w:t>Have</w:t>
            </w:r>
          </w:p>
        </w:tc>
        <w:tc>
          <w:tcPr>
            <w:tcW w:w="720" w:type="dxa"/>
            <w:vAlign w:val="bottom"/>
            <w:gridSpan w:val="2"/>
          </w:tcPr>
          <w:p>
            <w:pPr>
              <w:jc w:val="center"/>
              <w:ind w:right="360"/>
              <w:spacing w:after="0" w:line="99" w:lineRule="exact"/>
              <w:rPr>
                <w:sz w:val="20"/>
                <w:szCs w:val="20"/>
                <w:color w:val="auto"/>
              </w:rPr>
            </w:pPr>
            <w:r>
              <w:rPr>
                <w:rFonts w:ascii="Arial" w:cs="Arial" w:eastAsia="Arial" w:hAnsi="Arial"/>
                <w:sz w:val="9"/>
                <w:szCs w:val="9"/>
                <w:color w:val="auto"/>
                <w:w w:val="90"/>
              </w:rPr>
              <w:t>Legal</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gridSpan w:val="2"/>
          </w:tcPr>
          <w:p>
            <w:pPr>
              <w:jc w:val="center"/>
              <w:ind w:right="360"/>
              <w:spacing w:after="0" w:line="99" w:lineRule="exact"/>
              <w:rPr>
                <w:sz w:val="20"/>
                <w:szCs w:val="20"/>
                <w:color w:val="auto"/>
              </w:rPr>
            </w:pPr>
            <w:r>
              <w:rPr>
                <w:rFonts w:ascii="Arial" w:cs="Arial" w:eastAsia="Arial" w:hAnsi="Arial"/>
                <w:sz w:val="9"/>
                <w:szCs w:val="9"/>
                <w:color w:val="auto"/>
                <w:w w:val="86"/>
              </w:rPr>
              <w:t>Section</w:t>
            </w: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gridSpan w:val="2"/>
          </w:tcPr>
          <w:p>
            <w:pPr>
              <w:jc w:val="right"/>
              <w:ind w:right="360"/>
              <w:spacing w:after="0" w:line="99" w:lineRule="exact"/>
              <w:rPr>
                <w:sz w:val="20"/>
                <w:szCs w:val="20"/>
                <w:color w:val="auto"/>
              </w:rPr>
            </w:pPr>
            <w:r>
              <w:rPr>
                <w:rFonts w:ascii="Arial" w:cs="Arial" w:eastAsia="Arial" w:hAnsi="Arial"/>
                <w:sz w:val="9"/>
                <w:szCs w:val="9"/>
                <w:color w:val="auto"/>
                <w:w w:val="87"/>
              </w:rPr>
              <w:t>Violations</w:t>
            </w:r>
          </w:p>
        </w:tc>
        <w:tc>
          <w:tcPr>
            <w:tcW w:w="760" w:type="dxa"/>
            <w:vAlign w:val="bottom"/>
            <w:gridSpan w:val="2"/>
          </w:tcPr>
          <w:p>
            <w:pPr>
              <w:jc w:val="center"/>
              <w:ind w:right="340"/>
              <w:spacing w:after="0" w:line="99" w:lineRule="exact"/>
              <w:rPr>
                <w:sz w:val="20"/>
                <w:szCs w:val="20"/>
                <w:color w:val="auto"/>
              </w:rPr>
            </w:pPr>
            <w:r>
              <w:rPr>
                <w:rFonts w:ascii="Arial" w:cs="Arial" w:eastAsia="Arial" w:hAnsi="Arial"/>
                <w:sz w:val="9"/>
                <w:szCs w:val="9"/>
                <w:color w:val="auto"/>
                <w:w w:val="89"/>
              </w:rPr>
              <w:t>Pattern</w:t>
            </w:r>
          </w:p>
        </w:tc>
        <w:tc>
          <w:tcPr>
            <w:tcW w:w="720" w:type="dxa"/>
            <w:vAlign w:val="bottom"/>
            <w:gridSpan w:val="2"/>
          </w:tcPr>
          <w:p>
            <w:pPr>
              <w:jc w:val="center"/>
              <w:ind w:right="360"/>
              <w:spacing w:after="0" w:line="99" w:lineRule="exact"/>
              <w:rPr>
                <w:sz w:val="20"/>
                <w:szCs w:val="20"/>
                <w:color w:val="auto"/>
              </w:rPr>
            </w:pPr>
            <w:r>
              <w:rPr>
                <w:rFonts w:ascii="Arial" w:cs="Arial" w:eastAsia="Arial" w:hAnsi="Arial"/>
                <w:sz w:val="9"/>
                <w:szCs w:val="9"/>
                <w:color w:val="auto"/>
                <w:w w:val="94"/>
              </w:rPr>
              <w:t>Actions</w:t>
            </w:r>
          </w:p>
        </w:tc>
        <w:tc>
          <w:tcPr>
            <w:tcW w:w="640" w:type="dxa"/>
            <w:vAlign w:val="bottom"/>
            <w:gridSpan w:val="2"/>
          </w:tcPr>
          <w:p>
            <w:pPr>
              <w:jc w:val="center"/>
              <w:ind w:right="360"/>
              <w:spacing w:after="0" w:line="99" w:lineRule="exact"/>
              <w:rPr>
                <w:sz w:val="20"/>
                <w:szCs w:val="20"/>
                <w:color w:val="auto"/>
              </w:rPr>
            </w:pPr>
            <w:r>
              <w:rPr>
                <w:rFonts w:ascii="Arial" w:cs="Arial" w:eastAsia="Arial" w:hAnsi="Arial"/>
                <w:sz w:val="9"/>
                <w:szCs w:val="9"/>
                <w:color w:val="auto"/>
                <w:w w:val="90"/>
              </w:rPr>
              <w:t>Legal</w:t>
            </w:r>
          </w:p>
        </w:tc>
        <w:tc>
          <w:tcPr>
            <w:tcW w:w="400" w:type="dxa"/>
            <w:vAlign w:val="bottom"/>
            <w:gridSpan w:val="2"/>
          </w:tcPr>
          <w:p>
            <w:pPr>
              <w:jc w:val="center"/>
              <w:ind w:right="40"/>
              <w:spacing w:after="0" w:line="99" w:lineRule="exact"/>
              <w:rPr>
                <w:sz w:val="20"/>
                <w:szCs w:val="20"/>
                <w:color w:val="auto"/>
              </w:rPr>
            </w:pPr>
            <w:r>
              <w:rPr>
                <w:rFonts w:ascii="Arial" w:cs="Arial" w:eastAsia="Arial" w:hAnsi="Arial"/>
                <w:sz w:val="9"/>
                <w:szCs w:val="9"/>
                <w:color w:val="auto"/>
                <w:w w:val="90"/>
              </w:rPr>
              <w:t>Legal</w:t>
            </w: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gridSpan w:val="2"/>
          </w:tcPr>
          <w:p>
            <w:pPr>
              <w:jc w:val="center"/>
              <w:ind w:right="340"/>
              <w:spacing w:after="0" w:line="99" w:lineRule="exact"/>
              <w:rPr>
                <w:sz w:val="20"/>
                <w:szCs w:val="20"/>
                <w:color w:val="auto"/>
              </w:rPr>
            </w:pPr>
            <w:r>
              <w:rPr>
                <w:rFonts w:ascii="Arial" w:cs="Arial" w:eastAsia="Arial" w:hAnsi="Arial"/>
                <w:sz w:val="9"/>
                <w:szCs w:val="9"/>
                <w:color w:val="auto"/>
                <w:w w:val="92"/>
              </w:rPr>
              <w:t>104(d)</w:t>
            </w: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gridSpan w:val="2"/>
          </w:tcPr>
          <w:p>
            <w:pPr>
              <w:jc w:val="center"/>
              <w:ind w:right="340"/>
              <w:spacing w:after="0" w:line="99" w:lineRule="exact"/>
              <w:rPr>
                <w:sz w:val="20"/>
                <w:szCs w:val="20"/>
                <w:color w:val="auto"/>
              </w:rPr>
            </w:pPr>
            <w:r>
              <w:rPr>
                <w:rFonts w:ascii="Arial" w:cs="Arial" w:eastAsia="Arial" w:hAnsi="Arial"/>
                <w:sz w:val="9"/>
                <w:szCs w:val="9"/>
                <w:color w:val="auto"/>
                <w:w w:val="89"/>
              </w:rPr>
              <w:t>Under</w:t>
            </w:r>
          </w:p>
        </w:tc>
        <w:tc>
          <w:tcPr>
            <w:tcW w:w="760" w:type="dxa"/>
            <w:vAlign w:val="bottom"/>
            <w:gridSpan w:val="2"/>
          </w:tcPr>
          <w:p>
            <w:pPr>
              <w:jc w:val="center"/>
              <w:ind w:right="340"/>
              <w:spacing w:after="0" w:line="99" w:lineRule="exact"/>
              <w:rPr>
                <w:sz w:val="20"/>
                <w:szCs w:val="20"/>
                <w:color w:val="auto"/>
              </w:rPr>
            </w:pPr>
            <w:r>
              <w:rPr>
                <w:rFonts w:ascii="Arial" w:cs="Arial" w:eastAsia="Arial" w:hAnsi="Arial"/>
                <w:sz w:val="9"/>
                <w:szCs w:val="9"/>
                <w:color w:val="auto"/>
                <w:w w:val="89"/>
              </w:rPr>
              <w:t>Under</w:t>
            </w:r>
          </w:p>
        </w:tc>
        <w:tc>
          <w:tcPr>
            <w:tcW w:w="720" w:type="dxa"/>
            <w:vAlign w:val="bottom"/>
            <w:gridSpan w:val="2"/>
          </w:tcPr>
          <w:p>
            <w:pPr>
              <w:jc w:val="center"/>
              <w:ind w:right="340"/>
              <w:spacing w:after="0" w:line="99" w:lineRule="exact"/>
              <w:rPr>
                <w:sz w:val="20"/>
                <w:szCs w:val="20"/>
                <w:color w:val="auto"/>
              </w:rPr>
            </w:pPr>
            <w:r>
              <w:rPr>
                <w:rFonts w:ascii="Arial" w:cs="Arial" w:eastAsia="Arial" w:hAnsi="Arial"/>
                <w:sz w:val="9"/>
                <w:szCs w:val="9"/>
                <w:color w:val="auto"/>
                <w:w w:val="90"/>
              </w:rPr>
              <w:t>Pending</w:t>
            </w:r>
          </w:p>
        </w:tc>
        <w:tc>
          <w:tcPr>
            <w:tcW w:w="640" w:type="dxa"/>
            <w:vAlign w:val="bottom"/>
            <w:gridSpan w:val="2"/>
          </w:tcPr>
          <w:p>
            <w:pPr>
              <w:jc w:val="center"/>
              <w:ind w:right="360"/>
              <w:spacing w:after="0" w:line="99" w:lineRule="exact"/>
              <w:rPr>
                <w:sz w:val="20"/>
                <w:szCs w:val="20"/>
                <w:color w:val="auto"/>
              </w:rPr>
            </w:pPr>
            <w:r>
              <w:rPr>
                <w:rFonts w:ascii="Arial" w:cs="Arial" w:eastAsia="Arial" w:hAnsi="Arial"/>
                <w:sz w:val="9"/>
                <w:szCs w:val="9"/>
                <w:color w:val="auto"/>
                <w:w w:val="94"/>
              </w:rPr>
              <w:t>Actions</w:t>
            </w:r>
          </w:p>
        </w:tc>
        <w:tc>
          <w:tcPr>
            <w:tcW w:w="400" w:type="dxa"/>
            <w:vAlign w:val="bottom"/>
            <w:gridSpan w:val="2"/>
          </w:tcPr>
          <w:p>
            <w:pPr>
              <w:jc w:val="center"/>
              <w:ind w:right="40"/>
              <w:spacing w:after="0" w:line="99" w:lineRule="exact"/>
              <w:rPr>
                <w:sz w:val="20"/>
                <w:szCs w:val="20"/>
                <w:color w:val="auto"/>
              </w:rPr>
            </w:pPr>
            <w:r>
              <w:rPr>
                <w:rFonts w:ascii="Arial" w:cs="Arial" w:eastAsia="Arial" w:hAnsi="Arial"/>
                <w:sz w:val="9"/>
                <w:szCs w:val="9"/>
                <w:color w:val="auto"/>
                <w:w w:val="94"/>
              </w:rPr>
              <w:t>Actions</w:t>
            </w:r>
          </w:p>
        </w:tc>
        <w:tc>
          <w:tcPr>
            <w:tcW w:w="0" w:type="dxa"/>
            <w:vAlign w:val="bottom"/>
          </w:tcPr>
          <w:p>
            <w:pPr>
              <w:spacing w:after="0"/>
              <w:rPr>
                <w:sz w:val="1"/>
                <w:szCs w:val="1"/>
                <w:color w:val="auto"/>
              </w:rPr>
            </w:pPr>
          </w:p>
        </w:tc>
      </w:tr>
      <w:tr>
        <w:trPr>
          <w:trHeight w:val="99"/>
        </w:trPr>
        <w:tc>
          <w:tcPr>
            <w:tcW w:w="3280" w:type="dxa"/>
            <w:vAlign w:val="bottom"/>
            <w:gridSpan w:val="2"/>
            <w:vMerge w:val="restart"/>
          </w:tcPr>
          <w:p>
            <w:pPr>
              <w:spacing w:after="0"/>
              <w:rPr>
                <w:sz w:val="20"/>
                <w:szCs w:val="20"/>
                <w:color w:val="auto"/>
              </w:rPr>
            </w:pPr>
            <w:r>
              <w:rPr>
                <w:rFonts w:ascii="Arial" w:cs="Arial" w:eastAsia="Arial" w:hAnsi="Arial"/>
                <w:sz w:val="9"/>
                <w:szCs w:val="9"/>
                <w:color w:val="auto"/>
              </w:rPr>
              <w:t>Mine or Operating Name/MSHA</w:t>
            </w:r>
          </w:p>
        </w:tc>
        <w:tc>
          <w:tcPr>
            <w:tcW w:w="680" w:type="dxa"/>
            <w:vAlign w:val="bottom"/>
            <w:gridSpan w:val="2"/>
          </w:tcPr>
          <w:p>
            <w:pPr>
              <w:ind w:left="40"/>
              <w:spacing w:after="0" w:line="99" w:lineRule="exact"/>
              <w:rPr>
                <w:sz w:val="20"/>
                <w:szCs w:val="20"/>
                <w:color w:val="auto"/>
              </w:rPr>
            </w:pPr>
            <w:r>
              <w:rPr>
                <w:rFonts w:ascii="Arial" w:cs="Arial" w:eastAsia="Arial" w:hAnsi="Arial"/>
                <w:sz w:val="9"/>
                <w:szCs w:val="9"/>
                <w:color w:val="auto"/>
              </w:rPr>
              <w:t>Section</w:t>
            </w:r>
          </w:p>
        </w:tc>
        <w:tc>
          <w:tcPr>
            <w:tcW w:w="620" w:type="dxa"/>
            <w:vAlign w:val="bottom"/>
            <w:gridSpan w:val="2"/>
          </w:tcPr>
          <w:p>
            <w:pPr>
              <w:jc w:val="right"/>
              <w:ind w:right="340"/>
              <w:spacing w:after="0" w:line="99" w:lineRule="exact"/>
              <w:rPr>
                <w:sz w:val="20"/>
                <w:szCs w:val="20"/>
                <w:color w:val="auto"/>
              </w:rPr>
            </w:pPr>
            <w:r>
              <w:rPr>
                <w:rFonts w:ascii="Arial" w:cs="Arial" w:eastAsia="Arial" w:hAnsi="Arial"/>
                <w:sz w:val="9"/>
                <w:szCs w:val="9"/>
                <w:color w:val="auto"/>
                <w:w w:val="86"/>
              </w:rPr>
              <w:t>Section</w:t>
            </w:r>
          </w:p>
        </w:tc>
        <w:tc>
          <w:tcPr>
            <w:tcW w:w="700" w:type="dxa"/>
            <w:vAlign w:val="bottom"/>
            <w:gridSpan w:val="2"/>
          </w:tcPr>
          <w:p>
            <w:pPr>
              <w:jc w:val="right"/>
              <w:ind w:right="360"/>
              <w:spacing w:after="0" w:line="99" w:lineRule="exact"/>
              <w:rPr>
                <w:sz w:val="20"/>
                <w:szCs w:val="20"/>
                <w:color w:val="auto"/>
              </w:rPr>
            </w:pPr>
            <w:r>
              <w:rPr>
                <w:rFonts w:ascii="Arial" w:cs="Arial" w:eastAsia="Arial" w:hAnsi="Arial"/>
                <w:sz w:val="9"/>
                <w:szCs w:val="9"/>
                <w:color w:val="auto"/>
                <w:w w:val="91"/>
              </w:rPr>
              <w:t>Citations</w:t>
            </w:r>
          </w:p>
        </w:tc>
        <w:tc>
          <w:tcPr>
            <w:tcW w:w="720" w:type="dxa"/>
            <w:vAlign w:val="bottom"/>
            <w:gridSpan w:val="2"/>
          </w:tcPr>
          <w:p>
            <w:pPr>
              <w:jc w:val="right"/>
              <w:ind w:right="400"/>
              <w:spacing w:after="0" w:line="99" w:lineRule="exact"/>
              <w:rPr>
                <w:sz w:val="20"/>
                <w:szCs w:val="20"/>
                <w:color w:val="auto"/>
              </w:rPr>
            </w:pPr>
            <w:r>
              <w:rPr>
                <w:rFonts w:ascii="Arial" w:cs="Arial" w:eastAsia="Arial" w:hAnsi="Arial"/>
                <w:sz w:val="9"/>
                <w:szCs w:val="9"/>
                <w:color w:val="auto"/>
                <w:w w:val="99"/>
              </w:rPr>
              <w:t>Section</w:t>
            </w:r>
          </w:p>
        </w:tc>
        <w:tc>
          <w:tcPr>
            <w:tcW w:w="620" w:type="dxa"/>
            <w:vAlign w:val="bottom"/>
            <w:gridSpan w:val="2"/>
          </w:tcPr>
          <w:p>
            <w:pPr>
              <w:jc w:val="center"/>
              <w:ind w:right="340"/>
              <w:spacing w:after="0" w:line="99" w:lineRule="exact"/>
              <w:rPr>
                <w:sz w:val="20"/>
                <w:szCs w:val="20"/>
                <w:color w:val="auto"/>
              </w:rPr>
            </w:pPr>
            <w:r>
              <w:rPr>
                <w:rFonts w:ascii="Arial" w:cs="Arial" w:eastAsia="Arial" w:hAnsi="Arial"/>
                <w:sz w:val="9"/>
                <w:szCs w:val="9"/>
                <w:color w:val="auto"/>
                <w:w w:val="93"/>
              </w:rPr>
              <w:t>Section</w:t>
            </w:r>
          </w:p>
        </w:tc>
        <w:tc>
          <w:tcPr>
            <w:tcW w:w="80" w:type="dxa"/>
            <w:vAlign w:val="bottom"/>
          </w:tcPr>
          <w:p>
            <w:pPr>
              <w:spacing w:after="0"/>
              <w:rPr>
                <w:sz w:val="8"/>
                <w:szCs w:val="8"/>
                <w:color w:val="auto"/>
              </w:rPr>
            </w:pPr>
          </w:p>
        </w:tc>
        <w:tc>
          <w:tcPr>
            <w:tcW w:w="840" w:type="dxa"/>
            <w:vAlign w:val="bottom"/>
            <w:gridSpan w:val="2"/>
          </w:tcPr>
          <w:p>
            <w:pPr>
              <w:jc w:val="right"/>
              <w:ind w:right="480"/>
              <w:spacing w:after="0" w:line="99" w:lineRule="exact"/>
              <w:rPr>
                <w:sz w:val="20"/>
                <w:szCs w:val="20"/>
                <w:color w:val="auto"/>
              </w:rPr>
            </w:pPr>
            <w:r>
              <w:rPr>
                <w:rFonts w:ascii="Arial" w:cs="Arial" w:eastAsia="Arial" w:hAnsi="Arial"/>
                <w:sz w:val="9"/>
                <w:szCs w:val="9"/>
                <w:color w:val="auto"/>
                <w:w w:val="88"/>
              </w:rPr>
              <w:t>Proposed</w:t>
            </w:r>
          </w:p>
        </w:tc>
        <w:tc>
          <w:tcPr>
            <w:tcW w:w="700" w:type="dxa"/>
            <w:vAlign w:val="bottom"/>
            <w:gridSpan w:val="2"/>
          </w:tcPr>
          <w:p>
            <w:pPr>
              <w:jc w:val="right"/>
              <w:ind w:right="400"/>
              <w:spacing w:after="0" w:line="99" w:lineRule="exact"/>
              <w:rPr>
                <w:sz w:val="20"/>
                <w:szCs w:val="20"/>
                <w:color w:val="auto"/>
              </w:rPr>
            </w:pPr>
            <w:r>
              <w:rPr>
                <w:rFonts w:ascii="Arial" w:cs="Arial" w:eastAsia="Arial" w:hAnsi="Arial"/>
                <w:sz w:val="9"/>
                <w:szCs w:val="9"/>
                <w:color w:val="auto"/>
              </w:rPr>
              <w:t>Mining</w:t>
            </w:r>
          </w:p>
        </w:tc>
        <w:tc>
          <w:tcPr>
            <w:tcW w:w="720" w:type="dxa"/>
            <w:vAlign w:val="bottom"/>
            <w:gridSpan w:val="2"/>
          </w:tcPr>
          <w:p>
            <w:pPr>
              <w:jc w:val="center"/>
              <w:ind w:right="360"/>
              <w:spacing w:after="0" w:line="99" w:lineRule="exact"/>
              <w:rPr>
                <w:sz w:val="20"/>
                <w:szCs w:val="20"/>
                <w:color w:val="auto"/>
              </w:rPr>
            </w:pPr>
            <w:r>
              <w:rPr>
                <w:rFonts w:ascii="Arial" w:cs="Arial" w:eastAsia="Arial" w:hAnsi="Arial"/>
                <w:sz w:val="9"/>
                <w:szCs w:val="9"/>
                <w:color w:val="auto"/>
                <w:w w:val="93"/>
              </w:rPr>
              <w:t>Section</w:t>
            </w:r>
          </w:p>
        </w:tc>
        <w:tc>
          <w:tcPr>
            <w:tcW w:w="760" w:type="dxa"/>
            <w:vAlign w:val="bottom"/>
            <w:gridSpan w:val="2"/>
          </w:tcPr>
          <w:p>
            <w:pPr>
              <w:jc w:val="center"/>
              <w:ind w:right="340"/>
              <w:spacing w:after="0" w:line="99" w:lineRule="exact"/>
              <w:rPr>
                <w:sz w:val="20"/>
                <w:szCs w:val="20"/>
                <w:color w:val="auto"/>
              </w:rPr>
            </w:pPr>
            <w:r>
              <w:rPr>
                <w:rFonts w:ascii="Arial" w:cs="Arial" w:eastAsia="Arial" w:hAnsi="Arial"/>
                <w:sz w:val="9"/>
                <w:szCs w:val="9"/>
                <w:color w:val="auto"/>
                <w:w w:val="86"/>
              </w:rPr>
              <w:t>Section</w:t>
            </w:r>
          </w:p>
        </w:tc>
        <w:tc>
          <w:tcPr>
            <w:tcW w:w="720" w:type="dxa"/>
            <w:vAlign w:val="bottom"/>
            <w:gridSpan w:val="2"/>
          </w:tcPr>
          <w:p>
            <w:pPr>
              <w:jc w:val="right"/>
              <w:ind w:right="360"/>
              <w:spacing w:after="0" w:line="99" w:lineRule="exact"/>
              <w:rPr>
                <w:sz w:val="20"/>
                <w:szCs w:val="20"/>
                <w:color w:val="auto"/>
              </w:rPr>
            </w:pPr>
            <w:r>
              <w:rPr>
                <w:rFonts w:ascii="Arial" w:cs="Arial" w:eastAsia="Arial" w:hAnsi="Arial"/>
                <w:sz w:val="9"/>
                <w:szCs w:val="9"/>
                <w:color w:val="auto"/>
                <w:w w:val="86"/>
              </w:rPr>
              <w:t>as of Last</w:t>
            </w:r>
          </w:p>
        </w:tc>
        <w:tc>
          <w:tcPr>
            <w:tcW w:w="640" w:type="dxa"/>
            <w:vAlign w:val="bottom"/>
            <w:gridSpan w:val="2"/>
          </w:tcPr>
          <w:p>
            <w:pPr>
              <w:jc w:val="right"/>
              <w:ind w:right="340"/>
              <w:spacing w:after="0" w:line="99" w:lineRule="exact"/>
              <w:rPr>
                <w:sz w:val="20"/>
                <w:szCs w:val="20"/>
                <w:color w:val="auto"/>
              </w:rPr>
            </w:pPr>
            <w:r>
              <w:rPr>
                <w:rFonts w:ascii="Arial" w:cs="Arial" w:eastAsia="Arial" w:hAnsi="Arial"/>
                <w:sz w:val="9"/>
                <w:szCs w:val="9"/>
                <w:color w:val="auto"/>
                <w:w w:val="88"/>
              </w:rPr>
              <w:t>Initiated</w:t>
            </w:r>
          </w:p>
        </w:tc>
        <w:tc>
          <w:tcPr>
            <w:tcW w:w="4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w w:val="85"/>
              </w:rPr>
              <w:t>Resolved</w:t>
            </w:r>
          </w:p>
        </w:tc>
        <w:tc>
          <w:tcPr>
            <w:tcW w:w="0" w:type="dxa"/>
            <w:vAlign w:val="bottom"/>
          </w:tcPr>
          <w:p>
            <w:pPr>
              <w:spacing w:after="0"/>
              <w:rPr>
                <w:sz w:val="1"/>
                <w:szCs w:val="1"/>
                <w:color w:val="auto"/>
              </w:rPr>
            </w:pPr>
          </w:p>
        </w:tc>
      </w:tr>
      <w:tr>
        <w:trPr>
          <w:trHeight w:val="88"/>
        </w:trPr>
        <w:tc>
          <w:tcPr>
            <w:tcW w:w="3280" w:type="dxa"/>
            <w:vAlign w:val="bottom"/>
            <w:gridSpan w:val="2"/>
            <w:vMerge w:val="continue"/>
          </w:tcPr>
          <w:p>
            <w:pPr>
              <w:spacing w:after="0"/>
              <w:rPr>
                <w:sz w:val="7"/>
                <w:szCs w:val="7"/>
                <w:color w:val="auto"/>
              </w:rPr>
            </w:pPr>
          </w:p>
        </w:tc>
        <w:tc>
          <w:tcPr>
            <w:tcW w:w="680" w:type="dxa"/>
            <w:vAlign w:val="bottom"/>
            <w:gridSpan w:val="2"/>
          </w:tcPr>
          <w:p>
            <w:pPr>
              <w:jc w:val="right"/>
              <w:ind w:right="340"/>
              <w:spacing w:after="0" w:line="88" w:lineRule="exact"/>
              <w:rPr>
                <w:sz w:val="20"/>
                <w:szCs w:val="20"/>
                <w:color w:val="auto"/>
              </w:rPr>
            </w:pPr>
            <w:r>
              <w:rPr>
                <w:rFonts w:ascii="Arial" w:cs="Arial" w:eastAsia="Arial" w:hAnsi="Arial"/>
                <w:sz w:val="9"/>
                <w:szCs w:val="9"/>
                <w:color w:val="auto"/>
                <w:w w:val="89"/>
              </w:rPr>
              <w:t>104 S&amp;S</w:t>
            </w:r>
          </w:p>
        </w:tc>
        <w:tc>
          <w:tcPr>
            <w:tcW w:w="620" w:type="dxa"/>
            <w:vAlign w:val="bottom"/>
            <w:gridSpan w:val="2"/>
          </w:tcPr>
          <w:p>
            <w:pPr>
              <w:ind w:left="20"/>
              <w:spacing w:after="0" w:line="88" w:lineRule="exact"/>
              <w:rPr>
                <w:sz w:val="20"/>
                <w:szCs w:val="20"/>
                <w:color w:val="auto"/>
              </w:rPr>
            </w:pPr>
            <w:r>
              <w:rPr>
                <w:rFonts w:ascii="Arial" w:cs="Arial" w:eastAsia="Arial" w:hAnsi="Arial"/>
                <w:sz w:val="9"/>
                <w:szCs w:val="9"/>
                <w:color w:val="auto"/>
              </w:rPr>
              <w:t>104(b)</w:t>
            </w:r>
          </w:p>
        </w:tc>
        <w:tc>
          <w:tcPr>
            <w:tcW w:w="700" w:type="dxa"/>
            <w:vAlign w:val="bottom"/>
            <w:gridSpan w:val="2"/>
          </w:tcPr>
          <w:p>
            <w:pPr>
              <w:jc w:val="center"/>
              <w:ind w:right="360"/>
              <w:spacing w:after="0" w:line="88" w:lineRule="exact"/>
              <w:rPr>
                <w:sz w:val="20"/>
                <w:szCs w:val="20"/>
                <w:color w:val="auto"/>
              </w:rPr>
            </w:pPr>
            <w:r>
              <w:rPr>
                <w:rFonts w:ascii="Arial" w:cs="Arial" w:eastAsia="Arial" w:hAnsi="Arial"/>
                <w:sz w:val="9"/>
                <w:szCs w:val="9"/>
                <w:color w:val="auto"/>
                <w:w w:val="92"/>
              </w:rPr>
              <w:t>and</w:t>
            </w:r>
          </w:p>
        </w:tc>
        <w:tc>
          <w:tcPr>
            <w:tcW w:w="720" w:type="dxa"/>
            <w:vAlign w:val="bottom"/>
            <w:gridSpan w:val="2"/>
          </w:tcPr>
          <w:p>
            <w:pPr>
              <w:jc w:val="right"/>
              <w:ind w:right="360"/>
              <w:spacing w:after="0" w:line="88" w:lineRule="exact"/>
              <w:rPr>
                <w:sz w:val="20"/>
                <w:szCs w:val="20"/>
                <w:color w:val="auto"/>
              </w:rPr>
            </w:pPr>
            <w:r>
              <w:rPr>
                <w:rFonts w:ascii="Arial" w:cs="Arial" w:eastAsia="Arial" w:hAnsi="Arial"/>
                <w:sz w:val="9"/>
                <w:szCs w:val="9"/>
                <w:color w:val="auto"/>
                <w:w w:val="91"/>
              </w:rPr>
              <w:t>110(b)(2)</w:t>
            </w:r>
          </w:p>
        </w:tc>
        <w:tc>
          <w:tcPr>
            <w:tcW w:w="620" w:type="dxa"/>
            <w:vAlign w:val="bottom"/>
            <w:gridSpan w:val="2"/>
          </w:tcPr>
          <w:p>
            <w:pPr>
              <w:jc w:val="center"/>
              <w:ind w:right="340"/>
              <w:spacing w:after="0" w:line="88" w:lineRule="exact"/>
              <w:rPr>
                <w:sz w:val="20"/>
                <w:szCs w:val="20"/>
                <w:color w:val="auto"/>
              </w:rPr>
            </w:pPr>
            <w:r>
              <w:rPr>
                <w:rFonts w:ascii="Arial" w:cs="Arial" w:eastAsia="Arial" w:hAnsi="Arial"/>
                <w:sz w:val="9"/>
                <w:szCs w:val="9"/>
                <w:color w:val="auto"/>
                <w:w w:val="92"/>
              </w:rPr>
              <w:t>107(a)</w:t>
            </w:r>
          </w:p>
        </w:tc>
        <w:tc>
          <w:tcPr>
            <w:tcW w:w="80" w:type="dxa"/>
            <w:vAlign w:val="bottom"/>
          </w:tcPr>
          <w:p>
            <w:pPr>
              <w:spacing w:after="0"/>
              <w:rPr>
                <w:sz w:val="7"/>
                <w:szCs w:val="7"/>
                <w:color w:val="auto"/>
              </w:rPr>
            </w:pPr>
          </w:p>
        </w:tc>
        <w:tc>
          <w:tcPr>
            <w:tcW w:w="840" w:type="dxa"/>
            <w:vAlign w:val="bottom"/>
            <w:gridSpan w:val="2"/>
          </w:tcPr>
          <w:p>
            <w:pPr>
              <w:jc w:val="right"/>
              <w:ind w:right="520"/>
              <w:spacing w:after="0" w:line="88" w:lineRule="exact"/>
              <w:rPr>
                <w:sz w:val="20"/>
                <w:szCs w:val="20"/>
                <w:color w:val="auto"/>
              </w:rPr>
            </w:pPr>
            <w:r>
              <w:rPr>
                <w:rFonts w:ascii="Arial" w:cs="Arial" w:eastAsia="Arial" w:hAnsi="Arial"/>
                <w:sz w:val="9"/>
                <w:szCs w:val="9"/>
                <w:color w:val="auto"/>
              </w:rPr>
              <w:t>MSHA</w:t>
            </w:r>
          </w:p>
        </w:tc>
        <w:tc>
          <w:tcPr>
            <w:tcW w:w="700" w:type="dxa"/>
            <w:vAlign w:val="bottom"/>
            <w:gridSpan w:val="2"/>
          </w:tcPr>
          <w:p>
            <w:pPr>
              <w:jc w:val="right"/>
              <w:ind w:right="380"/>
              <w:spacing w:after="0" w:line="88" w:lineRule="exact"/>
              <w:rPr>
                <w:sz w:val="20"/>
                <w:szCs w:val="20"/>
                <w:color w:val="auto"/>
              </w:rPr>
            </w:pPr>
            <w:r>
              <w:rPr>
                <w:rFonts w:ascii="Arial" w:cs="Arial" w:eastAsia="Arial" w:hAnsi="Arial"/>
                <w:sz w:val="9"/>
                <w:szCs w:val="9"/>
                <w:color w:val="auto"/>
                <w:w w:val="96"/>
              </w:rPr>
              <w:t>Related</w:t>
            </w:r>
          </w:p>
        </w:tc>
        <w:tc>
          <w:tcPr>
            <w:tcW w:w="720" w:type="dxa"/>
            <w:vAlign w:val="bottom"/>
            <w:gridSpan w:val="2"/>
          </w:tcPr>
          <w:p>
            <w:pPr>
              <w:jc w:val="center"/>
              <w:ind w:right="360"/>
              <w:spacing w:after="0" w:line="88" w:lineRule="exact"/>
              <w:rPr>
                <w:sz w:val="20"/>
                <w:szCs w:val="20"/>
                <w:color w:val="auto"/>
              </w:rPr>
            </w:pPr>
            <w:r>
              <w:rPr>
                <w:rFonts w:ascii="Arial" w:cs="Arial" w:eastAsia="Arial" w:hAnsi="Arial"/>
                <w:sz w:val="9"/>
                <w:szCs w:val="9"/>
                <w:color w:val="auto"/>
                <w:w w:val="92"/>
              </w:rPr>
              <w:t>104(e)</w:t>
            </w:r>
          </w:p>
        </w:tc>
        <w:tc>
          <w:tcPr>
            <w:tcW w:w="760" w:type="dxa"/>
            <w:vAlign w:val="bottom"/>
            <w:gridSpan w:val="2"/>
          </w:tcPr>
          <w:p>
            <w:pPr>
              <w:jc w:val="center"/>
              <w:ind w:right="340"/>
              <w:spacing w:after="0" w:line="88" w:lineRule="exact"/>
              <w:rPr>
                <w:sz w:val="20"/>
                <w:szCs w:val="20"/>
                <w:color w:val="auto"/>
              </w:rPr>
            </w:pPr>
            <w:r>
              <w:rPr>
                <w:rFonts w:ascii="Arial" w:cs="Arial" w:eastAsia="Arial" w:hAnsi="Arial"/>
                <w:sz w:val="9"/>
                <w:szCs w:val="9"/>
                <w:color w:val="auto"/>
                <w:w w:val="84"/>
              </w:rPr>
              <w:t>104(e)</w:t>
            </w:r>
          </w:p>
        </w:tc>
        <w:tc>
          <w:tcPr>
            <w:tcW w:w="720" w:type="dxa"/>
            <w:vAlign w:val="bottom"/>
            <w:gridSpan w:val="2"/>
          </w:tcPr>
          <w:p>
            <w:pPr>
              <w:jc w:val="center"/>
              <w:ind w:right="360"/>
              <w:spacing w:after="0" w:line="88" w:lineRule="exact"/>
              <w:rPr>
                <w:sz w:val="20"/>
                <w:szCs w:val="20"/>
                <w:color w:val="auto"/>
              </w:rPr>
            </w:pPr>
            <w:r>
              <w:rPr>
                <w:rFonts w:ascii="Arial" w:cs="Arial" w:eastAsia="Arial" w:hAnsi="Arial"/>
                <w:sz w:val="9"/>
                <w:szCs w:val="9"/>
                <w:color w:val="auto"/>
                <w:w w:val="92"/>
              </w:rPr>
              <w:t>Day of</w:t>
            </w:r>
          </w:p>
        </w:tc>
        <w:tc>
          <w:tcPr>
            <w:tcW w:w="640" w:type="dxa"/>
            <w:vAlign w:val="bottom"/>
            <w:gridSpan w:val="2"/>
          </w:tcPr>
          <w:p>
            <w:pPr>
              <w:jc w:val="center"/>
              <w:ind w:right="340"/>
              <w:spacing w:after="0" w:line="88" w:lineRule="exact"/>
              <w:rPr>
                <w:sz w:val="20"/>
                <w:szCs w:val="20"/>
                <w:color w:val="auto"/>
              </w:rPr>
            </w:pPr>
            <w:r>
              <w:rPr>
                <w:rFonts w:ascii="Arial" w:cs="Arial" w:eastAsia="Arial" w:hAnsi="Arial"/>
                <w:sz w:val="9"/>
                <w:szCs w:val="9"/>
                <w:color w:val="auto"/>
                <w:w w:val="97"/>
              </w:rPr>
              <w:t>During</w:t>
            </w:r>
          </w:p>
        </w:tc>
        <w:tc>
          <w:tcPr>
            <w:tcW w:w="400" w:type="dxa"/>
            <w:vAlign w:val="bottom"/>
            <w:gridSpan w:val="2"/>
          </w:tcPr>
          <w:p>
            <w:pPr>
              <w:jc w:val="center"/>
              <w:ind w:right="40"/>
              <w:spacing w:after="0" w:line="88" w:lineRule="exact"/>
              <w:rPr>
                <w:sz w:val="20"/>
                <w:szCs w:val="20"/>
                <w:color w:val="auto"/>
              </w:rPr>
            </w:pPr>
            <w:r>
              <w:rPr>
                <w:rFonts w:ascii="Arial" w:cs="Arial" w:eastAsia="Arial" w:hAnsi="Arial"/>
                <w:sz w:val="9"/>
                <w:szCs w:val="9"/>
                <w:color w:val="auto"/>
                <w:w w:val="90"/>
              </w:rPr>
              <w:t>During</w:t>
            </w:r>
          </w:p>
        </w:tc>
        <w:tc>
          <w:tcPr>
            <w:tcW w:w="0" w:type="dxa"/>
            <w:vAlign w:val="bottom"/>
          </w:tcPr>
          <w:p>
            <w:pPr>
              <w:spacing w:after="0"/>
              <w:rPr>
                <w:sz w:val="1"/>
                <w:szCs w:val="1"/>
                <w:color w:val="auto"/>
              </w:rPr>
            </w:pPr>
          </w:p>
        </w:tc>
      </w:tr>
      <w:tr>
        <w:trPr>
          <w:trHeight w:val="128"/>
        </w:trPr>
        <w:tc>
          <w:tcPr>
            <w:tcW w:w="100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Identification Number</w:t>
            </w:r>
          </w:p>
        </w:tc>
        <w:tc>
          <w:tcPr>
            <w:tcW w:w="2280" w:type="dxa"/>
            <w:vAlign w:val="bottom"/>
          </w:tcPr>
          <w:p>
            <w:pPr>
              <w:spacing w:after="0"/>
              <w:rPr>
                <w:sz w:val="11"/>
                <w:szCs w:val="11"/>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9"/>
                <w:szCs w:val="9"/>
                <w:color w:val="auto"/>
                <w:w w:val="85"/>
              </w:rPr>
              <w:t>Citations</w:t>
            </w:r>
          </w:p>
        </w:tc>
        <w:tc>
          <w:tcPr>
            <w:tcW w:w="620" w:type="dxa"/>
            <w:vAlign w:val="bottom"/>
            <w:gridSpan w:val="2"/>
          </w:tcPr>
          <w:p>
            <w:pPr>
              <w:ind w:left="20"/>
              <w:spacing w:after="0"/>
              <w:rPr>
                <w:sz w:val="20"/>
                <w:szCs w:val="20"/>
                <w:color w:val="auto"/>
              </w:rPr>
            </w:pPr>
            <w:r>
              <w:rPr>
                <w:rFonts w:ascii="Arial" w:cs="Arial" w:eastAsia="Arial" w:hAnsi="Arial"/>
                <w:sz w:val="9"/>
                <w:szCs w:val="9"/>
                <w:color w:val="auto"/>
              </w:rPr>
              <w:t>Orders</w:t>
            </w:r>
          </w:p>
        </w:tc>
        <w:tc>
          <w:tcPr>
            <w:tcW w:w="700" w:type="dxa"/>
            <w:vAlign w:val="bottom"/>
            <w:gridSpan w:val="2"/>
          </w:tcPr>
          <w:p>
            <w:pPr>
              <w:jc w:val="center"/>
              <w:ind w:right="360"/>
              <w:spacing w:after="0"/>
              <w:rPr>
                <w:sz w:val="20"/>
                <w:szCs w:val="20"/>
                <w:color w:val="auto"/>
              </w:rPr>
            </w:pPr>
            <w:r>
              <w:rPr>
                <w:rFonts w:ascii="Arial" w:cs="Arial" w:eastAsia="Arial" w:hAnsi="Arial"/>
                <w:sz w:val="9"/>
                <w:szCs w:val="9"/>
                <w:color w:val="auto"/>
                <w:w w:val="94"/>
              </w:rPr>
              <w:t>Orders</w:t>
            </w:r>
          </w:p>
        </w:tc>
        <w:tc>
          <w:tcPr>
            <w:tcW w:w="720" w:type="dxa"/>
            <w:vAlign w:val="bottom"/>
            <w:gridSpan w:val="2"/>
          </w:tcPr>
          <w:p>
            <w:pPr>
              <w:jc w:val="right"/>
              <w:ind w:right="360"/>
              <w:spacing w:after="0"/>
              <w:rPr>
                <w:sz w:val="20"/>
                <w:szCs w:val="20"/>
                <w:color w:val="auto"/>
              </w:rPr>
            </w:pPr>
            <w:r>
              <w:rPr>
                <w:rFonts w:ascii="Arial" w:cs="Arial" w:eastAsia="Arial" w:hAnsi="Arial"/>
                <w:sz w:val="9"/>
                <w:szCs w:val="9"/>
                <w:color w:val="auto"/>
                <w:w w:val="87"/>
              </w:rPr>
              <w:t>Violations</w:t>
            </w:r>
          </w:p>
        </w:tc>
        <w:tc>
          <w:tcPr>
            <w:tcW w:w="620" w:type="dxa"/>
            <w:vAlign w:val="bottom"/>
            <w:gridSpan w:val="2"/>
          </w:tcPr>
          <w:p>
            <w:pPr>
              <w:jc w:val="center"/>
              <w:ind w:right="340"/>
              <w:spacing w:after="0"/>
              <w:rPr>
                <w:sz w:val="20"/>
                <w:szCs w:val="20"/>
                <w:color w:val="auto"/>
              </w:rPr>
            </w:pPr>
            <w:r>
              <w:rPr>
                <w:rFonts w:ascii="Arial" w:cs="Arial" w:eastAsia="Arial" w:hAnsi="Arial"/>
                <w:sz w:val="9"/>
                <w:szCs w:val="9"/>
                <w:color w:val="auto"/>
                <w:w w:val="87"/>
              </w:rPr>
              <w:t>Orders</w:t>
            </w:r>
          </w:p>
        </w:tc>
        <w:tc>
          <w:tcPr>
            <w:tcW w:w="920" w:type="dxa"/>
            <w:vAlign w:val="bottom"/>
            <w:gridSpan w:val="3"/>
          </w:tcPr>
          <w:p>
            <w:pPr>
              <w:spacing w:after="0" w:line="108" w:lineRule="exact"/>
              <w:rPr>
                <w:sz w:val="20"/>
                <w:szCs w:val="20"/>
                <w:color w:val="auto"/>
              </w:rPr>
            </w:pPr>
            <w:r>
              <w:rPr>
                <w:rFonts w:ascii="Arial" w:cs="Arial" w:eastAsia="Arial" w:hAnsi="Arial"/>
                <w:sz w:val="8"/>
                <w:szCs w:val="8"/>
                <w:color w:val="auto"/>
              </w:rPr>
              <w:t>Assessments</w:t>
            </w:r>
            <w:r>
              <w:rPr>
                <w:rFonts w:ascii="Arial" w:cs="Arial" w:eastAsia="Arial" w:hAnsi="Arial"/>
                <w:sz w:val="12"/>
                <w:szCs w:val="12"/>
                <w:color w:val="auto"/>
                <w:vertAlign w:val="superscript"/>
              </w:rPr>
              <w:t>(1)</w:t>
            </w:r>
          </w:p>
        </w:tc>
        <w:tc>
          <w:tcPr>
            <w:tcW w:w="700" w:type="dxa"/>
            <w:vAlign w:val="bottom"/>
            <w:gridSpan w:val="2"/>
          </w:tcPr>
          <w:p>
            <w:pPr>
              <w:jc w:val="right"/>
              <w:ind w:right="360"/>
              <w:spacing w:after="0"/>
              <w:rPr>
                <w:sz w:val="20"/>
                <w:szCs w:val="20"/>
                <w:color w:val="auto"/>
              </w:rPr>
            </w:pPr>
            <w:r>
              <w:rPr>
                <w:rFonts w:ascii="Arial" w:cs="Arial" w:eastAsia="Arial" w:hAnsi="Arial"/>
                <w:sz w:val="9"/>
                <w:szCs w:val="9"/>
                <w:color w:val="auto"/>
                <w:w w:val="88"/>
              </w:rPr>
              <w:t>Fatalities</w:t>
            </w:r>
          </w:p>
        </w:tc>
        <w:tc>
          <w:tcPr>
            <w:tcW w:w="720" w:type="dxa"/>
            <w:vAlign w:val="bottom"/>
            <w:gridSpan w:val="2"/>
          </w:tcPr>
          <w:p>
            <w:pPr>
              <w:jc w:val="center"/>
              <w:ind w:right="340"/>
              <w:spacing w:after="0"/>
              <w:rPr>
                <w:sz w:val="20"/>
                <w:szCs w:val="20"/>
                <w:color w:val="auto"/>
              </w:rPr>
            </w:pPr>
            <w:r>
              <w:rPr>
                <w:rFonts w:ascii="Arial" w:cs="Arial" w:eastAsia="Arial" w:hAnsi="Arial"/>
                <w:sz w:val="9"/>
                <w:szCs w:val="9"/>
                <w:color w:val="auto"/>
                <w:w w:val="92"/>
              </w:rPr>
              <w:t>(yes/no)</w:t>
            </w:r>
          </w:p>
        </w:tc>
        <w:tc>
          <w:tcPr>
            <w:tcW w:w="760" w:type="dxa"/>
            <w:vAlign w:val="bottom"/>
            <w:gridSpan w:val="2"/>
          </w:tcPr>
          <w:p>
            <w:pPr>
              <w:jc w:val="center"/>
              <w:ind w:right="340"/>
              <w:spacing w:after="0"/>
              <w:rPr>
                <w:sz w:val="20"/>
                <w:szCs w:val="20"/>
                <w:color w:val="auto"/>
              </w:rPr>
            </w:pPr>
            <w:r>
              <w:rPr>
                <w:rFonts w:ascii="Arial" w:cs="Arial" w:eastAsia="Arial" w:hAnsi="Arial"/>
                <w:sz w:val="9"/>
                <w:szCs w:val="9"/>
                <w:color w:val="auto"/>
                <w:w w:val="92"/>
              </w:rPr>
              <w:t>(yes/no)</w:t>
            </w:r>
          </w:p>
        </w:tc>
        <w:tc>
          <w:tcPr>
            <w:tcW w:w="720" w:type="dxa"/>
            <w:vAlign w:val="bottom"/>
            <w:gridSpan w:val="2"/>
          </w:tcPr>
          <w:p>
            <w:pPr>
              <w:jc w:val="center"/>
              <w:ind w:right="360"/>
              <w:spacing w:after="0"/>
              <w:rPr>
                <w:sz w:val="20"/>
                <w:szCs w:val="20"/>
                <w:color w:val="auto"/>
              </w:rPr>
            </w:pPr>
            <w:r>
              <w:rPr>
                <w:rFonts w:ascii="Arial" w:cs="Arial" w:eastAsia="Arial" w:hAnsi="Arial"/>
                <w:sz w:val="9"/>
                <w:szCs w:val="9"/>
                <w:color w:val="auto"/>
                <w:w w:val="92"/>
              </w:rPr>
              <w:t>Period</w:t>
            </w:r>
          </w:p>
        </w:tc>
        <w:tc>
          <w:tcPr>
            <w:tcW w:w="640" w:type="dxa"/>
            <w:vAlign w:val="bottom"/>
            <w:gridSpan w:val="2"/>
          </w:tcPr>
          <w:p>
            <w:pPr>
              <w:jc w:val="center"/>
              <w:ind w:right="360"/>
              <w:spacing w:after="0"/>
              <w:rPr>
                <w:sz w:val="20"/>
                <w:szCs w:val="20"/>
                <w:color w:val="auto"/>
              </w:rPr>
            </w:pPr>
            <w:r>
              <w:rPr>
                <w:rFonts w:ascii="Arial" w:cs="Arial" w:eastAsia="Arial" w:hAnsi="Arial"/>
                <w:sz w:val="9"/>
                <w:szCs w:val="9"/>
                <w:color w:val="auto"/>
                <w:w w:val="92"/>
              </w:rPr>
              <w:t>Period</w:t>
            </w:r>
          </w:p>
        </w:tc>
        <w:tc>
          <w:tcPr>
            <w:tcW w:w="400" w:type="dxa"/>
            <w:vAlign w:val="bottom"/>
            <w:gridSpan w:val="2"/>
          </w:tcPr>
          <w:p>
            <w:pPr>
              <w:jc w:val="center"/>
              <w:ind w:right="40"/>
              <w:spacing w:after="0"/>
              <w:rPr>
                <w:sz w:val="20"/>
                <w:szCs w:val="20"/>
                <w:color w:val="auto"/>
              </w:rPr>
            </w:pPr>
            <w:r>
              <w:rPr>
                <w:rFonts w:ascii="Arial" w:cs="Arial" w:eastAsia="Arial" w:hAnsi="Arial"/>
                <w:sz w:val="9"/>
                <w:szCs w:val="9"/>
                <w:color w:val="auto"/>
                <w:w w:val="92"/>
              </w:rPr>
              <w:t>Period</w:t>
            </w:r>
          </w:p>
        </w:tc>
        <w:tc>
          <w:tcPr>
            <w:tcW w:w="0" w:type="dxa"/>
            <w:vAlign w:val="bottom"/>
          </w:tcPr>
          <w:p>
            <w:pPr>
              <w:spacing w:after="0"/>
              <w:rPr>
                <w:sz w:val="1"/>
                <w:szCs w:val="1"/>
                <w:color w:val="auto"/>
              </w:rPr>
            </w:pPr>
          </w:p>
        </w:tc>
      </w:tr>
      <w:tr>
        <w:trPr>
          <w:trHeight w:val="77"/>
        </w:trPr>
        <w:tc>
          <w:tcPr>
            <w:tcW w:w="3280" w:type="dxa"/>
            <w:vAlign w:val="bottom"/>
            <w:tcBorders>
              <w:top w:val="single" w:sz="8" w:color="CCEEFF"/>
            </w:tcBorders>
            <w:gridSpan w:val="2"/>
            <w:shd w:val="clear" w:color="auto" w:fill="CCEEFF"/>
          </w:tcPr>
          <w:p>
            <w:pPr>
              <w:spacing w:after="0" w:line="78" w:lineRule="exact"/>
              <w:rPr>
                <w:sz w:val="20"/>
                <w:szCs w:val="20"/>
                <w:color w:val="auto"/>
              </w:rPr>
            </w:pPr>
            <w:r>
              <w:rPr>
                <w:rFonts w:ascii="Arial" w:cs="Arial" w:eastAsia="Arial" w:hAnsi="Arial"/>
                <w:sz w:val="8"/>
                <w:szCs w:val="8"/>
                <w:color w:val="auto"/>
              </w:rPr>
              <w:t>Amelia Barite Plant/1600825</w:t>
            </w:r>
          </w:p>
        </w:tc>
        <w:tc>
          <w:tcPr>
            <w:tcW w:w="34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1</w:t>
            </w:r>
          </w:p>
        </w:tc>
        <w:tc>
          <w:tcPr>
            <w:tcW w:w="3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0</w:t>
            </w:r>
          </w:p>
        </w:tc>
        <w:tc>
          <w:tcPr>
            <w:tcW w:w="3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0</w:t>
            </w:r>
          </w:p>
        </w:tc>
        <w:tc>
          <w:tcPr>
            <w:tcW w:w="3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0</w:t>
            </w:r>
          </w:p>
        </w:tc>
        <w:tc>
          <w:tcPr>
            <w:tcW w:w="3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5"/>
                <w:szCs w:val="5"/>
                <w:color w:val="auto"/>
                <w:w w:val="70"/>
              </w:rPr>
              <w:t>0</w:t>
            </w: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8" w:lineRule="exact"/>
              <w:rPr>
                <w:sz w:val="20"/>
                <w:szCs w:val="20"/>
                <w:color w:val="auto"/>
              </w:rPr>
            </w:pPr>
            <w:r>
              <w:rPr>
                <w:rFonts w:ascii="Arial" w:cs="Arial" w:eastAsia="Arial" w:hAnsi="Arial"/>
                <w:sz w:val="8"/>
                <w:szCs w:val="8"/>
                <w:color w:val="auto"/>
              </w:rPr>
              <w:t>$</w:t>
            </w:r>
          </w:p>
        </w:tc>
        <w:tc>
          <w:tcPr>
            <w:tcW w:w="48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200*</w:t>
            </w:r>
          </w:p>
        </w:tc>
        <w:tc>
          <w:tcPr>
            <w:tcW w:w="3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0</w:t>
            </w:r>
          </w:p>
        </w:tc>
        <w:tc>
          <w:tcPr>
            <w:tcW w:w="3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N</w:t>
            </w:r>
          </w:p>
        </w:tc>
        <w:tc>
          <w:tcPr>
            <w:tcW w:w="3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N</w:t>
            </w:r>
          </w:p>
        </w:tc>
        <w:tc>
          <w:tcPr>
            <w:tcW w:w="3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0</w:t>
            </w:r>
          </w:p>
        </w:tc>
        <w:tc>
          <w:tcPr>
            <w:tcW w:w="3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0</w:t>
            </w:r>
          </w:p>
        </w:tc>
        <w:tc>
          <w:tcPr>
            <w:tcW w:w="3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0</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280" w:type="dxa"/>
            <w:vAlign w:val="bottom"/>
            <w:gridSpan w:val="2"/>
          </w:tcPr>
          <w:p>
            <w:pPr>
              <w:spacing w:after="0" w:line="92" w:lineRule="exact"/>
              <w:rPr>
                <w:sz w:val="20"/>
                <w:szCs w:val="20"/>
                <w:color w:val="auto"/>
              </w:rPr>
            </w:pPr>
            <w:r>
              <w:rPr>
                <w:rFonts w:ascii="Arial" w:cs="Arial" w:eastAsia="Arial" w:hAnsi="Arial"/>
                <w:sz w:val="9"/>
                <w:szCs w:val="9"/>
                <w:color w:val="auto"/>
              </w:rPr>
              <w:t>Battle Mountain Grinding</w:t>
            </w: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280" w:type="dxa"/>
            <w:vAlign w:val="bottom"/>
            <w:gridSpan w:val="2"/>
          </w:tcPr>
          <w:p>
            <w:pPr>
              <w:spacing w:after="0"/>
              <w:rPr>
                <w:sz w:val="20"/>
                <w:szCs w:val="20"/>
                <w:color w:val="auto"/>
              </w:rPr>
            </w:pPr>
            <w:r>
              <w:rPr>
                <w:rFonts w:ascii="Arial" w:cs="Arial" w:eastAsia="Arial" w:hAnsi="Arial"/>
                <w:sz w:val="9"/>
                <w:szCs w:val="9"/>
                <w:color w:val="auto"/>
              </w:rPr>
              <w:t>Plant/2600828</w:t>
            </w:r>
          </w:p>
        </w:tc>
        <w:tc>
          <w:tcPr>
            <w:tcW w:w="340" w:type="dxa"/>
            <w:vAlign w:val="bottom"/>
          </w:tcPr>
          <w:p>
            <w:pPr>
              <w:jc w:val="right"/>
              <w:spacing w:after="0"/>
              <w:rPr>
                <w:sz w:val="20"/>
                <w:szCs w:val="20"/>
                <w:color w:val="auto"/>
              </w:rPr>
            </w:pPr>
            <w:r>
              <w:rPr>
                <w:rFonts w:ascii="Arial" w:cs="Arial" w:eastAsia="Arial" w:hAnsi="Arial"/>
                <w:sz w:val="9"/>
                <w:szCs w:val="9"/>
                <w:color w:val="auto"/>
              </w:rPr>
              <w:t>2</w:t>
            </w:r>
          </w:p>
        </w:tc>
        <w:tc>
          <w:tcPr>
            <w:tcW w:w="340" w:type="dxa"/>
            <w:vAlign w:val="bottom"/>
          </w:tcPr>
          <w:p>
            <w:pPr>
              <w:spacing w:after="0"/>
              <w:rPr>
                <w:sz w:val="10"/>
                <w:szCs w:val="10"/>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9"/>
                <w:szCs w:val="9"/>
                <w:color w:val="auto"/>
              </w:rPr>
              <w:t>0</w:t>
            </w:r>
          </w:p>
        </w:tc>
        <w:tc>
          <w:tcPr>
            <w:tcW w:w="340" w:type="dxa"/>
            <w:vAlign w:val="bottom"/>
          </w:tcPr>
          <w:p>
            <w:pPr>
              <w:jc w:val="right"/>
              <w:spacing w:after="0"/>
              <w:rPr>
                <w:sz w:val="20"/>
                <w:szCs w:val="20"/>
                <w:color w:val="auto"/>
              </w:rPr>
            </w:pPr>
            <w:r>
              <w:rPr>
                <w:rFonts w:ascii="Arial" w:cs="Arial" w:eastAsia="Arial" w:hAnsi="Arial"/>
                <w:sz w:val="9"/>
                <w:szCs w:val="9"/>
                <w:color w:val="auto"/>
              </w:rPr>
              <w:t>1</w:t>
            </w:r>
          </w:p>
        </w:tc>
        <w:tc>
          <w:tcPr>
            <w:tcW w:w="3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0</w:t>
            </w:r>
          </w:p>
        </w:tc>
        <w:tc>
          <w:tcPr>
            <w:tcW w:w="360" w:type="dxa"/>
            <w:vAlign w:val="bottom"/>
          </w:tcPr>
          <w:p>
            <w:pPr>
              <w:spacing w:after="0"/>
              <w:rPr>
                <w:sz w:val="10"/>
                <w:szCs w:val="10"/>
                <w:color w:val="auto"/>
              </w:rPr>
            </w:pPr>
          </w:p>
        </w:tc>
        <w:tc>
          <w:tcPr>
            <w:tcW w:w="620" w:type="dxa"/>
            <w:vAlign w:val="bottom"/>
            <w:gridSpan w:val="2"/>
          </w:tcPr>
          <w:p>
            <w:pPr>
              <w:ind w:left="220"/>
              <w:spacing w:after="0"/>
              <w:rPr>
                <w:sz w:val="20"/>
                <w:szCs w:val="20"/>
                <w:color w:val="auto"/>
              </w:rPr>
            </w:pPr>
            <w:r>
              <w:rPr>
                <w:rFonts w:ascii="Arial" w:cs="Arial" w:eastAsia="Arial" w:hAnsi="Arial"/>
                <w:sz w:val="9"/>
                <w:szCs w:val="9"/>
                <w:color w:val="auto"/>
              </w:rPr>
              <w:t>0</w:t>
            </w: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9"/>
                <w:szCs w:val="9"/>
                <w:color w:val="auto"/>
              </w:rPr>
              <w:t>2,523*</w:t>
            </w:r>
          </w:p>
        </w:tc>
        <w:tc>
          <w:tcPr>
            <w:tcW w:w="700" w:type="dxa"/>
            <w:vAlign w:val="bottom"/>
            <w:gridSpan w:val="2"/>
          </w:tcPr>
          <w:p>
            <w:pPr>
              <w:jc w:val="right"/>
              <w:ind w:right="360"/>
              <w:spacing w:after="0"/>
              <w:rPr>
                <w:sz w:val="20"/>
                <w:szCs w:val="20"/>
                <w:color w:val="auto"/>
              </w:rPr>
            </w:pPr>
            <w:r>
              <w:rPr>
                <w:rFonts w:ascii="Arial" w:cs="Arial" w:eastAsia="Arial" w:hAnsi="Arial"/>
                <w:sz w:val="9"/>
                <w:szCs w:val="9"/>
                <w:color w:val="auto"/>
              </w:rPr>
              <w:t>0</w:t>
            </w:r>
          </w:p>
        </w:tc>
        <w:tc>
          <w:tcPr>
            <w:tcW w:w="720" w:type="dxa"/>
            <w:vAlign w:val="bottom"/>
            <w:gridSpan w:val="2"/>
          </w:tcPr>
          <w:p>
            <w:pPr>
              <w:jc w:val="right"/>
              <w:ind w:right="340"/>
              <w:spacing w:after="0"/>
              <w:rPr>
                <w:sz w:val="20"/>
                <w:szCs w:val="20"/>
                <w:color w:val="auto"/>
              </w:rPr>
            </w:pPr>
            <w:r>
              <w:rPr>
                <w:rFonts w:ascii="Arial" w:cs="Arial" w:eastAsia="Arial" w:hAnsi="Arial"/>
                <w:sz w:val="9"/>
                <w:szCs w:val="9"/>
                <w:color w:val="auto"/>
              </w:rPr>
              <w:t>N</w:t>
            </w:r>
          </w:p>
        </w:tc>
        <w:tc>
          <w:tcPr>
            <w:tcW w:w="760" w:type="dxa"/>
            <w:vAlign w:val="bottom"/>
            <w:gridSpan w:val="2"/>
          </w:tcPr>
          <w:p>
            <w:pPr>
              <w:jc w:val="right"/>
              <w:ind w:right="340"/>
              <w:spacing w:after="0"/>
              <w:rPr>
                <w:sz w:val="20"/>
                <w:szCs w:val="20"/>
                <w:color w:val="auto"/>
              </w:rPr>
            </w:pPr>
            <w:r>
              <w:rPr>
                <w:rFonts w:ascii="Arial" w:cs="Arial" w:eastAsia="Arial" w:hAnsi="Arial"/>
                <w:sz w:val="9"/>
                <w:szCs w:val="9"/>
                <w:color w:val="auto"/>
              </w:rPr>
              <w:t>N</w:t>
            </w:r>
          </w:p>
        </w:tc>
        <w:tc>
          <w:tcPr>
            <w:tcW w:w="360" w:type="dxa"/>
            <w:vAlign w:val="bottom"/>
          </w:tcPr>
          <w:p>
            <w:pPr>
              <w:jc w:val="right"/>
              <w:spacing w:after="0"/>
              <w:rPr>
                <w:sz w:val="20"/>
                <w:szCs w:val="20"/>
                <w:color w:val="auto"/>
              </w:rPr>
            </w:pPr>
            <w:r>
              <w:rPr>
                <w:rFonts w:ascii="Arial" w:cs="Arial" w:eastAsia="Arial" w:hAnsi="Arial"/>
                <w:sz w:val="9"/>
                <w:szCs w:val="9"/>
                <w:color w:val="auto"/>
              </w:rPr>
              <w:t>0</w:t>
            </w:r>
          </w:p>
        </w:tc>
        <w:tc>
          <w:tcPr>
            <w:tcW w:w="360" w:type="dxa"/>
            <w:vAlign w:val="bottom"/>
          </w:tcPr>
          <w:p>
            <w:pPr>
              <w:spacing w:after="0"/>
              <w:rPr>
                <w:sz w:val="10"/>
                <w:szCs w:val="10"/>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9"/>
                <w:szCs w:val="9"/>
                <w:color w:val="auto"/>
              </w:rPr>
              <w:t>0</w:t>
            </w: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0</w:t>
            </w:r>
          </w:p>
        </w:tc>
        <w:tc>
          <w:tcPr>
            <w:tcW w:w="0" w:type="dxa"/>
            <w:vAlign w:val="bottom"/>
          </w:tcPr>
          <w:p>
            <w:pPr>
              <w:spacing w:after="0"/>
              <w:rPr>
                <w:sz w:val="1"/>
                <w:szCs w:val="1"/>
                <w:color w:val="auto"/>
              </w:rPr>
            </w:pPr>
          </w:p>
        </w:tc>
      </w:tr>
      <w:tr>
        <w:trPr>
          <w:trHeight w:val="99"/>
        </w:trPr>
        <w:tc>
          <w:tcPr>
            <w:tcW w:w="32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Galveston GBT Barite Grinding Plant/4104675</w:t>
            </w: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w:t>
            </w:r>
          </w:p>
        </w:tc>
        <w:tc>
          <w:tcPr>
            <w:tcW w:w="34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color w:val="auto"/>
              </w:rPr>
              <w:t>0</w:t>
            </w: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w:t>
            </w:r>
          </w:p>
        </w:tc>
        <w:tc>
          <w:tcPr>
            <w:tcW w:w="3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w:t>
            </w:r>
          </w:p>
        </w:tc>
        <w:tc>
          <w:tcPr>
            <w:tcW w:w="360" w:type="dxa"/>
            <w:vAlign w:val="bottom"/>
            <w:shd w:val="clear" w:color="auto" w:fill="CCEEFF"/>
          </w:tcPr>
          <w:p>
            <w:pPr>
              <w:spacing w:after="0"/>
              <w:rPr>
                <w:sz w:val="8"/>
                <w:szCs w:val="8"/>
                <w:color w:val="auto"/>
              </w:rPr>
            </w:pPr>
          </w:p>
        </w:tc>
        <w:tc>
          <w:tcPr>
            <w:tcW w:w="620" w:type="dxa"/>
            <w:vAlign w:val="bottom"/>
            <w:gridSpan w:val="2"/>
            <w:shd w:val="clear" w:color="auto" w:fill="CCEEFF"/>
          </w:tcPr>
          <w:p>
            <w:pPr>
              <w:ind w:left="220"/>
              <w:spacing w:after="0" w:line="99" w:lineRule="exact"/>
              <w:rPr>
                <w:sz w:val="20"/>
                <w:szCs w:val="20"/>
                <w:color w:val="auto"/>
              </w:rPr>
            </w:pPr>
            <w:r>
              <w:rPr>
                <w:rFonts w:ascii="Arial" w:cs="Arial" w:eastAsia="Arial" w:hAnsi="Arial"/>
                <w:sz w:val="9"/>
                <w:szCs w:val="9"/>
                <w:color w:val="auto"/>
              </w:rPr>
              <w:t>0</w:t>
            </w:r>
          </w:p>
        </w:tc>
        <w:tc>
          <w:tcPr>
            <w:tcW w:w="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615</w:t>
            </w:r>
          </w:p>
        </w:tc>
        <w:tc>
          <w:tcPr>
            <w:tcW w:w="3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360"/>
              <w:spacing w:after="0" w:line="99" w:lineRule="exact"/>
              <w:rPr>
                <w:sz w:val="20"/>
                <w:szCs w:val="20"/>
                <w:color w:val="auto"/>
              </w:rPr>
            </w:pPr>
            <w:r>
              <w:rPr>
                <w:rFonts w:ascii="Arial" w:cs="Arial" w:eastAsia="Arial" w:hAnsi="Arial"/>
                <w:sz w:val="9"/>
                <w:szCs w:val="9"/>
                <w:color w:val="auto"/>
              </w:rPr>
              <w:t>0</w:t>
            </w:r>
          </w:p>
        </w:tc>
        <w:tc>
          <w:tcPr>
            <w:tcW w:w="72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color w:val="auto"/>
              </w:rPr>
              <w:t>N</w:t>
            </w:r>
          </w:p>
        </w:tc>
        <w:tc>
          <w:tcPr>
            <w:tcW w:w="76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color w:val="auto"/>
              </w:rPr>
              <w:t>N</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w:t>
            </w:r>
          </w:p>
        </w:tc>
        <w:tc>
          <w:tcPr>
            <w:tcW w:w="3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color w:val="auto"/>
              </w:rPr>
              <w:t>0</w:t>
            </w:r>
          </w:p>
        </w:tc>
        <w:tc>
          <w:tcPr>
            <w:tcW w:w="4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0</w:t>
            </w:r>
          </w:p>
        </w:tc>
        <w:tc>
          <w:tcPr>
            <w:tcW w:w="0" w:type="dxa"/>
            <w:vAlign w:val="bottom"/>
          </w:tcPr>
          <w:p>
            <w:pPr>
              <w:spacing w:after="0"/>
              <w:rPr>
                <w:sz w:val="1"/>
                <w:szCs w:val="1"/>
                <w:color w:val="auto"/>
              </w:rPr>
            </w:pPr>
          </w:p>
        </w:tc>
      </w:tr>
      <w:tr>
        <w:trPr>
          <w:trHeight w:val="99"/>
        </w:trPr>
        <w:tc>
          <w:tcPr>
            <w:tcW w:w="3280" w:type="dxa"/>
            <w:vAlign w:val="bottom"/>
            <w:gridSpan w:val="2"/>
          </w:tcPr>
          <w:p>
            <w:pPr>
              <w:spacing w:after="0" w:line="99" w:lineRule="exact"/>
              <w:rPr>
                <w:sz w:val="20"/>
                <w:szCs w:val="20"/>
                <w:color w:val="auto"/>
              </w:rPr>
            </w:pPr>
            <w:r>
              <w:rPr>
                <w:rFonts w:ascii="Arial" w:cs="Arial" w:eastAsia="Arial" w:hAnsi="Arial"/>
                <w:sz w:val="9"/>
                <w:szCs w:val="9"/>
                <w:color w:val="auto"/>
              </w:rPr>
              <w:t>Greybull Milling Operation/4800602</w:t>
            </w: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4</w:t>
            </w:r>
          </w:p>
        </w:tc>
        <w:tc>
          <w:tcPr>
            <w:tcW w:w="340" w:type="dxa"/>
            <w:vAlign w:val="bottom"/>
          </w:tcPr>
          <w:p>
            <w:pPr>
              <w:spacing w:after="0"/>
              <w:rPr>
                <w:sz w:val="8"/>
                <w:szCs w:val="8"/>
                <w:color w:val="auto"/>
              </w:rPr>
            </w:pPr>
          </w:p>
        </w:tc>
        <w:tc>
          <w:tcPr>
            <w:tcW w:w="620" w:type="dxa"/>
            <w:vAlign w:val="bottom"/>
            <w:gridSpan w:val="2"/>
          </w:tcPr>
          <w:p>
            <w:pPr>
              <w:jc w:val="right"/>
              <w:ind w:right="340"/>
              <w:spacing w:after="0" w:line="99" w:lineRule="exact"/>
              <w:rPr>
                <w:sz w:val="20"/>
                <w:szCs w:val="20"/>
                <w:color w:val="auto"/>
              </w:rPr>
            </w:pPr>
            <w:r>
              <w:rPr>
                <w:rFonts w:ascii="Arial" w:cs="Arial" w:eastAsia="Arial" w:hAnsi="Arial"/>
                <w:sz w:val="9"/>
                <w:szCs w:val="9"/>
                <w:color w:val="auto"/>
              </w:rPr>
              <w:t>0</w:t>
            </w: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0</w:t>
            </w:r>
          </w:p>
        </w:tc>
        <w:tc>
          <w:tcPr>
            <w:tcW w:w="360" w:type="dxa"/>
            <w:vAlign w:val="bottom"/>
          </w:tcPr>
          <w:p>
            <w:pPr>
              <w:spacing w:after="0"/>
              <w:rPr>
                <w:sz w:val="8"/>
                <w:szCs w:val="8"/>
                <w:color w:val="auto"/>
              </w:rPr>
            </w:pP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0</w:t>
            </w:r>
          </w:p>
        </w:tc>
        <w:tc>
          <w:tcPr>
            <w:tcW w:w="360" w:type="dxa"/>
            <w:vAlign w:val="bottom"/>
          </w:tcPr>
          <w:p>
            <w:pPr>
              <w:spacing w:after="0"/>
              <w:rPr>
                <w:sz w:val="8"/>
                <w:szCs w:val="8"/>
                <w:color w:val="auto"/>
              </w:rPr>
            </w:pPr>
          </w:p>
        </w:tc>
        <w:tc>
          <w:tcPr>
            <w:tcW w:w="620" w:type="dxa"/>
            <w:vAlign w:val="bottom"/>
            <w:gridSpan w:val="2"/>
          </w:tcPr>
          <w:p>
            <w:pPr>
              <w:ind w:left="220"/>
              <w:spacing w:after="0" w:line="99" w:lineRule="exact"/>
              <w:rPr>
                <w:sz w:val="20"/>
                <w:szCs w:val="20"/>
                <w:color w:val="auto"/>
              </w:rPr>
            </w:pPr>
            <w:r>
              <w:rPr>
                <w:rFonts w:ascii="Arial" w:cs="Arial" w:eastAsia="Arial" w:hAnsi="Arial"/>
                <w:sz w:val="9"/>
                <w:szCs w:val="9"/>
                <w:color w:val="auto"/>
              </w:rPr>
              <w:t>0</w:t>
            </w:r>
          </w:p>
        </w:tc>
        <w:tc>
          <w:tcPr>
            <w:tcW w:w="80" w:type="dxa"/>
            <w:vAlign w:val="bottom"/>
          </w:tcPr>
          <w:p>
            <w:pPr>
              <w:spacing w:after="0" w:line="99"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9" w:lineRule="exact"/>
              <w:rPr>
                <w:sz w:val="20"/>
                <w:szCs w:val="20"/>
                <w:color w:val="auto"/>
              </w:rPr>
            </w:pPr>
            <w:r>
              <w:rPr>
                <w:rFonts w:ascii="Arial" w:cs="Arial" w:eastAsia="Arial" w:hAnsi="Arial"/>
                <w:sz w:val="9"/>
                <w:szCs w:val="9"/>
                <w:color w:val="auto"/>
              </w:rPr>
              <w:t>12,910</w:t>
            </w:r>
          </w:p>
        </w:tc>
        <w:tc>
          <w:tcPr>
            <w:tcW w:w="360" w:type="dxa"/>
            <w:vAlign w:val="bottom"/>
          </w:tcPr>
          <w:p>
            <w:pPr>
              <w:spacing w:after="0"/>
              <w:rPr>
                <w:sz w:val="8"/>
                <w:szCs w:val="8"/>
                <w:color w:val="auto"/>
              </w:rPr>
            </w:pPr>
          </w:p>
        </w:tc>
        <w:tc>
          <w:tcPr>
            <w:tcW w:w="700" w:type="dxa"/>
            <w:vAlign w:val="bottom"/>
            <w:gridSpan w:val="2"/>
          </w:tcPr>
          <w:p>
            <w:pPr>
              <w:jc w:val="right"/>
              <w:ind w:right="360"/>
              <w:spacing w:after="0" w:line="99" w:lineRule="exact"/>
              <w:rPr>
                <w:sz w:val="20"/>
                <w:szCs w:val="20"/>
                <w:color w:val="auto"/>
              </w:rPr>
            </w:pPr>
            <w:r>
              <w:rPr>
                <w:rFonts w:ascii="Arial" w:cs="Arial" w:eastAsia="Arial" w:hAnsi="Arial"/>
                <w:sz w:val="9"/>
                <w:szCs w:val="9"/>
                <w:color w:val="auto"/>
              </w:rPr>
              <w:t>0</w:t>
            </w:r>
          </w:p>
        </w:tc>
        <w:tc>
          <w:tcPr>
            <w:tcW w:w="720" w:type="dxa"/>
            <w:vAlign w:val="bottom"/>
            <w:gridSpan w:val="2"/>
          </w:tcPr>
          <w:p>
            <w:pPr>
              <w:jc w:val="right"/>
              <w:ind w:right="340"/>
              <w:spacing w:after="0" w:line="99" w:lineRule="exact"/>
              <w:rPr>
                <w:sz w:val="20"/>
                <w:szCs w:val="20"/>
                <w:color w:val="auto"/>
              </w:rPr>
            </w:pPr>
            <w:r>
              <w:rPr>
                <w:rFonts w:ascii="Arial" w:cs="Arial" w:eastAsia="Arial" w:hAnsi="Arial"/>
                <w:sz w:val="9"/>
                <w:szCs w:val="9"/>
                <w:color w:val="auto"/>
              </w:rPr>
              <w:t>N</w:t>
            </w:r>
          </w:p>
        </w:tc>
        <w:tc>
          <w:tcPr>
            <w:tcW w:w="760" w:type="dxa"/>
            <w:vAlign w:val="bottom"/>
            <w:gridSpan w:val="2"/>
          </w:tcPr>
          <w:p>
            <w:pPr>
              <w:jc w:val="right"/>
              <w:ind w:right="340"/>
              <w:spacing w:after="0" w:line="99" w:lineRule="exact"/>
              <w:rPr>
                <w:sz w:val="20"/>
                <w:szCs w:val="20"/>
                <w:color w:val="auto"/>
              </w:rPr>
            </w:pPr>
            <w:r>
              <w:rPr>
                <w:rFonts w:ascii="Arial" w:cs="Arial" w:eastAsia="Arial" w:hAnsi="Arial"/>
                <w:sz w:val="9"/>
                <w:szCs w:val="9"/>
                <w:color w:val="auto"/>
              </w:rPr>
              <w:t>N</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0</w:t>
            </w:r>
          </w:p>
        </w:tc>
        <w:tc>
          <w:tcPr>
            <w:tcW w:w="360" w:type="dxa"/>
            <w:vAlign w:val="bottom"/>
          </w:tcPr>
          <w:p>
            <w:pPr>
              <w:spacing w:after="0"/>
              <w:rPr>
                <w:sz w:val="8"/>
                <w:szCs w:val="8"/>
                <w:color w:val="auto"/>
              </w:rPr>
            </w:pPr>
          </w:p>
        </w:tc>
        <w:tc>
          <w:tcPr>
            <w:tcW w:w="640" w:type="dxa"/>
            <w:vAlign w:val="bottom"/>
            <w:gridSpan w:val="2"/>
          </w:tcPr>
          <w:p>
            <w:pPr>
              <w:jc w:val="right"/>
              <w:ind w:right="340"/>
              <w:spacing w:after="0" w:line="99" w:lineRule="exact"/>
              <w:rPr>
                <w:sz w:val="20"/>
                <w:szCs w:val="20"/>
                <w:color w:val="auto"/>
              </w:rPr>
            </w:pPr>
            <w:r>
              <w:rPr>
                <w:rFonts w:ascii="Arial" w:cs="Arial" w:eastAsia="Arial" w:hAnsi="Arial"/>
                <w:sz w:val="9"/>
                <w:szCs w:val="9"/>
                <w:color w:val="auto"/>
              </w:rPr>
              <w:t>0</w:t>
            </w:r>
          </w:p>
        </w:tc>
        <w:tc>
          <w:tcPr>
            <w:tcW w:w="40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0</w:t>
            </w:r>
          </w:p>
        </w:tc>
        <w:tc>
          <w:tcPr>
            <w:tcW w:w="0" w:type="dxa"/>
            <w:vAlign w:val="bottom"/>
          </w:tcPr>
          <w:p>
            <w:pPr>
              <w:spacing w:after="0"/>
              <w:rPr>
                <w:sz w:val="1"/>
                <w:szCs w:val="1"/>
                <w:color w:val="auto"/>
              </w:rPr>
            </w:pPr>
          </w:p>
        </w:tc>
      </w:tr>
      <w:tr>
        <w:trPr>
          <w:trHeight w:val="99"/>
        </w:trPr>
        <w:tc>
          <w:tcPr>
            <w:tcW w:w="32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Greybull Mining Operation/4800603</w:t>
            </w: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34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color w:val="auto"/>
              </w:rPr>
              <w:t>0</w:t>
            </w: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w:t>
            </w:r>
          </w:p>
        </w:tc>
        <w:tc>
          <w:tcPr>
            <w:tcW w:w="3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w:t>
            </w:r>
          </w:p>
        </w:tc>
        <w:tc>
          <w:tcPr>
            <w:tcW w:w="360" w:type="dxa"/>
            <w:vAlign w:val="bottom"/>
            <w:shd w:val="clear" w:color="auto" w:fill="CCEEFF"/>
          </w:tcPr>
          <w:p>
            <w:pPr>
              <w:spacing w:after="0"/>
              <w:rPr>
                <w:sz w:val="8"/>
                <w:szCs w:val="8"/>
                <w:color w:val="auto"/>
              </w:rPr>
            </w:pPr>
          </w:p>
        </w:tc>
        <w:tc>
          <w:tcPr>
            <w:tcW w:w="620" w:type="dxa"/>
            <w:vAlign w:val="bottom"/>
            <w:gridSpan w:val="2"/>
            <w:shd w:val="clear" w:color="auto" w:fill="CCEEFF"/>
          </w:tcPr>
          <w:p>
            <w:pPr>
              <w:ind w:left="220"/>
              <w:spacing w:after="0" w:line="99" w:lineRule="exact"/>
              <w:rPr>
                <w:sz w:val="20"/>
                <w:szCs w:val="20"/>
                <w:color w:val="auto"/>
              </w:rPr>
            </w:pPr>
            <w:r>
              <w:rPr>
                <w:rFonts w:ascii="Arial" w:cs="Arial" w:eastAsia="Arial" w:hAnsi="Arial"/>
                <w:sz w:val="9"/>
                <w:szCs w:val="9"/>
                <w:color w:val="auto"/>
              </w:rPr>
              <w:t>0</w:t>
            </w:r>
          </w:p>
        </w:tc>
        <w:tc>
          <w:tcPr>
            <w:tcW w:w="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799</w:t>
            </w:r>
          </w:p>
        </w:tc>
        <w:tc>
          <w:tcPr>
            <w:tcW w:w="3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360"/>
              <w:spacing w:after="0" w:line="99" w:lineRule="exact"/>
              <w:rPr>
                <w:sz w:val="20"/>
                <w:szCs w:val="20"/>
                <w:color w:val="auto"/>
              </w:rPr>
            </w:pPr>
            <w:r>
              <w:rPr>
                <w:rFonts w:ascii="Arial" w:cs="Arial" w:eastAsia="Arial" w:hAnsi="Arial"/>
                <w:sz w:val="9"/>
                <w:szCs w:val="9"/>
                <w:color w:val="auto"/>
              </w:rPr>
              <w:t>0</w:t>
            </w:r>
          </w:p>
        </w:tc>
        <w:tc>
          <w:tcPr>
            <w:tcW w:w="72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color w:val="auto"/>
              </w:rPr>
              <w:t>N</w:t>
            </w:r>
          </w:p>
        </w:tc>
        <w:tc>
          <w:tcPr>
            <w:tcW w:w="76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color w:val="auto"/>
              </w:rPr>
              <w:t>N</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w:t>
            </w:r>
          </w:p>
        </w:tc>
        <w:tc>
          <w:tcPr>
            <w:tcW w:w="3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color w:val="auto"/>
              </w:rPr>
              <w:t>0</w:t>
            </w:r>
          </w:p>
        </w:tc>
        <w:tc>
          <w:tcPr>
            <w:tcW w:w="4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0</w:t>
            </w:r>
          </w:p>
        </w:tc>
        <w:tc>
          <w:tcPr>
            <w:tcW w:w="0" w:type="dxa"/>
            <w:vAlign w:val="bottom"/>
          </w:tcPr>
          <w:p>
            <w:pPr>
              <w:spacing w:after="0"/>
              <w:rPr>
                <w:sz w:val="1"/>
                <w:szCs w:val="1"/>
                <w:color w:val="auto"/>
              </w:rPr>
            </w:pPr>
          </w:p>
        </w:tc>
      </w:tr>
      <w:tr>
        <w:trPr>
          <w:trHeight w:val="92"/>
        </w:trPr>
        <w:tc>
          <w:tcPr>
            <w:tcW w:w="3280" w:type="dxa"/>
            <w:vAlign w:val="bottom"/>
            <w:gridSpan w:val="2"/>
          </w:tcPr>
          <w:p>
            <w:pPr>
              <w:spacing w:after="0" w:line="92" w:lineRule="exact"/>
              <w:rPr>
                <w:sz w:val="20"/>
                <w:szCs w:val="20"/>
                <w:color w:val="auto"/>
              </w:rPr>
            </w:pPr>
            <w:r>
              <w:rPr>
                <w:rFonts w:ascii="Arial" w:cs="Arial" w:eastAsia="Arial" w:hAnsi="Arial"/>
                <w:sz w:val="9"/>
                <w:szCs w:val="9"/>
                <w:color w:val="auto"/>
              </w:rPr>
              <w:t>Greystone</w:t>
            </w: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280" w:type="dxa"/>
            <w:vAlign w:val="bottom"/>
            <w:gridSpan w:val="2"/>
          </w:tcPr>
          <w:p>
            <w:pPr>
              <w:spacing w:after="0"/>
              <w:rPr>
                <w:sz w:val="20"/>
                <w:szCs w:val="20"/>
                <w:color w:val="auto"/>
              </w:rPr>
            </w:pPr>
            <w:r>
              <w:rPr>
                <w:rFonts w:ascii="Arial" w:cs="Arial" w:eastAsia="Arial" w:hAnsi="Arial"/>
                <w:sz w:val="9"/>
                <w:szCs w:val="9"/>
                <w:color w:val="auto"/>
              </w:rPr>
              <w:t>Mine/2600411</w:t>
            </w:r>
          </w:p>
        </w:tc>
        <w:tc>
          <w:tcPr>
            <w:tcW w:w="340" w:type="dxa"/>
            <w:vAlign w:val="bottom"/>
          </w:tcPr>
          <w:p>
            <w:pPr>
              <w:jc w:val="right"/>
              <w:spacing w:after="0"/>
              <w:rPr>
                <w:sz w:val="20"/>
                <w:szCs w:val="20"/>
                <w:color w:val="auto"/>
              </w:rPr>
            </w:pPr>
            <w:r>
              <w:rPr>
                <w:rFonts w:ascii="Arial" w:cs="Arial" w:eastAsia="Arial" w:hAnsi="Arial"/>
                <w:sz w:val="9"/>
                <w:szCs w:val="9"/>
                <w:color w:val="auto"/>
              </w:rPr>
              <w:t>1</w:t>
            </w:r>
          </w:p>
        </w:tc>
        <w:tc>
          <w:tcPr>
            <w:tcW w:w="340" w:type="dxa"/>
            <w:vAlign w:val="bottom"/>
          </w:tcPr>
          <w:p>
            <w:pPr>
              <w:spacing w:after="0"/>
              <w:rPr>
                <w:sz w:val="10"/>
                <w:szCs w:val="10"/>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9"/>
                <w:szCs w:val="9"/>
                <w:color w:val="auto"/>
              </w:rPr>
              <w:t>0</w:t>
            </w:r>
          </w:p>
        </w:tc>
        <w:tc>
          <w:tcPr>
            <w:tcW w:w="340" w:type="dxa"/>
            <w:vAlign w:val="bottom"/>
          </w:tcPr>
          <w:p>
            <w:pPr>
              <w:jc w:val="right"/>
              <w:spacing w:after="0"/>
              <w:rPr>
                <w:sz w:val="20"/>
                <w:szCs w:val="20"/>
                <w:color w:val="auto"/>
              </w:rPr>
            </w:pPr>
            <w:r>
              <w:rPr>
                <w:rFonts w:ascii="Arial" w:cs="Arial" w:eastAsia="Arial" w:hAnsi="Arial"/>
                <w:sz w:val="9"/>
                <w:szCs w:val="9"/>
                <w:color w:val="auto"/>
              </w:rPr>
              <w:t>0</w:t>
            </w:r>
          </w:p>
        </w:tc>
        <w:tc>
          <w:tcPr>
            <w:tcW w:w="3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0</w:t>
            </w:r>
          </w:p>
        </w:tc>
        <w:tc>
          <w:tcPr>
            <w:tcW w:w="360" w:type="dxa"/>
            <w:vAlign w:val="bottom"/>
          </w:tcPr>
          <w:p>
            <w:pPr>
              <w:spacing w:after="0"/>
              <w:rPr>
                <w:sz w:val="10"/>
                <w:szCs w:val="10"/>
                <w:color w:val="auto"/>
              </w:rPr>
            </w:pPr>
          </w:p>
        </w:tc>
        <w:tc>
          <w:tcPr>
            <w:tcW w:w="620" w:type="dxa"/>
            <w:vAlign w:val="bottom"/>
            <w:gridSpan w:val="2"/>
          </w:tcPr>
          <w:p>
            <w:pPr>
              <w:ind w:left="220"/>
              <w:spacing w:after="0"/>
              <w:rPr>
                <w:sz w:val="20"/>
                <w:szCs w:val="20"/>
                <w:color w:val="auto"/>
              </w:rPr>
            </w:pPr>
            <w:r>
              <w:rPr>
                <w:rFonts w:ascii="Arial" w:cs="Arial" w:eastAsia="Arial" w:hAnsi="Arial"/>
                <w:sz w:val="9"/>
                <w:szCs w:val="9"/>
                <w:color w:val="auto"/>
              </w:rPr>
              <w:t>0</w:t>
            </w: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4,383</w:t>
            </w:r>
          </w:p>
        </w:tc>
        <w:tc>
          <w:tcPr>
            <w:tcW w:w="360" w:type="dxa"/>
            <w:vAlign w:val="bottom"/>
          </w:tcPr>
          <w:p>
            <w:pPr>
              <w:spacing w:after="0"/>
              <w:rPr>
                <w:sz w:val="10"/>
                <w:szCs w:val="10"/>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9"/>
                <w:szCs w:val="9"/>
                <w:color w:val="auto"/>
              </w:rPr>
              <w:t>0</w:t>
            </w:r>
          </w:p>
        </w:tc>
        <w:tc>
          <w:tcPr>
            <w:tcW w:w="720" w:type="dxa"/>
            <w:vAlign w:val="bottom"/>
            <w:gridSpan w:val="2"/>
          </w:tcPr>
          <w:p>
            <w:pPr>
              <w:jc w:val="right"/>
              <w:ind w:right="340"/>
              <w:spacing w:after="0"/>
              <w:rPr>
                <w:sz w:val="20"/>
                <w:szCs w:val="20"/>
                <w:color w:val="auto"/>
              </w:rPr>
            </w:pPr>
            <w:r>
              <w:rPr>
                <w:rFonts w:ascii="Arial" w:cs="Arial" w:eastAsia="Arial" w:hAnsi="Arial"/>
                <w:sz w:val="9"/>
                <w:szCs w:val="9"/>
                <w:color w:val="auto"/>
              </w:rPr>
              <w:t>N</w:t>
            </w:r>
          </w:p>
        </w:tc>
        <w:tc>
          <w:tcPr>
            <w:tcW w:w="760" w:type="dxa"/>
            <w:vAlign w:val="bottom"/>
            <w:gridSpan w:val="2"/>
          </w:tcPr>
          <w:p>
            <w:pPr>
              <w:jc w:val="right"/>
              <w:ind w:right="340"/>
              <w:spacing w:after="0"/>
              <w:rPr>
                <w:sz w:val="20"/>
                <w:szCs w:val="20"/>
                <w:color w:val="auto"/>
              </w:rPr>
            </w:pPr>
            <w:r>
              <w:rPr>
                <w:rFonts w:ascii="Arial" w:cs="Arial" w:eastAsia="Arial" w:hAnsi="Arial"/>
                <w:sz w:val="9"/>
                <w:szCs w:val="9"/>
                <w:color w:val="auto"/>
              </w:rPr>
              <w:t>N</w:t>
            </w:r>
          </w:p>
        </w:tc>
        <w:tc>
          <w:tcPr>
            <w:tcW w:w="360" w:type="dxa"/>
            <w:vAlign w:val="bottom"/>
          </w:tcPr>
          <w:p>
            <w:pPr>
              <w:jc w:val="right"/>
              <w:spacing w:after="0"/>
              <w:rPr>
                <w:sz w:val="20"/>
                <w:szCs w:val="20"/>
                <w:color w:val="auto"/>
              </w:rPr>
            </w:pPr>
            <w:r>
              <w:rPr>
                <w:rFonts w:ascii="Arial" w:cs="Arial" w:eastAsia="Arial" w:hAnsi="Arial"/>
                <w:sz w:val="9"/>
                <w:szCs w:val="9"/>
                <w:color w:val="auto"/>
              </w:rPr>
              <w:t>0</w:t>
            </w:r>
          </w:p>
        </w:tc>
        <w:tc>
          <w:tcPr>
            <w:tcW w:w="360" w:type="dxa"/>
            <w:vAlign w:val="bottom"/>
          </w:tcPr>
          <w:p>
            <w:pPr>
              <w:spacing w:after="0"/>
              <w:rPr>
                <w:sz w:val="10"/>
                <w:szCs w:val="10"/>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9"/>
                <w:szCs w:val="9"/>
                <w:color w:val="auto"/>
              </w:rPr>
              <w:t>0</w:t>
            </w: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0</w:t>
            </w:r>
          </w:p>
        </w:tc>
        <w:tc>
          <w:tcPr>
            <w:tcW w:w="0" w:type="dxa"/>
            <w:vAlign w:val="bottom"/>
          </w:tcPr>
          <w:p>
            <w:pPr>
              <w:spacing w:after="0"/>
              <w:rPr>
                <w:sz w:val="1"/>
                <w:szCs w:val="1"/>
                <w:color w:val="auto"/>
              </w:rPr>
            </w:pPr>
          </w:p>
        </w:tc>
      </w:tr>
      <w:tr>
        <w:trPr>
          <w:trHeight w:val="99"/>
        </w:trPr>
        <w:tc>
          <w:tcPr>
            <w:tcW w:w="32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MI SWACO-Alpine/4104829</w:t>
            </w: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w:t>
            </w:r>
          </w:p>
        </w:tc>
        <w:tc>
          <w:tcPr>
            <w:tcW w:w="34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color w:val="auto"/>
              </w:rPr>
              <w:t>0</w:t>
            </w: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w:t>
            </w:r>
          </w:p>
        </w:tc>
        <w:tc>
          <w:tcPr>
            <w:tcW w:w="3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w:t>
            </w:r>
          </w:p>
        </w:tc>
        <w:tc>
          <w:tcPr>
            <w:tcW w:w="360" w:type="dxa"/>
            <w:vAlign w:val="bottom"/>
            <w:shd w:val="clear" w:color="auto" w:fill="CCEEFF"/>
          </w:tcPr>
          <w:p>
            <w:pPr>
              <w:spacing w:after="0"/>
              <w:rPr>
                <w:sz w:val="8"/>
                <w:szCs w:val="8"/>
                <w:color w:val="auto"/>
              </w:rPr>
            </w:pPr>
          </w:p>
        </w:tc>
        <w:tc>
          <w:tcPr>
            <w:tcW w:w="620" w:type="dxa"/>
            <w:vAlign w:val="bottom"/>
            <w:gridSpan w:val="2"/>
            <w:shd w:val="clear" w:color="auto" w:fill="CCEEFF"/>
          </w:tcPr>
          <w:p>
            <w:pPr>
              <w:ind w:left="220"/>
              <w:spacing w:after="0" w:line="99" w:lineRule="exact"/>
              <w:rPr>
                <w:sz w:val="20"/>
                <w:szCs w:val="20"/>
                <w:color w:val="auto"/>
              </w:rPr>
            </w:pPr>
            <w:r>
              <w:rPr>
                <w:rFonts w:ascii="Arial" w:cs="Arial" w:eastAsia="Arial" w:hAnsi="Arial"/>
                <w:sz w:val="9"/>
                <w:szCs w:val="9"/>
                <w:color w:val="auto"/>
              </w:rPr>
              <w:t>0</w:t>
            </w:r>
          </w:p>
        </w:tc>
        <w:tc>
          <w:tcPr>
            <w:tcW w:w="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200</w:t>
            </w:r>
          </w:p>
        </w:tc>
        <w:tc>
          <w:tcPr>
            <w:tcW w:w="3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360"/>
              <w:spacing w:after="0" w:line="99" w:lineRule="exact"/>
              <w:rPr>
                <w:sz w:val="20"/>
                <w:szCs w:val="20"/>
                <w:color w:val="auto"/>
              </w:rPr>
            </w:pPr>
            <w:r>
              <w:rPr>
                <w:rFonts w:ascii="Arial" w:cs="Arial" w:eastAsia="Arial" w:hAnsi="Arial"/>
                <w:sz w:val="9"/>
                <w:szCs w:val="9"/>
                <w:color w:val="auto"/>
              </w:rPr>
              <w:t>0</w:t>
            </w:r>
          </w:p>
        </w:tc>
        <w:tc>
          <w:tcPr>
            <w:tcW w:w="72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color w:val="auto"/>
              </w:rPr>
              <w:t>N</w:t>
            </w:r>
          </w:p>
        </w:tc>
        <w:tc>
          <w:tcPr>
            <w:tcW w:w="76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color w:val="auto"/>
              </w:rPr>
              <w:t>N</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w:t>
            </w:r>
          </w:p>
        </w:tc>
        <w:tc>
          <w:tcPr>
            <w:tcW w:w="3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color w:val="auto"/>
              </w:rPr>
              <w:t>0</w:t>
            </w:r>
          </w:p>
        </w:tc>
        <w:tc>
          <w:tcPr>
            <w:tcW w:w="4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0</w:t>
            </w:r>
          </w:p>
        </w:tc>
        <w:tc>
          <w:tcPr>
            <w:tcW w:w="0" w:type="dxa"/>
            <w:vAlign w:val="bottom"/>
          </w:tcPr>
          <w:p>
            <w:pPr>
              <w:spacing w:after="0"/>
              <w:rPr>
                <w:sz w:val="1"/>
                <w:szCs w:val="1"/>
                <w:color w:val="auto"/>
              </w:rPr>
            </w:pPr>
          </w:p>
        </w:tc>
      </w:tr>
      <w:tr>
        <w:trPr>
          <w:trHeight w:val="92"/>
        </w:trPr>
        <w:tc>
          <w:tcPr>
            <w:tcW w:w="3280" w:type="dxa"/>
            <w:vAlign w:val="bottom"/>
            <w:gridSpan w:val="2"/>
          </w:tcPr>
          <w:p>
            <w:pPr>
              <w:spacing w:after="0" w:line="92" w:lineRule="exact"/>
              <w:rPr>
                <w:sz w:val="20"/>
                <w:szCs w:val="20"/>
                <w:color w:val="auto"/>
              </w:rPr>
            </w:pPr>
            <w:r>
              <w:rPr>
                <w:rFonts w:ascii="Arial" w:cs="Arial" w:eastAsia="Arial" w:hAnsi="Arial"/>
                <w:sz w:val="9"/>
                <w:szCs w:val="9"/>
                <w:color w:val="auto"/>
              </w:rPr>
              <w:t>MI SWACO-Brownsville Grinding</w:t>
            </w: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3280" w:type="dxa"/>
            <w:vAlign w:val="bottom"/>
            <w:gridSpan w:val="2"/>
          </w:tcPr>
          <w:p>
            <w:pPr>
              <w:spacing w:after="0"/>
              <w:rPr>
                <w:sz w:val="20"/>
                <w:szCs w:val="20"/>
                <w:color w:val="auto"/>
              </w:rPr>
            </w:pPr>
            <w:r>
              <w:rPr>
                <w:rFonts w:ascii="Arial" w:cs="Arial" w:eastAsia="Arial" w:hAnsi="Arial"/>
                <w:sz w:val="9"/>
                <w:szCs w:val="9"/>
                <w:color w:val="auto"/>
              </w:rPr>
              <w:t>Plant/4103033</w:t>
            </w:r>
          </w:p>
        </w:tc>
        <w:tc>
          <w:tcPr>
            <w:tcW w:w="340" w:type="dxa"/>
            <w:vAlign w:val="bottom"/>
          </w:tcPr>
          <w:p>
            <w:pPr>
              <w:jc w:val="right"/>
              <w:spacing w:after="0"/>
              <w:rPr>
                <w:sz w:val="20"/>
                <w:szCs w:val="20"/>
                <w:color w:val="auto"/>
              </w:rPr>
            </w:pPr>
            <w:r>
              <w:rPr>
                <w:rFonts w:ascii="Arial" w:cs="Arial" w:eastAsia="Arial" w:hAnsi="Arial"/>
                <w:sz w:val="9"/>
                <w:szCs w:val="9"/>
                <w:color w:val="auto"/>
              </w:rPr>
              <w:t>1</w:t>
            </w:r>
          </w:p>
        </w:tc>
        <w:tc>
          <w:tcPr>
            <w:tcW w:w="340" w:type="dxa"/>
            <w:vAlign w:val="bottom"/>
          </w:tcPr>
          <w:p>
            <w:pPr>
              <w:spacing w:after="0"/>
              <w:rPr>
                <w:sz w:val="10"/>
                <w:szCs w:val="10"/>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9"/>
                <w:szCs w:val="9"/>
                <w:color w:val="auto"/>
              </w:rPr>
              <w:t>0</w:t>
            </w:r>
          </w:p>
        </w:tc>
        <w:tc>
          <w:tcPr>
            <w:tcW w:w="340" w:type="dxa"/>
            <w:vAlign w:val="bottom"/>
          </w:tcPr>
          <w:p>
            <w:pPr>
              <w:jc w:val="right"/>
              <w:spacing w:after="0"/>
              <w:rPr>
                <w:sz w:val="20"/>
                <w:szCs w:val="20"/>
                <w:color w:val="auto"/>
              </w:rPr>
            </w:pPr>
            <w:r>
              <w:rPr>
                <w:rFonts w:ascii="Arial" w:cs="Arial" w:eastAsia="Arial" w:hAnsi="Arial"/>
                <w:sz w:val="9"/>
                <w:szCs w:val="9"/>
                <w:color w:val="auto"/>
              </w:rPr>
              <w:t>0</w:t>
            </w:r>
          </w:p>
        </w:tc>
        <w:tc>
          <w:tcPr>
            <w:tcW w:w="3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0</w:t>
            </w:r>
          </w:p>
        </w:tc>
        <w:tc>
          <w:tcPr>
            <w:tcW w:w="360" w:type="dxa"/>
            <w:vAlign w:val="bottom"/>
          </w:tcPr>
          <w:p>
            <w:pPr>
              <w:spacing w:after="0"/>
              <w:rPr>
                <w:sz w:val="10"/>
                <w:szCs w:val="10"/>
                <w:color w:val="auto"/>
              </w:rPr>
            </w:pPr>
          </w:p>
        </w:tc>
        <w:tc>
          <w:tcPr>
            <w:tcW w:w="620" w:type="dxa"/>
            <w:vAlign w:val="bottom"/>
            <w:gridSpan w:val="2"/>
          </w:tcPr>
          <w:p>
            <w:pPr>
              <w:ind w:left="220"/>
              <w:spacing w:after="0"/>
              <w:rPr>
                <w:sz w:val="20"/>
                <w:szCs w:val="20"/>
                <w:color w:val="auto"/>
              </w:rPr>
            </w:pPr>
            <w:r>
              <w:rPr>
                <w:rFonts w:ascii="Arial" w:cs="Arial" w:eastAsia="Arial" w:hAnsi="Arial"/>
                <w:sz w:val="9"/>
                <w:szCs w:val="9"/>
                <w:color w:val="auto"/>
              </w:rPr>
              <w:t>0</w:t>
            </w: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10,483</w:t>
            </w:r>
          </w:p>
        </w:tc>
        <w:tc>
          <w:tcPr>
            <w:tcW w:w="360" w:type="dxa"/>
            <w:vAlign w:val="bottom"/>
          </w:tcPr>
          <w:p>
            <w:pPr>
              <w:spacing w:after="0"/>
              <w:rPr>
                <w:sz w:val="10"/>
                <w:szCs w:val="10"/>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9"/>
                <w:szCs w:val="9"/>
                <w:color w:val="auto"/>
              </w:rPr>
              <w:t>0</w:t>
            </w:r>
          </w:p>
        </w:tc>
        <w:tc>
          <w:tcPr>
            <w:tcW w:w="720" w:type="dxa"/>
            <w:vAlign w:val="bottom"/>
            <w:gridSpan w:val="2"/>
          </w:tcPr>
          <w:p>
            <w:pPr>
              <w:jc w:val="right"/>
              <w:ind w:right="340"/>
              <w:spacing w:after="0"/>
              <w:rPr>
                <w:sz w:val="20"/>
                <w:szCs w:val="20"/>
                <w:color w:val="auto"/>
              </w:rPr>
            </w:pPr>
            <w:r>
              <w:rPr>
                <w:rFonts w:ascii="Arial" w:cs="Arial" w:eastAsia="Arial" w:hAnsi="Arial"/>
                <w:sz w:val="9"/>
                <w:szCs w:val="9"/>
                <w:color w:val="auto"/>
              </w:rPr>
              <w:t>N</w:t>
            </w:r>
          </w:p>
        </w:tc>
        <w:tc>
          <w:tcPr>
            <w:tcW w:w="760" w:type="dxa"/>
            <w:vAlign w:val="bottom"/>
            <w:gridSpan w:val="2"/>
          </w:tcPr>
          <w:p>
            <w:pPr>
              <w:jc w:val="right"/>
              <w:ind w:right="340"/>
              <w:spacing w:after="0"/>
              <w:rPr>
                <w:sz w:val="20"/>
                <w:szCs w:val="20"/>
                <w:color w:val="auto"/>
              </w:rPr>
            </w:pPr>
            <w:r>
              <w:rPr>
                <w:rFonts w:ascii="Arial" w:cs="Arial" w:eastAsia="Arial" w:hAnsi="Arial"/>
                <w:sz w:val="9"/>
                <w:szCs w:val="9"/>
                <w:color w:val="auto"/>
              </w:rPr>
              <w:t>N</w:t>
            </w:r>
          </w:p>
        </w:tc>
        <w:tc>
          <w:tcPr>
            <w:tcW w:w="360" w:type="dxa"/>
            <w:vAlign w:val="bottom"/>
          </w:tcPr>
          <w:p>
            <w:pPr>
              <w:jc w:val="right"/>
              <w:spacing w:after="0"/>
              <w:rPr>
                <w:sz w:val="20"/>
                <w:szCs w:val="20"/>
                <w:color w:val="auto"/>
              </w:rPr>
            </w:pPr>
            <w:r>
              <w:rPr>
                <w:rFonts w:ascii="Arial" w:cs="Arial" w:eastAsia="Arial" w:hAnsi="Arial"/>
                <w:sz w:val="9"/>
                <w:szCs w:val="9"/>
                <w:color w:val="auto"/>
              </w:rPr>
              <w:t>0</w:t>
            </w:r>
          </w:p>
        </w:tc>
        <w:tc>
          <w:tcPr>
            <w:tcW w:w="360" w:type="dxa"/>
            <w:vAlign w:val="bottom"/>
          </w:tcPr>
          <w:p>
            <w:pPr>
              <w:spacing w:after="0"/>
              <w:rPr>
                <w:sz w:val="10"/>
                <w:szCs w:val="10"/>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9"/>
                <w:szCs w:val="9"/>
                <w:color w:val="auto"/>
              </w:rPr>
              <w:t>0</w:t>
            </w: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8" w:right="140" w:hanging="8"/>
        <w:spacing w:after="0" w:line="316" w:lineRule="auto"/>
        <w:tabs>
          <w:tab w:leader="none" w:pos="136" w:val="left"/>
        </w:tabs>
        <w:numPr>
          <w:ilvl w:val="0"/>
          <w:numId w:val="57"/>
        </w:numPr>
        <w:rPr>
          <w:rFonts w:ascii="Arial" w:cs="Arial" w:eastAsia="Arial" w:hAnsi="Arial"/>
          <w:sz w:val="8"/>
          <w:szCs w:val="8"/>
          <w:color w:val="auto"/>
        </w:rPr>
      </w:pPr>
      <w:r>
        <w:rPr>
          <w:rFonts w:ascii="Arial" w:cs="Arial" w:eastAsia="Arial" w:hAnsi="Arial"/>
          <w:sz w:val="8"/>
          <w:szCs w:val="8"/>
          <w:color w:val="auto"/>
        </w:rPr>
        <w:t>Amounts included are the total dollar value of proposed or outstanding assessments received from MSHA on or before December 31, 2011 for citations and orders occurring during the full year 2011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0" w:lineRule="exact"/>
        <w:rPr>
          <w:sz w:val="20"/>
          <w:szCs w:val="20"/>
          <w:color w:val="auto"/>
        </w:rPr>
      </w:pPr>
    </w:p>
    <w:p>
      <w:pPr>
        <w:ind w:left="8"/>
        <w:spacing w:after="0"/>
        <w:rPr>
          <w:sz w:val="20"/>
          <w:szCs w:val="20"/>
          <w:color w:val="auto"/>
        </w:rPr>
      </w:pPr>
      <w:r>
        <w:rPr>
          <w:rFonts w:ascii="Arial" w:cs="Arial" w:eastAsia="Arial" w:hAnsi="Arial"/>
          <w:sz w:val="9"/>
          <w:szCs w:val="9"/>
          <w:color w:val="auto"/>
        </w:rPr>
        <w:t>*As of December 31, 2011, the MSHA had not yet proposed assessments for some citations relating to this entry.</w:t>
      </w:r>
    </w:p>
    <w:sectPr>
      <w:pgSz w:w="11900" w:h="16838" w:orient="portrait"/>
      <w:cols w:equalWidth="0" w:num="1">
        <w:col w:w="11488"/>
      </w:cols>
      <w:pgMar w:left="212" w:top="13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emdash "/>
      <w:numFmt w:val="bullet"/>
      <w:start w:val="1"/>
    </w:lvl>
  </w:abstractNum>
  <w:abstractNum w:abstractNumId="3">
    <w:nsid w:val="1E7FF521"/>
    <w:multiLevelType w:val="hybridMultilevel"/>
    <w:lvl w:ilvl="0">
      <w:lvlJc w:val="left"/>
      <w:lvlText w:val="\emdash "/>
      <w:numFmt w:val="bullet"/>
      <w:start w:val="1"/>
    </w:lvl>
  </w:abstractNum>
  <w:abstractNum w:abstractNumId="4">
    <w:nsid w:val="7C3DBD3D"/>
    <w:multiLevelType w:val="hybridMultilevel"/>
    <w:lvl w:ilvl="0">
      <w:lvlJc w:val="left"/>
      <w:lvlText w:val="\emdash "/>
      <w:numFmt w:val="bullet"/>
      <w:start w:val="1"/>
    </w:lvl>
  </w:abstractNum>
  <w:abstractNum w:abstractNumId="5">
    <w:nsid w:val="737B8DDC"/>
    <w:multiLevelType w:val="hybridMultilevel"/>
    <w:lvl w:ilvl="0">
      <w:lvlJc w:val="left"/>
      <w:lvlText w:val="\emdash "/>
      <w:numFmt w:val="bullet"/>
      <w:start w:val="1"/>
    </w:lvl>
  </w:abstractNum>
  <w:abstractNum w:abstractNumId="6">
    <w:nsid w:val="6CEAF087"/>
    <w:multiLevelType w:val="hybridMultilevel"/>
    <w:lvl w:ilvl="0">
      <w:lvlJc w:val="left"/>
      <w:lvlText w:val="\emdash "/>
      <w:numFmt w:val="bullet"/>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emdash "/>
      <w:numFmt w:val="bullet"/>
      <w:start w:val="1"/>
    </w:lvl>
  </w:abstractNum>
  <w:abstractNum w:abstractNumId="12">
    <w:nsid w:val="5577F8E1"/>
    <w:multiLevelType w:val="hybridMultilevel"/>
    <w:lvl w:ilvl="0">
      <w:lvlJc w:val="left"/>
      <w:lvlText w:val="\emdash "/>
      <w:numFmt w:val="bullet"/>
      <w:start w:val="1"/>
    </w:lvl>
  </w:abstractNum>
  <w:abstractNum w:abstractNumId="13">
    <w:nsid w:val="440BADFC"/>
    <w:multiLevelType w:val="hybridMultilevel"/>
    <w:lvl w:ilvl="0">
      <w:lvlJc w:val="left"/>
      <w:lvlText w:val="\emdash "/>
      <w:numFmt w:val="bullet"/>
      <w:start w:val="1"/>
    </w:lvl>
  </w:abstractNum>
  <w:abstractNum w:abstractNumId="14">
    <w:nsid w:val="5072367"/>
    <w:multiLevelType w:val="hybridMultilevel"/>
    <w:lvl w:ilvl="0">
      <w:lvlJc w:val="left"/>
      <w:lvlText w:val="\emdash "/>
      <w:numFmt w:val="bullet"/>
      <w:start w:val="1"/>
    </w:lvl>
  </w:abstractNum>
  <w:abstractNum w:abstractNumId="15">
    <w:nsid w:val="3804823E"/>
    <w:multiLevelType w:val="hybridMultilevel"/>
    <w:lvl w:ilvl="0">
      <w:lvlJc w:val="left"/>
      <w:lvlText w:val="\emdash "/>
      <w:numFmt w:val="bullet"/>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2"/>
    </w:lvl>
  </w:abstractNum>
  <w:abstractNum w:abstractNumId="21">
    <w:nsid w:val="51EAD36B"/>
    <w:multiLevelType w:val="hybridMultilevel"/>
    <w:lvl w:ilvl="0">
      <w:lvlJc w:val="left"/>
      <w:lvlText w:val="%1."/>
      <w:numFmt w:val="decimal"/>
      <w:start w:val="3"/>
    </w:lvl>
  </w:abstractNum>
  <w:abstractNum w:abstractNumId="22">
    <w:nsid w:val="2D517796"/>
    <w:multiLevelType w:val="hybridMultilevel"/>
    <w:lvl w:ilvl="0">
      <w:lvlJc w:val="left"/>
      <w:lvlText w:val="\emdash "/>
      <w:numFmt w:val="bullet"/>
      <w:start w:val="1"/>
    </w:lvl>
  </w:abstractNum>
  <w:abstractNum w:abstractNumId="23">
    <w:nsid w:val="580BD78F"/>
    <w:multiLevelType w:val="hybridMultilevel"/>
    <w:lvl w:ilvl="0">
      <w:lvlJc w:val="left"/>
      <w:lvlText w:val="\emdash "/>
      <w:numFmt w:val="bullet"/>
      <w:start w:val="1"/>
    </w:lvl>
  </w:abstractNum>
  <w:abstractNum w:abstractNumId="24">
    <w:nsid w:val="153EA438"/>
    <w:multiLevelType w:val="hybridMultilevel"/>
    <w:lvl w:ilvl="0">
      <w:lvlJc w:val="left"/>
      <w:lvlText w:val="\emdash "/>
      <w:numFmt w:val="bullet"/>
      <w:start w:val="1"/>
    </w:lvl>
  </w:abstractNum>
  <w:abstractNum w:abstractNumId="25">
    <w:nsid w:val="3855585C"/>
    <w:multiLevelType w:val="hybridMultilevel"/>
    <w:lvl w:ilvl="0">
      <w:lvlJc w:val="left"/>
      <w:lvlText w:val="\emdash "/>
      <w:numFmt w:val="bullet"/>
      <w:start w:val="1"/>
    </w:lvl>
  </w:abstractNum>
  <w:abstractNum w:abstractNumId="26">
    <w:nsid w:val="70A64E2A"/>
    <w:multiLevelType w:val="hybridMultilevel"/>
    <w:lvl w:ilvl="0">
      <w:lvlJc w:val="left"/>
      <w:lvlText w:val="\emdash "/>
      <w:numFmt w:val="bullet"/>
      <w:start w:val="1"/>
    </w:lvl>
  </w:abstractNum>
  <w:abstractNum w:abstractNumId="27">
    <w:nsid w:val="6A2342EC"/>
    <w:multiLevelType w:val="hybridMultilevel"/>
    <w:lvl w:ilvl="0">
      <w:lvlJc w:val="left"/>
      <w:lvlText w:val="\emdash "/>
      <w:numFmt w:val="bullet"/>
      <w:start w:val="1"/>
    </w:lvl>
  </w:abstractNum>
  <w:abstractNum w:abstractNumId="28">
    <w:nsid w:val="2A487CB0"/>
    <w:multiLevelType w:val="hybridMultilevel"/>
    <w:lvl w:ilvl="0">
      <w:lvlJc w:val="left"/>
      <w:lvlText w:val="\emdash "/>
      <w:numFmt w:val="bullet"/>
      <w:start w:val="1"/>
    </w:lvl>
  </w:abstractNum>
  <w:abstractNum w:abstractNumId="29">
    <w:nsid w:val="1D4ED43B"/>
    <w:multiLevelType w:val="hybridMultilevel"/>
    <w:lvl w:ilvl="0">
      <w:lvlJc w:val="left"/>
      <w:lvlText w:val="%1."/>
      <w:numFmt w:val="decimal"/>
      <w:start w:val="4"/>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8"/>
    </w:lvl>
  </w:abstractNum>
  <w:abstractNum w:abstractNumId="32">
    <w:nsid w:val="57E4CCAF"/>
    <w:multiLevelType w:val="hybridMultilevel"/>
    <w:lvl w:ilvl="0">
      <w:lvlJc w:val="left"/>
      <w:lvlText w:val="%1."/>
      <w:numFmt w:val="decimal"/>
      <w:start w:val="9"/>
    </w:lvl>
  </w:abstractNum>
  <w:abstractNum w:abstractNumId="33">
    <w:nsid w:val="7A6D8D3C"/>
    <w:multiLevelType w:val="hybridMultilevel"/>
    <w:lvl w:ilvl="0">
      <w:lvlJc w:val="left"/>
      <w:lvlText w:val="%1."/>
      <w:numFmt w:val="decimal"/>
      <w:start w:val="10"/>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1"/>
    </w:lvl>
  </w:abstractNum>
  <w:abstractNum w:abstractNumId="36">
    <w:nsid w:val="6DE91B18"/>
    <w:multiLevelType w:val="hybridMultilevel"/>
    <w:lvl w:ilvl="0">
      <w:lvlJc w:val="left"/>
      <w:lvlText w:val="%1."/>
      <w:numFmt w:val="decimal"/>
      <w:start w:val="12"/>
    </w:lvl>
  </w:abstractNum>
  <w:abstractNum w:abstractNumId="37">
    <w:nsid w:val="38437FDB"/>
    <w:multiLevelType w:val="hybridMultilevel"/>
    <w:lvl w:ilvl="0">
      <w:lvlJc w:val="left"/>
      <w:lvlText w:val="%1."/>
      <w:numFmt w:val="decimal"/>
      <w:start w:val="13"/>
    </w:lvl>
  </w:abstractNum>
  <w:abstractNum w:abstractNumId="38">
    <w:nsid w:val="7644A45C"/>
    <w:multiLevelType w:val="hybridMultilevel"/>
    <w:lvl w:ilvl="0">
      <w:lvlJc w:val="left"/>
      <w:lvlText w:val="%1."/>
      <w:numFmt w:val="decimal"/>
      <w:start w:val="14"/>
    </w:lvl>
  </w:abstractNum>
  <w:abstractNum w:abstractNumId="39">
    <w:nsid w:val="32FFF902"/>
    <w:multiLevelType w:val="hybridMultilevel"/>
    <w:lvl w:ilvl="0">
      <w:lvlJc w:val="left"/>
      <w:lvlText w:val="%1."/>
      <w:numFmt w:val="decimal"/>
      <w:start w:val="15"/>
    </w:lvl>
  </w:abstractNum>
  <w:abstractNum w:abstractNumId="40">
    <w:nsid w:val="684A481A"/>
    <w:multiLevelType w:val="hybridMultilevel"/>
    <w:lvl w:ilvl="0">
      <w:lvlJc w:val="left"/>
      <w:lvlText w:val="%1."/>
      <w:numFmt w:val="decimal"/>
      <w:start w:val="16"/>
    </w:lvl>
  </w:abstractNum>
  <w:abstractNum w:abstractNumId="41">
    <w:nsid w:val="579478FE"/>
    <w:multiLevelType w:val="hybridMultilevel"/>
    <w:lvl w:ilvl="0">
      <w:lvlJc w:val="left"/>
      <w:lvlText w:val="%1."/>
      <w:numFmt w:val="decimal"/>
      <w:start w:val="17"/>
    </w:lvl>
  </w:abstractNum>
  <w:abstractNum w:abstractNumId="42">
    <w:nsid w:val="749ABB43"/>
    <w:multiLevelType w:val="hybridMultilevel"/>
    <w:lvl w:ilvl="0">
      <w:lvlJc w:val="left"/>
      <w:lvlText w:val="\emdash "/>
      <w:numFmt w:val="bullet"/>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8"/>
    </w:lvl>
  </w:abstractNum>
  <w:abstractNum w:abstractNumId="46">
    <w:nsid w:val="75C6C33A"/>
    <w:multiLevelType w:val="hybridMultilevel"/>
    <w:lvl w:ilvl="0">
      <w:lvlJc w:val="left"/>
      <w:lvlText w:val="\emdash "/>
      <w:numFmt w:val="bullet"/>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decimal"/>
      <w:start w:val="19"/>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decimal"/>
      <w:start w:val="2"/>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decimal"/>
      <w:start w:val="1"/>
    </w:lvl>
    <w:lvl w:ilvl="1">
      <w:lvlJc w:val="left"/>
      <w:lvlText w:val="%2)"/>
      <w:numFmt w:val="low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2019-12-09T07:23:58Z</dcterms:created>
  <dcterms:modified xsi:type="dcterms:W3CDTF">2019-12-09T07:23:58Z</dcterms:modified>
</cp:coreProperties>
</file>