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58" w:lineRule="exact"/>
        <w:rPr>
          <w:sz w:val="24"/>
          <w:szCs w:val="24"/>
          <w:color w:val="auto"/>
        </w:rPr>
      </w:pPr>
    </w:p>
    <w:p>
      <w:pPr>
        <w:ind w:left="5000" w:right="3400" w:hanging="4547"/>
        <w:spacing w:after="0" w:line="274" w:lineRule="auto"/>
        <w:rPr>
          <w:sz w:val="20"/>
          <w:szCs w:val="20"/>
          <w:color w:val="auto"/>
        </w:rPr>
      </w:pPr>
      <w:r>
        <w:rPr>
          <w:rFonts w:ascii="Courier New" w:cs="Courier New" w:eastAsia="Courier New" w:hAnsi="Courier New"/>
          <w:sz w:val="14"/>
          <w:szCs w:val="14"/>
          <w:color w:val="auto"/>
        </w:rPr>
        <w:t>As filed with the Securities and Exchange Commission on August 9, 2002 Registration No. 333-</w:t>
      </w:r>
    </w:p>
    <w:p>
      <w:pPr>
        <w:jc w:val="center"/>
        <w:ind w:right="3220"/>
        <w:spacing w:after="0"/>
        <w:rPr>
          <w:sz w:val="20"/>
          <w:szCs w:val="20"/>
          <w:color w:val="auto"/>
        </w:rPr>
      </w:pPr>
      <w:r>
        <w:rPr>
          <w:rFonts w:ascii="Courier New" w:cs="Courier New" w:eastAsia="Courier New" w:hAnsi="Courier New"/>
          <w:sz w:val="14"/>
          <w:szCs w:val="14"/>
          <w:color w:val="auto"/>
        </w:rPr>
        <w:t>================================================================================</w:t>
      </w:r>
    </w:p>
    <w:p>
      <w:pPr>
        <w:spacing w:after="0" w:line="8" w:lineRule="exact"/>
        <w:rPr>
          <w:sz w:val="24"/>
          <w:szCs w:val="24"/>
          <w:color w:val="auto"/>
        </w:rPr>
      </w:pPr>
    </w:p>
    <w:p>
      <w:pPr>
        <w:jc w:val="center"/>
        <w:ind w:right="3140"/>
        <w:spacing w:after="0"/>
        <w:rPr>
          <w:sz w:val="20"/>
          <w:szCs w:val="20"/>
          <w:color w:val="auto"/>
        </w:rPr>
      </w:pPr>
      <w:r>
        <w:rPr>
          <w:rFonts w:ascii="Courier New" w:cs="Courier New" w:eastAsia="Courier New" w:hAnsi="Courier New"/>
          <w:sz w:val="15"/>
          <w:szCs w:val="15"/>
          <w:color w:val="auto"/>
        </w:rPr>
        <w:t>UNITED STATES</w:t>
      </w:r>
    </w:p>
    <w:p>
      <w:pPr>
        <w:jc w:val="center"/>
        <w:ind w:right="3220"/>
        <w:spacing w:after="0" w:line="237" w:lineRule="auto"/>
        <w:rPr>
          <w:sz w:val="20"/>
          <w:szCs w:val="20"/>
          <w:color w:val="auto"/>
        </w:rPr>
      </w:pPr>
      <w:r>
        <w:rPr>
          <w:rFonts w:ascii="Courier New" w:cs="Courier New" w:eastAsia="Courier New" w:hAnsi="Courier New"/>
          <w:sz w:val="15"/>
          <w:szCs w:val="15"/>
          <w:color w:val="auto"/>
        </w:rPr>
        <w:t>SECURITIES AND EXCHANGE COMMISSION</w:t>
      </w:r>
    </w:p>
    <w:p>
      <w:pPr>
        <w:jc w:val="center"/>
        <w:ind w:right="3220"/>
        <w:spacing w:after="0"/>
        <w:rPr>
          <w:sz w:val="20"/>
          <w:szCs w:val="20"/>
          <w:color w:val="auto"/>
        </w:rPr>
      </w:pPr>
      <w:r>
        <w:rPr>
          <w:rFonts w:ascii="Courier New" w:cs="Courier New" w:eastAsia="Courier New" w:hAnsi="Courier New"/>
          <w:sz w:val="15"/>
          <w:szCs w:val="15"/>
          <w:color w:val="auto"/>
        </w:rPr>
        <w:t>Washington, D.C. 20549</w:t>
      </w:r>
    </w:p>
    <w:p>
      <w:pPr>
        <w:spacing w:after="0" w:line="140" w:lineRule="exact"/>
        <w:rPr>
          <w:sz w:val="24"/>
          <w:szCs w:val="24"/>
          <w:color w:val="auto"/>
        </w:rPr>
      </w:pPr>
    </w:p>
    <w:p>
      <w:pPr>
        <w:ind w:left="2640"/>
        <w:spacing w:after="0"/>
        <w:rPr>
          <w:sz w:val="20"/>
          <w:szCs w:val="20"/>
          <w:color w:val="auto"/>
        </w:rPr>
      </w:pPr>
      <w:r>
        <w:rPr>
          <w:rFonts w:ascii="Courier New" w:cs="Courier New" w:eastAsia="Courier New" w:hAnsi="Courier New"/>
          <w:sz w:val="15"/>
          <w:szCs w:val="15"/>
          <w:color w:val="auto"/>
        </w:rPr>
        <w:t>--------------------</w:t>
      </w:r>
    </w:p>
    <w:p>
      <w:pPr>
        <w:spacing w:after="0" w:line="23" w:lineRule="exact"/>
        <w:rPr>
          <w:sz w:val="24"/>
          <w:szCs w:val="24"/>
          <w:color w:val="auto"/>
        </w:rPr>
      </w:pPr>
    </w:p>
    <w:p>
      <w:pPr>
        <w:ind w:left="3160"/>
        <w:spacing w:after="0"/>
        <w:rPr>
          <w:sz w:val="20"/>
          <w:szCs w:val="20"/>
          <w:color w:val="auto"/>
        </w:rPr>
      </w:pPr>
      <w:r>
        <w:rPr>
          <w:rFonts w:ascii="Courier New" w:cs="Courier New" w:eastAsia="Courier New" w:hAnsi="Courier New"/>
          <w:sz w:val="15"/>
          <w:szCs w:val="15"/>
          <w:color w:val="auto"/>
        </w:rPr>
        <w:t>FORM S-4</w:t>
      </w:r>
    </w:p>
    <w:p>
      <w:pPr>
        <w:ind w:left="2540"/>
        <w:spacing w:after="0" w:line="237" w:lineRule="auto"/>
        <w:rPr>
          <w:sz w:val="20"/>
          <w:szCs w:val="20"/>
          <w:color w:val="auto"/>
        </w:rPr>
      </w:pPr>
      <w:r>
        <w:rPr>
          <w:rFonts w:ascii="Courier New" w:cs="Courier New" w:eastAsia="Courier New" w:hAnsi="Courier New"/>
          <w:sz w:val="15"/>
          <w:szCs w:val="15"/>
          <w:color w:val="auto"/>
        </w:rPr>
        <w:t>REGISTRATION STATEMENT</w:t>
      </w:r>
    </w:p>
    <w:p>
      <w:pPr>
        <w:ind w:left="3340"/>
        <w:spacing w:after="0" w:line="238" w:lineRule="auto"/>
        <w:rPr>
          <w:sz w:val="20"/>
          <w:szCs w:val="20"/>
          <w:color w:val="auto"/>
        </w:rPr>
      </w:pPr>
      <w:r>
        <w:rPr>
          <w:rFonts w:ascii="Courier New" w:cs="Courier New" w:eastAsia="Courier New" w:hAnsi="Courier New"/>
          <w:sz w:val="15"/>
          <w:szCs w:val="15"/>
          <w:color w:val="auto"/>
        </w:rPr>
        <w:t>UNDER</w:t>
      </w:r>
    </w:p>
    <w:p>
      <w:pPr>
        <w:ind w:left="2380"/>
        <w:spacing w:after="0"/>
        <w:rPr>
          <w:sz w:val="20"/>
          <w:szCs w:val="20"/>
          <w:color w:val="auto"/>
        </w:rPr>
      </w:pPr>
      <w:r>
        <w:rPr>
          <w:rFonts w:ascii="Courier New" w:cs="Courier New" w:eastAsia="Courier New" w:hAnsi="Courier New"/>
          <w:sz w:val="15"/>
          <w:szCs w:val="15"/>
          <w:color w:val="auto"/>
        </w:rPr>
        <w:t>THE SECURITIES ACT OF 1933</w:t>
      </w:r>
    </w:p>
    <w:p>
      <w:pPr>
        <w:spacing w:after="0" w:line="140" w:lineRule="exact"/>
        <w:rPr>
          <w:sz w:val="24"/>
          <w:szCs w:val="24"/>
          <w:color w:val="auto"/>
        </w:rPr>
      </w:pPr>
    </w:p>
    <w:p>
      <w:pPr>
        <w:ind w:left="2640"/>
        <w:spacing w:after="0"/>
        <w:rPr>
          <w:sz w:val="20"/>
          <w:szCs w:val="20"/>
          <w:color w:val="auto"/>
        </w:rPr>
      </w:pPr>
      <w:r>
        <w:rPr>
          <w:rFonts w:ascii="Courier New" w:cs="Courier New" w:eastAsia="Courier New" w:hAnsi="Courier New"/>
          <w:sz w:val="15"/>
          <w:szCs w:val="15"/>
          <w:color w:val="auto"/>
        </w:rPr>
        <w:t>--------------------</w:t>
      </w:r>
    </w:p>
    <w:p>
      <w:pPr>
        <w:spacing w:after="0" w:line="23" w:lineRule="exact"/>
        <w:rPr>
          <w:sz w:val="24"/>
          <w:szCs w:val="24"/>
          <w:color w:val="auto"/>
        </w:rPr>
      </w:pPr>
    </w:p>
    <w:p>
      <w:pPr>
        <w:ind w:left="2800"/>
        <w:spacing w:after="0"/>
        <w:rPr>
          <w:sz w:val="20"/>
          <w:szCs w:val="20"/>
          <w:color w:val="auto"/>
        </w:rPr>
      </w:pPr>
      <w:r>
        <w:rPr>
          <w:rFonts w:ascii="Courier New" w:cs="Courier New" w:eastAsia="Courier New" w:hAnsi="Courier New"/>
          <w:sz w:val="15"/>
          <w:szCs w:val="15"/>
          <w:color w:val="auto"/>
        </w:rPr>
        <w:t>SCHLUMBERGER N.V.</w:t>
      </w:r>
    </w:p>
    <w:p>
      <w:pPr>
        <w:ind w:left="2540"/>
        <w:spacing w:after="0" w:line="237" w:lineRule="auto"/>
        <w:rPr>
          <w:sz w:val="20"/>
          <w:szCs w:val="20"/>
          <w:color w:val="auto"/>
        </w:rPr>
      </w:pPr>
      <w:r>
        <w:rPr>
          <w:rFonts w:ascii="Courier New" w:cs="Courier New" w:eastAsia="Courier New" w:hAnsi="Courier New"/>
          <w:sz w:val="15"/>
          <w:szCs w:val="15"/>
          <w:color w:val="auto"/>
        </w:rPr>
        <w:t>(Schlumberger Limited)</w:t>
      </w:r>
    </w:p>
    <w:p>
      <w:pPr>
        <w:ind w:left="1140"/>
        <w:spacing w:after="0"/>
        <w:rPr>
          <w:sz w:val="20"/>
          <w:szCs w:val="20"/>
          <w:color w:val="auto"/>
        </w:rPr>
      </w:pPr>
      <w:r>
        <w:rPr>
          <w:rFonts w:ascii="Courier New" w:cs="Courier New" w:eastAsia="Courier New" w:hAnsi="Courier New"/>
          <w:sz w:val="15"/>
          <w:szCs w:val="15"/>
          <w:color w:val="auto"/>
        </w:rPr>
        <w:t>(Exact name of registrant as specified in its charter)</w:t>
      </w:r>
    </w:p>
    <w:p>
      <w:pPr>
        <w:spacing w:after="0" w:line="200" w:lineRule="exact"/>
        <w:rPr>
          <w:sz w:val="24"/>
          <w:szCs w:val="24"/>
          <w:color w:val="auto"/>
        </w:rPr>
      </w:pPr>
    </w:p>
    <w:p>
      <w:pPr>
        <w:spacing w:after="0" w:line="275" w:lineRule="exact"/>
        <w:rPr>
          <w:sz w:val="24"/>
          <w:szCs w:val="24"/>
          <w:color w:val="auto"/>
        </w:rPr>
      </w:pPr>
    </w:p>
    <w:tbl>
      <w:tblPr>
        <w:tblLayout w:type="fixed"/>
        <w:tblInd w:w="0" w:type="dxa"/>
        <w:tblCellMar>
          <w:top w:w="0" w:type="dxa"/>
          <w:left w:w="0" w:type="dxa"/>
          <w:bottom w:w="0" w:type="dxa"/>
          <w:right w:w="0" w:type="dxa"/>
        </w:tblCellMar>
      </w:tblPr>
      <w:tr>
        <w:trPr>
          <w:trHeight w:val="170"/>
        </w:trPr>
        <w:tc>
          <w:tcPr>
            <w:tcW w:w="29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Netherlands Antilles</w:t>
            </w:r>
          </w:p>
        </w:tc>
        <w:tc>
          <w:tcPr>
            <w:tcW w:w="3320" w:type="dxa"/>
            <w:vAlign w:val="bottom"/>
          </w:tcPr>
          <w:p>
            <w:pPr>
              <w:ind w:left="1400"/>
              <w:spacing w:after="0"/>
              <w:rPr>
                <w:sz w:val="20"/>
                <w:szCs w:val="20"/>
                <w:color w:val="auto"/>
              </w:rPr>
            </w:pPr>
            <w:r>
              <w:rPr>
                <w:rFonts w:ascii="Courier New" w:cs="Courier New" w:eastAsia="Courier New" w:hAnsi="Courier New"/>
                <w:sz w:val="15"/>
                <w:szCs w:val="15"/>
                <w:color w:val="auto"/>
              </w:rPr>
              <w:t>1389</w:t>
            </w:r>
          </w:p>
        </w:tc>
        <w:tc>
          <w:tcPr>
            <w:tcW w:w="16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52-0684746</w:t>
            </w:r>
          </w:p>
        </w:tc>
        <w:tc>
          <w:tcPr>
            <w:tcW w:w="0" w:type="dxa"/>
            <w:vAlign w:val="bottom"/>
          </w:tcPr>
          <w:p>
            <w:pPr>
              <w:spacing w:after="0"/>
              <w:rPr>
                <w:sz w:val="1"/>
                <w:szCs w:val="1"/>
                <w:color w:val="auto"/>
              </w:rPr>
            </w:pPr>
          </w:p>
        </w:tc>
      </w:tr>
      <w:tr>
        <w:trPr>
          <w:trHeight w:val="168"/>
        </w:trPr>
        <w:tc>
          <w:tcPr>
            <w:tcW w:w="29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6"/>
              </w:rPr>
              <w:t>(State or other jurisdiction of</w:t>
            </w:r>
          </w:p>
        </w:tc>
        <w:tc>
          <w:tcPr>
            <w:tcW w:w="332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(Primary Standard Industrial</w:t>
            </w:r>
          </w:p>
        </w:tc>
        <w:tc>
          <w:tcPr>
            <w:tcW w:w="166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97"/>
              </w:rPr>
              <w:t>(I.R.S. Employer</w:t>
            </w:r>
          </w:p>
        </w:tc>
        <w:tc>
          <w:tcPr>
            <w:tcW w:w="0" w:type="dxa"/>
            <w:vAlign w:val="bottom"/>
          </w:tcPr>
          <w:p>
            <w:pPr>
              <w:spacing w:after="0"/>
              <w:rPr>
                <w:sz w:val="1"/>
                <w:szCs w:val="1"/>
                <w:color w:val="auto"/>
              </w:rPr>
            </w:pPr>
          </w:p>
        </w:tc>
      </w:tr>
      <w:tr>
        <w:trPr>
          <w:trHeight w:val="245"/>
        </w:trPr>
        <w:tc>
          <w:tcPr>
            <w:tcW w:w="2900" w:type="dxa"/>
            <w:vAlign w:val="bottom"/>
          </w:tcPr>
          <w:p>
            <w:pPr>
              <w:jc w:val="right"/>
              <w:spacing w:after="0"/>
              <w:rPr>
                <w:sz w:val="20"/>
                <w:szCs w:val="20"/>
                <w:color w:val="auto"/>
              </w:rPr>
            </w:pPr>
            <w:r>
              <w:rPr>
                <w:rFonts w:ascii="Courier New" w:cs="Courier New" w:eastAsia="Courier New" w:hAnsi="Courier New"/>
                <w:sz w:val="15"/>
                <w:szCs w:val="15"/>
                <w:color w:val="auto"/>
              </w:rPr>
              <w:t>incorporation or organization)</w:t>
            </w:r>
          </w:p>
        </w:tc>
        <w:tc>
          <w:tcPr>
            <w:tcW w:w="3320" w:type="dxa"/>
            <w:vAlign w:val="bottom"/>
          </w:tcPr>
          <w:p>
            <w:pPr>
              <w:ind w:left="440"/>
              <w:spacing w:after="0"/>
              <w:rPr>
                <w:sz w:val="20"/>
                <w:szCs w:val="20"/>
                <w:color w:val="auto"/>
              </w:rPr>
            </w:pPr>
            <w:r>
              <w:rPr>
                <w:rFonts w:ascii="Courier New" w:cs="Courier New" w:eastAsia="Courier New" w:hAnsi="Courier New"/>
                <w:sz w:val="15"/>
                <w:szCs w:val="15"/>
                <w:color w:val="auto"/>
              </w:rPr>
              <w:t>Classification Code Number)</w:t>
            </w:r>
          </w:p>
        </w:tc>
        <w:tc>
          <w:tcPr>
            <w:tcW w:w="1660" w:type="dxa"/>
            <w:vAlign w:val="bottom"/>
          </w:tcPr>
          <w:p>
            <w:pPr>
              <w:spacing w:after="0"/>
              <w:rPr>
                <w:sz w:val="20"/>
                <w:szCs w:val="20"/>
                <w:color w:val="auto"/>
              </w:rPr>
            </w:pPr>
            <w:r>
              <w:rPr>
                <w:rFonts w:ascii="Courier New" w:cs="Courier New" w:eastAsia="Courier New" w:hAnsi="Courier New"/>
                <w:sz w:val="15"/>
                <w:szCs w:val="15"/>
                <w:color w:val="auto"/>
                <w:w w:val="95"/>
              </w:rPr>
              <w:t>Identification No.)</w:t>
            </w:r>
          </w:p>
        </w:tc>
        <w:tc>
          <w:tcPr>
            <w:tcW w:w="0" w:type="dxa"/>
            <w:vAlign w:val="bottom"/>
          </w:tcPr>
          <w:p>
            <w:pPr>
              <w:spacing w:after="0"/>
              <w:rPr>
                <w:sz w:val="1"/>
                <w:szCs w:val="1"/>
                <w:color w:val="auto"/>
              </w:rPr>
            </w:pPr>
          </w:p>
        </w:tc>
      </w:tr>
      <w:tr>
        <w:trPr>
          <w:trHeight w:val="427"/>
        </w:trPr>
        <w:tc>
          <w:tcPr>
            <w:tcW w:w="29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153 East</w:t>
            </w:r>
          </w:p>
        </w:tc>
        <w:tc>
          <w:tcPr>
            <w:tcW w:w="3320" w:type="dxa"/>
            <w:vAlign w:val="bottom"/>
          </w:tcPr>
          <w:p>
            <w:pPr>
              <w:spacing w:after="0"/>
              <w:rPr>
                <w:sz w:val="20"/>
                <w:szCs w:val="20"/>
                <w:color w:val="auto"/>
              </w:rPr>
            </w:pPr>
            <w:r>
              <w:rPr>
                <w:rFonts w:ascii="Courier New" w:cs="Courier New" w:eastAsia="Courier New" w:hAnsi="Courier New"/>
                <w:sz w:val="15"/>
                <w:szCs w:val="15"/>
                <w:color w:val="auto"/>
              </w:rPr>
              <w:t>53rd Street, 57th Floor</w:t>
            </w: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6220" w:type="dxa"/>
            <w:vAlign w:val="bottom"/>
            <w:gridSpan w:val="2"/>
          </w:tcPr>
          <w:p>
            <w:pPr>
              <w:jc w:val="center"/>
              <w:ind w:left="807"/>
              <w:spacing w:after="0" w:line="168" w:lineRule="exact"/>
              <w:rPr>
                <w:sz w:val="20"/>
                <w:szCs w:val="20"/>
                <w:color w:val="auto"/>
              </w:rPr>
            </w:pPr>
            <w:r>
              <w:rPr>
                <w:rFonts w:ascii="Courier New" w:cs="Courier New" w:eastAsia="Courier New" w:hAnsi="Courier New"/>
                <w:sz w:val="15"/>
                <w:szCs w:val="15"/>
                <w:color w:val="auto"/>
                <w:w w:val="97"/>
              </w:rPr>
              <w:t>New York, New York 10022-4624</w:t>
            </w:r>
          </w:p>
        </w:tc>
        <w:tc>
          <w:tcPr>
            <w:tcW w:w="1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2900" w:type="dxa"/>
            <w:vAlign w:val="bottom"/>
          </w:tcPr>
          <w:p>
            <w:pPr>
              <w:spacing w:after="0"/>
              <w:rPr>
                <w:sz w:val="21"/>
                <w:szCs w:val="21"/>
                <w:color w:val="auto"/>
              </w:rPr>
            </w:pPr>
          </w:p>
        </w:tc>
        <w:tc>
          <w:tcPr>
            <w:tcW w:w="3320" w:type="dxa"/>
            <w:vAlign w:val="bottom"/>
          </w:tcPr>
          <w:p>
            <w:pPr>
              <w:jc w:val="center"/>
              <w:ind w:right="2027"/>
              <w:spacing w:after="0"/>
              <w:rPr>
                <w:sz w:val="20"/>
                <w:szCs w:val="20"/>
                <w:color w:val="auto"/>
              </w:rPr>
            </w:pPr>
            <w:r>
              <w:rPr>
                <w:rFonts w:ascii="Courier New" w:cs="Courier New" w:eastAsia="Courier New" w:hAnsi="Courier New"/>
                <w:sz w:val="15"/>
                <w:szCs w:val="15"/>
                <w:color w:val="auto"/>
                <w:w w:val="96"/>
              </w:rPr>
              <w:t>(212) 350-9400</w:t>
            </w:r>
          </w:p>
        </w:tc>
        <w:tc>
          <w:tcPr>
            <w:tcW w:w="1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6220" w:type="dxa"/>
            <w:vAlign w:val="bottom"/>
            <w:gridSpan w:val="2"/>
          </w:tcPr>
          <w:p>
            <w:pPr>
              <w:jc w:val="center"/>
              <w:ind w:left="727"/>
              <w:spacing w:after="0"/>
              <w:rPr>
                <w:sz w:val="20"/>
                <w:szCs w:val="20"/>
                <w:color w:val="auto"/>
              </w:rPr>
            </w:pPr>
            <w:r>
              <w:rPr>
                <w:rFonts w:ascii="Courier New" w:cs="Courier New" w:eastAsia="Courier New" w:hAnsi="Courier New"/>
                <w:sz w:val="15"/>
                <w:szCs w:val="15"/>
                <w:color w:val="auto"/>
                <w:w w:val="97"/>
              </w:rPr>
              <w:t>42 Rue Saint-Dominique</w:t>
            </w:r>
          </w:p>
        </w:tc>
        <w:tc>
          <w:tcPr>
            <w:tcW w:w="1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6220" w:type="dxa"/>
            <w:vAlign w:val="bottom"/>
            <w:gridSpan w:val="2"/>
          </w:tcPr>
          <w:p>
            <w:pPr>
              <w:jc w:val="center"/>
              <w:ind w:left="807"/>
              <w:spacing w:after="0" w:line="168" w:lineRule="exact"/>
              <w:rPr>
                <w:sz w:val="20"/>
                <w:szCs w:val="20"/>
                <w:color w:val="auto"/>
              </w:rPr>
            </w:pPr>
            <w:r>
              <w:rPr>
                <w:rFonts w:ascii="Courier New" w:cs="Courier New" w:eastAsia="Courier New" w:hAnsi="Courier New"/>
                <w:sz w:val="15"/>
                <w:szCs w:val="15"/>
                <w:color w:val="auto"/>
                <w:w w:val="97"/>
              </w:rPr>
              <w:t>Paris, France 75007</w:t>
            </w:r>
          </w:p>
        </w:tc>
        <w:tc>
          <w:tcPr>
            <w:tcW w:w="1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2900" w:type="dxa"/>
            <w:vAlign w:val="bottom"/>
          </w:tcPr>
          <w:p>
            <w:pPr>
              <w:spacing w:after="0"/>
              <w:rPr>
                <w:sz w:val="21"/>
                <w:szCs w:val="21"/>
                <w:color w:val="auto"/>
              </w:rPr>
            </w:pPr>
          </w:p>
        </w:tc>
        <w:tc>
          <w:tcPr>
            <w:tcW w:w="3320" w:type="dxa"/>
            <w:vAlign w:val="bottom"/>
          </w:tcPr>
          <w:p>
            <w:pPr>
              <w:jc w:val="center"/>
              <w:ind w:right="2027"/>
              <w:spacing w:after="0"/>
              <w:rPr>
                <w:sz w:val="20"/>
                <w:szCs w:val="20"/>
                <w:color w:val="auto"/>
              </w:rPr>
            </w:pPr>
            <w:r>
              <w:rPr>
                <w:rFonts w:ascii="Courier New" w:cs="Courier New" w:eastAsia="Courier New" w:hAnsi="Courier New"/>
                <w:sz w:val="15"/>
                <w:szCs w:val="15"/>
                <w:color w:val="auto"/>
                <w:w w:val="96"/>
              </w:rPr>
              <w:t>33-1-4062-1000</w:t>
            </w:r>
          </w:p>
        </w:tc>
        <w:tc>
          <w:tcPr>
            <w:tcW w:w="1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6220" w:type="dxa"/>
            <w:vAlign w:val="bottom"/>
            <w:gridSpan w:val="2"/>
          </w:tcPr>
          <w:p>
            <w:pPr>
              <w:jc w:val="center"/>
              <w:ind w:left="727"/>
              <w:spacing w:after="0"/>
              <w:rPr>
                <w:sz w:val="20"/>
                <w:szCs w:val="20"/>
                <w:color w:val="auto"/>
              </w:rPr>
            </w:pPr>
            <w:r>
              <w:rPr>
                <w:rFonts w:ascii="Courier New" w:cs="Courier New" w:eastAsia="Courier New" w:hAnsi="Courier New"/>
                <w:sz w:val="15"/>
                <w:szCs w:val="15"/>
                <w:color w:val="auto"/>
                <w:w w:val="97"/>
              </w:rPr>
              <w:t>Parkstraat 83, The Hague</w:t>
            </w:r>
          </w:p>
        </w:tc>
        <w:tc>
          <w:tcPr>
            <w:tcW w:w="1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9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The</w:t>
            </w:r>
          </w:p>
        </w:tc>
        <w:tc>
          <w:tcPr>
            <w:tcW w:w="3320" w:type="dxa"/>
            <w:vAlign w:val="bottom"/>
          </w:tcPr>
          <w:p>
            <w:pPr>
              <w:spacing w:after="0" w:line="168" w:lineRule="exact"/>
              <w:rPr>
                <w:sz w:val="20"/>
                <w:szCs w:val="20"/>
                <w:color w:val="auto"/>
              </w:rPr>
            </w:pPr>
            <w:r>
              <w:rPr>
                <w:rFonts w:ascii="Courier New" w:cs="Courier New" w:eastAsia="Courier New" w:hAnsi="Courier New"/>
                <w:sz w:val="15"/>
                <w:szCs w:val="15"/>
                <w:color w:val="auto"/>
              </w:rPr>
              <w:t>Netherlands 2514 JG</w:t>
            </w:r>
          </w:p>
        </w:tc>
        <w:tc>
          <w:tcPr>
            <w:tcW w:w="1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2900" w:type="dxa"/>
            <w:vAlign w:val="bottom"/>
          </w:tcPr>
          <w:p>
            <w:pPr>
              <w:spacing w:after="0"/>
              <w:rPr>
                <w:sz w:val="21"/>
                <w:szCs w:val="21"/>
                <w:color w:val="auto"/>
              </w:rPr>
            </w:pPr>
          </w:p>
        </w:tc>
        <w:tc>
          <w:tcPr>
            <w:tcW w:w="3320" w:type="dxa"/>
            <w:vAlign w:val="bottom"/>
          </w:tcPr>
          <w:p>
            <w:pPr>
              <w:jc w:val="center"/>
              <w:ind w:right="2027"/>
              <w:spacing w:after="0"/>
              <w:rPr>
                <w:sz w:val="20"/>
                <w:szCs w:val="20"/>
                <w:color w:val="auto"/>
              </w:rPr>
            </w:pPr>
            <w:r>
              <w:rPr>
                <w:rFonts w:ascii="Courier New" w:cs="Courier New" w:eastAsia="Courier New" w:hAnsi="Courier New"/>
                <w:sz w:val="15"/>
                <w:szCs w:val="15"/>
                <w:color w:val="auto"/>
                <w:w w:val="96"/>
              </w:rPr>
              <w:t>31-70-310-5400</w:t>
            </w:r>
          </w:p>
        </w:tc>
        <w:tc>
          <w:tcPr>
            <w:tcW w:w="1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29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(Address, including zip code,</w:t>
            </w:r>
          </w:p>
        </w:tc>
        <w:tc>
          <w:tcPr>
            <w:tcW w:w="4980" w:type="dxa"/>
            <w:vAlign w:val="bottom"/>
            <w:gridSpan w:val="2"/>
          </w:tcPr>
          <w:p>
            <w:pPr>
              <w:spacing w:after="0"/>
              <w:rPr>
                <w:sz w:val="20"/>
                <w:szCs w:val="20"/>
                <w:color w:val="auto"/>
              </w:rPr>
            </w:pPr>
            <w:r>
              <w:rPr>
                <w:rFonts w:ascii="Courier New" w:cs="Courier New" w:eastAsia="Courier New" w:hAnsi="Courier New"/>
                <w:sz w:val="15"/>
                <w:szCs w:val="15"/>
                <w:color w:val="auto"/>
              </w:rPr>
              <w:t>and telephone number, including area code, of</w:t>
            </w:r>
          </w:p>
        </w:tc>
        <w:tc>
          <w:tcPr>
            <w:tcW w:w="0" w:type="dxa"/>
            <w:vAlign w:val="bottom"/>
          </w:tcPr>
          <w:p>
            <w:pPr>
              <w:spacing w:after="0"/>
              <w:rPr>
                <w:sz w:val="1"/>
                <w:szCs w:val="1"/>
                <w:color w:val="auto"/>
              </w:rPr>
            </w:pPr>
          </w:p>
        </w:tc>
      </w:tr>
      <w:tr>
        <w:trPr>
          <w:trHeight w:val="168"/>
        </w:trPr>
        <w:tc>
          <w:tcPr>
            <w:tcW w:w="29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registrant's</w:t>
            </w:r>
          </w:p>
        </w:tc>
        <w:tc>
          <w:tcPr>
            <w:tcW w:w="3320" w:type="dxa"/>
            <w:vAlign w:val="bottom"/>
          </w:tcPr>
          <w:p>
            <w:pPr>
              <w:spacing w:after="0" w:line="168" w:lineRule="exact"/>
              <w:rPr>
                <w:sz w:val="20"/>
                <w:szCs w:val="20"/>
                <w:color w:val="auto"/>
              </w:rPr>
            </w:pPr>
            <w:r>
              <w:rPr>
                <w:rFonts w:ascii="Courier New" w:cs="Courier New" w:eastAsia="Courier New" w:hAnsi="Courier New"/>
                <w:sz w:val="15"/>
                <w:szCs w:val="15"/>
                <w:color w:val="auto"/>
              </w:rPr>
              <w:t>principal executive offices)</w:t>
            </w:r>
          </w:p>
        </w:tc>
        <w:tc>
          <w:tcPr>
            <w:tcW w:w="1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900" w:type="dxa"/>
            <w:vAlign w:val="bottom"/>
          </w:tcPr>
          <w:p>
            <w:pPr>
              <w:spacing w:after="0"/>
              <w:rPr>
                <w:sz w:val="14"/>
                <w:szCs w:val="14"/>
                <w:color w:val="auto"/>
              </w:rPr>
            </w:pPr>
          </w:p>
        </w:tc>
        <w:tc>
          <w:tcPr>
            <w:tcW w:w="3320" w:type="dxa"/>
            <w:vAlign w:val="bottom"/>
          </w:tcPr>
          <w:p>
            <w:pPr>
              <w:spacing w:after="0" w:line="168" w:lineRule="exact"/>
              <w:rPr>
                <w:sz w:val="20"/>
                <w:szCs w:val="20"/>
                <w:color w:val="auto"/>
              </w:rPr>
            </w:pPr>
            <w:r>
              <w:rPr>
                <w:rFonts w:ascii="Courier New" w:cs="Courier New" w:eastAsia="Courier New" w:hAnsi="Courier New"/>
                <w:sz w:val="15"/>
                <w:szCs w:val="15"/>
                <w:color w:val="auto"/>
              </w:rPr>
              <w:t>Ellen S. Summer</w:t>
            </w:r>
          </w:p>
        </w:tc>
        <w:tc>
          <w:tcPr>
            <w:tcW w:w="1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220" w:type="dxa"/>
            <w:vAlign w:val="bottom"/>
            <w:gridSpan w:val="2"/>
          </w:tcPr>
          <w:p>
            <w:pPr>
              <w:jc w:val="center"/>
              <w:ind w:left="807"/>
              <w:spacing w:after="0" w:line="168" w:lineRule="exact"/>
              <w:rPr>
                <w:sz w:val="20"/>
                <w:szCs w:val="20"/>
                <w:color w:val="auto"/>
              </w:rPr>
            </w:pPr>
            <w:r>
              <w:rPr>
                <w:rFonts w:ascii="Courier New" w:cs="Courier New" w:eastAsia="Courier New" w:hAnsi="Courier New"/>
                <w:sz w:val="15"/>
                <w:szCs w:val="15"/>
                <w:color w:val="auto"/>
                <w:w w:val="97"/>
              </w:rPr>
              <w:t>General Counsel and Secretary</w:t>
            </w:r>
          </w:p>
        </w:tc>
        <w:tc>
          <w:tcPr>
            <w:tcW w:w="1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220" w:type="dxa"/>
            <w:vAlign w:val="bottom"/>
            <w:gridSpan w:val="2"/>
          </w:tcPr>
          <w:p>
            <w:pPr>
              <w:jc w:val="center"/>
              <w:ind w:left="727"/>
              <w:spacing w:after="0" w:line="168" w:lineRule="exact"/>
              <w:rPr>
                <w:sz w:val="20"/>
                <w:szCs w:val="20"/>
                <w:color w:val="auto"/>
              </w:rPr>
            </w:pPr>
            <w:r>
              <w:rPr>
                <w:rFonts w:ascii="Courier New" w:cs="Courier New" w:eastAsia="Courier New" w:hAnsi="Courier New"/>
                <w:sz w:val="15"/>
                <w:szCs w:val="15"/>
                <w:color w:val="auto"/>
                <w:w w:val="96"/>
              </w:rPr>
              <w:t>Schlumberger Limited</w:t>
            </w:r>
          </w:p>
        </w:tc>
        <w:tc>
          <w:tcPr>
            <w:tcW w:w="1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9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153 East</w:t>
            </w:r>
          </w:p>
        </w:tc>
        <w:tc>
          <w:tcPr>
            <w:tcW w:w="3320" w:type="dxa"/>
            <w:vAlign w:val="bottom"/>
          </w:tcPr>
          <w:p>
            <w:pPr>
              <w:spacing w:after="0" w:line="168" w:lineRule="exact"/>
              <w:rPr>
                <w:sz w:val="20"/>
                <w:szCs w:val="20"/>
                <w:color w:val="auto"/>
              </w:rPr>
            </w:pPr>
            <w:r>
              <w:rPr>
                <w:rFonts w:ascii="Courier New" w:cs="Courier New" w:eastAsia="Courier New" w:hAnsi="Courier New"/>
                <w:sz w:val="15"/>
                <w:szCs w:val="15"/>
                <w:color w:val="auto"/>
              </w:rPr>
              <w:t>53rd Street, 57th Floor</w:t>
            </w:r>
          </w:p>
        </w:tc>
        <w:tc>
          <w:tcPr>
            <w:tcW w:w="1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220" w:type="dxa"/>
            <w:vAlign w:val="bottom"/>
            <w:gridSpan w:val="2"/>
          </w:tcPr>
          <w:p>
            <w:pPr>
              <w:jc w:val="center"/>
              <w:ind w:left="807"/>
              <w:spacing w:after="0" w:line="168" w:lineRule="exact"/>
              <w:rPr>
                <w:sz w:val="20"/>
                <w:szCs w:val="20"/>
                <w:color w:val="auto"/>
              </w:rPr>
            </w:pPr>
            <w:r>
              <w:rPr>
                <w:rFonts w:ascii="Courier New" w:cs="Courier New" w:eastAsia="Courier New" w:hAnsi="Courier New"/>
                <w:sz w:val="15"/>
                <w:szCs w:val="15"/>
                <w:color w:val="auto"/>
                <w:w w:val="97"/>
              </w:rPr>
              <w:t>New York, New York 10022-4624</w:t>
            </w:r>
          </w:p>
        </w:tc>
        <w:tc>
          <w:tcPr>
            <w:tcW w:w="1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90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(Name, address, including</w:t>
            </w:r>
          </w:p>
        </w:tc>
        <w:tc>
          <w:tcPr>
            <w:tcW w:w="3320" w:type="dxa"/>
            <w:vAlign w:val="bottom"/>
          </w:tcPr>
          <w:p>
            <w:pPr>
              <w:jc w:val="center"/>
              <w:ind w:right="2027"/>
              <w:spacing w:after="0" w:line="168" w:lineRule="exact"/>
              <w:rPr>
                <w:sz w:val="20"/>
                <w:szCs w:val="20"/>
                <w:color w:val="auto"/>
              </w:rPr>
            </w:pPr>
            <w:r>
              <w:rPr>
                <w:rFonts w:ascii="Courier New" w:cs="Courier New" w:eastAsia="Courier New" w:hAnsi="Courier New"/>
                <w:sz w:val="15"/>
                <w:szCs w:val="15"/>
                <w:color w:val="auto"/>
                <w:w w:val="96"/>
              </w:rPr>
              <w:t>(212) 350-9400</w:t>
            </w:r>
          </w:p>
        </w:tc>
        <w:tc>
          <w:tcPr>
            <w:tcW w:w="1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900" w:type="dxa"/>
            <w:vAlign w:val="bottom"/>
            <w:vMerge w:val="continue"/>
          </w:tcPr>
          <w:p>
            <w:pPr>
              <w:spacing w:after="0"/>
              <w:rPr>
                <w:sz w:val="14"/>
                <w:szCs w:val="14"/>
                <w:color w:val="auto"/>
              </w:rPr>
            </w:pPr>
          </w:p>
        </w:tc>
        <w:tc>
          <w:tcPr>
            <w:tcW w:w="49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zip code, and telephone number, including</w:t>
            </w:r>
          </w:p>
        </w:tc>
        <w:tc>
          <w:tcPr>
            <w:tcW w:w="0" w:type="dxa"/>
            <w:vAlign w:val="bottom"/>
          </w:tcPr>
          <w:p>
            <w:pPr>
              <w:spacing w:after="0"/>
              <w:rPr>
                <w:sz w:val="1"/>
                <w:szCs w:val="1"/>
                <w:color w:val="auto"/>
              </w:rPr>
            </w:pPr>
          </w:p>
        </w:tc>
      </w:tr>
      <w:tr>
        <w:trPr>
          <w:trHeight w:val="168"/>
        </w:trPr>
        <w:tc>
          <w:tcPr>
            <w:tcW w:w="6220" w:type="dxa"/>
            <w:vAlign w:val="bottom"/>
            <w:gridSpan w:val="2"/>
          </w:tcPr>
          <w:p>
            <w:pPr>
              <w:jc w:val="center"/>
              <w:ind w:left="707"/>
              <w:spacing w:after="0" w:line="168" w:lineRule="exact"/>
              <w:rPr>
                <w:sz w:val="20"/>
                <w:szCs w:val="20"/>
                <w:color w:val="auto"/>
              </w:rPr>
            </w:pPr>
            <w:r>
              <w:rPr>
                <w:rFonts w:ascii="Courier New" w:cs="Courier New" w:eastAsia="Courier New" w:hAnsi="Courier New"/>
                <w:sz w:val="15"/>
                <w:szCs w:val="15"/>
                <w:color w:val="auto"/>
                <w:w w:val="97"/>
              </w:rPr>
              <w:t>area code, of agent for service)</w:t>
            </w:r>
          </w:p>
        </w:tc>
        <w:tc>
          <w:tcPr>
            <w:tcW w:w="1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900" w:type="dxa"/>
            <w:vAlign w:val="bottom"/>
          </w:tcPr>
          <w:p>
            <w:pPr>
              <w:spacing w:after="0"/>
              <w:rPr>
                <w:sz w:val="14"/>
                <w:szCs w:val="14"/>
                <w:color w:val="auto"/>
              </w:rPr>
            </w:pPr>
          </w:p>
        </w:tc>
        <w:tc>
          <w:tcPr>
            <w:tcW w:w="3320" w:type="dxa"/>
            <w:vAlign w:val="bottom"/>
          </w:tcPr>
          <w:p>
            <w:pPr>
              <w:spacing w:after="0" w:line="168" w:lineRule="exact"/>
              <w:rPr>
                <w:sz w:val="20"/>
                <w:szCs w:val="20"/>
                <w:color w:val="auto"/>
              </w:rPr>
            </w:pPr>
            <w:r>
              <w:rPr>
                <w:rFonts w:ascii="Courier New" w:cs="Courier New" w:eastAsia="Courier New" w:hAnsi="Courier New"/>
                <w:sz w:val="15"/>
                <w:szCs w:val="15"/>
                <w:color w:val="auto"/>
              </w:rPr>
              <w:t>With Copies to:</w:t>
            </w:r>
          </w:p>
        </w:tc>
        <w:tc>
          <w:tcPr>
            <w:tcW w:w="1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220" w:type="dxa"/>
            <w:vAlign w:val="bottom"/>
            <w:gridSpan w:val="2"/>
          </w:tcPr>
          <w:p>
            <w:pPr>
              <w:jc w:val="center"/>
              <w:ind w:left="727"/>
              <w:spacing w:after="0" w:line="168" w:lineRule="exact"/>
              <w:rPr>
                <w:sz w:val="20"/>
                <w:szCs w:val="20"/>
                <w:color w:val="auto"/>
              </w:rPr>
            </w:pPr>
            <w:r>
              <w:rPr>
                <w:rFonts w:ascii="Courier New" w:cs="Courier New" w:eastAsia="Courier New" w:hAnsi="Courier New"/>
                <w:sz w:val="15"/>
                <w:szCs w:val="15"/>
                <w:color w:val="auto"/>
                <w:w w:val="97"/>
              </w:rPr>
              <w:t>J. David Kirkland, Jr.</w:t>
            </w:r>
          </w:p>
        </w:tc>
        <w:tc>
          <w:tcPr>
            <w:tcW w:w="1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220" w:type="dxa"/>
            <w:vAlign w:val="bottom"/>
            <w:gridSpan w:val="2"/>
          </w:tcPr>
          <w:p>
            <w:pPr>
              <w:jc w:val="center"/>
              <w:ind w:left="727"/>
              <w:spacing w:after="0" w:line="168" w:lineRule="exact"/>
              <w:rPr>
                <w:sz w:val="20"/>
                <w:szCs w:val="20"/>
                <w:color w:val="auto"/>
              </w:rPr>
            </w:pPr>
            <w:r>
              <w:rPr>
                <w:rFonts w:ascii="Courier New" w:cs="Courier New" w:eastAsia="Courier New" w:hAnsi="Courier New"/>
                <w:sz w:val="15"/>
                <w:szCs w:val="15"/>
                <w:color w:val="auto"/>
                <w:w w:val="97"/>
              </w:rPr>
              <w:t>Baker Botts L.L.P.</w:t>
            </w:r>
          </w:p>
        </w:tc>
        <w:tc>
          <w:tcPr>
            <w:tcW w:w="1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220" w:type="dxa"/>
            <w:vAlign w:val="bottom"/>
            <w:gridSpan w:val="2"/>
          </w:tcPr>
          <w:p>
            <w:pPr>
              <w:jc w:val="center"/>
              <w:ind w:left="727"/>
              <w:spacing w:after="0" w:line="168" w:lineRule="exact"/>
              <w:rPr>
                <w:sz w:val="20"/>
                <w:szCs w:val="20"/>
                <w:color w:val="auto"/>
              </w:rPr>
            </w:pPr>
            <w:r>
              <w:rPr>
                <w:rFonts w:ascii="Courier New" w:cs="Courier New" w:eastAsia="Courier New" w:hAnsi="Courier New"/>
                <w:sz w:val="15"/>
                <w:szCs w:val="15"/>
                <w:color w:val="auto"/>
                <w:w w:val="96"/>
              </w:rPr>
              <w:t>3000 One Shell Plaza</w:t>
            </w:r>
          </w:p>
        </w:tc>
        <w:tc>
          <w:tcPr>
            <w:tcW w:w="1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220" w:type="dxa"/>
            <w:vAlign w:val="bottom"/>
            <w:gridSpan w:val="2"/>
          </w:tcPr>
          <w:p>
            <w:pPr>
              <w:jc w:val="center"/>
              <w:ind w:left="727"/>
              <w:spacing w:after="0" w:line="168" w:lineRule="exact"/>
              <w:rPr>
                <w:sz w:val="20"/>
                <w:szCs w:val="20"/>
                <w:color w:val="auto"/>
              </w:rPr>
            </w:pPr>
            <w:r>
              <w:rPr>
                <w:rFonts w:ascii="Courier New" w:cs="Courier New" w:eastAsia="Courier New" w:hAnsi="Courier New"/>
                <w:sz w:val="15"/>
                <w:szCs w:val="15"/>
                <w:color w:val="auto"/>
                <w:w w:val="96"/>
              </w:rPr>
              <w:t>Houston, Texas 77002</w:t>
            </w:r>
          </w:p>
        </w:tc>
        <w:tc>
          <w:tcPr>
            <w:tcW w:w="1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2900" w:type="dxa"/>
            <w:vAlign w:val="bottom"/>
          </w:tcPr>
          <w:p>
            <w:pPr>
              <w:spacing w:after="0"/>
              <w:rPr>
                <w:sz w:val="21"/>
                <w:szCs w:val="21"/>
                <w:color w:val="auto"/>
              </w:rPr>
            </w:pPr>
          </w:p>
        </w:tc>
        <w:tc>
          <w:tcPr>
            <w:tcW w:w="3320" w:type="dxa"/>
            <w:vAlign w:val="bottom"/>
          </w:tcPr>
          <w:p>
            <w:pPr>
              <w:jc w:val="center"/>
              <w:ind w:right="2027"/>
              <w:spacing w:after="0"/>
              <w:rPr>
                <w:sz w:val="20"/>
                <w:szCs w:val="20"/>
                <w:color w:val="auto"/>
              </w:rPr>
            </w:pPr>
            <w:r>
              <w:rPr>
                <w:rFonts w:ascii="Courier New" w:cs="Courier New" w:eastAsia="Courier New" w:hAnsi="Courier New"/>
                <w:sz w:val="15"/>
                <w:szCs w:val="15"/>
                <w:color w:val="auto"/>
                <w:w w:val="96"/>
              </w:rPr>
              <w:t>(713) 229-1234</w:t>
            </w:r>
          </w:p>
        </w:tc>
        <w:tc>
          <w:tcPr>
            <w:tcW w:w="1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7880" w:type="dxa"/>
            <w:vAlign w:val="bottom"/>
            <w:gridSpan w:val="3"/>
          </w:tcPr>
          <w:p>
            <w:pPr>
              <w:ind w:left="540"/>
              <w:spacing w:after="0"/>
              <w:rPr>
                <w:sz w:val="20"/>
                <w:szCs w:val="20"/>
                <w:color w:val="auto"/>
              </w:rPr>
            </w:pPr>
            <w:r>
              <w:rPr>
                <w:rFonts w:ascii="Courier New" w:cs="Courier New" w:eastAsia="Courier New" w:hAnsi="Courier New"/>
                <w:sz w:val="15"/>
                <w:szCs w:val="15"/>
                <w:color w:val="auto"/>
              </w:rPr>
              <w:t>Approximate date of commencement of proposed sale to the public: From time</w:t>
            </w:r>
          </w:p>
        </w:tc>
        <w:tc>
          <w:tcPr>
            <w:tcW w:w="0" w:type="dxa"/>
            <w:vAlign w:val="bottom"/>
          </w:tcPr>
          <w:p>
            <w:pPr>
              <w:spacing w:after="0"/>
              <w:rPr>
                <w:sz w:val="1"/>
                <w:szCs w:val="1"/>
                <w:color w:val="auto"/>
              </w:rPr>
            </w:pPr>
          </w:p>
        </w:tc>
      </w:tr>
      <w:tr>
        <w:trPr>
          <w:trHeight w:val="245"/>
        </w:trPr>
        <w:tc>
          <w:tcPr>
            <w:tcW w:w="29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6"/>
              </w:rPr>
              <w:t>to time after the effective date</w:t>
            </w:r>
          </w:p>
        </w:tc>
        <w:tc>
          <w:tcPr>
            <w:tcW w:w="3320" w:type="dxa"/>
            <w:vAlign w:val="bottom"/>
          </w:tcPr>
          <w:p>
            <w:pPr>
              <w:spacing w:after="0"/>
              <w:rPr>
                <w:sz w:val="20"/>
                <w:szCs w:val="20"/>
                <w:color w:val="auto"/>
              </w:rPr>
            </w:pPr>
            <w:r>
              <w:rPr>
                <w:rFonts w:ascii="Courier New" w:cs="Courier New" w:eastAsia="Courier New" w:hAnsi="Courier New"/>
                <w:sz w:val="15"/>
                <w:szCs w:val="15"/>
                <w:color w:val="auto"/>
              </w:rPr>
              <w:t>of this Registration Statement.</w:t>
            </w:r>
          </w:p>
        </w:tc>
        <w:tc>
          <w:tcPr>
            <w:tcW w:w="1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6"/>
        </w:trPr>
        <w:tc>
          <w:tcPr>
            <w:tcW w:w="6220" w:type="dxa"/>
            <w:vAlign w:val="bottom"/>
            <w:gridSpan w:val="2"/>
          </w:tcPr>
          <w:p>
            <w:pPr>
              <w:jc w:val="center"/>
              <w:ind w:left="727"/>
              <w:spacing w:after="0"/>
              <w:rPr>
                <w:sz w:val="20"/>
                <w:szCs w:val="20"/>
                <w:color w:val="auto"/>
              </w:rPr>
            </w:pPr>
            <w:r>
              <w:rPr>
                <w:rFonts w:ascii="Courier New" w:cs="Courier New" w:eastAsia="Courier New" w:hAnsi="Courier New"/>
                <w:sz w:val="15"/>
                <w:szCs w:val="15"/>
                <w:color w:val="auto"/>
                <w:w w:val="97"/>
              </w:rPr>
              <w:t>----------------------------</w:t>
            </w: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622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8"/>
              </w:rPr>
              <w:t>If the securities being registered on this Form are to be offered in</w:t>
            </w:r>
          </w:p>
        </w:tc>
        <w:tc>
          <w:tcPr>
            <w:tcW w:w="1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9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connection with the formation of</w:t>
            </w:r>
          </w:p>
        </w:tc>
        <w:tc>
          <w:tcPr>
            <w:tcW w:w="49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a holding company and there is compliance with</w:t>
            </w:r>
          </w:p>
        </w:tc>
        <w:tc>
          <w:tcPr>
            <w:tcW w:w="0" w:type="dxa"/>
            <w:vAlign w:val="bottom"/>
          </w:tcPr>
          <w:p>
            <w:pPr>
              <w:spacing w:after="0"/>
              <w:rPr>
                <w:sz w:val="1"/>
                <w:szCs w:val="1"/>
                <w:color w:val="auto"/>
              </w:rPr>
            </w:pPr>
          </w:p>
        </w:tc>
      </w:tr>
      <w:tr>
        <w:trPr>
          <w:trHeight w:val="168"/>
        </w:trPr>
        <w:tc>
          <w:tcPr>
            <w:tcW w:w="29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General Instruction G, check the</w:t>
            </w:r>
          </w:p>
        </w:tc>
        <w:tc>
          <w:tcPr>
            <w:tcW w:w="3320" w:type="dxa"/>
            <w:vAlign w:val="bottom"/>
          </w:tcPr>
          <w:p>
            <w:pPr>
              <w:spacing w:after="0" w:line="168" w:lineRule="exact"/>
              <w:rPr>
                <w:sz w:val="20"/>
                <w:szCs w:val="20"/>
                <w:color w:val="auto"/>
              </w:rPr>
            </w:pPr>
            <w:r>
              <w:rPr>
                <w:rFonts w:ascii="Courier New" w:cs="Courier New" w:eastAsia="Courier New" w:hAnsi="Courier New"/>
                <w:sz w:val="15"/>
                <w:szCs w:val="15"/>
                <w:color w:val="auto"/>
              </w:rPr>
              <w:t>following box. [_]</w:t>
            </w:r>
          </w:p>
        </w:tc>
        <w:tc>
          <w:tcPr>
            <w:tcW w:w="1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880" w:type="dxa"/>
            <w:vAlign w:val="bottom"/>
            <w:gridSpan w:val="3"/>
          </w:tcPr>
          <w:p>
            <w:pPr>
              <w:ind w:left="180"/>
              <w:spacing w:after="0" w:line="168" w:lineRule="exact"/>
              <w:rPr>
                <w:sz w:val="20"/>
                <w:szCs w:val="20"/>
                <w:color w:val="auto"/>
              </w:rPr>
            </w:pPr>
            <w:r>
              <w:rPr>
                <w:rFonts w:ascii="Courier New" w:cs="Courier New" w:eastAsia="Courier New" w:hAnsi="Courier New"/>
                <w:sz w:val="15"/>
                <w:szCs w:val="15"/>
                <w:color w:val="auto"/>
              </w:rPr>
              <w:t>If this Form is filed to register additional securities for an offering</w:t>
            </w:r>
          </w:p>
        </w:tc>
        <w:tc>
          <w:tcPr>
            <w:tcW w:w="0" w:type="dxa"/>
            <w:vAlign w:val="bottom"/>
          </w:tcPr>
          <w:p>
            <w:pPr>
              <w:spacing w:after="0"/>
              <w:rPr>
                <w:sz w:val="1"/>
                <w:szCs w:val="1"/>
                <w:color w:val="auto"/>
              </w:rPr>
            </w:pPr>
          </w:p>
        </w:tc>
      </w:tr>
      <w:tr>
        <w:trPr>
          <w:trHeight w:val="168"/>
        </w:trPr>
        <w:tc>
          <w:tcPr>
            <w:tcW w:w="788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pursuant to Rule 462(b) under the Securities Act, check the following box and</w:t>
            </w:r>
          </w:p>
        </w:tc>
        <w:tc>
          <w:tcPr>
            <w:tcW w:w="0" w:type="dxa"/>
            <w:vAlign w:val="bottom"/>
          </w:tcPr>
          <w:p>
            <w:pPr>
              <w:spacing w:after="0"/>
              <w:rPr>
                <w:sz w:val="1"/>
                <w:szCs w:val="1"/>
                <w:color w:val="auto"/>
              </w:rPr>
            </w:pPr>
          </w:p>
        </w:tc>
      </w:tr>
      <w:tr>
        <w:trPr>
          <w:trHeight w:val="168"/>
        </w:trPr>
        <w:tc>
          <w:tcPr>
            <w:tcW w:w="788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list the Securities Act registration statement number of the earlier effective</w:t>
            </w:r>
          </w:p>
        </w:tc>
        <w:tc>
          <w:tcPr>
            <w:tcW w:w="0" w:type="dxa"/>
            <w:vAlign w:val="bottom"/>
          </w:tcPr>
          <w:p>
            <w:pPr>
              <w:spacing w:after="0"/>
              <w:rPr>
                <w:sz w:val="1"/>
                <w:szCs w:val="1"/>
                <w:color w:val="auto"/>
              </w:rPr>
            </w:pPr>
          </w:p>
        </w:tc>
      </w:tr>
      <w:tr>
        <w:trPr>
          <w:trHeight w:val="168"/>
        </w:trPr>
        <w:tc>
          <w:tcPr>
            <w:tcW w:w="62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registration statement for the same offering. [_]</w:t>
            </w:r>
          </w:p>
        </w:tc>
        <w:tc>
          <w:tcPr>
            <w:tcW w:w="1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880" w:type="dxa"/>
            <w:vAlign w:val="bottom"/>
            <w:gridSpan w:val="3"/>
          </w:tcPr>
          <w:p>
            <w:pPr>
              <w:ind w:left="180"/>
              <w:spacing w:after="0" w:line="168" w:lineRule="exact"/>
              <w:rPr>
                <w:sz w:val="20"/>
                <w:szCs w:val="20"/>
                <w:color w:val="auto"/>
              </w:rPr>
            </w:pPr>
            <w:r>
              <w:rPr>
                <w:rFonts w:ascii="Courier New" w:cs="Courier New" w:eastAsia="Courier New" w:hAnsi="Courier New"/>
                <w:sz w:val="15"/>
                <w:szCs w:val="15"/>
                <w:color w:val="auto"/>
              </w:rPr>
              <w:t>If this Form is a post-effective amendment filed pursuant to Rule 462(d) under</w:t>
            </w:r>
          </w:p>
        </w:tc>
        <w:tc>
          <w:tcPr>
            <w:tcW w:w="0" w:type="dxa"/>
            <w:vAlign w:val="bottom"/>
          </w:tcPr>
          <w:p>
            <w:pPr>
              <w:spacing w:after="0"/>
              <w:rPr>
                <w:sz w:val="1"/>
                <w:szCs w:val="1"/>
                <w:color w:val="auto"/>
              </w:rPr>
            </w:pPr>
          </w:p>
        </w:tc>
      </w:tr>
      <w:tr>
        <w:trPr>
          <w:trHeight w:val="168"/>
        </w:trPr>
        <w:tc>
          <w:tcPr>
            <w:tcW w:w="62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7"/>
              </w:rPr>
              <w:t>the Securities Act, check the following box and list the Securities Act</w:t>
            </w:r>
          </w:p>
        </w:tc>
        <w:tc>
          <w:tcPr>
            <w:tcW w:w="1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9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registration statement number of</w:t>
            </w:r>
          </w:p>
        </w:tc>
        <w:tc>
          <w:tcPr>
            <w:tcW w:w="49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the earlier effective registration statement</w:t>
            </w:r>
          </w:p>
        </w:tc>
        <w:tc>
          <w:tcPr>
            <w:tcW w:w="0" w:type="dxa"/>
            <w:vAlign w:val="bottom"/>
          </w:tcPr>
          <w:p>
            <w:pPr>
              <w:spacing w:after="0"/>
              <w:rPr>
                <w:sz w:val="1"/>
                <w:szCs w:val="1"/>
                <w:color w:val="auto"/>
              </w:rPr>
            </w:pPr>
          </w:p>
        </w:tc>
      </w:tr>
      <w:tr>
        <w:trPr>
          <w:trHeight w:val="245"/>
        </w:trPr>
        <w:tc>
          <w:tcPr>
            <w:tcW w:w="2900" w:type="dxa"/>
            <w:vAlign w:val="bottom"/>
          </w:tcPr>
          <w:p>
            <w:pPr>
              <w:spacing w:after="0"/>
              <w:rPr>
                <w:sz w:val="20"/>
                <w:szCs w:val="20"/>
                <w:color w:val="auto"/>
              </w:rPr>
            </w:pPr>
            <w:r>
              <w:rPr>
                <w:rFonts w:ascii="Courier New" w:cs="Courier New" w:eastAsia="Courier New" w:hAnsi="Courier New"/>
                <w:sz w:val="15"/>
                <w:szCs w:val="15"/>
                <w:color w:val="auto"/>
              </w:rPr>
              <w:t>for the same offering. [_]</w:t>
            </w:r>
          </w:p>
        </w:tc>
        <w:tc>
          <w:tcPr>
            <w:tcW w:w="332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22"/>
        </w:trPr>
        <w:tc>
          <w:tcPr>
            <w:tcW w:w="2900" w:type="dxa"/>
            <w:vAlign w:val="bottom"/>
          </w:tcPr>
          <w:p>
            <w:pPr>
              <w:spacing w:after="0"/>
              <w:rPr>
                <w:sz w:val="24"/>
                <w:szCs w:val="24"/>
                <w:color w:val="auto"/>
              </w:rPr>
            </w:pPr>
          </w:p>
        </w:tc>
        <w:tc>
          <w:tcPr>
            <w:tcW w:w="4980" w:type="dxa"/>
            <w:vAlign w:val="bottom"/>
            <w:gridSpan w:val="2"/>
          </w:tcPr>
          <w:p>
            <w:pPr>
              <w:ind w:left="960"/>
              <w:spacing w:after="0"/>
              <w:rPr>
                <w:sz w:val="20"/>
                <w:szCs w:val="20"/>
                <w:color w:val="auto"/>
              </w:rPr>
            </w:pPr>
            <w:r>
              <w:rPr>
                <w:rFonts w:ascii="Courier New" w:cs="Courier New" w:eastAsia="Courier New" w:hAnsi="Courier New"/>
                <w:sz w:val="15"/>
                <w:szCs w:val="15"/>
                <w:color w:val="auto"/>
              </w:rPr>
              <w:t>CALCULATION OF REGISTRATION FEE</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w:t>
      </w:r>
    </w:p>
    <w:tbl>
      <w:tblPr>
        <w:tblLayout w:type="fixed"/>
        <w:tblInd w:w="100" w:type="dxa"/>
        <w:tblCellMar>
          <w:top w:w="0" w:type="dxa"/>
          <w:left w:w="0" w:type="dxa"/>
          <w:bottom w:w="0" w:type="dxa"/>
          <w:right w:w="0" w:type="dxa"/>
        </w:tblCellMar>
      </w:tblPr>
      <w:tr>
        <w:trPr>
          <w:trHeight w:val="152"/>
        </w:trPr>
        <w:tc>
          <w:tcPr>
            <w:tcW w:w="45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100" w:type="dxa"/>
            <w:vAlign w:val="bottom"/>
          </w:tcPr>
          <w:p>
            <w:pPr>
              <w:ind w:left="140"/>
              <w:spacing w:after="0" w:line="152" w:lineRule="exact"/>
              <w:rPr>
                <w:sz w:val="20"/>
                <w:szCs w:val="20"/>
                <w:color w:val="auto"/>
              </w:rPr>
            </w:pPr>
            <w:r>
              <w:rPr>
                <w:rFonts w:ascii="Courier New" w:cs="Courier New" w:eastAsia="Courier New" w:hAnsi="Courier New"/>
                <w:sz w:val="15"/>
                <w:szCs w:val="15"/>
                <w:color w:val="auto"/>
              </w:rPr>
              <w:t>Proposed</w:t>
            </w:r>
          </w:p>
        </w:tc>
        <w:tc>
          <w:tcPr>
            <w:tcW w:w="1520" w:type="dxa"/>
            <w:vAlign w:val="bottom"/>
            <w:vMerge w:val="restart"/>
          </w:tcPr>
          <w:p>
            <w:pPr>
              <w:ind w:left="440"/>
              <w:spacing w:after="0"/>
              <w:rPr>
                <w:sz w:val="20"/>
                <w:szCs w:val="20"/>
                <w:color w:val="auto"/>
              </w:rPr>
            </w:pPr>
            <w:r>
              <w:rPr>
                <w:rFonts w:ascii="Courier New" w:cs="Courier New" w:eastAsia="Courier New" w:hAnsi="Courier New"/>
                <w:sz w:val="15"/>
                <w:szCs w:val="15"/>
                <w:color w:val="auto"/>
              </w:rPr>
              <w:t>Proposed</w:t>
            </w: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45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maximum</w:t>
            </w:r>
          </w:p>
        </w:tc>
        <w:tc>
          <w:tcPr>
            <w:tcW w:w="1520" w:type="dxa"/>
            <w:vAlign w:val="bottom"/>
            <w:vMerge w:val="continue"/>
          </w:tcPr>
          <w:p>
            <w:pPr>
              <w:spacing w:after="0"/>
              <w:rPr>
                <w:sz w:val="14"/>
                <w:szCs w:val="14"/>
                <w:color w:val="auto"/>
              </w:rPr>
            </w:pPr>
          </w:p>
        </w:tc>
        <w:tc>
          <w:tcPr>
            <w:tcW w:w="1180" w:type="dxa"/>
            <w:vAlign w:val="bottom"/>
            <w:vMerge w:val="restart"/>
          </w:tcPr>
          <w:p>
            <w:pPr>
              <w:jc w:val="center"/>
              <w:spacing w:after="0"/>
              <w:rPr>
                <w:sz w:val="20"/>
                <w:szCs w:val="20"/>
                <w:color w:val="auto"/>
              </w:rPr>
            </w:pPr>
            <w:r>
              <w:rPr>
                <w:rFonts w:ascii="Courier New" w:cs="Courier New" w:eastAsia="Courier New" w:hAnsi="Courier New"/>
                <w:sz w:val="15"/>
                <w:szCs w:val="15"/>
                <w:color w:val="auto"/>
                <w:w w:val="98"/>
              </w:rPr>
              <w:t>Amount of</w:t>
            </w:r>
          </w:p>
        </w:tc>
        <w:tc>
          <w:tcPr>
            <w:tcW w:w="0" w:type="dxa"/>
            <w:vAlign w:val="bottom"/>
          </w:tcPr>
          <w:p>
            <w:pPr>
              <w:spacing w:after="0"/>
              <w:rPr>
                <w:sz w:val="1"/>
                <w:szCs w:val="1"/>
                <w:color w:val="auto"/>
              </w:rPr>
            </w:pPr>
          </w:p>
        </w:tc>
      </w:tr>
      <w:tr>
        <w:trPr>
          <w:trHeight w:val="168"/>
        </w:trPr>
        <w:tc>
          <w:tcPr>
            <w:tcW w:w="4540" w:type="dxa"/>
            <w:vAlign w:val="bottom"/>
          </w:tcPr>
          <w:p>
            <w:pPr>
              <w:spacing w:after="0"/>
              <w:rPr>
                <w:sz w:val="14"/>
                <w:szCs w:val="14"/>
                <w:color w:val="auto"/>
              </w:rPr>
            </w:pPr>
          </w:p>
        </w:tc>
        <w:tc>
          <w:tcPr>
            <w:tcW w:w="1360" w:type="dxa"/>
            <w:vAlign w:val="bottom"/>
            <w:vMerge w:val="restart"/>
          </w:tcPr>
          <w:p>
            <w:pPr>
              <w:jc w:val="center"/>
              <w:spacing w:after="0"/>
              <w:rPr>
                <w:sz w:val="20"/>
                <w:szCs w:val="20"/>
                <w:color w:val="auto"/>
              </w:rPr>
            </w:pPr>
            <w:r>
              <w:rPr>
                <w:rFonts w:ascii="Courier New" w:cs="Courier New" w:eastAsia="Courier New" w:hAnsi="Courier New"/>
                <w:sz w:val="15"/>
                <w:szCs w:val="15"/>
                <w:color w:val="auto"/>
                <w:w w:val="96"/>
              </w:rPr>
              <w:t>Amount to be</w:t>
            </w:r>
          </w:p>
        </w:tc>
        <w:tc>
          <w:tcPr>
            <w:tcW w:w="11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offering</w:t>
            </w:r>
          </w:p>
        </w:tc>
        <w:tc>
          <w:tcPr>
            <w:tcW w:w="152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maximum</w:t>
            </w:r>
          </w:p>
        </w:tc>
        <w:tc>
          <w:tcPr>
            <w:tcW w:w="11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540" w:type="dxa"/>
            <w:vAlign w:val="bottom"/>
            <w:vMerge w:val="restart"/>
          </w:tcPr>
          <w:p>
            <w:pPr>
              <w:spacing w:after="0"/>
              <w:rPr>
                <w:sz w:val="20"/>
                <w:szCs w:val="20"/>
                <w:color w:val="auto"/>
              </w:rPr>
            </w:pPr>
            <w:r>
              <w:rPr>
                <w:rFonts w:ascii="Courier New" w:cs="Courier New" w:eastAsia="Courier New" w:hAnsi="Courier New"/>
                <w:sz w:val="15"/>
                <w:szCs w:val="15"/>
                <w:color w:val="auto"/>
              </w:rPr>
              <w:t>Title of each class of securities to be registered</w:t>
            </w:r>
          </w:p>
        </w:tc>
        <w:tc>
          <w:tcPr>
            <w:tcW w:w="1360" w:type="dxa"/>
            <w:vAlign w:val="bottom"/>
            <w:vMerge w:val="continue"/>
          </w:tcPr>
          <w:p>
            <w:pPr>
              <w:spacing w:after="0"/>
              <w:rPr>
                <w:sz w:val="14"/>
                <w:szCs w:val="14"/>
                <w:color w:val="auto"/>
              </w:rPr>
            </w:pPr>
          </w:p>
        </w:tc>
        <w:tc>
          <w:tcPr>
            <w:tcW w:w="11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price per</w:t>
            </w:r>
          </w:p>
        </w:tc>
        <w:tc>
          <w:tcPr>
            <w:tcW w:w="15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aggregate</w:t>
            </w:r>
          </w:p>
        </w:tc>
        <w:tc>
          <w:tcPr>
            <w:tcW w:w="11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4"/>
              </w:rPr>
              <w:t>registration</w:t>
            </w:r>
          </w:p>
        </w:tc>
        <w:tc>
          <w:tcPr>
            <w:tcW w:w="0" w:type="dxa"/>
            <w:vAlign w:val="bottom"/>
          </w:tcPr>
          <w:p>
            <w:pPr>
              <w:spacing w:after="0"/>
              <w:rPr>
                <w:sz w:val="1"/>
                <w:szCs w:val="1"/>
                <w:color w:val="auto"/>
              </w:rPr>
            </w:pPr>
          </w:p>
        </w:tc>
      </w:tr>
      <w:tr>
        <w:trPr>
          <w:trHeight w:val="194"/>
        </w:trPr>
        <w:tc>
          <w:tcPr>
            <w:tcW w:w="4540" w:type="dxa"/>
            <w:vAlign w:val="bottom"/>
            <w:vMerge w:val="continue"/>
          </w:tcPr>
          <w:p>
            <w:pPr>
              <w:spacing w:after="0"/>
              <w:rPr>
                <w:sz w:val="16"/>
                <w:szCs w:val="16"/>
                <w:color w:val="auto"/>
              </w:rPr>
            </w:pPr>
          </w:p>
        </w:tc>
        <w:tc>
          <w:tcPr>
            <w:tcW w:w="1360" w:type="dxa"/>
            <w:vAlign w:val="bottom"/>
          </w:tcPr>
          <w:p>
            <w:pPr>
              <w:jc w:val="center"/>
              <w:spacing w:after="0"/>
              <w:rPr>
                <w:sz w:val="20"/>
                <w:szCs w:val="20"/>
                <w:color w:val="auto"/>
              </w:rPr>
            </w:pPr>
            <w:r>
              <w:rPr>
                <w:rFonts w:ascii="Courier New" w:cs="Courier New" w:eastAsia="Courier New" w:hAnsi="Courier New"/>
                <w:sz w:val="15"/>
                <w:szCs w:val="15"/>
                <w:color w:val="auto"/>
                <w:w w:val="97"/>
              </w:rPr>
              <w:t>registered</w:t>
            </w:r>
          </w:p>
        </w:tc>
        <w:tc>
          <w:tcPr>
            <w:tcW w:w="1100" w:type="dxa"/>
            <w:vAlign w:val="bottom"/>
          </w:tcPr>
          <w:p>
            <w:pPr>
              <w:ind w:left="220"/>
              <w:spacing w:after="0"/>
              <w:rPr>
                <w:sz w:val="20"/>
                <w:szCs w:val="20"/>
                <w:color w:val="auto"/>
              </w:rPr>
            </w:pPr>
            <w:r>
              <w:rPr>
                <w:rFonts w:ascii="Courier New" w:cs="Courier New" w:eastAsia="Courier New" w:hAnsi="Courier New"/>
                <w:sz w:val="15"/>
                <w:szCs w:val="15"/>
                <w:color w:val="auto"/>
              </w:rPr>
              <w:t>unit (1)</w:t>
            </w:r>
          </w:p>
        </w:tc>
        <w:tc>
          <w:tcPr>
            <w:tcW w:w="1520" w:type="dxa"/>
            <w:vAlign w:val="bottom"/>
          </w:tcPr>
          <w:p>
            <w:pPr>
              <w:ind w:left="160"/>
              <w:spacing w:after="0"/>
              <w:rPr>
                <w:sz w:val="20"/>
                <w:szCs w:val="20"/>
                <w:color w:val="auto"/>
              </w:rPr>
            </w:pPr>
            <w:r>
              <w:rPr>
                <w:rFonts w:ascii="Courier New" w:cs="Courier New" w:eastAsia="Courier New" w:hAnsi="Courier New"/>
                <w:sz w:val="15"/>
                <w:szCs w:val="15"/>
                <w:color w:val="auto"/>
              </w:rPr>
              <w:t>offering price</w:t>
            </w:r>
          </w:p>
        </w:tc>
        <w:tc>
          <w:tcPr>
            <w:tcW w:w="1180" w:type="dxa"/>
            <w:vAlign w:val="bottom"/>
          </w:tcPr>
          <w:p>
            <w:pPr>
              <w:jc w:val="center"/>
              <w:spacing w:after="0"/>
              <w:rPr>
                <w:sz w:val="20"/>
                <w:szCs w:val="20"/>
                <w:color w:val="auto"/>
              </w:rPr>
            </w:pPr>
            <w:r>
              <w:rPr>
                <w:rFonts w:ascii="Courier New" w:cs="Courier New" w:eastAsia="Courier New" w:hAnsi="Courier New"/>
                <w:sz w:val="15"/>
                <w:szCs w:val="15"/>
                <w:color w:val="auto"/>
                <w:w w:val="96"/>
              </w:rPr>
              <w:t>fee</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w:t>
      </w:r>
    </w:p>
    <w:p>
      <w:pPr>
        <w:spacing w:after="0" w:line="152" w:lineRule="exact"/>
        <w:rPr>
          <w:sz w:val="24"/>
          <w:szCs w:val="24"/>
          <w:color w:val="auto"/>
        </w:rPr>
      </w:pPr>
    </w:p>
    <w:tbl>
      <w:tblPr>
        <w:tblLayout w:type="fixed"/>
        <w:tblInd w:w="100" w:type="dxa"/>
        <w:tblCellMar>
          <w:top w:w="0" w:type="dxa"/>
          <w:left w:w="0" w:type="dxa"/>
          <w:bottom w:w="0" w:type="dxa"/>
          <w:right w:w="0" w:type="dxa"/>
        </w:tblCellMar>
      </w:tblPr>
      <w:tr>
        <w:trPr>
          <w:trHeight w:val="194"/>
        </w:trPr>
        <w:tc>
          <w:tcPr>
            <w:tcW w:w="4060" w:type="dxa"/>
            <w:vAlign w:val="bottom"/>
          </w:tcPr>
          <w:p>
            <w:pPr>
              <w:spacing w:after="0"/>
              <w:rPr>
                <w:sz w:val="20"/>
                <w:szCs w:val="20"/>
                <w:color w:val="auto"/>
              </w:rPr>
            </w:pPr>
            <w:r>
              <w:rPr>
                <w:rFonts w:ascii="Courier New" w:cs="Courier New" w:eastAsia="Courier New" w:hAnsi="Courier New"/>
                <w:sz w:val="15"/>
                <w:szCs w:val="15"/>
                <w:color w:val="auto"/>
              </w:rPr>
              <w:t>Common stock, par value $.01 per share</w:t>
            </w:r>
          </w:p>
        </w:tc>
        <w:tc>
          <w:tcPr>
            <w:tcW w:w="1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5,000,000</w:t>
            </w:r>
          </w:p>
        </w:tc>
        <w:tc>
          <w:tcPr>
            <w:tcW w:w="11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$36.83</w:t>
            </w:r>
          </w:p>
        </w:tc>
        <w:tc>
          <w:tcPr>
            <w:tcW w:w="1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184,150,000</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$16,941.80</w:t>
            </w:r>
          </w:p>
        </w:tc>
      </w:tr>
    </w:tbl>
    <w:p>
      <w:pPr>
        <w:spacing w:after="0"/>
        <w:rPr>
          <w:sz w:val="20"/>
          <w:szCs w:val="20"/>
          <w:color w:val="auto"/>
        </w:rPr>
      </w:pPr>
      <w:r>
        <w:rPr>
          <w:rFonts w:ascii="Courier New" w:cs="Courier New" w:eastAsia="Courier New" w:hAnsi="Courier New"/>
          <w:sz w:val="14"/>
          <w:szCs w:val="14"/>
          <w:color w:val="auto"/>
        </w:rPr>
        <w:t>===================================================================================================================</w:t>
      </w:r>
    </w:p>
    <w:p>
      <w:pPr>
        <w:spacing w:after="0" w:line="320" w:lineRule="exact"/>
        <w:rPr>
          <w:sz w:val="24"/>
          <w:szCs w:val="24"/>
          <w:color w:val="auto"/>
        </w:rPr>
      </w:pPr>
    </w:p>
    <w:p>
      <w:pPr>
        <w:ind w:left="360" w:right="3240" w:hanging="350"/>
        <w:spacing w:after="0" w:line="273" w:lineRule="auto"/>
        <w:tabs>
          <w:tab w:leader="none" w:pos="36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Estimated solely for the purpose of calculating the registration fee pursuant to Rule 457(c), based on the average of the high and low prices for the Registrant's common stock, as reported on the New York Stock Exchange on August 7, 2002.</w:t>
      </w:r>
    </w:p>
    <w:p>
      <w:pPr>
        <w:spacing w:after="0" w:line="68" w:lineRule="exact"/>
        <w:rPr>
          <w:sz w:val="24"/>
          <w:szCs w:val="24"/>
          <w:color w:val="auto"/>
        </w:rPr>
      </w:pPr>
    </w:p>
    <w:p>
      <w:pPr>
        <w:ind w:right="3320"/>
        <w:spacing w:after="0" w:line="287" w:lineRule="auto"/>
        <w:rPr>
          <w:sz w:val="20"/>
          <w:szCs w:val="20"/>
          <w:color w:val="auto"/>
        </w:rPr>
      </w:pPr>
      <w:r>
        <w:rPr>
          <w:rFonts w:ascii="Courier New" w:cs="Courier New" w:eastAsia="Courier New" w:hAnsi="Courier New"/>
          <w:sz w:val="14"/>
          <w:szCs w:val="14"/>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this Registration Statement shall become</w:t>
      </w:r>
    </w:p>
    <w:p>
      <w:pPr>
        <w:sectPr>
          <w:pgSz w:w="11900" w:h="16996" w:orient="portrait"/>
          <w:cols w:equalWidth="0" w:num="1">
            <w:col w:w="10240"/>
          </w:cols>
          <w:pgMar w:left="220" w:top="542" w:right="1439" w:bottom="0" w:gutter="0" w:footer="0" w:header="0"/>
        </w:sectPr>
      </w:pPr>
    </w:p>
    <w:bookmarkStart w:id="1" w:name="page2"/>
    <w:bookmarkEnd w:id="1"/>
    <w:p>
      <w:pPr>
        <w:ind w:right="3319"/>
        <w:spacing w:after="0" w:line="344" w:lineRule="auto"/>
        <w:rPr>
          <w:sz w:val="20"/>
          <w:szCs w:val="20"/>
          <w:color w:val="auto"/>
        </w:rPr>
      </w:pPr>
      <w:r>
        <w:rPr>
          <w:rFonts w:ascii="Courier New" w:cs="Courier New" w:eastAsia="Courier New" w:hAnsi="Courier New"/>
          <w:sz w:val="15"/>
          <w:szCs w:val="15"/>
          <w:color w:val="auto"/>
        </w:rPr>
        <w:t>effective on such date as the Commission, acting pursuant to said Section 8(a), may determine.</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115"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800" w:type="dxa"/>
            <w:vAlign w:val="bottom"/>
          </w:tcPr>
          <w:p>
            <w:pPr>
              <w:spacing w:after="0"/>
              <w:rPr>
                <w:sz w:val="20"/>
                <w:szCs w:val="20"/>
                <w:color w:val="auto"/>
              </w:rPr>
            </w:pPr>
            <w:r>
              <w:rPr>
                <w:rFonts w:ascii="Courier New" w:cs="Courier New" w:eastAsia="Courier New" w:hAnsi="Courier New"/>
                <w:sz w:val="15"/>
                <w:szCs w:val="15"/>
                <w:color w:val="auto"/>
                <w:w w:val="98"/>
              </w:rPr>
              <w:t>+ The information in</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this</w:t>
            </w:r>
          </w:p>
        </w:tc>
        <w:tc>
          <w:tcPr>
            <w:tcW w:w="306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8"/>
              </w:rPr>
              <w:t>prospectus is not complete and may</w:t>
            </w:r>
          </w:p>
        </w:tc>
        <w:tc>
          <w:tcPr>
            <w:tcW w:w="15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be changed. We</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68"/>
        </w:trPr>
        <w:tc>
          <w:tcPr>
            <w:tcW w:w="180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 may not sell these</w:t>
            </w:r>
          </w:p>
        </w:tc>
        <w:tc>
          <w:tcPr>
            <w:tcW w:w="18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8"/>
              </w:rPr>
              <w:t>securities until the</w:t>
            </w:r>
          </w:p>
        </w:tc>
        <w:tc>
          <w:tcPr>
            <w:tcW w:w="254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8"/>
              </w:rPr>
              <w:t>registration statement filed</w:t>
            </w:r>
          </w:p>
        </w:tc>
        <w:tc>
          <w:tcPr>
            <w:tcW w:w="6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with</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18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w w:val="97"/>
              </w:rPr>
              <w:t>+ the Securities and Exchange Commission is effective. This prospectus</w:t>
            </w:r>
          </w:p>
        </w:tc>
        <w:tc>
          <w:tcPr>
            <w:tcW w:w="6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is not</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0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w w:val="97"/>
              </w:rPr>
              <w:t>+ an offer to sell these securities and it is not soliciting</w:t>
            </w:r>
          </w:p>
        </w:tc>
        <w:tc>
          <w:tcPr>
            <w:tcW w:w="154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an offer to buy</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94"/>
        </w:trPr>
        <w:tc>
          <w:tcPr>
            <w:tcW w:w="2240" w:type="dxa"/>
            <w:vAlign w:val="bottom"/>
            <w:gridSpan w:val="2"/>
          </w:tcPr>
          <w:p>
            <w:pPr>
              <w:spacing w:after="0"/>
              <w:rPr>
                <w:sz w:val="20"/>
                <w:szCs w:val="20"/>
                <w:color w:val="auto"/>
              </w:rPr>
            </w:pPr>
            <w:r>
              <w:rPr>
                <w:rFonts w:ascii="Courier New" w:cs="Courier New" w:eastAsia="Courier New" w:hAnsi="Courier New"/>
                <w:sz w:val="15"/>
                <w:szCs w:val="15"/>
                <w:color w:val="auto"/>
                <w:w w:val="98"/>
              </w:rPr>
              <w:t>+ these securities in any</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w w:val="99"/>
              </w:rPr>
              <w:t>state where the</w:t>
            </w:r>
          </w:p>
        </w:tc>
        <w:tc>
          <w:tcPr>
            <w:tcW w:w="320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offer or sale is not permitted.</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jc w:val="center"/>
        <w:ind w:right="3239"/>
        <w:spacing w:after="0"/>
        <w:rPr>
          <w:sz w:val="20"/>
          <w:szCs w:val="20"/>
          <w:color w:val="auto"/>
        </w:rPr>
      </w:pPr>
      <w:r>
        <w:rPr>
          <w:rFonts w:ascii="Courier New" w:cs="Courier New" w:eastAsia="Courier New" w:hAnsi="Courier New"/>
          <w:sz w:val="14"/>
          <w:szCs w:val="14"/>
          <w:color w:val="auto"/>
        </w:rPr>
        <w:t>++++++++++++++++++++++++++++++++++++++++++++++++++++++++++++++++++++++++++++++++</w:t>
      </w:r>
    </w:p>
    <w:p>
      <w:pPr>
        <w:spacing w:after="0" w:line="152"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PROSPECTUS</w:t>
      </w:r>
    </w:p>
    <w:p>
      <w:pPr>
        <w:spacing w:after="0" w:line="166"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Subject to completion, dated August 9, 2002</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Schlumberger Limited</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5,000,000 Shares</w:t>
      </w:r>
    </w:p>
    <w:p>
      <w:pPr>
        <w:spacing w:after="0" w:line="166"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Common Stock</w:t>
      </w:r>
    </w:p>
    <w:p>
      <w:pPr>
        <w:spacing w:after="0" w:line="166" w:lineRule="exact"/>
        <w:rPr>
          <w:sz w:val="20"/>
          <w:szCs w:val="20"/>
          <w:color w:val="auto"/>
        </w:rPr>
      </w:pPr>
    </w:p>
    <w:p>
      <w:pPr>
        <w:jc w:val="both"/>
        <w:ind w:right="3239" w:firstLine="437"/>
        <w:spacing w:after="0" w:line="273" w:lineRule="auto"/>
        <w:rPr>
          <w:sz w:val="20"/>
          <w:szCs w:val="20"/>
          <w:color w:val="auto"/>
        </w:rPr>
      </w:pPr>
      <w:r>
        <w:rPr>
          <w:rFonts w:ascii="Courier New" w:cs="Courier New" w:eastAsia="Courier New" w:hAnsi="Courier New"/>
          <w:sz w:val="15"/>
          <w:szCs w:val="15"/>
          <w:color w:val="auto"/>
        </w:rPr>
        <w:t>We may use this prospectus to offer and sell up to 5,000,000 shares of our common stock at various times in connection with business combinations involving our company or our subsidiaries. The common stock covered by this prospectus may be issued in connection with:</w:t>
      </w:r>
    </w:p>
    <w:p>
      <w:pPr>
        <w:spacing w:after="0" w:line="68" w:lineRule="exact"/>
        <w:rPr>
          <w:sz w:val="20"/>
          <w:szCs w:val="20"/>
          <w:color w:val="auto"/>
        </w:rPr>
      </w:pPr>
    </w:p>
    <w:p>
      <w:pPr>
        <w:ind w:left="880" w:right="3939" w:hanging="433"/>
        <w:spacing w:after="0" w:line="344" w:lineRule="auto"/>
        <w:tabs>
          <w:tab w:leader="none" w:pos="88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mergers, consolidations, recapitalizations or similar plans of acquisition;</w:t>
      </w:r>
    </w:p>
    <w:p>
      <w:pPr>
        <w:spacing w:after="0" w:line="17" w:lineRule="exact"/>
        <w:rPr>
          <w:sz w:val="20"/>
          <w:szCs w:val="20"/>
          <w:color w:val="auto"/>
        </w:rPr>
      </w:pPr>
    </w:p>
    <w:p>
      <w:pPr>
        <w:ind w:left="880" w:hanging="433"/>
        <w:spacing w:after="0"/>
        <w:tabs>
          <w:tab w:leader="none" w:pos="88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purchases of some or all of the assets of a business; and</w:t>
      </w:r>
    </w:p>
    <w:p>
      <w:pPr>
        <w:spacing w:after="0" w:line="166" w:lineRule="exact"/>
        <w:rPr>
          <w:sz w:val="20"/>
          <w:szCs w:val="20"/>
          <w:color w:val="auto"/>
        </w:rPr>
      </w:pPr>
    </w:p>
    <w:p>
      <w:pPr>
        <w:ind w:left="880" w:right="3939" w:hanging="433"/>
        <w:spacing w:after="0" w:line="344" w:lineRule="auto"/>
        <w:tabs>
          <w:tab w:leader="none" w:pos="88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exchanges for the outstanding securities, obligations or other interests of a business.</w:t>
      </w:r>
    </w:p>
    <w:p>
      <w:pPr>
        <w:spacing w:after="0" w:line="17" w:lineRule="exact"/>
        <w:rPr>
          <w:sz w:val="20"/>
          <w:szCs w:val="20"/>
          <w:color w:val="auto"/>
        </w:rPr>
      </w:pPr>
    </w:p>
    <w:p>
      <w:pPr>
        <w:ind w:right="3239" w:firstLine="437"/>
        <w:spacing w:after="0" w:line="264" w:lineRule="auto"/>
        <w:rPr>
          <w:sz w:val="20"/>
          <w:szCs w:val="20"/>
          <w:color w:val="auto"/>
        </w:rPr>
      </w:pPr>
      <w:r>
        <w:rPr>
          <w:rFonts w:ascii="Courier New" w:cs="Courier New" w:eastAsia="Courier New" w:hAnsi="Courier New"/>
          <w:sz w:val="15"/>
          <w:szCs w:val="15"/>
          <w:color w:val="auto"/>
        </w:rPr>
        <w:t>We expect that the specific terms of each business combination in which the common stock will be issued will be negotiated with the owners, boards of directors or other controlling persons of the businesses involved. Generally, the shares of common stock covered by the prospectus that are issued in a business combination will be valued:</w:t>
      </w:r>
    </w:p>
    <w:p>
      <w:pPr>
        <w:spacing w:after="0" w:line="75" w:lineRule="exact"/>
        <w:rPr>
          <w:sz w:val="20"/>
          <w:szCs w:val="20"/>
          <w:color w:val="auto"/>
        </w:rPr>
      </w:pPr>
    </w:p>
    <w:p>
      <w:pPr>
        <w:ind w:left="880" w:right="3319" w:hanging="433"/>
        <w:spacing w:after="0" w:line="290" w:lineRule="auto"/>
        <w:tabs>
          <w:tab w:leader="none" w:pos="88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a price based on their market value at the time the business combination is agreed upon or at the time they are delivered pursuant to the combination;</w:t>
      </w:r>
    </w:p>
    <w:p>
      <w:pPr>
        <w:spacing w:after="0" w:line="57" w:lineRule="exact"/>
        <w:rPr>
          <w:sz w:val="20"/>
          <w:szCs w:val="20"/>
          <w:color w:val="auto"/>
        </w:rPr>
      </w:pPr>
    </w:p>
    <w:p>
      <w:pPr>
        <w:ind w:left="880" w:right="3579" w:hanging="433"/>
        <w:spacing w:after="0" w:line="344" w:lineRule="auto"/>
        <w:tabs>
          <w:tab w:leader="none" w:pos="88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a price based on average market prices for periods ending at or near these times; or</w:t>
      </w:r>
    </w:p>
    <w:p>
      <w:pPr>
        <w:spacing w:after="0" w:line="17" w:lineRule="exact"/>
        <w:rPr>
          <w:sz w:val="20"/>
          <w:szCs w:val="20"/>
          <w:color w:val="auto"/>
        </w:rPr>
      </w:pPr>
    </w:p>
    <w:p>
      <w:pPr>
        <w:ind w:left="880" w:hanging="433"/>
        <w:spacing w:after="0"/>
        <w:tabs>
          <w:tab w:leader="none" w:pos="88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such other basis as the parties may agree.</w:t>
      </w:r>
    </w:p>
    <w:p>
      <w:pPr>
        <w:spacing w:after="0" w:line="166" w:lineRule="exact"/>
        <w:rPr>
          <w:sz w:val="20"/>
          <w:szCs w:val="20"/>
          <w:color w:val="auto"/>
        </w:rPr>
      </w:pPr>
    </w:p>
    <w:p>
      <w:pPr>
        <w:ind w:right="3239" w:firstLine="437"/>
        <w:spacing w:after="0" w:line="276" w:lineRule="auto"/>
        <w:rPr>
          <w:sz w:val="20"/>
          <w:szCs w:val="20"/>
          <w:color w:val="auto"/>
        </w:rPr>
      </w:pPr>
      <w:r>
        <w:rPr>
          <w:rFonts w:ascii="Courier New" w:cs="Courier New" w:eastAsia="Courier New" w:hAnsi="Courier New"/>
          <w:sz w:val="14"/>
          <w:szCs w:val="14"/>
          <w:color w:val="auto"/>
        </w:rPr>
        <w:t>We will pay all expenses of this offering. We do not expect to pay underwriting discounts or commissions in connection with issuing these shares, although we may pay investment banking fees or brokers' commissions in connection with specific business combinations. Any person receiving these fees may be deemed an underwriter within the meaning of the Securities Act of 1933, and any profit on the resale of the common stock purchased by them may be deemed to be underwriting discounts or commissions under the Securities Act.</w:t>
      </w:r>
    </w:p>
    <w:p>
      <w:pPr>
        <w:spacing w:after="0" w:line="69" w:lineRule="exact"/>
        <w:rPr>
          <w:sz w:val="20"/>
          <w:szCs w:val="20"/>
          <w:color w:val="auto"/>
        </w:rPr>
      </w:pPr>
    </w:p>
    <w:p>
      <w:pPr>
        <w:ind w:right="3239" w:firstLine="437"/>
        <w:spacing w:after="0" w:line="264" w:lineRule="auto"/>
        <w:rPr>
          <w:sz w:val="20"/>
          <w:szCs w:val="20"/>
          <w:color w:val="auto"/>
        </w:rPr>
      </w:pPr>
      <w:r>
        <w:rPr>
          <w:rFonts w:ascii="Courier New" w:cs="Courier New" w:eastAsia="Courier New" w:hAnsi="Courier New"/>
          <w:sz w:val="15"/>
          <w:szCs w:val="15"/>
          <w:color w:val="auto"/>
        </w:rPr>
        <w:t>We may also permit individuals or entities who have received or will receive shares of our common stock in connection with the business combinations described above to use this prospectus to cover resales of those shares. If this happens, we will not receive any proceeds from such resales. For more information, please read "Reselling Securities."</w:t>
      </w:r>
    </w:p>
    <w:p>
      <w:pPr>
        <w:spacing w:after="0" w:line="75" w:lineRule="exact"/>
        <w:rPr>
          <w:sz w:val="20"/>
          <w:szCs w:val="20"/>
          <w:color w:val="auto"/>
        </w:rPr>
      </w:pPr>
    </w:p>
    <w:p>
      <w:pPr>
        <w:jc w:val="both"/>
        <w:ind w:right="3319" w:firstLine="437"/>
        <w:spacing w:after="0" w:line="290" w:lineRule="auto"/>
        <w:rPr>
          <w:sz w:val="20"/>
          <w:szCs w:val="20"/>
          <w:color w:val="auto"/>
        </w:rPr>
      </w:pPr>
      <w:r>
        <w:rPr>
          <w:rFonts w:ascii="Courier New" w:cs="Courier New" w:eastAsia="Courier New" w:hAnsi="Courier New"/>
          <w:sz w:val="15"/>
          <w:szCs w:val="15"/>
          <w:color w:val="auto"/>
        </w:rPr>
        <w:t>Our common stock is listed on the New York Stock Exchange and traded under the symbol "SLB." The last reported sales price of our common stock on the New York Stock Exchange on August 7, 2002 was $37.33 per share.</w:t>
      </w:r>
    </w:p>
    <w:p>
      <w:pPr>
        <w:spacing w:after="0" w:line="57"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w:t>
      </w:r>
    </w:p>
    <w:p>
      <w:pPr>
        <w:spacing w:after="0" w:line="166" w:lineRule="exact"/>
        <w:rPr>
          <w:sz w:val="20"/>
          <w:szCs w:val="20"/>
          <w:color w:val="auto"/>
        </w:rPr>
      </w:pPr>
    </w:p>
    <w:p>
      <w:pPr>
        <w:jc w:val="both"/>
        <w:ind w:right="3399" w:firstLine="437"/>
        <w:spacing w:after="0" w:line="290" w:lineRule="auto"/>
        <w:rPr>
          <w:sz w:val="20"/>
          <w:szCs w:val="20"/>
          <w:color w:val="auto"/>
        </w:rPr>
      </w:pPr>
      <w:r>
        <w:rPr>
          <w:rFonts w:ascii="Courier New" w:cs="Courier New" w:eastAsia="Courier New" w:hAnsi="Courier New"/>
          <w:sz w:val="15"/>
          <w:szCs w:val="15"/>
          <w:color w:val="auto"/>
        </w:rPr>
        <w:t>Investing in the common stock issued under this prospectus involves risk. Before making any investment in our company, you should consider carefully the risk factors beginning on page __.</w:t>
      </w:r>
    </w:p>
    <w:p>
      <w:pPr>
        <w:spacing w:after="0" w:line="57" w:lineRule="exact"/>
        <w:rPr>
          <w:sz w:val="20"/>
          <w:szCs w:val="20"/>
          <w:color w:val="auto"/>
        </w:rPr>
      </w:pPr>
    </w:p>
    <w:p>
      <w:pPr>
        <w:ind w:right="3239" w:firstLine="437"/>
        <w:spacing w:after="0" w:line="273" w:lineRule="auto"/>
        <w:rPr>
          <w:sz w:val="20"/>
          <w:szCs w:val="20"/>
          <w:color w:val="auto"/>
        </w:rPr>
      </w:pPr>
      <w:r>
        <w:rPr>
          <w:rFonts w:ascii="Courier New" w:cs="Courier New" w:eastAsia="Courier New" w:hAnsi="Courier New"/>
          <w:sz w:val="15"/>
          <w:szCs w:val="15"/>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68" w:lineRule="exact"/>
        <w:rPr>
          <w:sz w:val="20"/>
          <w:szCs w:val="20"/>
          <w:color w:val="auto"/>
        </w:rPr>
      </w:pPr>
    </w:p>
    <w:tbl>
      <w:tblPr>
        <w:tblLayout w:type="fixed"/>
        <w:tblInd w:w="2100" w:type="dxa"/>
        <w:tblCellMar>
          <w:top w:w="0" w:type="dxa"/>
          <w:left w:w="0" w:type="dxa"/>
          <w:bottom w:w="0" w:type="dxa"/>
          <w:right w:w="0" w:type="dxa"/>
        </w:tblCellMar>
      </w:tblPr>
      <w:tr>
        <w:trPr>
          <w:trHeight w:val="245"/>
        </w:trPr>
        <w:tc>
          <w:tcPr>
            <w:tcW w:w="2980" w:type="dxa"/>
            <w:vAlign w:val="bottom"/>
          </w:tcPr>
          <w:p>
            <w:pPr>
              <w:spacing w:after="0"/>
              <w:rPr>
                <w:sz w:val="20"/>
                <w:szCs w:val="20"/>
                <w:color w:val="auto"/>
              </w:rPr>
            </w:pPr>
            <w:r>
              <w:rPr>
                <w:rFonts w:ascii="Courier New" w:cs="Courier New" w:eastAsia="Courier New" w:hAnsi="Courier New"/>
                <w:sz w:val="15"/>
                <w:szCs w:val="15"/>
                <w:color w:val="auto"/>
              </w:rPr>
              <w:t>The date of this prospectus is</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,2002.</w:t>
            </w:r>
          </w:p>
        </w:tc>
      </w:tr>
    </w:tbl>
    <w:p>
      <w:pPr>
        <w:sectPr>
          <w:pgSz w:w="11900" w:h="16838" w:orient="portrait"/>
          <w:cols w:equalWidth="0" w:num="1">
            <w:col w:w="10239"/>
          </w:cols>
          <w:pgMar w:left="220" w:top="598" w:right="1440"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440" w:type="dxa"/>
            <w:vAlign w:val="bottom"/>
          </w:tcPr>
          <w:p>
            <w:pPr>
              <w:ind w:left="2800"/>
              <w:spacing w:after="0"/>
              <w:rPr>
                <w:sz w:val="20"/>
                <w:szCs w:val="20"/>
                <w:color w:val="auto"/>
              </w:rPr>
            </w:pPr>
            <w:r>
              <w:rPr>
                <w:rFonts w:ascii="Courier New" w:cs="Courier New" w:eastAsia="Courier New" w:hAnsi="Courier New"/>
                <w:sz w:val="15"/>
                <w:szCs w:val="15"/>
                <w:color w:val="auto"/>
              </w:rPr>
              <w:t>TABLE OF CONTENTS</w:t>
            </w:r>
          </w:p>
        </w:tc>
        <w:tc>
          <w:tcPr>
            <w:tcW w:w="400" w:type="dxa"/>
            <w:vAlign w:val="bottom"/>
          </w:tcPr>
          <w:p>
            <w:pPr>
              <w:spacing w:after="0"/>
              <w:rPr>
                <w:sz w:val="21"/>
                <w:szCs w:val="21"/>
                <w:color w:val="auto"/>
              </w:rPr>
            </w:pPr>
          </w:p>
        </w:tc>
      </w:tr>
      <w:tr>
        <w:trPr>
          <w:trHeight w:val="596"/>
        </w:trPr>
        <w:tc>
          <w:tcPr>
            <w:tcW w:w="644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Page</w:t>
            </w:r>
          </w:p>
        </w:tc>
      </w:tr>
      <w:tr>
        <w:trPr>
          <w:trHeight w:val="245"/>
        </w:trPr>
        <w:tc>
          <w:tcPr>
            <w:tcW w:w="644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259"/>
        </w:trPr>
        <w:tc>
          <w:tcPr>
            <w:tcW w:w="6440" w:type="dxa"/>
            <w:vAlign w:val="bottom"/>
          </w:tcPr>
          <w:p>
            <w:pPr>
              <w:spacing w:after="0"/>
              <w:rPr>
                <w:sz w:val="20"/>
                <w:szCs w:val="20"/>
                <w:color w:val="auto"/>
              </w:rPr>
            </w:pPr>
            <w:r>
              <w:rPr>
                <w:rFonts w:ascii="Courier New" w:cs="Courier New" w:eastAsia="Courier New" w:hAnsi="Courier New"/>
                <w:sz w:val="15"/>
                <w:szCs w:val="15"/>
                <w:color w:val="auto"/>
                <w:w w:val="97"/>
              </w:rPr>
              <w:t>ABOUT THIS PROSPECTUS ...................................................</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1</w:t>
            </w:r>
          </w:p>
        </w:tc>
      </w:tr>
      <w:tr>
        <w:trPr>
          <w:trHeight w:val="168"/>
        </w:trPr>
        <w:tc>
          <w:tcPr>
            <w:tcW w:w="644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FORWARD-LOOKING STATEMENTS ..............................................</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w:t>
            </w:r>
          </w:p>
        </w:tc>
      </w:tr>
      <w:tr>
        <w:trPr>
          <w:trHeight w:val="168"/>
        </w:trPr>
        <w:tc>
          <w:tcPr>
            <w:tcW w:w="644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SCHLUMBERGER LIMITED ....................................................</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w:t>
            </w:r>
          </w:p>
        </w:tc>
      </w:tr>
      <w:tr>
        <w:trPr>
          <w:trHeight w:val="168"/>
        </w:trPr>
        <w:tc>
          <w:tcPr>
            <w:tcW w:w="644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RISK FACTORS ............................................................</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w:t>
            </w:r>
          </w:p>
        </w:tc>
      </w:tr>
      <w:tr>
        <w:trPr>
          <w:trHeight w:val="168"/>
        </w:trPr>
        <w:tc>
          <w:tcPr>
            <w:tcW w:w="644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USE OF PROCEEDS .........................................................</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w:t>
            </w:r>
          </w:p>
        </w:tc>
      </w:tr>
      <w:tr>
        <w:trPr>
          <w:trHeight w:val="168"/>
        </w:trPr>
        <w:tc>
          <w:tcPr>
            <w:tcW w:w="644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DISTRIBUTION OF SECURITIES ..............................................</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w:t>
            </w:r>
          </w:p>
        </w:tc>
      </w:tr>
      <w:tr>
        <w:trPr>
          <w:trHeight w:val="168"/>
        </w:trPr>
        <w:tc>
          <w:tcPr>
            <w:tcW w:w="644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RESELLING SECURITIES ....................................................</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w:t>
            </w:r>
          </w:p>
        </w:tc>
      </w:tr>
      <w:tr>
        <w:trPr>
          <w:trHeight w:val="168"/>
        </w:trPr>
        <w:tc>
          <w:tcPr>
            <w:tcW w:w="644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DESCRIPTION OF CAPITAL STOCK ............................................</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w:t>
            </w:r>
          </w:p>
        </w:tc>
      </w:tr>
      <w:tr>
        <w:trPr>
          <w:trHeight w:val="168"/>
        </w:trPr>
        <w:tc>
          <w:tcPr>
            <w:tcW w:w="644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LEGAL MATTERS ...........................................................</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w:t>
            </w:r>
          </w:p>
        </w:tc>
      </w:tr>
      <w:tr>
        <w:trPr>
          <w:trHeight w:val="168"/>
        </w:trPr>
        <w:tc>
          <w:tcPr>
            <w:tcW w:w="644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EXPERTS .................................................................</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w:t>
            </w:r>
          </w:p>
        </w:tc>
      </w:tr>
      <w:tr>
        <w:trPr>
          <w:trHeight w:val="168"/>
        </w:trPr>
        <w:tc>
          <w:tcPr>
            <w:tcW w:w="644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WHERE YOU CAN FIND MORE INFORMATION .....................................</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w:t>
            </w:r>
          </w:p>
        </w:tc>
      </w:tr>
      <w:tr>
        <w:trPr>
          <w:trHeight w:val="245"/>
        </w:trPr>
        <w:tc>
          <w:tcPr>
            <w:tcW w:w="6440" w:type="dxa"/>
            <w:vAlign w:val="bottom"/>
          </w:tcPr>
          <w:p>
            <w:pPr>
              <w:spacing w:after="0"/>
              <w:rPr>
                <w:sz w:val="20"/>
                <w:szCs w:val="20"/>
                <w:color w:val="auto"/>
              </w:rPr>
            </w:pPr>
            <w:r>
              <w:rPr>
                <w:rFonts w:ascii="Courier New" w:cs="Courier New" w:eastAsia="Courier New" w:hAnsi="Courier New"/>
                <w:sz w:val="15"/>
                <w:szCs w:val="15"/>
                <w:color w:val="auto"/>
                <w:w w:val="97"/>
              </w:rPr>
              <w:t>INDEX TO FINANCIAL STATEMENTS ...........................................</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F-1</w:t>
            </w:r>
          </w:p>
        </w:tc>
      </w:tr>
      <w:tr>
        <w:trPr>
          <w:trHeight w:val="505"/>
        </w:trPr>
        <w:tc>
          <w:tcPr>
            <w:tcW w:w="6440" w:type="dxa"/>
            <w:vAlign w:val="bottom"/>
          </w:tcPr>
          <w:p>
            <w:pPr>
              <w:ind w:left="2900"/>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24"/>
                <w:szCs w:val="24"/>
                <w:color w:val="auto"/>
              </w:rPr>
            </w:pPr>
          </w:p>
        </w:tc>
      </w:tr>
    </w:tbl>
    <w:p>
      <w:pPr>
        <w:spacing w:after="0" w:line="91" w:lineRule="exact"/>
        <w:rPr>
          <w:sz w:val="20"/>
          <w:szCs w:val="20"/>
          <w:color w:val="auto"/>
        </w:rPr>
      </w:pPr>
    </w:p>
    <w:p>
      <w:pPr>
        <w:ind w:right="3239" w:firstLine="525"/>
        <w:spacing w:after="0" w:line="255" w:lineRule="auto"/>
        <w:rPr>
          <w:sz w:val="20"/>
          <w:szCs w:val="20"/>
          <w:color w:val="auto"/>
        </w:rPr>
      </w:pPr>
      <w:r>
        <w:rPr>
          <w:rFonts w:ascii="Courier New" w:cs="Courier New" w:eastAsia="Courier New" w:hAnsi="Courier New"/>
          <w:sz w:val="15"/>
          <w:szCs w:val="15"/>
          <w:color w:val="auto"/>
        </w:rPr>
        <w:t>You should rely only on the information contained in this prospectus. We have not authorized anyone to provide you with different information. You should assume that the information appearing in this prospectus is accurate only as of the date on the front cover of this prospectus and that any information we have incorporated by reference is accurate only as of the date of the document incorporated by reference. Our business, financial condition, results of operations and prospects may have changed since those dates.</w:t>
      </w:r>
    </w:p>
    <w:p>
      <w:pPr>
        <w:spacing w:after="0" w:line="82"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ABOUT THIS PROSPECTUS</w:t>
      </w:r>
    </w:p>
    <w:p>
      <w:pPr>
        <w:spacing w:after="0" w:line="166" w:lineRule="exact"/>
        <w:rPr>
          <w:sz w:val="20"/>
          <w:szCs w:val="20"/>
          <w:color w:val="auto"/>
        </w:rPr>
      </w:pPr>
    </w:p>
    <w:p>
      <w:pPr>
        <w:ind w:right="3239" w:firstLine="525"/>
        <w:spacing w:after="0" w:line="273" w:lineRule="auto"/>
        <w:rPr>
          <w:sz w:val="20"/>
          <w:szCs w:val="20"/>
          <w:color w:val="auto"/>
        </w:rPr>
      </w:pPr>
      <w:r>
        <w:rPr>
          <w:rFonts w:ascii="Courier New" w:cs="Courier New" w:eastAsia="Courier New" w:hAnsi="Courier New"/>
          <w:sz w:val="14"/>
          <w:szCs w:val="14"/>
          <w:color w:val="auto"/>
        </w:rPr>
        <w:t>This prospectus is part of a registration statement that we filed with the Securities and Exchange Commission, which we refer to as the SEC, using the SEC's shelf registration rules. This prospectus provides you with a general description of the securities we may sell. Depending on the terms of the transaction, when we sell securities under this prospectus, we may provide a prospectus supplement that will contain specific information about the terms of that offering if required by the securities laws. The prospectus supplement may also add, update or change information contained in this prospectus.</w:t>
      </w:r>
    </w:p>
    <w:p>
      <w:pPr>
        <w:spacing w:after="0" w:line="71" w:lineRule="exact"/>
        <w:rPr>
          <w:sz w:val="20"/>
          <w:szCs w:val="20"/>
          <w:color w:val="auto"/>
        </w:rPr>
      </w:pPr>
    </w:p>
    <w:p>
      <w:pPr>
        <w:ind w:right="3239" w:firstLine="525"/>
        <w:spacing w:after="0" w:line="269" w:lineRule="auto"/>
        <w:rPr>
          <w:sz w:val="20"/>
          <w:szCs w:val="20"/>
          <w:color w:val="auto"/>
        </w:rPr>
      </w:pPr>
      <w:r>
        <w:rPr>
          <w:rFonts w:ascii="Courier New" w:cs="Courier New" w:eastAsia="Courier New" w:hAnsi="Courier New"/>
          <w:sz w:val="14"/>
          <w:szCs w:val="14"/>
          <w:color w:val="auto"/>
        </w:rPr>
        <w:t>Under the shelf registration rules, using this prospectus, together with a prospectus supplement, if one is required, we may sell from time to time, in one or more offerings, up to 5,000,000 shares of our common stock. We may issue the securities directly or through our subsidiaries in connection with (1) mergers, consolidations, recapitalizations or similar plans of acquisition, (2) purchases of some or all of the assets of a business, or (3) exchanges for the outstanding securities, obligations or other interests of a business. We expect that the specific terms of each business combination in which the common stock will be issued will be negotiated with the owners, boards of directors or other controlling persons of the businesses involved.</w:t>
      </w:r>
    </w:p>
    <w:p>
      <w:pPr>
        <w:spacing w:after="0" w:line="73" w:lineRule="exact"/>
        <w:rPr>
          <w:sz w:val="20"/>
          <w:szCs w:val="20"/>
          <w:color w:val="auto"/>
        </w:rPr>
      </w:pPr>
    </w:p>
    <w:p>
      <w:pPr>
        <w:ind w:right="3239" w:firstLine="525"/>
        <w:spacing w:after="0" w:line="252" w:lineRule="auto"/>
        <w:rPr>
          <w:sz w:val="20"/>
          <w:szCs w:val="20"/>
          <w:color w:val="auto"/>
        </w:rPr>
      </w:pPr>
      <w:r>
        <w:rPr>
          <w:rFonts w:ascii="Courier New" w:cs="Courier New" w:eastAsia="Courier New" w:hAnsi="Courier New"/>
          <w:sz w:val="15"/>
          <w:szCs w:val="15"/>
          <w:color w:val="auto"/>
        </w:rPr>
        <w:t>With our consent, persons who have received or will receive securities under this prospectus in connection with business combinations may use this prospectus to sell such securities at a later date. We refer to these persons in the prospectus as selling security holders or selling shareholders. If required by the securities laws, these selling security holders will be named in a prospectus supplement. Please see the information described under the heading "Reselling Securities" to find out more information about resales of the securities by the selling security holders.</w:t>
      </w:r>
    </w:p>
    <w:p>
      <w:pPr>
        <w:spacing w:after="0" w:line="86" w:lineRule="exact"/>
        <w:rPr>
          <w:sz w:val="20"/>
          <w:szCs w:val="20"/>
          <w:color w:val="auto"/>
        </w:rPr>
      </w:pPr>
    </w:p>
    <w:p>
      <w:pPr>
        <w:ind w:right="3319" w:firstLine="525"/>
        <w:spacing w:after="0" w:line="273" w:lineRule="auto"/>
        <w:rPr>
          <w:sz w:val="20"/>
          <w:szCs w:val="20"/>
          <w:color w:val="auto"/>
        </w:rPr>
      </w:pPr>
      <w:r>
        <w:rPr>
          <w:rFonts w:ascii="Courier New" w:cs="Courier New" w:eastAsia="Courier New" w:hAnsi="Courier New"/>
          <w:sz w:val="15"/>
          <w:szCs w:val="15"/>
          <w:color w:val="auto"/>
        </w:rPr>
        <w:t>Market information in the incorporated documents is generally based on company estimates and not third party sources. You should read this prospectus, the applicable prospectus supplement and the additional information described below under "Where You Can Find More Information."</w:t>
      </w:r>
    </w:p>
    <w:p>
      <w:pPr>
        <w:spacing w:after="0" w:line="6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39"/>
          </w:cols>
          <w:pgMar w:left="220" w:top="598" w:right="1440" w:bottom="1440" w:gutter="0" w:footer="0" w:header="0"/>
        </w:sectPr>
      </w:pPr>
    </w:p>
    <w:bookmarkStart w:id="4" w:name="page5"/>
    <w:bookmarkEnd w:id="4"/>
    <w:p>
      <w:pPr>
        <w:ind w:left="2380"/>
        <w:spacing w:after="0"/>
        <w:rPr>
          <w:sz w:val="20"/>
          <w:szCs w:val="20"/>
          <w:color w:val="auto"/>
        </w:rPr>
      </w:pPr>
      <w:r>
        <w:rPr>
          <w:rFonts w:ascii="Courier New" w:cs="Courier New" w:eastAsia="Courier New" w:hAnsi="Courier New"/>
          <w:sz w:val="15"/>
          <w:szCs w:val="15"/>
          <w:color w:val="auto"/>
        </w:rPr>
        <w:t>FORWARD-LOOKING STATEMENTS</w:t>
      </w:r>
    </w:p>
    <w:p>
      <w:pPr>
        <w:spacing w:after="0" w:line="166" w:lineRule="exact"/>
        <w:rPr>
          <w:sz w:val="20"/>
          <w:szCs w:val="20"/>
          <w:color w:val="auto"/>
        </w:rPr>
      </w:pPr>
    </w:p>
    <w:p>
      <w:pPr>
        <w:ind w:right="3239" w:firstLine="525"/>
        <w:spacing w:after="0" w:line="250" w:lineRule="auto"/>
        <w:rPr>
          <w:sz w:val="20"/>
          <w:szCs w:val="20"/>
          <w:color w:val="auto"/>
        </w:rPr>
      </w:pPr>
      <w:r>
        <w:rPr>
          <w:rFonts w:ascii="Courier New" w:cs="Courier New" w:eastAsia="Courier New" w:hAnsi="Courier New"/>
          <w:sz w:val="15"/>
          <w:szCs w:val="15"/>
          <w:color w:val="auto"/>
        </w:rPr>
        <w:t>This document and the documents incorporated by reference in this prospectus contain both historical and forward-looking statements. All statements other than statements of historical fact are, or may be deemed to be, forward-looking statements within the meaning of Section 27A of the Securities Act of 1933 and Section 21E of the Securities Exchange Act of 1934. Forward-looking statements include the information concerning our possible or assumed future results of operations, including statements identified as forward-looking statements in documents incorporated by reference in this prospectus and statements about the following subjects:</w:t>
      </w:r>
    </w:p>
    <w:p>
      <w:pPr>
        <w:spacing w:after="0" w:line="200" w:lineRule="exact"/>
        <w:rPr>
          <w:sz w:val="20"/>
          <w:szCs w:val="20"/>
          <w:color w:val="auto"/>
        </w:rPr>
      </w:pPr>
    </w:p>
    <w:p>
      <w:pPr>
        <w:spacing w:after="0" w:line="224" w:lineRule="exact"/>
        <w:rPr>
          <w:sz w:val="20"/>
          <w:szCs w:val="20"/>
          <w:color w:val="auto"/>
        </w:rPr>
      </w:pPr>
    </w:p>
    <w:tbl>
      <w:tblPr>
        <w:tblLayout w:type="fixed"/>
        <w:tblInd w:w="540" w:type="dxa"/>
        <w:tblCellMar>
          <w:top w:w="0" w:type="dxa"/>
          <w:left w:w="0" w:type="dxa"/>
          <w:bottom w:w="0" w:type="dxa"/>
          <w:right w:w="0" w:type="dxa"/>
        </w:tblCellMar>
      </w:tblPr>
      <w:tr>
        <w:trPr>
          <w:trHeight w:val="170"/>
        </w:trPr>
        <w:tc>
          <w:tcPr>
            <w:tcW w:w="160" w:type="dxa"/>
            <w:vAlign w:val="bottom"/>
          </w:tcPr>
          <w:p>
            <w:pPr>
              <w:jc w:val="right"/>
              <w:ind w:right="12"/>
              <w:spacing w:after="0"/>
              <w:rPr>
                <w:sz w:val="20"/>
                <w:szCs w:val="20"/>
                <w:color w:val="auto"/>
              </w:rPr>
            </w:pPr>
            <w:r>
              <w:rPr>
                <w:rFonts w:ascii="Courier New" w:cs="Courier New" w:eastAsia="Courier New" w:hAnsi="Courier New"/>
                <w:sz w:val="14"/>
                <w:szCs w:val="14"/>
                <w:color w:val="auto"/>
                <w:w w:val="70"/>
              </w:rPr>
              <w:t>.</w:t>
            </w:r>
          </w:p>
        </w:tc>
        <w:tc>
          <w:tcPr>
            <w:tcW w:w="3460" w:type="dxa"/>
            <w:vAlign w:val="bottom"/>
          </w:tcPr>
          <w:p>
            <w:pPr>
              <w:ind w:left="100"/>
              <w:spacing w:after="0"/>
              <w:rPr>
                <w:sz w:val="20"/>
                <w:szCs w:val="20"/>
                <w:color w:val="auto"/>
              </w:rPr>
            </w:pPr>
            <w:r>
              <w:rPr>
                <w:rFonts w:ascii="Courier New" w:cs="Courier New" w:eastAsia="Courier New" w:hAnsi="Courier New"/>
                <w:sz w:val="15"/>
                <w:szCs w:val="15"/>
                <w:color w:val="auto"/>
              </w:rPr>
              <w:t>business strategies;</w:t>
            </w:r>
          </w:p>
        </w:tc>
        <w:tc>
          <w:tcPr>
            <w:tcW w:w="4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44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future dividends;</w:t>
            </w:r>
          </w:p>
        </w:tc>
      </w:tr>
      <w:tr>
        <w:trPr>
          <w:trHeight w:val="168"/>
        </w:trPr>
        <w:tc>
          <w:tcPr>
            <w:tcW w:w="160" w:type="dxa"/>
            <w:vAlign w:val="bottom"/>
          </w:tcPr>
          <w:p>
            <w:pPr>
              <w:jc w:val="right"/>
              <w:ind w:right="12"/>
              <w:spacing w:after="0"/>
              <w:rPr>
                <w:sz w:val="20"/>
                <w:szCs w:val="20"/>
                <w:color w:val="auto"/>
              </w:rPr>
            </w:pPr>
            <w:r>
              <w:rPr>
                <w:rFonts w:ascii="Courier New" w:cs="Courier New" w:eastAsia="Courier New" w:hAnsi="Courier New"/>
                <w:sz w:val="14"/>
                <w:szCs w:val="14"/>
                <w:color w:val="auto"/>
                <w:w w:val="70"/>
              </w:rPr>
              <w:t>.</w:t>
            </w:r>
          </w:p>
        </w:tc>
        <w:tc>
          <w:tcPr>
            <w:tcW w:w="34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operating efficiencies or synergies;</w:t>
            </w:r>
          </w:p>
        </w:tc>
        <w:tc>
          <w:tcPr>
            <w:tcW w:w="4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446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financing plans;</w:t>
            </w:r>
          </w:p>
        </w:tc>
      </w:tr>
      <w:tr>
        <w:trPr>
          <w:trHeight w:val="168"/>
        </w:trPr>
        <w:tc>
          <w:tcPr>
            <w:tcW w:w="160" w:type="dxa"/>
            <w:vAlign w:val="bottom"/>
          </w:tcPr>
          <w:p>
            <w:pPr>
              <w:jc w:val="right"/>
              <w:ind w:right="12"/>
              <w:spacing w:after="0"/>
              <w:rPr>
                <w:sz w:val="20"/>
                <w:szCs w:val="20"/>
                <w:color w:val="auto"/>
              </w:rPr>
            </w:pPr>
            <w:r>
              <w:rPr>
                <w:rFonts w:ascii="Courier New" w:cs="Courier New" w:eastAsia="Courier New" w:hAnsi="Courier New"/>
                <w:sz w:val="14"/>
                <w:szCs w:val="14"/>
                <w:color w:val="auto"/>
                <w:w w:val="70"/>
              </w:rPr>
              <w:t>.</w:t>
            </w:r>
          </w:p>
        </w:tc>
        <w:tc>
          <w:tcPr>
            <w:tcW w:w="34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growth opportunities;</w:t>
            </w:r>
          </w:p>
        </w:tc>
        <w:tc>
          <w:tcPr>
            <w:tcW w:w="4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budgets for</w:t>
            </w:r>
          </w:p>
        </w:tc>
        <w:tc>
          <w:tcPr>
            <w:tcW w:w="33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capital and other expenditures;</w:t>
            </w:r>
          </w:p>
        </w:tc>
      </w:tr>
      <w:tr>
        <w:trPr>
          <w:trHeight w:val="168"/>
        </w:trPr>
        <w:tc>
          <w:tcPr>
            <w:tcW w:w="160" w:type="dxa"/>
            <w:vAlign w:val="bottom"/>
          </w:tcPr>
          <w:p>
            <w:pPr>
              <w:jc w:val="right"/>
              <w:ind w:right="12"/>
              <w:spacing w:after="0"/>
              <w:rPr>
                <w:sz w:val="20"/>
                <w:szCs w:val="20"/>
                <w:color w:val="auto"/>
              </w:rPr>
            </w:pPr>
            <w:r>
              <w:rPr>
                <w:rFonts w:ascii="Courier New" w:cs="Courier New" w:eastAsia="Courier New" w:hAnsi="Courier New"/>
                <w:sz w:val="14"/>
                <w:szCs w:val="14"/>
                <w:color w:val="auto"/>
                <w:w w:val="70"/>
              </w:rPr>
              <w:t>.</w:t>
            </w:r>
          </w:p>
        </w:tc>
        <w:tc>
          <w:tcPr>
            <w:tcW w:w="34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competitive position;</w:t>
            </w:r>
          </w:p>
        </w:tc>
        <w:tc>
          <w:tcPr>
            <w:tcW w:w="4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446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w w:val="96"/>
              </w:rPr>
              <w:t>timing and cost of completion of capital projects;</w:t>
            </w:r>
          </w:p>
        </w:tc>
      </w:tr>
      <w:tr>
        <w:trPr>
          <w:trHeight w:val="168"/>
        </w:trPr>
        <w:tc>
          <w:tcPr>
            <w:tcW w:w="160" w:type="dxa"/>
            <w:vAlign w:val="bottom"/>
          </w:tcPr>
          <w:p>
            <w:pPr>
              <w:jc w:val="right"/>
              <w:ind w:right="12"/>
              <w:spacing w:after="0"/>
              <w:rPr>
                <w:sz w:val="20"/>
                <w:szCs w:val="20"/>
                <w:color w:val="auto"/>
              </w:rPr>
            </w:pPr>
            <w:r>
              <w:rPr>
                <w:rFonts w:ascii="Courier New" w:cs="Courier New" w:eastAsia="Courier New" w:hAnsi="Courier New"/>
                <w:sz w:val="14"/>
                <w:szCs w:val="14"/>
                <w:color w:val="auto"/>
                <w:w w:val="70"/>
              </w:rPr>
              <w:t>.</w:t>
            </w:r>
          </w:p>
        </w:tc>
        <w:tc>
          <w:tcPr>
            <w:tcW w:w="34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business or market outlook;</w:t>
            </w:r>
          </w:p>
        </w:tc>
        <w:tc>
          <w:tcPr>
            <w:tcW w:w="4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performance</w:t>
            </w:r>
          </w:p>
        </w:tc>
        <w:tc>
          <w:tcPr>
            <w:tcW w:w="33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of contracts;</w:t>
            </w:r>
          </w:p>
        </w:tc>
      </w:tr>
      <w:tr>
        <w:trPr>
          <w:trHeight w:val="168"/>
        </w:trPr>
        <w:tc>
          <w:tcPr>
            <w:tcW w:w="160" w:type="dxa"/>
            <w:vAlign w:val="bottom"/>
          </w:tcPr>
          <w:p>
            <w:pPr>
              <w:jc w:val="right"/>
              <w:ind w:right="12"/>
              <w:spacing w:after="0"/>
              <w:rPr>
                <w:sz w:val="20"/>
                <w:szCs w:val="20"/>
                <w:color w:val="auto"/>
              </w:rPr>
            </w:pPr>
            <w:r>
              <w:rPr>
                <w:rFonts w:ascii="Courier New" w:cs="Courier New" w:eastAsia="Courier New" w:hAnsi="Courier New"/>
                <w:sz w:val="14"/>
                <w:szCs w:val="14"/>
                <w:color w:val="auto"/>
                <w:w w:val="70"/>
              </w:rPr>
              <w:t>.</w:t>
            </w:r>
          </w:p>
        </w:tc>
        <w:tc>
          <w:tcPr>
            <w:tcW w:w="34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expected financial position;</w:t>
            </w:r>
          </w:p>
        </w:tc>
        <w:tc>
          <w:tcPr>
            <w:tcW w:w="4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outcomes of</w:t>
            </w:r>
          </w:p>
        </w:tc>
        <w:tc>
          <w:tcPr>
            <w:tcW w:w="33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legal proceedings;</w:t>
            </w:r>
          </w:p>
        </w:tc>
      </w:tr>
      <w:tr>
        <w:trPr>
          <w:trHeight w:val="168"/>
        </w:trPr>
        <w:tc>
          <w:tcPr>
            <w:tcW w:w="160" w:type="dxa"/>
            <w:vAlign w:val="bottom"/>
          </w:tcPr>
          <w:p>
            <w:pPr>
              <w:jc w:val="right"/>
              <w:ind w:right="12"/>
              <w:spacing w:after="0"/>
              <w:rPr>
                <w:sz w:val="20"/>
                <w:szCs w:val="20"/>
                <w:color w:val="auto"/>
              </w:rPr>
            </w:pPr>
            <w:r>
              <w:rPr>
                <w:rFonts w:ascii="Courier New" w:cs="Courier New" w:eastAsia="Courier New" w:hAnsi="Courier New"/>
                <w:sz w:val="14"/>
                <w:szCs w:val="14"/>
                <w:color w:val="auto"/>
                <w:w w:val="70"/>
              </w:rPr>
              <w:t>.</w:t>
            </w:r>
          </w:p>
        </w:tc>
        <w:tc>
          <w:tcPr>
            <w:tcW w:w="34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expected results of operations;</w:t>
            </w:r>
          </w:p>
        </w:tc>
        <w:tc>
          <w:tcPr>
            <w:tcW w:w="4860" w:type="dxa"/>
            <w:vAlign w:val="bottom"/>
            <w:gridSpan w:val="3"/>
          </w:tcPr>
          <w:p>
            <w:pPr>
              <w:ind w:left="220"/>
              <w:spacing w:after="0" w:line="168" w:lineRule="exact"/>
              <w:rPr>
                <w:sz w:val="20"/>
                <w:szCs w:val="20"/>
                <w:color w:val="auto"/>
              </w:rPr>
            </w:pPr>
            <w:r>
              <w:rPr>
                <w:rFonts w:ascii="Courier New" w:cs="Courier New" w:eastAsia="Courier New" w:hAnsi="Courier New"/>
                <w:sz w:val="15"/>
                <w:szCs w:val="15"/>
                <w:color w:val="auto"/>
              </w:rPr>
              <w:t>.  compliance with applicable laws; and</w:t>
            </w:r>
          </w:p>
        </w:tc>
      </w:tr>
      <w:tr>
        <w:trPr>
          <w:trHeight w:val="245"/>
        </w:trPr>
        <w:tc>
          <w:tcPr>
            <w:tcW w:w="160" w:type="dxa"/>
            <w:vAlign w:val="bottom"/>
          </w:tcPr>
          <w:p>
            <w:pPr>
              <w:jc w:val="right"/>
              <w:ind w:right="12"/>
              <w:spacing w:after="0"/>
              <w:rPr>
                <w:sz w:val="20"/>
                <w:szCs w:val="20"/>
                <w:color w:val="auto"/>
              </w:rPr>
            </w:pPr>
            <w:r>
              <w:rPr>
                <w:rFonts w:ascii="Courier New" w:cs="Courier New" w:eastAsia="Courier New" w:hAnsi="Courier New"/>
                <w:sz w:val="14"/>
                <w:szCs w:val="14"/>
                <w:color w:val="auto"/>
                <w:w w:val="70"/>
              </w:rPr>
              <w:t>.</w:t>
            </w:r>
          </w:p>
        </w:tc>
        <w:tc>
          <w:tcPr>
            <w:tcW w:w="3460" w:type="dxa"/>
            <w:vAlign w:val="bottom"/>
          </w:tcPr>
          <w:p>
            <w:pPr>
              <w:ind w:left="100"/>
              <w:spacing w:after="0"/>
              <w:rPr>
                <w:sz w:val="20"/>
                <w:szCs w:val="20"/>
                <w:color w:val="auto"/>
              </w:rPr>
            </w:pPr>
            <w:r>
              <w:rPr>
                <w:rFonts w:ascii="Courier New" w:cs="Courier New" w:eastAsia="Courier New" w:hAnsi="Courier New"/>
                <w:sz w:val="15"/>
                <w:szCs w:val="15"/>
                <w:color w:val="auto"/>
              </w:rPr>
              <w:t>future cash flows;</w:t>
            </w:r>
          </w:p>
        </w:tc>
        <w:tc>
          <w:tcPr>
            <w:tcW w:w="4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adequacy of</w:t>
            </w:r>
          </w:p>
        </w:tc>
        <w:tc>
          <w:tcPr>
            <w:tcW w:w="3360" w:type="dxa"/>
            <w:vAlign w:val="bottom"/>
          </w:tcPr>
          <w:p>
            <w:pPr>
              <w:ind w:left="40"/>
              <w:spacing w:after="0"/>
              <w:rPr>
                <w:sz w:val="20"/>
                <w:szCs w:val="20"/>
                <w:color w:val="auto"/>
              </w:rPr>
            </w:pPr>
            <w:r>
              <w:rPr>
                <w:rFonts w:ascii="Courier New" w:cs="Courier New" w:eastAsia="Courier New" w:hAnsi="Courier New"/>
                <w:sz w:val="15"/>
                <w:szCs w:val="15"/>
                <w:color w:val="auto"/>
              </w:rPr>
              <w:t>insurance.</w:t>
            </w:r>
          </w:p>
        </w:tc>
      </w:tr>
    </w:tbl>
    <w:p>
      <w:pPr>
        <w:spacing w:after="0" w:line="259"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Forward-looking statements are generally identifiable by use of the</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60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6"/>
              </w:rPr>
              <w:t>following words and other similar expressions, among</w:t>
            </w:r>
          </w:p>
        </w:tc>
        <w:tc>
          <w:tcPr>
            <w:tcW w:w="1180" w:type="dxa"/>
            <w:vAlign w:val="bottom"/>
          </w:tcPr>
          <w:p>
            <w:pPr>
              <w:ind w:left="40"/>
              <w:spacing w:after="0"/>
              <w:rPr>
                <w:sz w:val="20"/>
                <w:szCs w:val="20"/>
                <w:color w:val="auto"/>
              </w:rPr>
            </w:pPr>
            <w:r>
              <w:rPr>
                <w:rFonts w:ascii="Courier New" w:cs="Courier New" w:eastAsia="Courier New" w:hAnsi="Courier New"/>
                <w:sz w:val="15"/>
                <w:szCs w:val="15"/>
                <w:color w:val="auto"/>
              </w:rPr>
              <w:t>others:</w:t>
            </w:r>
          </w:p>
        </w:tc>
      </w:tr>
      <w:tr>
        <w:trPr>
          <w:trHeight w:val="233"/>
        </w:trPr>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2460" w:type="dxa"/>
            <w:vAlign w:val="bottom"/>
          </w:tcPr>
          <w:p>
            <w:pPr>
              <w:ind w:left="100"/>
              <w:spacing w:after="0"/>
              <w:rPr>
                <w:sz w:val="20"/>
                <w:szCs w:val="20"/>
                <w:color w:val="auto"/>
              </w:rPr>
            </w:pPr>
            <w:r>
              <w:rPr>
                <w:rFonts w:ascii="Courier New" w:cs="Courier New" w:eastAsia="Courier New" w:hAnsi="Courier New"/>
                <w:sz w:val="15"/>
                <w:szCs w:val="15"/>
                <w:color w:val="auto"/>
              </w:rPr>
              <w:t>"anticipate";</w:t>
            </w:r>
          </w:p>
        </w:tc>
        <w:tc>
          <w:tcPr>
            <w:tcW w:w="14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ind w:left="40"/>
              <w:spacing w:after="0"/>
              <w:rPr>
                <w:sz w:val="20"/>
                <w:szCs w:val="20"/>
                <w:color w:val="auto"/>
              </w:rPr>
            </w:pPr>
            <w:r>
              <w:rPr>
                <w:rFonts w:ascii="Courier New" w:cs="Courier New" w:eastAsia="Courier New" w:hAnsi="Courier New"/>
                <w:sz w:val="15"/>
                <w:szCs w:val="15"/>
                <w:color w:val="auto"/>
              </w:rPr>
              <w:t>"may";</w:t>
            </w:r>
          </w:p>
        </w:tc>
      </w:tr>
      <w:tr>
        <w:trPr>
          <w:trHeight w:val="168"/>
        </w:trPr>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24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"believe";</w:t>
            </w:r>
          </w:p>
        </w:tc>
        <w:tc>
          <w:tcPr>
            <w:tcW w:w="14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"might";</w:t>
            </w:r>
          </w:p>
        </w:tc>
      </w:tr>
      <w:tr>
        <w:trPr>
          <w:trHeight w:val="168"/>
        </w:trPr>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24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"budget";</w:t>
            </w:r>
          </w:p>
        </w:tc>
        <w:tc>
          <w:tcPr>
            <w:tcW w:w="14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"plan";</w:t>
            </w:r>
          </w:p>
        </w:tc>
      </w:tr>
      <w:tr>
        <w:trPr>
          <w:trHeight w:val="168"/>
        </w:trPr>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24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"could";</w:t>
            </w:r>
          </w:p>
        </w:tc>
        <w:tc>
          <w:tcPr>
            <w:tcW w:w="14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"predict";</w:t>
            </w:r>
          </w:p>
        </w:tc>
      </w:tr>
      <w:tr>
        <w:trPr>
          <w:trHeight w:val="168"/>
        </w:trPr>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24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"estimate";</w:t>
            </w:r>
          </w:p>
        </w:tc>
        <w:tc>
          <w:tcPr>
            <w:tcW w:w="14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"project";</w:t>
            </w:r>
          </w:p>
        </w:tc>
      </w:tr>
      <w:tr>
        <w:trPr>
          <w:trHeight w:val="168"/>
        </w:trPr>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24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"expect";</w:t>
            </w:r>
          </w:p>
        </w:tc>
        <w:tc>
          <w:tcPr>
            <w:tcW w:w="14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"shall";</w:t>
            </w:r>
          </w:p>
        </w:tc>
      </w:tr>
      <w:tr>
        <w:trPr>
          <w:trHeight w:val="168"/>
        </w:trPr>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24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"forecast";</w:t>
            </w:r>
          </w:p>
        </w:tc>
        <w:tc>
          <w:tcPr>
            <w:tcW w:w="14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5"/>
              </w:rPr>
              <w:t>"should"; and</w:t>
            </w:r>
          </w:p>
        </w:tc>
      </w:tr>
      <w:tr>
        <w:trPr>
          <w:trHeight w:val="245"/>
        </w:trPr>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2460" w:type="dxa"/>
            <w:vAlign w:val="bottom"/>
          </w:tcPr>
          <w:p>
            <w:pPr>
              <w:ind w:left="100"/>
              <w:spacing w:after="0"/>
              <w:rPr>
                <w:sz w:val="20"/>
                <w:szCs w:val="20"/>
                <w:color w:val="auto"/>
              </w:rPr>
            </w:pPr>
            <w:r>
              <w:rPr>
                <w:rFonts w:ascii="Courier New" w:cs="Courier New" w:eastAsia="Courier New" w:hAnsi="Courier New"/>
                <w:sz w:val="15"/>
                <w:szCs w:val="15"/>
                <w:color w:val="auto"/>
              </w:rPr>
              <w:t>"intend";</w:t>
            </w:r>
          </w:p>
        </w:tc>
        <w:tc>
          <w:tcPr>
            <w:tcW w:w="14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ind w:left="40"/>
              <w:spacing w:after="0"/>
              <w:rPr>
                <w:sz w:val="20"/>
                <w:szCs w:val="20"/>
                <w:color w:val="auto"/>
              </w:rPr>
            </w:pPr>
            <w:r>
              <w:rPr>
                <w:rFonts w:ascii="Courier New" w:cs="Courier New" w:eastAsia="Courier New" w:hAnsi="Courier New"/>
                <w:sz w:val="15"/>
                <w:szCs w:val="15"/>
                <w:color w:val="auto"/>
              </w:rPr>
              <w:t>"will"</w:t>
            </w:r>
          </w:p>
        </w:tc>
      </w:tr>
    </w:tbl>
    <w:p>
      <w:pPr>
        <w:spacing w:after="0" w:line="91" w:lineRule="exact"/>
        <w:rPr>
          <w:sz w:val="20"/>
          <w:szCs w:val="20"/>
          <w:color w:val="auto"/>
        </w:rPr>
      </w:pPr>
    </w:p>
    <w:p>
      <w:pPr>
        <w:ind w:right="3319" w:firstLine="525"/>
        <w:spacing w:after="0" w:line="270" w:lineRule="auto"/>
        <w:rPr>
          <w:sz w:val="20"/>
          <w:szCs w:val="20"/>
          <w:color w:val="auto"/>
        </w:rPr>
      </w:pPr>
      <w:r>
        <w:rPr>
          <w:rFonts w:ascii="Courier New" w:cs="Courier New" w:eastAsia="Courier New" w:hAnsi="Courier New"/>
          <w:sz w:val="14"/>
          <w:szCs w:val="14"/>
          <w:color w:val="auto"/>
        </w:rPr>
        <w:t>All of the forward-looking statements are qualified in their entirety by reference to the factors discussed under the caption "Risk Factors" in this prospectus and any applicable prospectus supplement and in the "Management's Discussion and Analysis of Financial Condition and Results of Operations" and "Business" sections of our Annual Report on Form 10-K for the fiscal year ended December 31, 2001, and in any subsequent SEC filings. If one or more of the risks or uncertainties referred to above materialize (or the consequences of such a development changes), or should underlying assumptions prove incorrect, actual outcomes may vary materially from those forecasted or expected.</w:t>
      </w:r>
    </w:p>
    <w:p>
      <w:pPr>
        <w:spacing w:after="0" w:line="76" w:lineRule="exact"/>
        <w:rPr>
          <w:sz w:val="20"/>
          <w:szCs w:val="20"/>
          <w:color w:val="auto"/>
        </w:rPr>
      </w:pPr>
    </w:p>
    <w:p>
      <w:pPr>
        <w:ind w:right="3499" w:firstLine="525"/>
        <w:spacing w:after="0" w:line="273" w:lineRule="auto"/>
        <w:rPr>
          <w:sz w:val="20"/>
          <w:szCs w:val="20"/>
          <w:color w:val="auto"/>
        </w:rPr>
      </w:pPr>
      <w:r>
        <w:rPr>
          <w:rFonts w:ascii="Courier New" w:cs="Courier New" w:eastAsia="Courier New" w:hAnsi="Courier New"/>
          <w:sz w:val="15"/>
          <w:szCs w:val="15"/>
          <w:color w:val="auto"/>
        </w:rPr>
        <w:t>You should not place undue reliance on forward-looking statements. Each forward-looking statement speaks only as of the date of the particular statement, and we undertake no obligation to publicly update or revise any forward-looking statements.</w:t>
      </w:r>
    </w:p>
    <w:p>
      <w:pPr>
        <w:spacing w:after="0" w:line="6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598" w:right="1440" w:bottom="1440" w:gutter="0" w:footer="0" w:header="0"/>
        </w:sectPr>
      </w:pPr>
    </w:p>
    <w:bookmarkStart w:id="5" w:name="page6"/>
    <w:bookmarkEnd w:id="5"/>
    <w:p>
      <w:pPr>
        <w:jc w:val="center"/>
        <w:ind w:right="3219"/>
        <w:spacing w:after="0"/>
        <w:rPr>
          <w:sz w:val="20"/>
          <w:szCs w:val="20"/>
          <w:color w:val="auto"/>
        </w:rPr>
      </w:pPr>
      <w:r>
        <w:rPr>
          <w:rFonts w:ascii="Courier New" w:cs="Courier New" w:eastAsia="Courier New" w:hAnsi="Courier New"/>
          <w:sz w:val="15"/>
          <w:szCs w:val="15"/>
          <w:color w:val="auto"/>
        </w:rPr>
        <w:t>SCHLUMBERGER LIMITED</w:t>
      </w:r>
    </w:p>
    <w:p>
      <w:pPr>
        <w:spacing w:after="0" w:line="166" w:lineRule="exact"/>
        <w:rPr>
          <w:sz w:val="20"/>
          <w:szCs w:val="20"/>
          <w:color w:val="auto"/>
        </w:rPr>
      </w:pPr>
    </w:p>
    <w:p>
      <w:pPr>
        <w:ind w:right="3319" w:firstLine="525"/>
        <w:spacing w:after="0" w:line="298" w:lineRule="auto"/>
        <w:rPr>
          <w:sz w:val="20"/>
          <w:szCs w:val="20"/>
          <w:color w:val="auto"/>
        </w:rPr>
      </w:pPr>
      <w:r>
        <w:rPr>
          <w:rFonts w:ascii="Courier New" w:cs="Courier New" w:eastAsia="Courier New" w:hAnsi="Courier New"/>
          <w:sz w:val="14"/>
          <w:szCs w:val="14"/>
          <w:color w:val="auto"/>
        </w:rPr>
        <w:t>We are a global leader in technical services spanning the oil and gas, utility, semiconductor, smart card, network, and Internet solutions industries. For 2001, our revenue was approximately $14 billion. We currently employ approximately 81,000 people in nearly 100 countries around the world.</w:t>
      </w:r>
    </w:p>
    <w:p>
      <w:pPr>
        <w:spacing w:after="0" w:line="53" w:lineRule="exact"/>
        <w:rPr>
          <w:sz w:val="20"/>
          <w:szCs w:val="20"/>
          <w:color w:val="auto"/>
        </w:rPr>
      </w:pPr>
    </w:p>
    <w:p>
      <w:pPr>
        <w:ind w:right="3319" w:firstLine="525"/>
        <w:spacing w:after="0" w:line="265" w:lineRule="auto"/>
        <w:rPr>
          <w:sz w:val="20"/>
          <w:szCs w:val="20"/>
          <w:color w:val="auto"/>
        </w:rPr>
      </w:pPr>
      <w:r>
        <w:rPr>
          <w:rFonts w:ascii="Courier New" w:cs="Courier New" w:eastAsia="Courier New" w:hAnsi="Courier New"/>
          <w:sz w:val="14"/>
          <w:szCs w:val="14"/>
          <w:color w:val="auto"/>
        </w:rPr>
        <w:t>Schlumberger Oilfield Services, one of our two business segments, is the leading supplier of services and technology to the international petroleum industry and operates offices, service locations, and research and development facilities around the world. Through its reservoir evaluation and development businesses, Schlumberger Oilfield Services combines wireline, seismic and all services relevant to well construction and productivity, including directional drilling, measurements-while-drilling services and logging-while-drilling services, pressure pumping, drilling fluids, testing, drilling bits, Reda pumps and completions products. Through its oil and gas information solutions businesses, Schlumberger Oilfield Services provides complete information solution business workflows for customers, ranging from secure information technology infrastructure solutions to software applications, information management and expert products and services.</w:t>
      </w:r>
    </w:p>
    <w:p>
      <w:pPr>
        <w:spacing w:after="0" w:line="78" w:lineRule="exact"/>
        <w:rPr>
          <w:sz w:val="20"/>
          <w:szCs w:val="20"/>
          <w:color w:val="auto"/>
        </w:rPr>
      </w:pPr>
    </w:p>
    <w:p>
      <w:pPr>
        <w:ind w:right="3399" w:firstLine="525"/>
        <w:spacing w:after="0" w:line="264" w:lineRule="auto"/>
        <w:rPr>
          <w:sz w:val="20"/>
          <w:szCs w:val="20"/>
          <w:color w:val="auto"/>
        </w:rPr>
      </w:pPr>
      <w:r>
        <w:rPr>
          <w:rFonts w:ascii="Courier New" w:cs="Courier New" w:eastAsia="Courier New" w:hAnsi="Courier New"/>
          <w:sz w:val="15"/>
          <w:szCs w:val="15"/>
          <w:color w:val="auto"/>
        </w:rPr>
        <w:t>SchlumbergerSema, our other business segment, is a leading information technology services company providing consulting, systems integration, managed services, business continuity systems, products and Internet Protocol network security solutions serving the telecommunications, utility, finance, transportation, oil and gas, and public sector markets.</w:t>
      </w:r>
    </w:p>
    <w:p>
      <w:pPr>
        <w:spacing w:after="0" w:line="75"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We are incorporated under the laws of the Netherlands Antilles. The</w:t>
      </w:r>
    </w:p>
    <w:p>
      <w:pPr>
        <w:spacing w:after="0" w:line="24"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4"/>
          <w:szCs w:val="14"/>
          <w:color w:val="auto"/>
        </w:rPr>
        <w:t>mailing addresses and telephone numbers of our principal executive offices are:</w:t>
      </w:r>
    </w:p>
    <w:p>
      <w:pPr>
        <w:spacing w:after="0" w:line="152" w:lineRule="exact"/>
        <w:rPr>
          <w:sz w:val="20"/>
          <w:szCs w:val="20"/>
          <w:color w:val="auto"/>
        </w:rPr>
      </w:pPr>
    </w:p>
    <w:p>
      <w:pPr>
        <w:ind w:left="880" w:right="3679" w:hanging="346"/>
        <w:spacing w:after="0" w:line="344" w:lineRule="auto"/>
        <w:tabs>
          <w:tab w:leader="none" w:pos="88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153 East 53rd Street, 57th Floor, New York, New York, 10022-4624, 212-350-9400;</w:t>
      </w:r>
    </w:p>
    <w:p>
      <w:pPr>
        <w:spacing w:after="0" w:line="17" w:lineRule="exact"/>
        <w:rPr>
          <w:sz w:val="20"/>
          <w:szCs w:val="20"/>
          <w:color w:val="auto"/>
        </w:rPr>
      </w:pPr>
    </w:p>
    <w:p>
      <w:pPr>
        <w:ind w:left="880" w:hanging="346"/>
        <w:spacing w:after="0"/>
        <w:tabs>
          <w:tab w:leader="none" w:pos="88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42 Rue Saint-Dominique, Paris, France, 75007, 33-1-4062-1000; and</w:t>
      </w:r>
    </w:p>
    <w:p>
      <w:pPr>
        <w:spacing w:after="0" w:line="166" w:lineRule="exact"/>
        <w:rPr>
          <w:rFonts w:ascii="Courier New" w:cs="Courier New" w:eastAsia="Courier New" w:hAnsi="Courier New"/>
          <w:sz w:val="15"/>
          <w:szCs w:val="15"/>
          <w:color w:val="auto"/>
        </w:rPr>
      </w:pPr>
    </w:p>
    <w:p>
      <w:pPr>
        <w:ind w:left="880" w:hanging="346"/>
        <w:spacing w:after="0"/>
        <w:tabs>
          <w:tab w:leader="none" w:pos="88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Parkstraat 83, The Hague, The Netherlands 2514 JG, 31-70-310-5400.</w:t>
      </w:r>
    </w:p>
    <w:p>
      <w:pPr>
        <w:spacing w:after="0" w:line="16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598" w:right="1440" w:bottom="1440" w:gutter="0" w:footer="0" w:header="0"/>
        </w:sectPr>
      </w:pPr>
    </w:p>
    <w:bookmarkStart w:id="6" w:name="page7"/>
    <w:bookmarkEnd w:id="6"/>
    <w:p>
      <w:pPr>
        <w:jc w:val="center"/>
        <w:ind w:right="3239"/>
        <w:spacing w:after="0"/>
        <w:rPr>
          <w:sz w:val="20"/>
          <w:szCs w:val="20"/>
          <w:color w:val="auto"/>
        </w:rPr>
      </w:pPr>
      <w:r>
        <w:rPr>
          <w:rFonts w:ascii="Courier New" w:cs="Courier New" w:eastAsia="Courier New" w:hAnsi="Courier New"/>
          <w:sz w:val="15"/>
          <w:szCs w:val="15"/>
          <w:color w:val="auto"/>
        </w:rPr>
        <w:t>RISK FACTORS</w:t>
      </w:r>
    </w:p>
    <w:p>
      <w:pPr>
        <w:spacing w:after="0" w:line="166" w:lineRule="exact"/>
        <w:rPr>
          <w:sz w:val="20"/>
          <w:szCs w:val="20"/>
          <w:color w:val="auto"/>
        </w:rPr>
      </w:pPr>
    </w:p>
    <w:p>
      <w:pPr>
        <w:ind w:right="3399" w:firstLine="437"/>
        <w:spacing w:after="0" w:line="252" w:lineRule="auto"/>
        <w:rPr>
          <w:sz w:val="20"/>
          <w:szCs w:val="20"/>
          <w:color w:val="auto"/>
        </w:rPr>
      </w:pPr>
      <w:r>
        <w:rPr>
          <w:rFonts w:ascii="Courier New" w:cs="Courier New" w:eastAsia="Courier New" w:hAnsi="Courier New"/>
          <w:sz w:val="15"/>
          <w:szCs w:val="15"/>
          <w:color w:val="auto"/>
        </w:rPr>
        <w:t>You should carefully consider the risks described below before making a decision to invest in our securities. If any of the matters included in the following risks were to occur, our business, financial condition, results of operations, cash flows or prospects could be materially adversely affected. In such case, the trading price of our common stock could decline and you could lose all or part of your investment. Additional risks and uncertainties not presently known to us or that we currently deem immaterial may also adversely affect our business and operations.</w:t>
      </w:r>
    </w:p>
    <w:p>
      <w:pPr>
        <w:spacing w:after="0" w:line="86" w:lineRule="exact"/>
        <w:rPr>
          <w:sz w:val="20"/>
          <w:szCs w:val="20"/>
          <w:color w:val="auto"/>
        </w:rPr>
      </w:pPr>
    </w:p>
    <w:p>
      <w:pPr>
        <w:ind w:right="3319"/>
        <w:spacing w:after="0" w:line="273" w:lineRule="auto"/>
        <w:rPr>
          <w:sz w:val="20"/>
          <w:szCs w:val="20"/>
          <w:color w:val="auto"/>
        </w:rPr>
      </w:pPr>
      <w:r>
        <w:rPr>
          <w:rFonts w:ascii="Courier New" w:cs="Courier New" w:eastAsia="Courier New" w:hAnsi="Courier New"/>
          <w:sz w:val="15"/>
          <w:szCs w:val="15"/>
          <w:color w:val="auto"/>
        </w:rPr>
        <w:t>Demand for the majority of our oilfield services is substantially dependent on the level of expenditures by the oil and gas industry. A substantial or an extended decline in oil or gas prices could result in lower expenditures by the oil and gas industry and reduce our revenue.</w:t>
      </w:r>
    </w:p>
    <w:p>
      <w:pPr>
        <w:spacing w:after="0" w:line="68" w:lineRule="exact"/>
        <w:rPr>
          <w:sz w:val="20"/>
          <w:szCs w:val="20"/>
          <w:color w:val="auto"/>
        </w:rPr>
      </w:pPr>
    </w:p>
    <w:p>
      <w:pPr>
        <w:ind w:right="3239" w:firstLine="437"/>
        <w:spacing w:after="0" w:line="258" w:lineRule="auto"/>
        <w:rPr>
          <w:sz w:val="20"/>
          <w:szCs w:val="20"/>
          <w:color w:val="auto"/>
        </w:rPr>
      </w:pPr>
      <w:r>
        <w:rPr>
          <w:rFonts w:ascii="Courier New" w:cs="Courier New" w:eastAsia="Courier New" w:hAnsi="Courier New"/>
          <w:sz w:val="15"/>
          <w:szCs w:val="15"/>
          <w:color w:val="auto"/>
        </w:rPr>
        <w:t>Demand for the majority of our oilfield services is substantially dependent on the level of expenditures by the oil and gas industry for the exploration, development and production of crude oil and natural gas reserves, which are sensitive to oil and gas prices and generally dependent on the industry's view of future oil and gas prices. Oil and gas prices have historically been volatile and are affected by numerous factors, including:</w:t>
      </w:r>
    </w:p>
    <w:p>
      <w:pPr>
        <w:spacing w:after="0" w:line="81" w:lineRule="exact"/>
        <w:rPr>
          <w:sz w:val="20"/>
          <w:szCs w:val="20"/>
          <w:color w:val="auto"/>
        </w:rPr>
      </w:pPr>
    </w:p>
    <w:p>
      <w:pPr>
        <w:ind w:left="880" w:right="3239" w:hanging="433"/>
        <w:spacing w:after="0" w:line="344" w:lineRule="auto"/>
        <w:tabs>
          <w:tab w:leader="none" w:pos="88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worldwide demand for energy, which is affected by worldwide population growth and economic conditions;</w:t>
      </w:r>
    </w:p>
    <w:p>
      <w:pPr>
        <w:spacing w:after="0" w:line="17" w:lineRule="exact"/>
        <w:rPr>
          <w:sz w:val="20"/>
          <w:szCs w:val="20"/>
          <w:color w:val="auto"/>
        </w:rPr>
      </w:pPr>
    </w:p>
    <w:p>
      <w:pPr>
        <w:ind w:left="880" w:right="3499" w:hanging="433"/>
        <w:spacing w:after="0" w:line="344" w:lineRule="auto"/>
        <w:tabs>
          <w:tab w:leader="none" w:pos="88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ability of the Organization of Petroleum Exporting Countries to set and maintain production levels for oil;</w:t>
      </w:r>
    </w:p>
    <w:p>
      <w:pPr>
        <w:spacing w:after="0" w:line="17" w:lineRule="exact"/>
        <w:rPr>
          <w:sz w:val="20"/>
          <w:szCs w:val="20"/>
          <w:color w:val="auto"/>
        </w:rPr>
      </w:pPr>
    </w:p>
    <w:p>
      <w:pPr>
        <w:ind w:left="880" w:hanging="433"/>
        <w:spacing w:after="0"/>
        <w:tabs>
          <w:tab w:leader="none" w:pos="88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level of worldwide oil exploration and production activity;</w:t>
      </w:r>
    </w:p>
    <w:p>
      <w:pPr>
        <w:spacing w:after="0" w:line="166" w:lineRule="exact"/>
        <w:rPr>
          <w:sz w:val="20"/>
          <w:szCs w:val="20"/>
          <w:color w:val="auto"/>
        </w:rPr>
      </w:pPr>
    </w:p>
    <w:p>
      <w:pPr>
        <w:ind w:left="880" w:hanging="433"/>
        <w:spacing w:after="0"/>
        <w:tabs>
          <w:tab w:leader="none" w:pos="88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cost of exploring for, producing and delivering oil and gas; and</w:t>
      </w:r>
    </w:p>
    <w:p>
      <w:pPr>
        <w:spacing w:after="0" w:line="177" w:lineRule="exact"/>
        <w:rPr>
          <w:rFonts w:ascii="Courier New" w:cs="Courier New" w:eastAsia="Courier New" w:hAnsi="Courier New"/>
          <w:sz w:val="14"/>
          <w:szCs w:val="14"/>
          <w:color w:val="auto"/>
        </w:rPr>
      </w:pPr>
    </w:p>
    <w:p>
      <w:pPr>
        <w:ind w:left="880" w:hanging="433"/>
        <w:spacing w:after="0"/>
        <w:tabs>
          <w:tab w:leader="none" w:pos="88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technological advances affecting energy consumption.</w:t>
      </w:r>
    </w:p>
    <w:p>
      <w:pPr>
        <w:spacing w:after="0" w:line="166" w:lineRule="exact"/>
        <w:rPr>
          <w:sz w:val="20"/>
          <w:szCs w:val="20"/>
          <w:color w:val="auto"/>
        </w:rPr>
      </w:pPr>
    </w:p>
    <w:p>
      <w:pPr>
        <w:ind w:right="3579"/>
        <w:spacing w:after="0" w:line="344" w:lineRule="auto"/>
        <w:rPr>
          <w:sz w:val="20"/>
          <w:szCs w:val="20"/>
          <w:color w:val="auto"/>
        </w:rPr>
      </w:pPr>
      <w:r>
        <w:rPr>
          <w:rFonts w:ascii="Courier New" w:cs="Courier New" w:eastAsia="Courier New" w:hAnsi="Courier New"/>
          <w:sz w:val="15"/>
          <w:szCs w:val="15"/>
          <w:color w:val="auto"/>
        </w:rPr>
        <w:t>Demand for our information technology solutions is dependent on industry and general economic conditions and other factors.</w:t>
      </w:r>
    </w:p>
    <w:p>
      <w:pPr>
        <w:spacing w:after="0" w:line="17" w:lineRule="exact"/>
        <w:rPr>
          <w:sz w:val="20"/>
          <w:szCs w:val="20"/>
          <w:color w:val="auto"/>
        </w:rPr>
      </w:pPr>
    </w:p>
    <w:p>
      <w:pPr>
        <w:jc w:val="both"/>
        <w:ind w:right="3239" w:firstLine="437"/>
        <w:spacing w:after="0" w:line="287" w:lineRule="auto"/>
        <w:rPr>
          <w:sz w:val="20"/>
          <w:szCs w:val="20"/>
          <w:color w:val="auto"/>
        </w:rPr>
      </w:pPr>
      <w:r>
        <w:rPr>
          <w:rFonts w:ascii="Courier New" w:cs="Courier New" w:eastAsia="Courier New" w:hAnsi="Courier New"/>
          <w:sz w:val="14"/>
          <w:szCs w:val="14"/>
          <w:color w:val="auto"/>
        </w:rPr>
        <w:t>Demand for our information technology solutions is substantially dependent on general economic conditions, market conditions in related industries, such as telecommunications, the economic cycle, information technology spending and the rate of technological change. In addition, competition from other providers can affect the pricing we can realize on for our information technology solutions.</w:t>
      </w:r>
    </w:p>
    <w:p>
      <w:pPr>
        <w:spacing w:after="0" w:line="61" w:lineRule="exact"/>
        <w:rPr>
          <w:sz w:val="20"/>
          <w:szCs w:val="20"/>
          <w:color w:val="auto"/>
        </w:rPr>
      </w:pPr>
    </w:p>
    <w:p>
      <w:pPr>
        <w:ind w:right="3399"/>
        <w:spacing w:after="0" w:line="344" w:lineRule="auto"/>
        <w:rPr>
          <w:sz w:val="20"/>
          <w:szCs w:val="20"/>
          <w:color w:val="auto"/>
        </w:rPr>
      </w:pPr>
      <w:r>
        <w:rPr>
          <w:rFonts w:ascii="Courier New" w:cs="Courier New" w:eastAsia="Courier New" w:hAnsi="Courier New"/>
          <w:sz w:val="15"/>
          <w:szCs w:val="15"/>
          <w:color w:val="auto"/>
        </w:rPr>
        <w:t>Acquisitions may be difficult to integrate, disrupt our business and adversely affect our operating results.</w:t>
      </w:r>
    </w:p>
    <w:p>
      <w:pPr>
        <w:spacing w:after="0" w:line="17" w:lineRule="exact"/>
        <w:rPr>
          <w:sz w:val="20"/>
          <w:szCs w:val="20"/>
          <w:color w:val="auto"/>
        </w:rPr>
      </w:pPr>
    </w:p>
    <w:p>
      <w:pPr>
        <w:ind w:right="3239" w:firstLine="437"/>
        <w:spacing w:after="0" w:line="280" w:lineRule="auto"/>
        <w:rPr>
          <w:sz w:val="20"/>
          <w:szCs w:val="20"/>
          <w:color w:val="auto"/>
        </w:rPr>
      </w:pPr>
      <w:r>
        <w:rPr>
          <w:rFonts w:ascii="Courier New" w:cs="Courier New" w:eastAsia="Courier New" w:hAnsi="Courier New"/>
          <w:sz w:val="14"/>
          <w:szCs w:val="14"/>
          <w:color w:val="auto"/>
        </w:rPr>
        <w:t>We have in the past made a number of strategic acquisitions and may acquire other companies, assets or product lines. Acquisitions may divert management's attention from core businesses and could adversely affect our operating results during the integration process or if we are unable to achieve the intended objective of the acquisition. We may seek to finance acquisitions through borrowings under credit facilities or by incurring new debt.</w:t>
      </w:r>
    </w:p>
    <w:p>
      <w:pPr>
        <w:spacing w:after="0" w:line="67" w:lineRule="exact"/>
        <w:rPr>
          <w:sz w:val="20"/>
          <w:szCs w:val="20"/>
          <w:color w:val="auto"/>
        </w:rPr>
      </w:pPr>
    </w:p>
    <w:p>
      <w:pPr>
        <w:ind w:right="3239"/>
        <w:spacing w:after="0" w:line="381" w:lineRule="auto"/>
        <w:rPr>
          <w:sz w:val="20"/>
          <w:szCs w:val="20"/>
          <w:color w:val="auto"/>
        </w:rPr>
      </w:pPr>
      <w:r>
        <w:rPr>
          <w:rFonts w:ascii="Courier New" w:cs="Courier New" w:eastAsia="Courier New" w:hAnsi="Courier New"/>
          <w:sz w:val="14"/>
          <w:szCs w:val="14"/>
          <w:color w:val="auto"/>
        </w:rPr>
        <w:t>If we are unable to integrate new technologies and industry standards effectively in our businesses, our revenue, profits and cash flows may decrease.</w:t>
      </w:r>
    </w:p>
    <w:p>
      <w:pPr>
        <w:spacing w:after="0" w:line="1" w:lineRule="exact"/>
        <w:rPr>
          <w:sz w:val="20"/>
          <w:szCs w:val="20"/>
          <w:color w:val="auto"/>
        </w:rPr>
      </w:pPr>
    </w:p>
    <w:p>
      <w:pPr>
        <w:ind w:right="3319" w:firstLine="437"/>
        <w:spacing w:after="0" w:line="249" w:lineRule="auto"/>
        <w:rPr>
          <w:sz w:val="20"/>
          <w:szCs w:val="20"/>
          <w:color w:val="auto"/>
        </w:rPr>
      </w:pPr>
      <w:r>
        <w:rPr>
          <w:rFonts w:ascii="Courier New" w:cs="Courier New" w:eastAsia="Courier New" w:hAnsi="Courier New"/>
          <w:sz w:val="15"/>
          <w:szCs w:val="15"/>
          <w:color w:val="auto"/>
        </w:rPr>
        <w:t>We must continue to improve the responsiveness, functionality and features of our information technology solutions in accordance with industry standards and to address the increasingly sophisticated technological needs of our clients. Our ability to do this depends, in part, on our ability to adapt our solutions to developing technologies, maintain relationships with suppliers and continue to use best-in-class technologies. We may not be successful in responding to technological and industry challenges in a timely and cost-effective manner. If we are unable to integrate new technologies and industry standards effectively, our revenue, profits and cash flows may decrease.</w:t>
      </w:r>
    </w:p>
    <w:p>
      <w:pPr>
        <w:spacing w:after="0" w:line="8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39"/>
          </w:cols>
          <w:pgMar w:left="220" w:top="598" w:right="1440" w:bottom="1440" w:gutter="0" w:footer="0" w:header="0"/>
        </w:sectPr>
      </w:pPr>
    </w:p>
    <w:bookmarkStart w:id="7" w:name="page8"/>
    <w:bookmarkEnd w:id="7"/>
    <w:p>
      <w:pPr>
        <w:ind w:right="3579"/>
        <w:spacing w:after="0" w:line="344" w:lineRule="auto"/>
        <w:rPr>
          <w:sz w:val="20"/>
          <w:szCs w:val="20"/>
          <w:color w:val="auto"/>
        </w:rPr>
      </w:pPr>
      <w:r>
        <w:rPr>
          <w:rFonts w:ascii="Courier New" w:cs="Courier New" w:eastAsia="Courier New" w:hAnsi="Courier New"/>
          <w:sz w:val="15"/>
          <w:szCs w:val="15"/>
          <w:color w:val="auto"/>
        </w:rPr>
        <w:t>Environmental compliance costs and liabilities could reduce our earnings and cash available for operations.</w:t>
      </w:r>
    </w:p>
    <w:p>
      <w:pPr>
        <w:spacing w:after="0" w:line="17" w:lineRule="exact"/>
        <w:rPr>
          <w:sz w:val="20"/>
          <w:szCs w:val="20"/>
          <w:color w:val="auto"/>
        </w:rPr>
      </w:pPr>
    </w:p>
    <w:p>
      <w:pPr>
        <w:ind w:right="3239" w:firstLine="437"/>
        <w:spacing w:after="0" w:line="267" w:lineRule="auto"/>
        <w:rPr>
          <w:sz w:val="20"/>
          <w:szCs w:val="20"/>
          <w:color w:val="auto"/>
        </w:rPr>
      </w:pPr>
      <w:r>
        <w:rPr>
          <w:rFonts w:ascii="Courier New" w:cs="Courier New" w:eastAsia="Courier New" w:hAnsi="Courier New"/>
          <w:sz w:val="14"/>
          <w:szCs w:val="14"/>
          <w:color w:val="auto"/>
        </w:rPr>
        <w:t>We are subject to increasingly stringent laws and regulations relating to environmental protection, including laws and regulations governing air emissions, water discharges and waste management. We incur, and expect to continue to incur, capital and operating costs to comply with environmental laws and regulations. The technical requirements of environmental laws and regulations are becoming increasingly expensive, complex and stringent. These laws may provide for "strict liability" for damages to natural resources or threats to public health and safety. Strict liability can render a party liable for environmental damage without regard to negligence or fault on the part of the party. Some environmental laws provide for joint and several strict liability for remediation of spills and releases of hazardous substances.</w:t>
      </w:r>
    </w:p>
    <w:p>
      <w:pPr>
        <w:spacing w:after="0" w:line="78" w:lineRule="exact"/>
        <w:rPr>
          <w:sz w:val="20"/>
          <w:szCs w:val="20"/>
          <w:color w:val="auto"/>
        </w:rPr>
      </w:pPr>
    </w:p>
    <w:p>
      <w:pPr>
        <w:ind w:right="3239" w:firstLine="437"/>
        <w:spacing w:after="0" w:line="248" w:lineRule="auto"/>
        <w:rPr>
          <w:sz w:val="20"/>
          <w:szCs w:val="20"/>
          <w:color w:val="auto"/>
        </w:rPr>
      </w:pPr>
      <w:r>
        <w:rPr>
          <w:rFonts w:ascii="Courier New" w:cs="Courier New" w:eastAsia="Courier New" w:hAnsi="Courier New"/>
          <w:sz w:val="15"/>
          <w:szCs w:val="15"/>
          <w:color w:val="auto"/>
        </w:rPr>
        <w:t>We use and generate hazardous substances and wastes in our operations. In addition, many of our current and former properties are or have been used for industrial purposes. Accordingly, we could become subject to potentially material liabilities relating to the investigation and cleanup of contaminated properties, and to claims alleging personal injury or property damage as the result of exposures to, or releases of, hazardous substances. In addition, stricter enforcement of existing laws and regulations, new laws and regulations, the discovery of previously unknown contamination or the imposition of new or increased requirements could require us to incur costs or become the basis of new or increased liabilities that could reduce our earnings and our cash available for operations.</w:t>
      </w:r>
    </w:p>
    <w:p>
      <w:pPr>
        <w:spacing w:after="0" w:line="87" w:lineRule="exact"/>
        <w:rPr>
          <w:sz w:val="20"/>
          <w:szCs w:val="20"/>
          <w:color w:val="auto"/>
        </w:rPr>
      </w:pPr>
    </w:p>
    <w:p>
      <w:pPr>
        <w:ind w:right="3759"/>
        <w:spacing w:after="0" w:line="344" w:lineRule="auto"/>
        <w:rPr>
          <w:sz w:val="20"/>
          <w:szCs w:val="20"/>
          <w:color w:val="auto"/>
        </w:rPr>
      </w:pPr>
      <w:r>
        <w:rPr>
          <w:rFonts w:ascii="Courier New" w:cs="Courier New" w:eastAsia="Courier New" w:hAnsi="Courier New"/>
          <w:sz w:val="15"/>
          <w:szCs w:val="15"/>
          <w:color w:val="auto"/>
        </w:rPr>
        <w:t>We could be subject to substantial liability claims, which would adversely affect our results and financial condition.</w:t>
      </w:r>
    </w:p>
    <w:p>
      <w:pPr>
        <w:spacing w:after="0" w:line="17" w:lineRule="exact"/>
        <w:rPr>
          <w:sz w:val="20"/>
          <w:szCs w:val="20"/>
          <w:color w:val="auto"/>
        </w:rPr>
      </w:pPr>
    </w:p>
    <w:p>
      <w:pPr>
        <w:ind w:right="3239" w:firstLine="437"/>
        <w:spacing w:after="0" w:line="245" w:lineRule="auto"/>
        <w:rPr>
          <w:sz w:val="20"/>
          <w:szCs w:val="20"/>
          <w:color w:val="auto"/>
        </w:rPr>
      </w:pPr>
      <w:r>
        <w:rPr>
          <w:rFonts w:ascii="Courier New" w:cs="Courier New" w:eastAsia="Courier New" w:hAnsi="Courier New"/>
          <w:sz w:val="15"/>
          <w:szCs w:val="15"/>
          <w:color w:val="auto"/>
        </w:rPr>
        <w:t>Many of our oilfield products, such as directional drilling equipment, perforating systems, subsea completion equipment and well completion systems, are used in hostile environments, such as exploration, development and production applications. An accident or a failure of a product can cause personal injury, loss of life, damage to property, equipment or the environment, and suspension of operations. Our insurance may not adequately protect us against liability for some kinds of events, including events involving pollution, or against losses resulting from business interruption. Moreover, in the future we may not be able to maintain insurance at levels of risk coverage or policy limits that we deem adequate. Substantial claims made under our policies could cause our premiums to increase. Any future damages caused by our products that are not covered by insurance, or are in excess of policy limits or are subject to substantial deductibles, could reduce our earnings and our cash available for operations.</w:t>
      </w:r>
    </w:p>
    <w:p>
      <w:pPr>
        <w:spacing w:after="0" w:line="95" w:lineRule="exact"/>
        <w:rPr>
          <w:sz w:val="20"/>
          <w:szCs w:val="20"/>
          <w:color w:val="auto"/>
        </w:rPr>
      </w:pPr>
    </w:p>
    <w:p>
      <w:pPr>
        <w:ind w:right="3399"/>
        <w:spacing w:after="0" w:line="290" w:lineRule="auto"/>
        <w:rPr>
          <w:sz w:val="20"/>
          <w:szCs w:val="20"/>
          <w:color w:val="auto"/>
        </w:rPr>
      </w:pPr>
      <w:r>
        <w:rPr>
          <w:rFonts w:ascii="Courier New" w:cs="Courier New" w:eastAsia="Courier New" w:hAnsi="Courier New"/>
          <w:sz w:val="15"/>
          <w:szCs w:val="15"/>
          <w:color w:val="auto"/>
        </w:rPr>
        <w:t>Limitations on our ability to protect our intellectual property rights, including our trade secrets, could cause a loss in revenue and any competitive advantage we hold.</w:t>
      </w:r>
    </w:p>
    <w:p>
      <w:pPr>
        <w:spacing w:after="0" w:line="57" w:lineRule="exact"/>
        <w:rPr>
          <w:sz w:val="20"/>
          <w:szCs w:val="20"/>
          <w:color w:val="auto"/>
        </w:rPr>
      </w:pPr>
    </w:p>
    <w:p>
      <w:pPr>
        <w:ind w:right="3239" w:firstLine="437"/>
        <w:spacing w:after="0" w:line="273" w:lineRule="auto"/>
        <w:rPr>
          <w:sz w:val="20"/>
          <w:szCs w:val="20"/>
          <w:color w:val="auto"/>
        </w:rPr>
      </w:pPr>
      <w:r>
        <w:rPr>
          <w:rFonts w:ascii="Courier New" w:cs="Courier New" w:eastAsia="Courier New" w:hAnsi="Courier New"/>
          <w:sz w:val="14"/>
          <w:szCs w:val="14"/>
          <w:color w:val="auto"/>
        </w:rPr>
        <w:t>Some of our products or services, and the processes we use to produce or provide them, have been granted U.S. patent protection, have patent applications pending or are trade secrets. Our business may be adversely affected if our patents are unenforceable, the claims allowed under our patents are not sufficient to protect our technology, our patent applications are denied, or our trade secrets are not adequately protected. Our competitors may be able to develop technology independently that is similar to ours without infringing on our patents or gaining access to our trade secrets.</w:t>
      </w:r>
    </w:p>
    <w:p>
      <w:pPr>
        <w:spacing w:after="0" w:line="71" w:lineRule="exact"/>
        <w:rPr>
          <w:sz w:val="20"/>
          <w:szCs w:val="20"/>
          <w:color w:val="auto"/>
        </w:rPr>
      </w:pPr>
    </w:p>
    <w:p>
      <w:pPr>
        <w:ind w:right="3399"/>
        <w:spacing w:after="0" w:line="344" w:lineRule="auto"/>
        <w:rPr>
          <w:sz w:val="20"/>
          <w:szCs w:val="20"/>
          <w:color w:val="auto"/>
        </w:rPr>
      </w:pPr>
      <w:r>
        <w:rPr>
          <w:rFonts w:ascii="Courier New" w:cs="Courier New" w:eastAsia="Courier New" w:hAnsi="Courier New"/>
          <w:sz w:val="15"/>
          <w:szCs w:val="15"/>
          <w:color w:val="auto"/>
        </w:rPr>
        <w:t>We may be subject to litigation if another party claims that we have infringed upon its intellectual property rights.</w:t>
      </w:r>
    </w:p>
    <w:p>
      <w:pPr>
        <w:spacing w:after="0" w:line="17" w:lineRule="exact"/>
        <w:rPr>
          <w:sz w:val="20"/>
          <w:szCs w:val="20"/>
          <w:color w:val="auto"/>
        </w:rPr>
      </w:pPr>
    </w:p>
    <w:p>
      <w:pPr>
        <w:ind w:right="3399" w:firstLine="437"/>
        <w:spacing w:after="0" w:line="273" w:lineRule="auto"/>
        <w:rPr>
          <w:sz w:val="20"/>
          <w:szCs w:val="20"/>
          <w:color w:val="auto"/>
        </w:rPr>
      </w:pPr>
      <w:r>
        <w:rPr>
          <w:rFonts w:ascii="Courier New" w:cs="Courier New" w:eastAsia="Courier New" w:hAnsi="Courier New"/>
          <w:sz w:val="14"/>
          <w:szCs w:val="14"/>
          <w:color w:val="auto"/>
        </w:rPr>
        <w:t>The tools, techniques, methodologies, programs and components we use to provide our services may infringe upon the intellectual property rights of others. Infringement claims generally result in significant legal and other costs and may distract management from running our core business. Royalty payments under licenses from third parties, if available, would increase our costs. If a license were not available we might not be able to continue providing a particular product or service, which would reduce our revenue. Additionally, developing non-infringing technologies would increase our costs.</w:t>
      </w:r>
    </w:p>
    <w:p>
      <w:pPr>
        <w:spacing w:after="0" w:line="71"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39"/>
          </w:cols>
          <w:pgMar w:left="220" w:top="598" w:right="1440" w:bottom="1440" w:gutter="0" w:footer="0" w:header="0"/>
        </w:sectPr>
      </w:pPr>
    </w:p>
    <w:bookmarkStart w:id="8" w:name="page9"/>
    <w:bookmarkEnd w:id="8"/>
    <w:p>
      <w:pPr>
        <w:jc w:val="center"/>
        <w:ind w:right="3139"/>
        <w:spacing w:after="0"/>
        <w:rPr>
          <w:sz w:val="20"/>
          <w:szCs w:val="20"/>
          <w:color w:val="auto"/>
        </w:rPr>
      </w:pPr>
      <w:r>
        <w:rPr>
          <w:rFonts w:ascii="Courier New" w:cs="Courier New" w:eastAsia="Courier New" w:hAnsi="Courier New"/>
          <w:sz w:val="15"/>
          <w:szCs w:val="15"/>
          <w:color w:val="auto"/>
        </w:rPr>
        <w:t>USE OF PROCEEDS</w:t>
      </w:r>
    </w:p>
    <w:p>
      <w:pPr>
        <w:spacing w:after="0" w:line="166" w:lineRule="exact"/>
        <w:rPr>
          <w:sz w:val="20"/>
          <w:szCs w:val="20"/>
          <w:color w:val="auto"/>
        </w:rPr>
      </w:pPr>
    </w:p>
    <w:p>
      <w:pPr>
        <w:ind w:right="3239" w:firstLine="437"/>
        <w:spacing w:after="0" w:line="249" w:lineRule="auto"/>
        <w:rPr>
          <w:sz w:val="20"/>
          <w:szCs w:val="20"/>
          <w:color w:val="auto"/>
        </w:rPr>
      </w:pPr>
      <w:r>
        <w:rPr>
          <w:rFonts w:ascii="Courier New" w:cs="Courier New" w:eastAsia="Courier New" w:hAnsi="Courier New"/>
          <w:sz w:val="15"/>
          <w:szCs w:val="15"/>
          <w:color w:val="auto"/>
        </w:rPr>
        <w:t>This prospectus relates to shares of common stock that may be offered and issued by us from time to time in connection with business combinations. Other than the businesses, assets, securities or other interests acquired, there usually will be no proceeds to us from these offerings. When this prospectus is used by a selling security holder in a public reoffering or resale of securities acquired pursuant to this prospectus, we will usually not receive any proceeds from such sale by the selling security holder. However, any proceeds received by us from the offering of securities pursuant to this prospectus or upon any resale of securities acquired pursuant to this prospectus will be used for general corporate purposes.</w:t>
      </w:r>
    </w:p>
    <w:p>
      <w:pPr>
        <w:spacing w:after="0" w:line="8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DISTRIBUTION OF SECURITIES</w:t>
      </w:r>
    </w:p>
    <w:p>
      <w:pPr>
        <w:spacing w:after="0" w:line="166" w:lineRule="exact"/>
        <w:rPr>
          <w:sz w:val="20"/>
          <w:szCs w:val="20"/>
          <w:color w:val="auto"/>
        </w:rPr>
      </w:pPr>
    </w:p>
    <w:p>
      <w:pPr>
        <w:ind w:right="3759" w:firstLine="437"/>
        <w:spacing w:after="0" w:line="344" w:lineRule="auto"/>
        <w:rPr>
          <w:sz w:val="20"/>
          <w:szCs w:val="20"/>
          <w:color w:val="auto"/>
        </w:rPr>
      </w:pPr>
      <w:r>
        <w:rPr>
          <w:rFonts w:ascii="Courier New" w:cs="Courier New" w:eastAsia="Courier New" w:hAnsi="Courier New"/>
          <w:sz w:val="15"/>
          <w:szCs w:val="15"/>
          <w:color w:val="auto"/>
        </w:rPr>
        <w:t>We may issue the shares of common stock covered by this prospectus at various times in connection with:</w:t>
      </w:r>
    </w:p>
    <w:p>
      <w:pPr>
        <w:spacing w:after="0" w:line="17" w:lineRule="exact"/>
        <w:rPr>
          <w:sz w:val="20"/>
          <w:szCs w:val="20"/>
          <w:color w:val="auto"/>
        </w:rPr>
      </w:pPr>
    </w:p>
    <w:p>
      <w:pPr>
        <w:ind w:left="880" w:right="3939" w:hanging="433"/>
        <w:spacing w:after="0" w:line="344" w:lineRule="auto"/>
        <w:tabs>
          <w:tab w:leader="none" w:pos="88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mergers, consolidations, recapitalizations or similar plans of acquisition;</w:t>
      </w:r>
    </w:p>
    <w:p>
      <w:pPr>
        <w:spacing w:after="0" w:line="17" w:lineRule="exact"/>
        <w:rPr>
          <w:sz w:val="20"/>
          <w:szCs w:val="20"/>
          <w:color w:val="auto"/>
        </w:rPr>
      </w:pPr>
    </w:p>
    <w:p>
      <w:pPr>
        <w:ind w:left="880" w:hanging="433"/>
        <w:spacing w:after="0"/>
        <w:tabs>
          <w:tab w:leader="none" w:pos="88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purchases of some or all of the assets of one or more businesses; and</w:t>
      </w:r>
    </w:p>
    <w:p>
      <w:pPr>
        <w:spacing w:after="0" w:line="178" w:lineRule="exact"/>
        <w:rPr>
          <w:sz w:val="20"/>
          <w:szCs w:val="20"/>
          <w:color w:val="auto"/>
        </w:rPr>
      </w:pPr>
    </w:p>
    <w:p>
      <w:pPr>
        <w:ind w:left="880" w:right="3399" w:hanging="433"/>
        <w:spacing w:after="0" w:line="320" w:lineRule="auto"/>
        <w:tabs>
          <w:tab w:leader="none" w:pos="88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exchanges for some or all of the outstanding securities, obligations and other interests of one or more businesses, including capital stock, debt securities, loans and partnership interests.</w:t>
      </w:r>
    </w:p>
    <w:p>
      <w:pPr>
        <w:spacing w:after="0" w:line="38" w:lineRule="exact"/>
        <w:rPr>
          <w:sz w:val="20"/>
          <w:szCs w:val="20"/>
          <w:color w:val="auto"/>
        </w:rPr>
      </w:pPr>
    </w:p>
    <w:p>
      <w:pPr>
        <w:ind w:right="3239" w:firstLine="437"/>
        <w:spacing w:after="0" w:line="264" w:lineRule="auto"/>
        <w:rPr>
          <w:sz w:val="20"/>
          <w:szCs w:val="20"/>
          <w:color w:val="auto"/>
        </w:rPr>
      </w:pPr>
      <w:r>
        <w:rPr>
          <w:rFonts w:ascii="Courier New" w:cs="Courier New" w:eastAsia="Courier New" w:hAnsi="Courier New"/>
          <w:sz w:val="15"/>
          <w:szCs w:val="15"/>
          <w:color w:val="auto"/>
        </w:rPr>
        <w:t>We anticipate that the specific terms of each business combination in which the common stock will be issued will be negotiated with the owners, boards of directors or other controlling persons of the businesses, assets, securities or other interests involved in the business combination. The common stock issued will generally be valued at prices:</w:t>
      </w:r>
    </w:p>
    <w:p>
      <w:pPr>
        <w:spacing w:after="0" w:line="75" w:lineRule="exact"/>
        <w:rPr>
          <w:sz w:val="20"/>
          <w:szCs w:val="20"/>
          <w:color w:val="auto"/>
        </w:rPr>
      </w:pPr>
    </w:p>
    <w:p>
      <w:pPr>
        <w:ind w:left="880" w:right="3399" w:hanging="433"/>
        <w:spacing w:after="0" w:line="273" w:lineRule="auto"/>
        <w:tabs>
          <w:tab w:leader="none" w:pos="88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or related to market prices for the common stock at or near the time we agree to the terms of such business combination, at or near the time of closing, or during the period or periods prior to delivery of such common stock;</w:t>
      </w:r>
    </w:p>
    <w:p>
      <w:pPr>
        <w:spacing w:after="0" w:line="68" w:lineRule="exact"/>
        <w:rPr>
          <w:sz w:val="20"/>
          <w:szCs w:val="20"/>
          <w:color w:val="auto"/>
        </w:rPr>
      </w:pPr>
    </w:p>
    <w:p>
      <w:pPr>
        <w:ind w:left="880" w:right="3679" w:hanging="433"/>
        <w:spacing w:after="0" w:line="344" w:lineRule="auto"/>
        <w:tabs>
          <w:tab w:leader="none" w:pos="88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average market prices for periods ending at or near such times; or</w:t>
      </w:r>
    </w:p>
    <w:p>
      <w:pPr>
        <w:spacing w:after="0" w:line="17" w:lineRule="exact"/>
        <w:rPr>
          <w:sz w:val="20"/>
          <w:szCs w:val="20"/>
          <w:color w:val="auto"/>
        </w:rPr>
      </w:pPr>
    </w:p>
    <w:p>
      <w:pPr>
        <w:ind w:left="880" w:hanging="433"/>
        <w:spacing w:after="0"/>
        <w:tabs>
          <w:tab w:leader="none" w:pos="88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such other basis as the parties may agree.</w:t>
      </w:r>
    </w:p>
    <w:p>
      <w:pPr>
        <w:spacing w:after="0" w:line="166"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5"/>
          <w:szCs w:val="15"/>
          <w:color w:val="auto"/>
        </w:rPr>
        <w:t>We will pay all expenses of this offering. No underwriting discounts or commissions will be paid in connection with issuing these shares. However, investment banking or brokers' fees may be paid from time to time with respect to specific business combinations. Any person receiving such fees may be deemed an underwriter within the meaning of the Securities Act, and any profit on the resale of common stock purchased by them may be deemed to be underwriting discounts or commissions under the Securities Act.</w:t>
      </w:r>
    </w:p>
    <w:p>
      <w:pPr>
        <w:spacing w:after="0" w:line="82" w:lineRule="exact"/>
        <w:rPr>
          <w:sz w:val="20"/>
          <w:szCs w:val="20"/>
          <w:color w:val="auto"/>
        </w:rPr>
      </w:pPr>
    </w:p>
    <w:p>
      <w:pPr>
        <w:ind w:right="3239" w:firstLine="437"/>
        <w:spacing w:after="0" w:line="247" w:lineRule="auto"/>
        <w:rPr>
          <w:sz w:val="20"/>
          <w:szCs w:val="20"/>
          <w:color w:val="auto"/>
        </w:rPr>
      </w:pPr>
      <w:r>
        <w:rPr>
          <w:rFonts w:ascii="Courier New" w:cs="Courier New" w:eastAsia="Courier New" w:hAnsi="Courier New"/>
          <w:sz w:val="15"/>
          <w:szCs w:val="15"/>
          <w:color w:val="auto"/>
        </w:rPr>
        <w:t>In an effort to maintain an orderly market in our securities or for other reasons, we may negotiate agreements with persons receiving common stock covered by this prospectus that will limit the number of shares that they may sell at specified intervals. These agreements may be more or less restrictive than restrictions on sales made under the exemption from registration requirements of the Securities Act, including the requirements under Rule 144 or Rule 145(d), and the persons party to these agreements may not otherwise be subject to the Securities Act requirements. We anticipate that, in general, negotiated agreements will be of limited duration and may permit the recipients of securities issued in connection with acquisitions to sell specified portions as set forth in the agreements. We may also determine to waive any such agreements without public notice.</w:t>
      </w:r>
    </w:p>
    <w:p>
      <w:pPr>
        <w:spacing w:after="0" w:line="8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39"/>
          </w:cols>
          <w:pgMar w:left="220" w:top="598" w:right="1440" w:bottom="1440" w:gutter="0" w:footer="0" w:header="0"/>
        </w:sectPr>
      </w:pPr>
    </w:p>
    <w:bookmarkStart w:id="9" w:name="page10"/>
    <w:bookmarkEnd w:id="9"/>
    <w:p>
      <w:pPr>
        <w:ind w:left="2640"/>
        <w:spacing w:after="0"/>
        <w:rPr>
          <w:sz w:val="20"/>
          <w:szCs w:val="20"/>
          <w:color w:val="auto"/>
        </w:rPr>
      </w:pPr>
      <w:r>
        <w:rPr>
          <w:rFonts w:ascii="Courier New" w:cs="Courier New" w:eastAsia="Courier New" w:hAnsi="Courier New"/>
          <w:sz w:val="15"/>
          <w:szCs w:val="15"/>
          <w:color w:val="auto"/>
        </w:rPr>
        <w:t>RESELLING SECURITIES</w:t>
      </w:r>
    </w:p>
    <w:p>
      <w:pPr>
        <w:spacing w:after="0" w:line="166" w:lineRule="exact"/>
        <w:rPr>
          <w:sz w:val="20"/>
          <w:szCs w:val="20"/>
          <w:color w:val="auto"/>
        </w:rPr>
      </w:pPr>
    </w:p>
    <w:p>
      <w:pPr>
        <w:ind w:right="3239" w:firstLine="437"/>
        <w:spacing w:after="0" w:line="248" w:lineRule="auto"/>
        <w:rPr>
          <w:sz w:val="20"/>
          <w:szCs w:val="20"/>
          <w:color w:val="auto"/>
        </w:rPr>
      </w:pPr>
      <w:r>
        <w:rPr>
          <w:rFonts w:ascii="Courier New" w:cs="Courier New" w:eastAsia="Courier New" w:hAnsi="Courier New"/>
          <w:sz w:val="15"/>
          <w:szCs w:val="15"/>
          <w:color w:val="auto"/>
        </w:rPr>
        <w:t>In general, the persons to whom we issue securities under this prospectus will be able to resell our securities in the public market without further registration and without being required to deliver a prospectus. However, certain persons who receive our securities may want to resell those securities in distributions that would require the delivery of a prospectus. With our consent, this prospectus may be used by selling security holders who may wish to sell securities. As used in this prospectus, "selling security holders" may include donees, distributees and pledgees of selling securities received from a named selling security holder. We may limit our consent to a specified time period and subject our consent to certain limitations and conditions, which may vary by agreement.</w:t>
      </w:r>
    </w:p>
    <w:p>
      <w:pPr>
        <w:spacing w:after="0" w:line="87" w:lineRule="exact"/>
        <w:rPr>
          <w:sz w:val="20"/>
          <w:szCs w:val="20"/>
          <w:color w:val="auto"/>
        </w:rPr>
      </w:pPr>
    </w:p>
    <w:p>
      <w:pPr>
        <w:ind w:right="3499" w:firstLine="437"/>
        <w:spacing w:after="0" w:line="344" w:lineRule="auto"/>
        <w:rPr>
          <w:sz w:val="20"/>
          <w:szCs w:val="20"/>
          <w:color w:val="auto"/>
        </w:rPr>
      </w:pPr>
      <w:r>
        <w:rPr>
          <w:rFonts w:ascii="Courier New" w:cs="Courier New" w:eastAsia="Courier New" w:hAnsi="Courier New"/>
          <w:sz w:val="15"/>
          <w:szCs w:val="15"/>
          <w:color w:val="auto"/>
        </w:rPr>
        <w:t>Selling security holders may sell securities from time to time in one or more of the following transactions:</w:t>
      </w:r>
    </w:p>
    <w:p>
      <w:pPr>
        <w:spacing w:after="0" w:line="17" w:lineRule="exact"/>
        <w:rPr>
          <w:sz w:val="20"/>
          <w:szCs w:val="20"/>
          <w:color w:val="auto"/>
        </w:rPr>
      </w:pPr>
    </w:p>
    <w:p>
      <w:pPr>
        <w:ind w:left="880" w:right="3399" w:hanging="433"/>
        <w:spacing w:after="0" w:line="344" w:lineRule="auto"/>
        <w:tabs>
          <w:tab w:leader="none" w:pos="88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through the New York Stock Exchange or any other securities exchange that quotes the common stock;</w:t>
      </w:r>
    </w:p>
    <w:p>
      <w:pPr>
        <w:spacing w:after="0" w:line="17" w:lineRule="exact"/>
        <w:rPr>
          <w:sz w:val="20"/>
          <w:szCs w:val="20"/>
          <w:color w:val="auto"/>
        </w:rPr>
      </w:pPr>
    </w:p>
    <w:p>
      <w:pPr>
        <w:ind w:left="880" w:hanging="433"/>
        <w:spacing w:after="0"/>
        <w:tabs>
          <w:tab w:leader="none" w:pos="88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over-the-counter market;</w:t>
      </w:r>
    </w:p>
    <w:p>
      <w:pPr>
        <w:spacing w:after="0" w:line="166" w:lineRule="exact"/>
        <w:rPr>
          <w:sz w:val="20"/>
          <w:szCs w:val="20"/>
          <w:color w:val="auto"/>
        </w:rPr>
      </w:pPr>
    </w:p>
    <w:p>
      <w:pPr>
        <w:ind w:left="880" w:right="3399" w:hanging="433"/>
        <w:spacing w:after="0" w:line="290" w:lineRule="auto"/>
        <w:tabs>
          <w:tab w:leader="none" w:pos="88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transactions other than on such exchanges or in the over-the-counter market (including negotiated transactions and other private transactions);</w:t>
      </w:r>
    </w:p>
    <w:p>
      <w:pPr>
        <w:spacing w:after="0" w:line="57" w:lineRule="exact"/>
        <w:rPr>
          <w:sz w:val="20"/>
          <w:szCs w:val="20"/>
          <w:color w:val="auto"/>
        </w:rPr>
      </w:pPr>
    </w:p>
    <w:p>
      <w:pPr>
        <w:ind w:left="880" w:right="3319" w:hanging="433"/>
        <w:spacing w:after="0" w:line="290" w:lineRule="auto"/>
        <w:tabs>
          <w:tab w:leader="none" w:pos="88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short sales (sales of shares completed by the delivery of borrowed stock) of the common stock, in transactions to cover short sales or otherwise in connection with short sales;</w:t>
      </w:r>
    </w:p>
    <w:p>
      <w:pPr>
        <w:spacing w:after="0" w:line="57" w:lineRule="exact"/>
        <w:rPr>
          <w:sz w:val="20"/>
          <w:szCs w:val="20"/>
          <w:color w:val="auto"/>
        </w:rPr>
      </w:pPr>
    </w:p>
    <w:p>
      <w:pPr>
        <w:ind w:left="880" w:right="3239" w:hanging="433"/>
        <w:spacing w:after="0" w:line="344" w:lineRule="auto"/>
        <w:tabs>
          <w:tab w:leader="none" w:pos="88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pledge to secure debts and other obligations or on foreclosure of a pledge;</w:t>
      </w:r>
    </w:p>
    <w:p>
      <w:pPr>
        <w:spacing w:after="0" w:line="17" w:lineRule="exact"/>
        <w:rPr>
          <w:sz w:val="20"/>
          <w:szCs w:val="20"/>
          <w:color w:val="auto"/>
        </w:rPr>
      </w:pPr>
    </w:p>
    <w:p>
      <w:pPr>
        <w:ind w:left="880" w:right="3319" w:hanging="433"/>
        <w:spacing w:after="0" w:line="290" w:lineRule="auto"/>
        <w:tabs>
          <w:tab w:leader="none" w:pos="88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through put or call options, including the writing of exchange-traded call options, or other hedging transactions related to the common stock; or</w:t>
      </w:r>
    </w:p>
    <w:p>
      <w:pPr>
        <w:spacing w:after="0" w:line="57" w:lineRule="exact"/>
        <w:rPr>
          <w:sz w:val="20"/>
          <w:szCs w:val="20"/>
          <w:color w:val="auto"/>
        </w:rPr>
      </w:pPr>
    </w:p>
    <w:p>
      <w:pPr>
        <w:ind w:left="880" w:hanging="433"/>
        <w:spacing w:after="0"/>
        <w:tabs>
          <w:tab w:leader="none" w:pos="88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 combination of any of the above transactions.</w:t>
      </w:r>
    </w:p>
    <w:p>
      <w:pPr>
        <w:spacing w:after="0" w:line="335" w:lineRule="exact"/>
        <w:rPr>
          <w:sz w:val="20"/>
          <w:szCs w:val="20"/>
          <w:color w:val="auto"/>
        </w:rPr>
      </w:pPr>
    </w:p>
    <w:p>
      <w:pPr>
        <w:ind w:right="3399" w:firstLine="437"/>
        <w:spacing w:after="0" w:line="344" w:lineRule="auto"/>
        <w:rPr>
          <w:sz w:val="20"/>
          <w:szCs w:val="20"/>
          <w:color w:val="auto"/>
        </w:rPr>
      </w:pPr>
      <w:r>
        <w:rPr>
          <w:rFonts w:ascii="Courier New" w:cs="Courier New" w:eastAsia="Courier New" w:hAnsi="Courier New"/>
          <w:sz w:val="15"/>
          <w:szCs w:val="15"/>
          <w:color w:val="auto"/>
        </w:rPr>
        <w:t>Selling security holders may enter into hedging transactions from time to time in which a selling security holder may:</w:t>
      </w:r>
    </w:p>
    <w:p>
      <w:pPr>
        <w:spacing w:after="0" w:line="17" w:lineRule="exact"/>
        <w:rPr>
          <w:sz w:val="20"/>
          <w:szCs w:val="20"/>
          <w:color w:val="auto"/>
        </w:rPr>
      </w:pPr>
    </w:p>
    <w:p>
      <w:pPr>
        <w:ind w:left="880" w:right="3319" w:hanging="433"/>
        <w:spacing w:after="0" w:line="264" w:lineRule="auto"/>
        <w:tabs>
          <w:tab w:leader="none" w:pos="88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enter into transactions with a broker-dealer or any other person in connection with which such broker-dealer or other person will engage in short sales of common stock, in which case such broker-dealer or other person may use shares of common stock received from the selling security holder to close out its short positions;</w:t>
      </w:r>
    </w:p>
    <w:p>
      <w:pPr>
        <w:spacing w:after="0" w:line="75" w:lineRule="exact"/>
        <w:rPr>
          <w:sz w:val="20"/>
          <w:szCs w:val="20"/>
          <w:color w:val="auto"/>
        </w:rPr>
      </w:pPr>
    </w:p>
    <w:p>
      <w:pPr>
        <w:ind w:left="880" w:right="3499" w:hanging="433"/>
        <w:spacing w:after="0" w:line="290" w:lineRule="auto"/>
        <w:tabs>
          <w:tab w:leader="none" w:pos="88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sell common stock short itself and redeliver shares offered by this prospectus to close out its short positions or to close out stock loans incurred in connection with their short positions;</w:t>
      </w:r>
    </w:p>
    <w:p>
      <w:pPr>
        <w:spacing w:after="0" w:line="57" w:lineRule="exact"/>
        <w:rPr>
          <w:sz w:val="20"/>
          <w:szCs w:val="20"/>
          <w:color w:val="auto"/>
        </w:rPr>
      </w:pPr>
    </w:p>
    <w:p>
      <w:pPr>
        <w:ind w:left="880" w:right="3319" w:hanging="433"/>
        <w:spacing w:after="0" w:line="273" w:lineRule="auto"/>
        <w:tabs>
          <w:tab w:leader="none" w:pos="88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enter into option or other types of transactions that require the selling security holder to deliver common stock to a broker-dealer or any other person, who will then resell or transfer the common stock under this prospectus; or</w:t>
      </w:r>
    </w:p>
    <w:p>
      <w:pPr>
        <w:spacing w:after="0" w:line="68" w:lineRule="exact"/>
        <w:rPr>
          <w:sz w:val="20"/>
          <w:szCs w:val="20"/>
          <w:color w:val="auto"/>
        </w:rPr>
      </w:pPr>
    </w:p>
    <w:p>
      <w:pPr>
        <w:ind w:left="880" w:right="3399" w:hanging="433"/>
        <w:spacing w:after="0" w:line="320" w:lineRule="auto"/>
        <w:tabs>
          <w:tab w:leader="none" w:pos="88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loan or pledge the common stock to a broker-dealer or any other person, who may sell the loaned shares or, in an event of default in the case of a pledge, sell the pledged shares under this prospectus.</w:t>
      </w:r>
    </w:p>
    <w:p>
      <w:pPr>
        <w:spacing w:after="0" w:line="38" w:lineRule="exact"/>
        <w:rPr>
          <w:sz w:val="20"/>
          <w:szCs w:val="20"/>
          <w:color w:val="auto"/>
        </w:rPr>
      </w:pPr>
    </w:p>
    <w:p>
      <w:pPr>
        <w:ind w:right="3499" w:firstLine="437"/>
        <w:spacing w:after="0" w:line="381" w:lineRule="auto"/>
        <w:rPr>
          <w:sz w:val="20"/>
          <w:szCs w:val="20"/>
          <w:color w:val="auto"/>
        </w:rPr>
      </w:pPr>
      <w:r>
        <w:rPr>
          <w:rFonts w:ascii="Courier New" w:cs="Courier New" w:eastAsia="Courier New" w:hAnsi="Courier New"/>
          <w:sz w:val="14"/>
          <w:szCs w:val="14"/>
          <w:color w:val="auto"/>
        </w:rPr>
        <w:t>Selling security holders may use broker-dealers or other persons to sell their shares in transactions that may include one or more of the following:</w:t>
      </w:r>
    </w:p>
    <w:p>
      <w:pPr>
        <w:spacing w:after="0" w:line="1" w:lineRule="exact"/>
        <w:rPr>
          <w:sz w:val="20"/>
          <w:szCs w:val="20"/>
          <w:color w:val="auto"/>
        </w:rPr>
      </w:pPr>
    </w:p>
    <w:p>
      <w:pPr>
        <w:jc w:val="both"/>
        <w:ind w:left="880" w:right="3499" w:hanging="433"/>
        <w:spacing w:after="0" w:line="290" w:lineRule="auto"/>
        <w:tabs>
          <w:tab w:leader="none" w:pos="88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block trade in which a broker-dealer or other person may resell a portion of the block, as principal or agent, in order to facilitate the transaction;</w:t>
      </w:r>
    </w:p>
    <w:p>
      <w:pPr>
        <w:spacing w:after="0" w:line="57" w:lineRule="exact"/>
        <w:rPr>
          <w:sz w:val="20"/>
          <w:szCs w:val="20"/>
          <w:color w:val="auto"/>
        </w:rPr>
      </w:pPr>
    </w:p>
    <w:p>
      <w:pPr>
        <w:ind w:left="880" w:right="3239" w:hanging="433"/>
        <w:spacing w:after="0" w:line="344" w:lineRule="auto"/>
        <w:tabs>
          <w:tab w:leader="none" w:pos="88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purchases by a broker-dealer or other person, as principal, and resale by the broker-dealer or other person for its account; or</w:t>
      </w:r>
    </w:p>
    <w:p>
      <w:pPr>
        <w:spacing w:after="0" w:line="17" w:lineRule="exact"/>
        <w:rPr>
          <w:sz w:val="20"/>
          <w:szCs w:val="20"/>
          <w:color w:val="auto"/>
        </w:rPr>
      </w:pPr>
    </w:p>
    <w:p>
      <w:pPr>
        <w:ind w:left="880" w:right="3579" w:hanging="433"/>
        <w:spacing w:after="0" w:line="344" w:lineRule="auto"/>
        <w:tabs>
          <w:tab w:leader="none" w:pos="88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ordinary brokerage transactions and transactions in which a broker solicits purchasers.</w:t>
      </w:r>
    </w:p>
    <w:p>
      <w:pPr>
        <w:spacing w:after="0" w:line="1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39"/>
          </w:cols>
          <w:pgMar w:left="220" w:top="598" w:right="1440" w:bottom="1440" w:gutter="0" w:footer="0" w:header="0"/>
        </w:sectPr>
      </w:pPr>
    </w:p>
    <w:bookmarkStart w:id="10" w:name="page11"/>
    <w:bookmarkEnd w:id="10"/>
    <w:p>
      <w:pPr>
        <w:ind w:right="3239" w:firstLine="437"/>
        <w:spacing w:after="0" w:line="261" w:lineRule="auto"/>
        <w:rPr>
          <w:sz w:val="20"/>
          <w:szCs w:val="20"/>
          <w:color w:val="auto"/>
        </w:rPr>
      </w:pPr>
      <w:r>
        <w:rPr>
          <w:rFonts w:ascii="Courier New" w:cs="Courier New" w:eastAsia="Courier New" w:hAnsi="Courier New"/>
          <w:sz w:val="14"/>
          <w:szCs w:val="14"/>
          <w:color w:val="auto"/>
        </w:rPr>
        <w:t>Resales by selling security holders may be made directly to investors or through securities firms acting as underwriters, brokers or dealers. When resales are to be made through a securities firm, the securities firm may be engaged to act as the selling security holder's agent in the resale of the shares by the selling security holder, or the securities firm may purchase securities from the selling security holder as principal and thereafter resell the securities from time to time. The fees earned by or paid to the securities firm may be the normal stock exchange commission or negotiated commissions or underwriting discounts to the extent permissible. Securities may be sold at a fixed offering price, which may be changed, at the prevailing market price at the time of sale, at prices related to such prevailing market price or at negotiated prices. The securities firm may resell the securities through other securities dealers, and commissions or concessions to those other dealers may be allowed. We and such selling security holders may indemnify any securities firm participating in such transactions against certain liabilities, including liabilities under the Securities Act and may reimburse them for any expenses in connection with an offering or sale of securities. We may also agree to indemnify the selling security holder against any such liabilities or reimburse them for expenses. Profits, commissions and discounts on sales by persons who may be deemed to be underwriters within the meaning of the Securities Act may be deemed underwriting compensation under the Securities Act.</w:t>
      </w:r>
    </w:p>
    <w:p>
      <w:pPr>
        <w:spacing w:after="0" w:line="251" w:lineRule="exact"/>
        <w:rPr>
          <w:sz w:val="20"/>
          <w:szCs w:val="20"/>
          <w:color w:val="auto"/>
        </w:rPr>
      </w:pPr>
    </w:p>
    <w:p>
      <w:pPr>
        <w:ind w:right="3239" w:firstLine="437"/>
        <w:spacing w:after="0" w:line="258" w:lineRule="auto"/>
        <w:rPr>
          <w:sz w:val="20"/>
          <w:szCs w:val="20"/>
          <w:color w:val="auto"/>
        </w:rPr>
      </w:pPr>
      <w:r>
        <w:rPr>
          <w:rFonts w:ascii="Courier New" w:cs="Courier New" w:eastAsia="Courier New" w:hAnsi="Courier New"/>
          <w:sz w:val="15"/>
          <w:szCs w:val="15"/>
          <w:color w:val="auto"/>
        </w:rPr>
        <w:t>Selling security holders may also offer shares of common stock covered by this prospectus by means of prospectuses under other registration statements or pursuant to exemptions from the registration requirements of the Securities Act, including sales that meet the requirements of Rule 144 or Rule 145(d) under the Securities Act. Selling security holders should seek the advice of their own counsel about the legal requirements for such sales.</w:t>
      </w:r>
    </w:p>
    <w:p>
      <w:pPr>
        <w:spacing w:after="0" w:line="81" w:lineRule="exact"/>
        <w:rPr>
          <w:sz w:val="20"/>
          <w:szCs w:val="20"/>
          <w:color w:val="auto"/>
        </w:rPr>
      </w:pPr>
    </w:p>
    <w:p>
      <w:pPr>
        <w:ind w:right="3239" w:firstLine="437"/>
        <w:spacing w:after="0" w:line="258" w:lineRule="auto"/>
        <w:rPr>
          <w:sz w:val="20"/>
          <w:szCs w:val="20"/>
          <w:color w:val="auto"/>
        </w:rPr>
      </w:pPr>
      <w:r>
        <w:rPr>
          <w:rFonts w:ascii="Courier New" w:cs="Courier New" w:eastAsia="Courier New" w:hAnsi="Courier New"/>
          <w:sz w:val="15"/>
          <w:szCs w:val="15"/>
          <w:color w:val="auto"/>
        </w:rPr>
        <w:t>The terms of the acquisition of shares of common stock by the selling security holder may include a provision for the sharing or reallocation of the selling security holder's costs in connection with the resale of the securities, including the cost of registering the securities issued in the acquisition and preparing and printing the amendment or supplement, commissions and other costs of resale.</w:t>
      </w:r>
    </w:p>
    <w:p>
      <w:pPr>
        <w:spacing w:after="0" w:line="81" w:lineRule="exact"/>
        <w:rPr>
          <w:sz w:val="20"/>
          <w:szCs w:val="20"/>
          <w:color w:val="auto"/>
        </w:rPr>
      </w:pPr>
    </w:p>
    <w:p>
      <w:pPr>
        <w:ind w:right="3239" w:firstLine="437"/>
        <w:spacing w:after="0" w:line="269" w:lineRule="auto"/>
        <w:rPr>
          <w:sz w:val="20"/>
          <w:szCs w:val="20"/>
          <w:color w:val="auto"/>
        </w:rPr>
      </w:pPr>
      <w:r>
        <w:rPr>
          <w:rFonts w:ascii="Courier New" w:cs="Courier New" w:eastAsia="Courier New" w:hAnsi="Courier New"/>
          <w:sz w:val="14"/>
          <w:szCs w:val="14"/>
          <w:color w:val="auto"/>
        </w:rPr>
        <w:t>This prospectus will be amended or supplemented, if required by the Securities Act and the rules of the SEC, to disclose the name of the selling security holder, the participating securities firm, if any, the number of shares of common stock involved and other information concerning the resale, including the terms of any distribution, including the names of any underwriters, brokers, dealers or agents and any discounts, commissions, concessions or other items constituting compensation. We may agree to keep the registration statement relating to the offering and sale by the selling security holders of our securities continuously effective until a fixed date or the date on which the shares may be resold without registration under the Securities Act.</w:t>
      </w:r>
    </w:p>
    <w:p>
      <w:pPr>
        <w:spacing w:after="0" w:line="7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39"/>
          </w:cols>
          <w:pgMar w:left="220" w:top="598" w:right="1440" w:bottom="1440" w:gutter="0" w:footer="0" w:header="0"/>
        </w:sectPr>
      </w:pPr>
    </w:p>
    <w:bookmarkStart w:id="11" w:name="page12"/>
    <w:bookmarkEnd w:id="11"/>
    <w:p>
      <w:pPr>
        <w:ind w:left="2280"/>
        <w:spacing w:after="0"/>
        <w:rPr>
          <w:sz w:val="20"/>
          <w:szCs w:val="20"/>
          <w:color w:val="auto"/>
        </w:rPr>
      </w:pPr>
      <w:r>
        <w:rPr>
          <w:rFonts w:ascii="Courier New" w:cs="Courier New" w:eastAsia="Courier New" w:hAnsi="Courier New"/>
          <w:sz w:val="15"/>
          <w:szCs w:val="15"/>
          <w:color w:val="auto"/>
        </w:rPr>
        <w:t>DESCRIPTION OF CAPITAL STOCK</w:t>
      </w:r>
    </w:p>
    <w:p>
      <w:pPr>
        <w:spacing w:after="0" w:line="166"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5"/>
          <w:szCs w:val="15"/>
          <w:color w:val="auto"/>
        </w:rPr>
        <w:t>The following is a summary of certain rights of the holders of our common stock. Reference is made to our deed of incorporation and our by-laws, each as amended to date, copies of which are filed as exhibits to the registration statement of which this prospectus is a part and are incorporated into this prospectus by reference. See "Where You Can Find More Information" on page 10 of this prospectus for information on how to obtain a copy of our deed of incorporation or by-laws.</w:t>
      </w: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Authorized, Issued and Treasury Shares</w:t>
      </w:r>
    </w:p>
    <w:p>
      <w:pPr>
        <w:spacing w:after="0" w:line="166" w:lineRule="exact"/>
        <w:rPr>
          <w:sz w:val="20"/>
          <w:szCs w:val="20"/>
          <w:color w:val="auto"/>
        </w:rPr>
      </w:pPr>
    </w:p>
    <w:p>
      <w:pPr>
        <w:ind w:right="3239" w:firstLine="437"/>
        <w:spacing w:after="0" w:line="269" w:lineRule="auto"/>
        <w:rPr>
          <w:sz w:val="20"/>
          <w:szCs w:val="20"/>
          <w:color w:val="auto"/>
        </w:rPr>
      </w:pPr>
      <w:r>
        <w:rPr>
          <w:rFonts w:ascii="Courier New" w:cs="Courier New" w:eastAsia="Courier New" w:hAnsi="Courier New"/>
          <w:sz w:val="14"/>
          <w:szCs w:val="14"/>
          <w:color w:val="auto"/>
        </w:rPr>
        <w:t>We are authorized to issue 1,500,000,000 shares of common stock, par value $0.01 per share. As of June 30, 2002, 667,104,668 shares were issued, of which 577,436,089 shares were outstanding and 89,668,579 shares were held by us as treasury stock. In addition, we are authorized to issue, with some limitations with respect to voting rights, liquidation and dividend preferences, 200,000,000 shares of cumulative preferred stock, par value $0.01 per share, which may be issued in one or more separate series. If issued, the preferred stock may contain provisions allowing it to be converted into common stock under terms and conditions specified by our board of directors. No shares of preferred stock have been issued as of the date of this prospectus.</w:t>
      </w:r>
    </w:p>
    <w:p>
      <w:pPr>
        <w:spacing w:after="0" w:line="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Dividend Rights</w:t>
      </w:r>
    </w:p>
    <w:p>
      <w:pPr>
        <w:spacing w:after="0" w:line="166" w:lineRule="exact"/>
        <w:rPr>
          <w:sz w:val="20"/>
          <w:szCs w:val="20"/>
          <w:color w:val="auto"/>
        </w:rPr>
      </w:pPr>
    </w:p>
    <w:p>
      <w:pPr>
        <w:ind w:right="3239" w:firstLine="437"/>
        <w:spacing w:after="0" w:line="249" w:lineRule="auto"/>
        <w:rPr>
          <w:sz w:val="20"/>
          <w:szCs w:val="20"/>
          <w:color w:val="auto"/>
        </w:rPr>
      </w:pPr>
      <w:r>
        <w:rPr>
          <w:rFonts w:ascii="Courier New" w:cs="Courier New" w:eastAsia="Courier New" w:hAnsi="Courier New"/>
          <w:sz w:val="15"/>
          <w:szCs w:val="15"/>
          <w:color w:val="auto"/>
        </w:rPr>
        <w:t>All outstanding shares of our common stock (i.e., shares not held by us) are entitled to participate equally and receive dividends that may be paid out of available profits of the preceding fiscal year or years. All accumulated and unpaid dividends payable on preferred stock (if issued and outstanding) must be paid prior to the payment of any dividends on common stock. The amount of dividends payable with respect to any fiscal year is determined by the stockholders at the annual general meeting held within nine months of such fiscal year following such fiscal year, except that our board of directors may allocate such part of the earnings to the retained earnings reserves as it deems fit and may declare interim dividends.</w:t>
      </w:r>
    </w:p>
    <w:p>
      <w:pPr>
        <w:spacing w:after="0" w:line="8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Voting Rights</w:t>
      </w:r>
    </w:p>
    <w:p>
      <w:pPr>
        <w:spacing w:after="0" w:line="166" w:lineRule="exact"/>
        <w:rPr>
          <w:sz w:val="20"/>
          <w:szCs w:val="20"/>
          <w:color w:val="auto"/>
        </w:rPr>
      </w:pPr>
    </w:p>
    <w:p>
      <w:pPr>
        <w:ind w:right="3239" w:firstLine="437"/>
        <w:spacing w:after="0" w:line="244" w:lineRule="auto"/>
        <w:rPr>
          <w:sz w:val="20"/>
          <w:szCs w:val="20"/>
          <w:color w:val="auto"/>
        </w:rPr>
      </w:pPr>
      <w:r>
        <w:rPr>
          <w:rFonts w:ascii="Courier New" w:cs="Courier New" w:eastAsia="Courier New" w:hAnsi="Courier New"/>
          <w:sz w:val="15"/>
          <w:szCs w:val="15"/>
          <w:color w:val="auto"/>
        </w:rPr>
        <w:t>Each holder of shares of common stock is entitled to one vote for each share registered in that holder's name. Voting rights may be exercised in person or by proxy. No action to amend our deed of incorporation or to sell all or substantially all of our assets or to dissolve us can be taken except upon the authorization of the holders of at least a majority of the outstanding shares eligible to vote. In addition, holders of preferred stock (if issued and outstanding) would have additional rights to vote as a class on certain amendments to our deed of incorporation that would adversely affect the preferred stock. Any other action requiring the approval of the shareholders may be authorized by a majority of the votes cast (excluding any abstentions) at any meeting at which a quorum is present, except that, if a quorum is not present at any meeting, a second meeting may be called, to be held within two months, at which second meeting, despite the absence of a quorum, valid resolutions may be adopted with respect to any matter stated in the notice of the original meeting and of the second meeting. A quorum consists of not less than 50% of the shares outstanding and eligible to vote.</w:t>
      </w:r>
    </w:p>
    <w:p>
      <w:pPr>
        <w:spacing w:after="0" w:line="95"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5"/>
          <w:szCs w:val="15"/>
          <w:color w:val="auto"/>
        </w:rPr>
        <w:t>Our board of directors is authorized to effect reorganizations or rearrangements of our corporate structure or that of our subsidiaries without the vote of shareholders if such reorganization or rearrangement does not result in any diminution of the beneficial interest of the shareholders in our assets. The board of directors may change our corporate domicile from the Netherlands Antilles to another jurisdiction without the necessity of any shareholder action or approval.</w:t>
      </w: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Preemptive and Other Rights</w:t>
      </w:r>
    </w:p>
    <w:p>
      <w:pPr>
        <w:spacing w:after="0" w:line="166" w:lineRule="exact"/>
        <w:rPr>
          <w:sz w:val="20"/>
          <w:szCs w:val="20"/>
          <w:color w:val="auto"/>
        </w:rPr>
      </w:pPr>
    </w:p>
    <w:p>
      <w:pPr>
        <w:ind w:right="3239" w:firstLine="437"/>
        <w:spacing w:after="0" w:line="249" w:lineRule="auto"/>
        <w:rPr>
          <w:sz w:val="20"/>
          <w:szCs w:val="20"/>
          <w:color w:val="auto"/>
        </w:rPr>
      </w:pPr>
      <w:r>
        <w:rPr>
          <w:rFonts w:ascii="Courier New" w:cs="Courier New" w:eastAsia="Courier New" w:hAnsi="Courier New"/>
          <w:sz w:val="15"/>
          <w:szCs w:val="15"/>
          <w:color w:val="auto"/>
        </w:rPr>
        <w:t>The shares of our common stock do not carry any preemptive or conversion rights, and there are no redemption provisions with respect to the common stock. The shares of preferred stock (if issued and outstanding) would not carry any preemptive rights, but our board of directors could specify conversion rights, redemption provisions and (within limits) liquidation preferences with respect to one or more series of preferred stock. We may for our own account purchase shares of common stock so long as at least one-fifth of our authorized capital stock remains outstanding with other holders. In the event of liquidation, each share of common stock is entitled to equal rights after satisfaction of any preferred stock liquidation preference.</w:t>
      </w:r>
    </w:p>
    <w:p>
      <w:pPr>
        <w:spacing w:after="0" w:line="8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39"/>
          </w:cols>
          <w:pgMar w:left="220" w:top="598" w:right="1440" w:bottom="1440" w:gutter="0" w:footer="0" w:header="0"/>
        </w:sectPr>
      </w:pPr>
    </w:p>
    <w:bookmarkStart w:id="12" w:name="page13"/>
    <w:bookmarkEnd w:id="12"/>
    <w:p>
      <w:pPr>
        <w:spacing w:after="0"/>
        <w:rPr>
          <w:sz w:val="20"/>
          <w:szCs w:val="20"/>
          <w:color w:val="auto"/>
        </w:rPr>
      </w:pPr>
      <w:r>
        <w:rPr>
          <w:rFonts w:ascii="Courier New" w:cs="Courier New" w:eastAsia="Courier New" w:hAnsi="Courier New"/>
          <w:sz w:val="15"/>
          <w:szCs w:val="15"/>
          <w:color w:val="auto"/>
        </w:rPr>
        <w:t>Listing, Transfer Agents and Registrars</w:t>
      </w:r>
    </w:p>
    <w:p>
      <w:pPr>
        <w:spacing w:after="0" w:line="166" w:lineRule="exact"/>
        <w:rPr>
          <w:sz w:val="20"/>
          <w:szCs w:val="20"/>
          <w:color w:val="auto"/>
        </w:rPr>
      </w:pPr>
    </w:p>
    <w:p>
      <w:pPr>
        <w:ind w:right="3319" w:firstLine="437"/>
        <w:spacing w:after="0" w:line="273" w:lineRule="auto"/>
        <w:rPr>
          <w:sz w:val="20"/>
          <w:szCs w:val="20"/>
          <w:color w:val="auto"/>
        </w:rPr>
      </w:pPr>
      <w:r>
        <w:rPr>
          <w:rFonts w:ascii="Courier New" w:cs="Courier New" w:eastAsia="Courier New" w:hAnsi="Courier New"/>
          <w:sz w:val="15"/>
          <w:szCs w:val="15"/>
          <w:color w:val="auto"/>
        </w:rPr>
        <w:t>Our common stock is listed for trading on the New York Stock Exchange, The London Stock Exchange, Euronext Paris, Euronext Amsterdam and The SWS Swiss Exchange. The transfer agent and registrar for the common stock is EquiServe Trust Company, N.A., Canton, Massachusetts.</w:t>
      </w:r>
    </w:p>
    <w:p>
      <w:pPr>
        <w:spacing w:after="0" w:line="68"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LEGAL MATTERS</w:t>
      </w:r>
    </w:p>
    <w:p>
      <w:pPr>
        <w:spacing w:after="0" w:line="166" w:lineRule="exact"/>
        <w:rPr>
          <w:sz w:val="20"/>
          <w:szCs w:val="20"/>
          <w:color w:val="auto"/>
        </w:rPr>
      </w:pPr>
    </w:p>
    <w:p>
      <w:pPr>
        <w:ind w:right="3319" w:firstLine="437"/>
        <w:spacing w:after="0" w:line="273" w:lineRule="auto"/>
        <w:rPr>
          <w:sz w:val="20"/>
          <w:szCs w:val="20"/>
          <w:color w:val="auto"/>
        </w:rPr>
      </w:pPr>
      <w:r>
        <w:rPr>
          <w:rFonts w:ascii="Courier New" w:cs="Courier New" w:eastAsia="Courier New" w:hAnsi="Courier New"/>
          <w:sz w:val="15"/>
          <w:szCs w:val="15"/>
          <w:color w:val="auto"/>
        </w:rPr>
        <w:t>The validity of the common stock will be passed upon for us by Ellen S. Summer, Esq., our General Counsel. If certain legal matters with respect to the common stock are to be passed upon by other counsel, information about such counsel will be indicated in a prospectus supplement.</w:t>
      </w:r>
    </w:p>
    <w:p>
      <w:pPr>
        <w:spacing w:after="0" w:line="68"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EXPERTS</w:t>
      </w:r>
    </w:p>
    <w:p>
      <w:pPr>
        <w:spacing w:after="0" w:line="166" w:lineRule="exact"/>
        <w:rPr>
          <w:sz w:val="20"/>
          <w:szCs w:val="20"/>
          <w:color w:val="auto"/>
        </w:rPr>
      </w:pPr>
    </w:p>
    <w:p>
      <w:pPr>
        <w:ind w:right="3399" w:firstLine="437"/>
        <w:spacing w:after="0" w:line="264" w:lineRule="auto"/>
        <w:rPr>
          <w:sz w:val="20"/>
          <w:szCs w:val="20"/>
          <w:color w:val="auto"/>
        </w:rPr>
      </w:pPr>
      <w:r>
        <w:rPr>
          <w:rFonts w:ascii="Courier New" w:cs="Courier New" w:eastAsia="Courier New" w:hAnsi="Courier New"/>
          <w:sz w:val="15"/>
          <w:szCs w:val="15"/>
          <w:color w:val="auto"/>
        </w:rPr>
        <w:t>The financial statements as of December 31, 2001 and 2000 and for each of the three years in the period ended December 31, 2001 included in this Registration Statement on Form S-4 have been so included in reliance on the report of PricewaterhouseCoopers LLP, independent accountants, given on the authority of said firm as experts in auditing and accounting.</w:t>
      </w:r>
    </w:p>
    <w:p>
      <w:pPr>
        <w:spacing w:after="0" w:line="243"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WHERE YOU CAN FIND MORE INFORMATION</w:t>
      </w:r>
    </w:p>
    <w:p>
      <w:pPr>
        <w:spacing w:after="0" w:line="166" w:lineRule="exact"/>
        <w:rPr>
          <w:sz w:val="20"/>
          <w:szCs w:val="20"/>
          <w:color w:val="auto"/>
        </w:rPr>
      </w:pPr>
    </w:p>
    <w:p>
      <w:pPr>
        <w:ind w:right="3239" w:firstLine="437"/>
        <w:spacing w:after="0" w:line="250" w:lineRule="auto"/>
        <w:rPr>
          <w:sz w:val="20"/>
          <w:szCs w:val="20"/>
          <w:color w:val="auto"/>
        </w:rPr>
      </w:pPr>
      <w:r>
        <w:rPr>
          <w:rFonts w:ascii="Courier New" w:cs="Courier New" w:eastAsia="Courier New" w:hAnsi="Courier New"/>
          <w:sz w:val="15"/>
          <w:szCs w:val="15"/>
          <w:color w:val="auto"/>
        </w:rPr>
        <w:t>We file annual, quarterly and special reports, proxy statements and other information with the SEC. Our SEC filings are available over the Internet at the SEC's web site at http://www.sec.gov. You may also read and copy any document we file at the SEC's public reference room at 450 Fifth Street N.W., Room 1024, Washington, D.C. 20549, and in New York, New York, and Chicago, Illinois. Please call the SEC at 1-800-SEC-0330 for more information on the public reference rooms and their copy charges. You may also inspect our SEC reports and other information at the New York Stock Exchange, 20 Broad Street, New York, New York 10005.</w:t>
      </w:r>
    </w:p>
    <w:p>
      <w:pPr>
        <w:spacing w:after="0" w:line="89" w:lineRule="exact"/>
        <w:rPr>
          <w:sz w:val="20"/>
          <w:szCs w:val="20"/>
          <w:color w:val="auto"/>
        </w:rPr>
      </w:pPr>
    </w:p>
    <w:p>
      <w:pPr>
        <w:ind w:right="3239" w:firstLine="437"/>
        <w:spacing w:after="0" w:line="266" w:lineRule="auto"/>
        <w:rPr>
          <w:sz w:val="20"/>
          <w:szCs w:val="20"/>
          <w:color w:val="auto"/>
        </w:rPr>
      </w:pPr>
      <w:r>
        <w:rPr>
          <w:rFonts w:ascii="Courier New" w:cs="Courier New" w:eastAsia="Courier New" w:hAnsi="Courier New"/>
          <w:sz w:val="14"/>
          <w:szCs w:val="14"/>
          <w:color w:val="auto"/>
        </w:rPr>
        <w:t>This prospectus is part of a registration statement on Form S-4 that we filed with the SEC, which includes exhibits and other information not included in this prospectus. The SEC allows us to "incorporate by reference" into this prospectus the information we file with it. This means that we are disclosing important information to you by referring to other documents filed separately with the SEC. The information incorporated by reference is an important part of this prospectus and information that we file later with the SEC will automatically update and supercede this information. We incorporate by reference the documents listed below that we have previously filed with the SEC and any future filings we make with the SEC pursuant to Sections 13(a), 13(c), 14 and 15(d) of the Securities Exchange Act of 1934, as amended, after the date of this prospectus until we sell all of the securities covered by this prospectus.</w:t>
      </w:r>
    </w:p>
    <w:p>
      <w:pPr>
        <w:spacing w:after="0" w:line="77" w:lineRule="exact"/>
        <w:rPr>
          <w:sz w:val="20"/>
          <w:szCs w:val="20"/>
          <w:color w:val="auto"/>
        </w:rPr>
      </w:pPr>
    </w:p>
    <w:p>
      <w:pPr>
        <w:ind w:left="880" w:hanging="433"/>
        <w:spacing w:after="0"/>
        <w:tabs>
          <w:tab w:leader="none" w:pos="880"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our Annual Report on Form 10-K for the year ended December 31, 2001;</w:t>
      </w:r>
    </w:p>
    <w:p>
      <w:pPr>
        <w:spacing w:after="0" w:line="178" w:lineRule="exact"/>
        <w:rPr>
          <w:sz w:val="20"/>
          <w:szCs w:val="20"/>
          <w:color w:val="auto"/>
        </w:rPr>
      </w:pPr>
    </w:p>
    <w:p>
      <w:pPr>
        <w:ind w:left="880" w:right="3499" w:hanging="433"/>
        <w:spacing w:after="0" w:line="344" w:lineRule="auto"/>
        <w:tabs>
          <w:tab w:leader="none" w:pos="88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Quarterly Reports on Form 10-Q for the quarters ended March 31, 2002 and June 30, 2002;</w:t>
      </w:r>
    </w:p>
    <w:p>
      <w:pPr>
        <w:spacing w:after="0" w:line="17" w:lineRule="exact"/>
        <w:rPr>
          <w:sz w:val="20"/>
          <w:szCs w:val="20"/>
          <w:color w:val="auto"/>
        </w:rPr>
      </w:pPr>
    </w:p>
    <w:p>
      <w:pPr>
        <w:ind w:left="880" w:hanging="433"/>
        <w:spacing w:after="0"/>
        <w:tabs>
          <w:tab w:leader="none" w:pos="88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Current Report on Form 8-K filed May 21, 2002; and</w:t>
      </w:r>
    </w:p>
    <w:p>
      <w:pPr>
        <w:spacing w:after="0" w:line="166" w:lineRule="exact"/>
        <w:rPr>
          <w:sz w:val="20"/>
          <w:szCs w:val="20"/>
          <w:color w:val="auto"/>
        </w:rPr>
      </w:pPr>
    </w:p>
    <w:p>
      <w:pPr>
        <w:ind w:left="880" w:right="3319" w:hanging="433"/>
        <w:spacing w:after="0" w:line="320" w:lineRule="auto"/>
        <w:tabs>
          <w:tab w:leader="none" w:pos="880"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description of our common stock contained in our registration statement on Form F-20 dated January 8, 1962, including any amendment or report filed for the purpose of updating such description.</w:t>
      </w:r>
    </w:p>
    <w:p>
      <w:pPr>
        <w:spacing w:after="0" w:line="3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39"/>
          </w:cols>
          <w:pgMar w:left="220" w:top="598" w:right="1440" w:bottom="1440" w:gutter="0" w:footer="0" w:header="0"/>
        </w:sectPr>
      </w:pPr>
    </w:p>
    <w:bookmarkStart w:id="13" w:name="page14"/>
    <w:bookmarkEnd w:id="13"/>
    <w:p>
      <w:pPr>
        <w:ind w:right="4099" w:firstLine="437"/>
        <w:spacing w:after="0" w:line="344" w:lineRule="auto"/>
        <w:rPr>
          <w:sz w:val="20"/>
          <w:szCs w:val="20"/>
          <w:color w:val="auto"/>
        </w:rPr>
      </w:pPr>
      <w:r>
        <w:rPr>
          <w:rFonts w:ascii="Courier New" w:cs="Courier New" w:eastAsia="Courier New" w:hAnsi="Courier New"/>
          <w:sz w:val="15"/>
          <w:szCs w:val="15"/>
          <w:color w:val="auto"/>
        </w:rPr>
        <w:t>You may request a copy of these filings at no cost, by writing or telephoning us at the following address:</w:t>
      </w:r>
    </w:p>
    <w:p>
      <w:pPr>
        <w:spacing w:after="0" w:line="17"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Schlumberger Limited</w:t>
      </w:r>
    </w:p>
    <w:p>
      <w:pPr>
        <w:spacing w:after="0" w:line="23"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153 East 53rd Street, 57th Floor</w:t>
      </w:r>
    </w:p>
    <w:p>
      <w:pPr>
        <w:ind w:left="2280"/>
        <w:spacing w:after="0" w:line="237" w:lineRule="auto"/>
        <w:rPr>
          <w:sz w:val="20"/>
          <w:szCs w:val="20"/>
          <w:color w:val="auto"/>
        </w:rPr>
      </w:pPr>
      <w:r>
        <w:rPr>
          <w:rFonts w:ascii="Courier New" w:cs="Courier New" w:eastAsia="Courier New" w:hAnsi="Courier New"/>
          <w:sz w:val="15"/>
          <w:szCs w:val="15"/>
          <w:color w:val="auto"/>
        </w:rPr>
        <w:t>New York, New York 10022-4624</w:t>
      </w:r>
    </w:p>
    <w:p>
      <w:pPr>
        <w:ind w:left="3420" w:hanging="524"/>
        <w:spacing w:after="0" w:line="238" w:lineRule="auto"/>
        <w:tabs>
          <w:tab w:leader="none" w:pos="342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350-9400</w:t>
      </w:r>
    </w:p>
    <w:p>
      <w:pPr>
        <w:ind w:left="22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Attention: Investor Relations</w:t>
      </w:r>
    </w:p>
    <w:p>
      <w:pPr>
        <w:spacing w:after="0" w:line="140" w:lineRule="exact"/>
        <w:rPr>
          <w:sz w:val="20"/>
          <w:szCs w:val="20"/>
          <w:color w:val="auto"/>
        </w:rPr>
      </w:pPr>
    </w:p>
    <w:p>
      <w:pPr>
        <w:ind w:right="3399" w:firstLine="437"/>
        <w:spacing w:after="0" w:line="264" w:lineRule="auto"/>
        <w:rPr>
          <w:sz w:val="20"/>
          <w:szCs w:val="20"/>
          <w:color w:val="auto"/>
        </w:rPr>
      </w:pPr>
      <w:r>
        <w:rPr>
          <w:rFonts w:ascii="Courier New" w:cs="Courier New" w:eastAsia="Courier New" w:hAnsi="Courier New"/>
          <w:sz w:val="15"/>
          <w:szCs w:val="15"/>
          <w:color w:val="auto"/>
        </w:rPr>
        <w:t>To ensure timely delivery of these materials, you should make any request no later than five business days prior to the date on which you must make your investment decision. We will mail the materials to you by first class mail, or another equally prompt means, within one business day after we receive your request.</w:t>
      </w:r>
    </w:p>
    <w:p>
      <w:pPr>
        <w:spacing w:after="0" w:line="7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39"/>
          </w:cols>
          <w:pgMar w:left="220" w:top="598" w:right="1440"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45"/>
        </w:trPr>
        <w:tc>
          <w:tcPr>
            <w:tcW w:w="700" w:type="dxa"/>
            <w:vAlign w:val="bottom"/>
          </w:tcPr>
          <w:p>
            <w:pPr>
              <w:spacing w:after="0"/>
              <w:rPr>
                <w:sz w:val="21"/>
                <w:szCs w:val="21"/>
                <w:color w:val="auto"/>
              </w:rPr>
            </w:pPr>
          </w:p>
        </w:tc>
        <w:tc>
          <w:tcPr>
            <w:tcW w:w="8720" w:type="dxa"/>
            <w:vAlign w:val="bottom"/>
          </w:tcPr>
          <w:p>
            <w:pPr>
              <w:ind w:left="1580"/>
              <w:spacing w:after="0"/>
              <w:rPr>
                <w:sz w:val="20"/>
                <w:szCs w:val="20"/>
                <w:color w:val="auto"/>
              </w:rPr>
            </w:pPr>
            <w:r>
              <w:rPr>
                <w:rFonts w:ascii="Courier New" w:cs="Courier New" w:eastAsia="Courier New" w:hAnsi="Courier New"/>
                <w:sz w:val="15"/>
                <w:szCs w:val="15"/>
                <w:color w:val="auto"/>
              </w:rPr>
              <w:t>INDEX TO FINANCIAL STATEMENTS</w:t>
            </w:r>
          </w:p>
        </w:tc>
        <w:tc>
          <w:tcPr>
            <w:tcW w:w="640" w:type="dxa"/>
            <w:vAlign w:val="bottom"/>
          </w:tcPr>
          <w:p>
            <w:pPr>
              <w:spacing w:after="0"/>
              <w:rPr>
                <w:sz w:val="21"/>
                <w:szCs w:val="21"/>
                <w:color w:val="auto"/>
              </w:rPr>
            </w:pPr>
          </w:p>
        </w:tc>
      </w:tr>
      <w:tr>
        <w:trPr>
          <w:trHeight w:val="596"/>
        </w:trPr>
        <w:tc>
          <w:tcPr>
            <w:tcW w:w="700" w:type="dxa"/>
            <w:vAlign w:val="bottom"/>
          </w:tcPr>
          <w:p>
            <w:pPr>
              <w:spacing w:after="0"/>
              <w:rPr>
                <w:sz w:val="24"/>
                <w:szCs w:val="24"/>
                <w:color w:val="auto"/>
              </w:rPr>
            </w:pPr>
          </w:p>
        </w:tc>
        <w:tc>
          <w:tcPr>
            <w:tcW w:w="8720" w:type="dxa"/>
            <w:vAlign w:val="bottom"/>
          </w:tcPr>
          <w:p>
            <w:pPr>
              <w:spacing w:after="0"/>
              <w:rPr>
                <w:sz w:val="24"/>
                <w:szCs w:val="24"/>
                <w:color w:val="auto"/>
              </w:rPr>
            </w:pPr>
          </w:p>
        </w:tc>
        <w:tc>
          <w:tcPr>
            <w:tcW w:w="640" w:type="dxa"/>
            <w:vAlign w:val="bottom"/>
          </w:tcPr>
          <w:p>
            <w:pPr>
              <w:ind w:left="220"/>
              <w:spacing w:after="0"/>
              <w:rPr>
                <w:sz w:val="20"/>
                <w:szCs w:val="20"/>
                <w:color w:val="auto"/>
              </w:rPr>
            </w:pPr>
            <w:r>
              <w:rPr>
                <w:rFonts w:ascii="Courier New" w:cs="Courier New" w:eastAsia="Courier New" w:hAnsi="Courier New"/>
                <w:sz w:val="15"/>
                <w:szCs w:val="15"/>
                <w:color w:val="auto"/>
              </w:rPr>
              <w:t>Page</w:t>
            </w:r>
          </w:p>
        </w:tc>
      </w:tr>
      <w:tr>
        <w:trPr>
          <w:trHeight w:val="245"/>
        </w:trPr>
        <w:tc>
          <w:tcPr>
            <w:tcW w:w="700" w:type="dxa"/>
            <w:vAlign w:val="bottom"/>
          </w:tcPr>
          <w:p>
            <w:pPr>
              <w:spacing w:after="0"/>
              <w:rPr>
                <w:sz w:val="21"/>
                <w:szCs w:val="21"/>
                <w:color w:val="auto"/>
              </w:rPr>
            </w:pPr>
          </w:p>
        </w:tc>
        <w:tc>
          <w:tcPr>
            <w:tcW w:w="8720" w:type="dxa"/>
            <w:vAlign w:val="bottom"/>
          </w:tcPr>
          <w:p>
            <w:pPr>
              <w:spacing w:after="0"/>
              <w:rPr>
                <w:sz w:val="21"/>
                <w:szCs w:val="21"/>
                <w:color w:val="auto"/>
              </w:rPr>
            </w:pPr>
          </w:p>
        </w:tc>
        <w:tc>
          <w:tcPr>
            <w:tcW w:w="640" w:type="dxa"/>
            <w:vAlign w:val="bottom"/>
          </w:tcPr>
          <w:p>
            <w:pPr>
              <w:ind w:left="120"/>
              <w:spacing w:after="0"/>
              <w:rPr>
                <w:sz w:val="20"/>
                <w:szCs w:val="20"/>
                <w:color w:val="auto"/>
              </w:rPr>
            </w:pPr>
            <w:r>
              <w:rPr>
                <w:rFonts w:ascii="Courier New" w:cs="Courier New" w:eastAsia="Courier New" w:hAnsi="Courier New"/>
                <w:sz w:val="15"/>
                <w:szCs w:val="15"/>
                <w:color w:val="auto"/>
                <w:w w:val="92"/>
              </w:rPr>
              <w:t>------</w:t>
            </w:r>
          </w:p>
        </w:tc>
      </w:tr>
      <w:tr>
        <w:trPr>
          <w:trHeight w:val="336"/>
        </w:trPr>
        <w:tc>
          <w:tcPr>
            <w:tcW w:w="9420" w:type="dxa"/>
            <w:vAlign w:val="bottom"/>
            <w:gridSpan w:val="2"/>
          </w:tcPr>
          <w:p>
            <w:pPr>
              <w:spacing w:after="0"/>
              <w:rPr>
                <w:sz w:val="20"/>
                <w:szCs w:val="20"/>
                <w:color w:val="auto"/>
              </w:rPr>
            </w:pPr>
            <w:r>
              <w:rPr>
                <w:rFonts w:ascii="Courier New" w:cs="Courier New" w:eastAsia="Courier New" w:hAnsi="Courier New"/>
                <w:sz w:val="15"/>
                <w:szCs w:val="15"/>
                <w:color w:val="auto"/>
                <w:w w:val="98"/>
              </w:rPr>
              <w:t>Report of Independent Accountants ........................................................................</w:t>
            </w:r>
          </w:p>
        </w:tc>
        <w:tc>
          <w:tcPr>
            <w:tcW w:w="640" w:type="dxa"/>
            <w:vAlign w:val="bottom"/>
          </w:tcPr>
          <w:p>
            <w:pPr>
              <w:ind w:left="220"/>
              <w:spacing w:after="0"/>
              <w:rPr>
                <w:sz w:val="20"/>
                <w:szCs w:val="20"/>
                <w:color w:val="auto"/>
              </w:rPr>
            </w:pPr>
            <w:r>
              <w:rPr>
                <w:rFonts w:ascii="Courier New" w:cs="Courier New" w:eastAsia="Courier New" w:hAnsi="Courier New"/>
                <w:sz w:val="15"/>
                <w:szCs w:val="15"/>
                <w:color w:val="auto"/>
              </w:rPr>
              <w:t>F-2</w:t>
            </w:r>
          </w:p>
        </w:tc>
      </w:tr>
      <w:tr>
        <w:trPr>
          <w:trHeight w:val="336"/>
        </w:trPr>
        <w:tc>
          <w:tcPr>
            <w:tcW w:w="9420" w:type="dxa"/>
            <w:vAlign w:val="bottom"/>
            <w:gridSpan w:val="2"/>
          </w:tcPr>
          <w:p>
            <w:pPr>
              <w:spacing w:after="0"/>
              <w:rPr>
                <w:sz w:val="20"/>
                <w:szCs w:val="20"/>
                <w:color w:val="auto"/>
              </w:rPr>
            </w:pPr>
            <w:r>
              <w:rPr>
                <w:rFonts w:ascii="Courier New" w:cs="Courier New" w:eastAsia="Courier New" w:hAnsi="Courier New"/>
                <w:sz w:val="15"/>
                <w:szCs w:val="15"/>
                <w:color w:val="auto"/>
                <w:w w:val="98"/>
              </w:rPr>
              <w:t>Consolidated Statement of Income for the years ended December 31, 2001, 2000 and 1999 ....................</w:t>
            </w:r>
          </w:p>
        </w:tc>
        <w:tc>
          <w:tcPr>
            <w:tcW w:w="640" w:type="dxa"/>
            <w:vAlign w:val="bottom"/>
          </w:tcPr>
          <w:p>
            <w:pPr>
              <w:ind w:left="220"/>
              <w:spacing w:after="0"/>
              <w:rPr>
                <w:sz w:val="20"/>
                <w:szCs w:val="20"/>
                <w:color w:val="auto"/>
              </w:rPr>
            </w:pPr>
            <w:r>
              <w:rPr>
                <w:rFonts w:ascii="Courier New" w:cs="Courier New" w:eastAsia="Courier New" w:hAnsi="Courier New"/>
                <w:sz w:val="15"/>
                <w:szCs w:val="15"/>
                <w:color w:val="auto"/>
              </w:rPr>
              <w:t>F-3</w:t>
            </w:r>
          </w:p>
        </w:tc>
      </w:tr>
      <w:tr>
        <w:trPr>
          <w:trHeight w:val="336"/>
        </w:trPr>
        <w:tc>
          <w:tcPr>
            <w:tcW w:w="9420" w:type="dxa"/>
            <w:vAlign w:val="bottom"/>
            <w:gridSpan w:val="2"/>
          </w:tcPr>
          <w:p>
            <w:pPr>
              <w:spacing w:after="0"/>
              <w:rPr>
                <w:sz w:val="20"/>
                <w:szCs w:val="20"/>
                <w:color w:val="auto"/>
              </w:rPr>
            </w:pPr>
            <w:r>
              <w:rPr>
                <w:rFonts w:ascii="Courier New" w:cs="Courier New" w:eastAsia="Courier New" w:hAnsi="Courier New"/>
                <w:sz w:val="15"/>
                <w:szCs w:val="15"/>
                <w:color w:val="auto"/>
                <w:w w:val="98"/>
              </w:rPr>
              <w:t>Consolidated Balance Sheet as of December 31, 2001 and 2000 ..............................................</w:t>
            </w:r>
          </w:p>
        </w:tc>
        <w:tc>
          <w:tcPr>
            <w:tcW w:w="640" w:type="dxa"/>
            <w:vAlign w:val="bottom"/>
          </w:tcPr>
          <w:p>
            <w:pPr>
              <w:ind w:left="220"/>
              <w:spacing w:after="0"/>
              <w:rPr>
                <w:sz w:val="20"/>
                <w:szCs w:val="20"/>
                <w:color w:val="auto"/>
              </w:rPr>
            </w:pPr>
            <w:r>
              <w:rPr>
                <w:rFonts w:ascii="Courier New" w:cs="Courier New" w:eastAsia="Courier New" w:hAnsi="Courier New"/>
                <w:sz w:val="15"/>
                <w:szCs w:val="15"/>
                <w:color w:val="auto"/>
              </w:rPr>
              <w:t>F-4</w:t>
            </w:r>
          </w:p>
        </w:tc>
      </w:tr>
      <w:tr>
        <w:trPr>
          <w:trHeight w:val="336"/>
        </w:trPr>
        <w:tc>
          <w:tcPr>
            <w:tcW w:w="9420" w:type="dxa"/>
            <w:vAlign w:val="bottom"/>
            <w:gridSpan w:val="2"/>
          </w:tcPr>
          <w:p>
            <w:pPr>
              <w:spacing w:after="0"/>
              <w:rPr>
                <w:sz w:val="20"/>
                <w:szCs w:val="20"/>
                <w:color w:val="auto"/>
              </w:rPr>
            </w:pPr>
            <w:r>
              <w:rPr>
                <w:rFonts w:ascii="Courier New" w:cs="Courier New" w:eastAsia="Courier New" w:hAnsi="Courier New"/>
                <w:sz w:val="15"/>
                <w:szCs w:val="15"/>
                <w:color w:val="auto"/>
                <w:w w:val="98"/>
              </w:rPr>
              <w:t>Consolidated Statement of Cash Flows for the years ended December 31, 2001, 2000 and 1999 ................</w:t>
            </w:r>
          </w:p>
        </w:tc>
        <w:tc>
          <w:tcPr>
            <w:tcW w:w="640" w:type="dxa"/>
            <w:vAlign w:val="bottom"/>
          </w:tcPr>
          <w:p>
            <w:pPr>
              <w:ind w:left="220"/>
              <w:spacing w:after="0"/>
              <w:rPr>
                <w:sz w:val="20"/>
                <w:szCs w:val="20"/>
                <w:color w:val="auto"/>
              </w:rPr>
            </w:pPr>
            <w:r>
              <w:rPr>
                <w:rFonts w:ascii="Courier New" w:cs="Courier New" w:eastAsia="Courier New" w:hAnsi="Courier New"/>
                <w:sz w:val="15"/>
                <w:szCs w:val="15"/>
                <w:color w:val="auto"/>
              </w:rPr>
              <w:t>F-5</w:t>
            </w:r>
          </w:p>
        </w:tc>
      </w:tr>
      <w:tr>
        <w:trPr>
          <w:trHeight w:val="336"/>
        </w:trPr>
        <w:tc>
          <w:tcPr>
            <w:tcW w:w="9420" w:type="dxa"/>
            <w:vAlign w:val="bottom"/>
            <w:gridSpan w:val="2"/>
          </w:tcPr>
          <w:p>
            <w:pPr>
              <w:spacing w:after="0"/>
              <w:rPr>
                <w:sz w:val="20"/>
                <w:szCs w:val="20"/>
                <w:color w:val="auto"/>
              </w:rPr>
            </w:pPr>
            <w:r>
              <w:rPr>
                <w:rFonts w:ascii="Courier New" w:cs="Courier New" w:eastAsia="Courier New" w:hAnsi="Courier New"/>
                <w:sz w:val="15"/>
                <w:szCs w:val="15"/>
                <w:color w:val="auto"/>
                <w:w w:val="98"/>
              </w:rPr>
              <w:t>Consolidated Statement of Stockholders' Equity ...........................................................</w:t>
            </w:r>
          </w:p>
        </w:tc>
        <w:tc>
          <w:tcPr>
            <w:tcW w:w="640" w:type="dxa"/>
            <w:vAlign w:val="bottom"/>
          </w:tcPr>
          <w:p>
            <w:pPr>
              <w:ind w:left="220"/>
              <w:spacing w:after="0"/>
              <w:rPr>
                <w:sz w:val="20"/>
                <w:szCs w:val="20"/>
                <w:color w:val="auto"/>
              </w:rPr>
            </w:pPr>
            <w:r>
              <w:rPr>
                <w:rFonts w:ascii="Courier New" w:cs="Courier New" w:eastAsia="Courier New" w:hAnsi="Courier New"/>
                <w:sz w:val="15"/>
                <w:szCs w:val="15"/>
                <w:color w:val="auto"/>
              </w:rPr>
              <w:t>F-6</w:t>
            </w:r>
          </w:p>
        </w:tc>
      </w:tr>
      <w:tr>
        <w:trPr>
          <w:trHeight w:val="336"/>
        </w:trPr>
        <w:tc>
          <w:tcPr>
            <w:tcW w:w="9420" w:type="dxa"/>
            <w:vAlign w:val="bottom"/>
            <w:gridSpan w:val="2"/>
          </w:tcPr>
          <w:p>
            <w:pPr>
              <w:spacing w:after="0"/>
              <w:rPr>
                <w:sz w:val="20"/>
                <w:szCs w:val="20"/>
                <w:color w:val="auto"/>
              </w:rPr>
            </w:pPr>
            <w:r>
              <w:rPr>
                <w:rFonts w:ascii="Courier New" w:cs="Courier New" w:eastAsia="Courier New" w:hAnsi="Courier New"/>
                <w:sz w:val="15"/>
                <w:szCs w:val="15"/>
                <w:color w:val="auto"/>
                <w:w w:val="98"/>
              </w:rPr>
              <w:t>Notes to Consolidated Financial Statements ...............................................................</w:t>
            </w:r>
          </w:p>
        </w:tc>
        <w:tc>
          <w:tcPr>
            <w:tcW w:w="640" w:type="dxa"/>
            <w:vAlign w:val="bottom"/>
          </w:tcPr>
          <w:p>
            <w:pPr>
              <w:ind w:left="220"/>
              <w:spacing w:after="0"/>
              <w:rPr>
                <w:sz w:val="20"/>
                <w:szCs w:val="20"/>
                <w:color w:val="auto"/>
              </w:rPr>
            </w:pPr>
            <w:r>
              <w:rPr>
                <w:rFonts w:ascii="Courier New" w:cs="Courier New" w:eastAsia="Courier New" w:hAnsi="Courier New"/>
                <w:sz w:val="15"/>
                <w:szCs w:val="15"/>
                <w:color w:val="auto"/>
              </w:rPr>
              <w:t>F-7</w:t>
            </w:r>
          </w:p>
        </w:tc>
      </w:tr>
      <w:tr>
        <w:trPr>
          <w:trHeight w:val="505"/>
        </w:trPr>
        <w:tc>
          <w:tcPr>
            <w:tcW w:w="700" w:type="dxa"/>
            <w:vAlign w:val="bottom"/>
          </w:tcPr>
          <w:p>
            <w:pPr>
              <w:spacing w:after="0"/>
              <w:rPr>
                <w:sz w:val="20"/>
                <w:szCs w:val="20"/>
                <w:color w:val="auto"/>
              </w:rPr>
            </w:pPr>
            <w:r>
              <w:rPr>
                <w:rFonts w:ascii="Courier New" w:cs="Courier New" w:eastAsia="Courier New" w:hAnsi="Courier New"/>
                <w:sz w:val="15"/>
                <w:szCs w:val="15"/>
                <w:color w:val="auto"/>
              </w:rPr>
              <w:t>NOTE:</w:t>
            </w:r>
          </w:p>
        </w:tc>
        <w:tc>
          <w:tcPr>
            <w:tcW w:w="872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59"/>
        </w:trPr>
        <w:tc>
          <w:tcPr>
            <w:tcW w:w="942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In June 2001, Statement of Financial Accounting Standards No.142, "Goodwill</w:t>
            </w:r>
          </w:p>
        </w:tc>
        <w:tc>
          <w:tcPr>
            <w:tcW w:w="640" w:type="dxa"/>
            <w:vAlign w:val="bottom"/>
          </w:tcPr>
          <w:p>
            <w:pPr>
              <w:spacing w:after="0"/>
              <w:rPr>
                <w:sz w:val="22"/>
                <w:szCs w:val="22"/>
                <w:color w:val="auto"/>
              </w:rPr>
            </w:pPr>
          </w:p>
        </w:tc>
      </w:tr>
      <w:tr>
        <w:trPr>
          <w:trHeight w:val="168"/>
        </w:trPr>
        <w:tc>
          <w:tcPr>
            <w:tcW w:w="94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and Other Intangible Assets," was issued. As required, we adopted this Statement</w:t>
            </w:r>
          </w:p>
        </w:tc>
        <w:tc>
          <w:tcPr>
            <w:tcW w:w="640" w:type="dxa"/>
            <w:vAlign w:val="bottom"/>
          </w:tcPr>
          <w:p>
            <w:pPr>
              <w:spacing w:after="0"/>
              <w:rPr>
                <w:sz w:val="14"/>
                <w:szCs w:val="14"/>
                <w:color w:val="auto"/>
              </w:rPr>
            </w:pPr>
          </w:p>
        </w:tc>
      </w:tr>
      <w:tr>
        <w:trPr>
          <w:trHeight w:val="168"/>
        </w:trPr>
        <w:tc>
          <w:tcPr>
            <w:tcW w:w="94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commencing January 1 , 2002. A requirement of this Statement as it applies to us</w:t>
            </w:r>
          </w:p>
        </w:tc>
        <w:tc>
          <w:tcPr>
            <w:tcW w:w="640" w:type="dxa"/>
            <w:vAlign w:val="bottom"/>
          </w:tcPr>
          <w:p>
            <w:pPr>
              <w:spacing w:after="0"/>
              <w:rPr>
                <w:sz w:val="14"/>
                <w:szCs w:val="14"/>
                <w:color w:val="auto"/>
              </w:rPr>
            </w:pPr>
          </w:p>
        </w:tc>
      </w:tr>
      <w:tr>
        <w:trPr>
          <w:trHeight w:val="168"/>
        </w:trPr>
        <w:tc>
          <w:tcPr>
            <w:tcW w:w="94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is that, in the period of initial application and thereafter until goodwill and</w:t>
            </w:r>
          </w:p>
        </w:tc>
        <w:tc>
          <w:tcPr>
            <w:tcW w:w="640" w:type="dxa"/>
            <w:vAlign w:val="bottom"/>
          </w:tcPr>
          <w:p>
            <w:pPr>
              <w:spacing w:after="0"/>
              <w:rPr>
                <w:sz w:val="14"/>
                <w:szCs w:val="14"/>
                <w:color w:val="auto"/>
              </w:rPr>
            </w:pPr>
          </w:p>
        </w:tc>
      </w:tr>
      <w:tr>
        <w:trPr>
          <w:trHeight w:val="168"/>
        </w:trPr>
        <w:tc>
          <w:tcPr>
            <w:tcW w:w="94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all other intangible assets have been accounted for in accordance with this</w:t>
            </w:r>
          </w:p>
        </w:tc>
        <w:tc>
          <w:tcPr>
            <w:tcW w:w="640" w:type="dxa"/>
            <w:vAlign w:val="bottom"/>
          </w:tcPr>
          <w:p>
            <w:pPr>
              <w:spacing w:after="0"/>
              <w:rPr>
                <w:sz w:val="14"/>
                <w:szCs w:val="14"/>
                <w:color w:val="auto"/>
              </w:rPr>
            </w:pPr>
          </w:p>
        </w:tc>
      </w:tr>
      <w:tr>
        <w:trPr>
          <w:trHeight w:val="245"/>
        </w:trPr>
        <w:tc>
          <w:tcPr>
            <w:tcW w:w="9420" w:type="dxa"/>
            <w:vAlign w:val="bottom"/>
            <w:gridSpan w:val="2"/>
          </w:tcPr>
          <w:p>
            <w:pPr>
              <w:spacing w:after="0"/>
              <w:rPr>
                <w:sz w:val="20"/>
                <w:szCs w:val="20"/>
                <w:color w:val="auto"/>
              </w:rPr>
            </w:pPr>
            <w:r>
              <w:rPr>
                <w:rFonts w:ascii="Courier New" w:cs="Courier New" w:eastAsia="Courier New" w:hAnsi="Courier New"/>
                <w:sz w:val="15"/>
                <w:szCs w:val="15"/>
                <w:color w:val="auto"/>
              </w:rPr>
              <w:t>Statement, the following information shall be disclosed:</w:t>
            </w:r>
          </w:p>
        </w:tc>
        <w:tc>
          <w:tcPr>
            <w:tcW w:w="640" w:type="dxa"/>
            <w:vAlign w:val="bottom"/>
          </w:tcPr>
          <w:p>
            <w:pPr>
              <w:spacing w:after="0"/>
              <w:rPr>
                <w:sz w:val="21"/>
                <w:szCs w:val="21"/>
                <w:color w:val="auto"/>
              </w:rPr>
            </w:pPr>
          </w:p>
        </w:tc>
      </w:tr>
      <w:tr>
        <w:trPr>
          <w:trHeight w:val="259"/>
        </w:trPr>
        <w:tc>
          <w:tcPr>
            <w:tcW w:w="700" w:type="dxa"/>
            <w:vAlign w:val="bottom"/>
          </w:tcPr>
          <w:p>
            <w:pPr>
              <w:ind w:left="440"/>
              <w:spacing w:after="0"/>
              <w:rPr>
                <w:sz w:val="20"/>
                <w:szCs w:val="20"/>
                <w:color w:val="auto"/>
              </w:rPr>
            </w:pPr>
            <w:r>
              <w:rPr>
                <w:rFonts w:ascii="Courier New" w:cs="Courier New" w:eastAsia="Courier New" w:hAnsi="Courier New"/>
                <w:sz w:val="15"/>
                <w:szCs w:val="15"/>
                <w:color w:val="auto"/>
              </w:rPr>
              <w:t>.</w:t>
            </w:r>
          </w:p>
        </w:tc>
        <w:tc>
          <w:tcPr>
            <w:tcW w:w="8720" w:type="dxa"/>
            <w:vAlign w:val="bottom"/>
          </w:tcPr>
          <w:p>
            <w:pPr>
              <w:ind w:left="180"/>
              <w:spacing w:after="0"/>
              <w:rPr>
                <w:sz w:val="20"/>
                <w:szCs w:val="20"/>
                <w:color w:val="auto"/>
              </w:rPr>
            </w:pPr>
            <w:r>
              <w:rPr>
                <w:rFonts w:ascii="Courier New" w:cs="Courier New" w:eastAsia="Courier New" w:hAnsi="Courier New"/>
                <w:sz w:val="15"/>
                <w:szCs w:val="15"/>
                <w:color w:val="auto"/>
              </w:rPr>
              <w:t>earnings per share adjusted to exclude amortization of goodwill</w:t>
            </w:r>
          </w:p>
        </w:tc>
        <w:tc>
          <w:tcPr>
            <w:tcW w:w="640" w:type="dxa"/>
            <w:vAlign w:val="bottom"/>
          </w:tcPr>
          <w:p>
            <w:pPr>
              <w:spacing w:after="0"/>
              <w:rPr>
                <w:sz w:val="22"/>
                <w:szCs w:val="22"/>
                <w:color w:val="auto"/>
              </w:rPr>
            </w:pPr>
          </w:p>
        </w:tc>
      </w:tr>
      <w:tr>
        <w:trPr>
          <w:trHeight w:val="245"/>
        </w:trPr>
        <w:tc>
          <w:tcPr>
            <w:tcW w:w="700" w:type="dxa"/>
            <w:vAlign w:val="bottom"/>
          </w:tcPr>
          <w:p>
            <w:pPr>
              <w:spacing w:after="0"/>
              <w:rPr>
                <w:sz w:val="21"/>
                <w:szCs w:val="21"/>
                <w:color w:val="auto"/>
              </w:rPr>
            </w:pPr>
          </w:p>
        </w:tc>
        <w:tc>
          <w:tcPr>
            <w:tcW w:w="8720" w:type="dxa"/>
            <w:vAlign w:val="bottom"/>
          </w:tcPr>
          <w:p>
            <w:pPr>
              <w:ind w:left="180"/>
              <w:spacing w:after="0"/>
              <w:rPr>
                <w:sz w:val="20"/>
                <w:szCs w:val="20"/>
                <w:color w:val="auto"/>
              </w:rPr>
            </w:pPr>
            <w:r>
              <w:rPr>
                <w:rFonts w:ascii="Courier New" w:cs="Courier New" w:eastAsia="Courier New" w:hAnsi="Courier New"/>
                <w:sz w:val="15"/>
                <w:szCs w:val="15"/>
                <w:color w:val="auto"/>
              </w:rPr>
              <w:t>(adjusted earnings per share); and</w:t>
            </w:r>
          </w:p>
        </w:tc>
        <w:tc>
          <w:tcPr>
            <w:tcW w:w="640" w:type="dxa"/>
            <w:vAlign w:val="bottom"/>
          </w:tcPr>
          <w:p>
            <w:pPr>
              <w:spacing w:after="0"/>
              <w:rPr>
                <w:sz w:val="21"/>
                <w:szCs w:val="21"/>
                <w:color w:val="auto"/>
              </w:rPr>
            </w:pPr>
          </w:p>
        </w:tc>
      </w:tr>
    </w:tbl>
    <w:p>
      <w:pPr>
        <w:spacing w:after="0" w:line="91" w:lineRule="exact"/>
        <w:rPr>
          <w:sz w:val="20"/>
          <w:szCs w:val="20"/>
          <w:color w:val="auto"/>
        </w:rPr>
      </w:pPr>
    </w:p>
    <w:p>
      <w:pPr>
        <w:ind w:left="880" w:right="3839" w:hanging="433"/>
        <w:spacing w:after="0" w:line="344" w:lineRule="auto"/>
        <w:tabs>
          <w:tab w:leader="none" w:pos="88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reconciliation of reported net income to net income excluding amortization of goodwill (adjusted net income).</w:t>
      </w:r>
    </w:p>
    <w:p>
      <w:pPr>
        <w:spacing w:after="0" w:line="17" w:lineRule="exact"/>
        <w:rPr>
          <w:sz w:val="20"/>
          <w:szCs w:val="20"/>
          <w:color w:val="auto"/>
        </w:rPr>
      </w:pPr>
    </w:p>
    <w:p>
      <w:pPr>
        <w:ind w:right="3319" w:firstLine="437"/>
        <w:spacing w:after="0" w:line="264" w:lineRule="auto"/>
        <w:rPr>
          <w:sz w:val="20"/>
          <w:szCs w:val="20"/>
          <w:color w:val="auto"/>
        </w:rPr>
      </w:pPr>
      <w:r>
        <w:rPr>
          <w:rFonts w:ascii="Courier New" w:cs="Courier New" w:eastAsia="Courier New" w:hAnsi="Courier New"/>
          <w:sz w:val="15"/>
          <w:szCs w:val="15"/>
          <w:color w:val="auto"/>
        </w:rPr>
        <w:t>The above disclosures have been incorporated in the financial statements that follow for the three years ended December 31, 2001. Such financial statements (without the above dislcosures) had previously been included in our Annual Report on Form 10-K for the year ended December 31, 2001, which had been filed on February 28, 2002</w:t>
      </w:r>
    </w:p>
    <w:p>
      <w:pPr>
        <w:spacing w:after="0" w:line="7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F-1</w:t>
      </w:r>
    </w:p>
    <w:p>
      <w:pPr>
        <w:sectPr>
          <w:pgSz w:w="11900" w:h="16838" w:orient="portrait"/>
          <w:cols w:equalWidth="0" w:num="1">
            <w:col w:w="10239"/>
          </w:cols>
          <w:pgMar w:left="220" w:top="598" w:right="1440" w:bottom="1440" w:gutter="0" w:footer="0" w:header="0"/>
        </w:sectPr>
      </w:pPr>
    </w:p>
    <w:bookmarkStart w:id="15" w:name="page16"/>
    <w:bookmarkEnd w:id="15"/>
    <w:p>
      <w:pPr>
        <w:spacing w:after="0"/>
        <w:rPr>
          <w:sz w:val="20"/>
          <w:szCs w:val="20"/>
          <w:color w:val="auto"/>
        </w:rPr>
      </w:pPr>
      <w:r>
        <w:rPr>
          <w:rFonts w:ascii="Courier New" w:cs="Courier New" w:eastAsia="Courier New" w:hAnsi="Courier New"/>
          <w:sz w:val="15"/>
          <w:szCs w:val="15"/>
          <w:color w:val="auto"/>
        </w:rPr>
        <w:t>To the Board of Directors and Stockholders</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Schlumberger Limited</w:t>
      </w:r>
    </w:p>
    <w:p>
      <w:pPr>
        <w:spacing w:after="0" w:line="140" w:lineRule="exact"/>
        <w:rPr>
          <w:sz w:val="20"/>
          <w:szCs w:val="20"/>
          <w:color w:val="auto"/>
        </w:rPr>
      </w:pPr>
    </w:p>
    <w:p>
      <w:pPr>
        <w:ind w:right="3239"/>
        <w:spacing w:after="0" w:line="262" w:lineRule="auto"/>
        <w:rPr>
          <w:sz w:val="20"/>
          <w:szCs w:val="20"/>
          <w:color w:val="auto"/>
        </w:rPr>
      </w:pPr>
      <w:r>
        <w:rPr>
          <w:rFonts w:ascii="Courier New" w:cs="Courier New" w:eastAsia="Courier New" w:hAnsi="Courier New"/>
          <w:sz w:val="14"/>
          <w:szCs w:val="14"/>
          <w:color w:val="auto"/>
        </w:rPr>
        <w:t>In our opinion, the accompanying consolidated balance sheets and the related consolidated statements of income, of stockholders' equity and of cash flows present fairly, in all material respects, the financial position of Schlumberger Limited and its subsidiaries at December 31, 2001 and December 31, 2000, and the results of their operations and their cash flows for each of the three years in the period ended December 31, 2001, in conformity with accounting principles generally accepted in the United States of America. These financial statements are the responsibility of the Company's management; our responsibility is to express an opinion on these financial statements based on our audits. We conducted our audits of these statements in accordance with auditing standards generally accepted in the United States of America, which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84" w:lineRule="exact"/>
        <w:rPr>
          <w:sz w:val="20"/>
          <w:szCs w:val="20"/>
          <w:color w:val="auto"/>
        </w:rPr>
      </w:pPr>
    </w:p>
    <w:p>
      <w:pPr>
        <w:ind w:left="280"/>
        <w:spacing w:after="0"/>
        <w:tabs>
          <w:tab w:leader="none" w:pos="780" w:val="left"/>
        </w:tabs>
        <w:rPr>
          <w:sz w:val="20"/>
          <w:szCs w:val="20"/>
          <w:color w:val="auto"/>
        </w:rPr>
      </w:pPr>
      <w:r>
        <w:rPr>
          <w:rFonts w:ascii="Courier New" w:cs="Courier New" w:eastAsia="Courier New" w:hAnsi="Courier New"/>
          <w:sz w:val="15"/>
          <w:szCs w:val="15"/>
          <w:color w:val="auto"/>
        </w:rPr>
        <w:t>/s/</w:t>
        <w:tab/>
        <w:t>PricewaterhouseCoopers LLP</w:t>
      </w:r>
    </w:p>
    <w:p>
      <w:pPr>
        <w:spacing w:after="0" w:line="23" w:lineRule="exact"/>
        <w:rPr>
          <w:sz w:val="20"/>
          <w:szCs w:val="20"/>
          <w:color w:val="auto"/>
        </w:rPr>
      </w:pPr>
    </w:p>
    <w:p>
      <w:pPr>
        <w:ind w:left="180" w:hanging="170"/>
        <w:spacing w:after="0"/>
        <w:tabs>
          <w:tab w:leader="none" w:pos="18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right="7959"/>
        <w:spacing w:after="0" w:line="27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PricewaterhouseCoopers LLP New York, New York January 22, 2002</w:t>
      </w:r>
    </w:p>
    <w:p>
      <w:pPr>
        <w:spacing w:after="0" w:line="23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F-2</w:t>
      </w:r>
    </w:p>
    <w:p>
      <w:pPr>
        <w:sectPr>
          <w:pgSz w:w="11900" w:h="16838" w:orient="portrait"/>
          <w:cols w:equalWidth="0" w:num="1">
            <w:col w:w="10239"/>
          </w:cols>
          <w:pgMar w:left="220" w:top="766" w:right="1440" w:bottom="1440" w:gutter="0" w:footer="0" w:header="0"/>
        </w:sectPr>
      </w:pPr>
    </w:p>
    <w:bookmarkStart w:id="16" w:name="page17"/>
    <w:bookmarkEnd w:id="16"/>
    <w:p>
      <w:pPr>
        <w:jc w:val="center"/>
        <w:ind w:right="3219"/>
        <w:spacing w:after="0"/>
        <w:rPr>
          <w:sz w:val="20"/>
          <w:szCs w:val="20"/>
          <w:color w:val="auto"/>
        </w:rPr>
      </w:pPr>
      <w:r>
        <w:rPr>
          <w:rFonts w:ascii="Courier New" w:cs="Courier New" w:eastAsia="Courier New" w:hAnsi="Courier New"/>
          <w:sz w:val="15"/>
          <w:szCs w:val="15"/>
          <w:color w:val="auto"/>
        </w:rPr>
        <w:t>SCHLUMBERGER LIMITED (SCHLUMBERGER N.V., INCORPORATED IN THE</w:t>
      </w:r>
    </w:p>
    <w:p>
      <w:pPr>
        <w:spacing w:after="0" w:line="24"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NETHERLANDS ANTILLES) AND SUBSIDIARY COMPANIES</w:t>
      </w:r>
    </w:p>
    <w:p>
      <w:pPr>
        <w:spacing w:after="0" w:line="140"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CONSOLIDATED STATEMENT OF INCOME</w:t>
      </w:r>
    </w:p>
    <w:p>
      <w:pPr>
        <w:spacing w:after="0" w:line="24"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980" w:type="dxa"/>
            <w:vAlign w:val="bottom"/>
          </w:tcPr>
          <w:p>
            <w:pPr>
              <w:spacing w:after="0"/>
              <w:rPr>
                <w:sz w:val="21"/>
                <w:szCs w:val="21"/>
                <w:color w:val="auto"/>
              </w:rPr>
            </w:pPr>
          </w:p>
        </w:tc>
        <w:tc>
          <w:tcPr>
            <w:tcW w:w="6000" w:type="dxa"/>
            <w:vAlign w:val="bottom"/>
            <w:gridSpan w:val="3"/>
          </w:tcPr>
          <w:p>
            <w:pPr>
              <w:jc w:val="right"/>
              <w:ind w:right="187"/>
              <w:spacing w:after="0"/>
              <w:rPr>
                <w:sz w:val="20"/>
                <w:szCs w:val="20"/>
                <w:color w:val="auto"/>
              </w:rPr>
            </w:pPr>
            <w:r>
              <w:rPr>
                <w:rFonts w:ascii="Courier New" w:cs="Courier New" w:eastAsia="Courier New" w:hAnsi="Courier New"/>
                <w:sz w:val="15"/>
                <w:szCs w:val="15"/>
                <w:color w:val="auto"/>
              </w:rPr>
              <w:t>(Stated in thousands except per share amounts)</w:t>
            </w:r>
          </w:p>
        </w:tc>
        <w:tc>
          <w:tcPr>
            <w:tcW w:w="0" w:type="dxa"/>
            <w:vAlign w:val="bottom"/>
          </w:tcPr>
          <w:p>
            <w:pPr>
              <w:spacing w:after="0"/>
              <w:rPr>
                <w:sz w:val="1"/>
                <w:szCs w:val="1"/>
                <w:color w:val="auto"/>
              </w:rPr>
            </w:pPr>
          </w:p>
        </w:tc>
      </w:tr>
      <w:tr>
        <w:trPr>
          <w:trHeight w:val="259"/>
        </w:trPr>
        <w:tc>
          <w:tcPr>
            <w:tcW w:w="3980" w:type="dxa"/>
            <w:vAlign w:val="bottom"/>
          </w:tcPr>
          <w:p>
            <w:pPr>
              <w:spacing w:after="0"/>
              <w:rPr>
                <w:sz w:val="20"/>
                <w:szCs w:val="20"/>
                <w:color w:val="auto"/>
              </w:rPr>
            </w:pPr>
            <w:r>
              <w:rPr>
                <w:rFonts w:ascii="Courier New" w:cs="Courier New" w:eastAsia="Courier New" w:hAnsi="Courier New"/>
                <w:sz w:val="15"/>
                <w:szCs w:val="15"/>
                <w:color w:val="auto"/>
              </w:rPr>
              <w:t>Year Ended December 31,</w:t>
            </w:r>
          </w:p>
        </w:tc>
        <w:tc>
          <w:tcPr>
            <w:tcW w:w="2200" w:type="dxa"/>
            <w:vAlign w:val="bottom"/>
          </w:tcPr>
          <w:p>
            <w:pPr>
              <w:jc w:val="right"/>
              <w:ind w:right="847"/>
              <w:spacing w:after="0"/>
              <w:rPr>
                <w:sz w:val="20"/>
                <w:szCs w:val="20"/>
                <w:color w:val="auto"/>
              </w:rPr>
            </w:pPr>
            <w:r>
              <w:rPr>
                <w:rFonts w:ascii="Courier New" w:cs="Courier New" w:eastAsia="Courier New" w:hAnsi="Courier New"/>
                <w:sz w:val="15"/>
                <w:szCs w:val="15"/>
                <w:color w:val="auto"/>
              </w:rPr>
              <w:t>2001</w:t>
            </w:r>
          </w:p>
        </w:tc>
        <w:tc>
          <w:tcPr>
            <w:tcW w:w="1920" w:type="dxa"/>
            <w:vAlign w:val="bottom"/>
          </w:tcPr>
          <w:p>
            <w:pPr>
              <w:jc w:val="right"/>
              <w:ind w:right="847"/>
              <w:spacing w:after="0"/>
              <w:rPr>
                <w:sz w:val="20"/>
                <w:szCs w:val="20"/>
                <w:color w:val="auto"/>
              </w:rPr>
            </w:pPr>
            <w:r>
              <w:rPr>
                <w:rFonts w:ascii="Courier New" w:cs="Courier New" w:eastAsia="Courier New" w:hAnsi="Courier New"/>
                <w:sz w:val="15"/>
                <w:szCs w:val="15"/>
                <w:color w:val="auto"/>
              </w:rPr>
              <w:t>2000</w:t>
            </w:r>
          </w:p>
        </w:tc>
        <w:tc>
          <w:tcPr>
            <w:tcW w:w="188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1999</w:t>
            </w:r>
          </w:p>
        </w:tc>
        <w:tc>
          <w:tcPr>
            <w:tcW w:w="0" w:type="dxa"/>
            <w:vAlign w:val="bottom"/>
          </w:tcPr>
          <w:p>
            <w:pPr>
              <w:spacing w:after="0"/>
              <w:rPr>
                <w:sz w:val="1"/>
                <w:szCs w:val="1"/>
                <w:color w:val="auto"/>
              </w:rPr>
            </w:pPr>
          </w:p>
        </w:tc>
      </w:tr>
      <w:tr>
        <w:trPr>
          <w:trHeight w:val="245"/>
        </w:trPr>
        <w:tc>
          <w:tcPr>
            <w:tcW w:w="398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22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36"/>
        </w:trPr>
        <w:tc>
          <w:tcPr>
            <w:tcW w:w="398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22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3980" w:type="dxa"/>
            <w:vAlign w:val="bottom"/>
          </w:tcPr>
          <w:p>
            <w:pPr>
              <w:ind w:left="280"/>
              <w:spacing w:after="0"/>
              <w:rPr>
                <w:sz w:val="20"/>
                <w:szCs w:val="20"/>
                <w:color w:val="auto"/>
              </w:rPr>
            </w:pPr>
            <w:r>
              <w:rPr>
                <w:rFonts w:ascii="Courier New" w:cs="Courier New" w:eastAsia="Courier New" w:hAnsi="Courier New"/>
                <w:sz w:val="15"/>
                <w:szCs w:val="15"/>
                <w:color w:val="auto"/>
              </w:rPr>
              <w:t>Operating</w:t>
            </w:r>
          </w:p>
        </w:tc>
        <w:tc>
          <w:tcPr>
            <w:tcW w:w="22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$ 13,745,806</w:t>
            </w:r>
          </w:p>
        </w:tc>
        <w:tc>
          <w:tcPr>
            <w:tcW w:w="19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$ 9,611,462</w:t>
            </w:r>
          </w:p>
        </w:tc>
        <w:tc>
          <w:tcPr>
            <w:tcW w:w="1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$ 8,394,947</w:t>
            </w:r>
          </w:p>
        </w:tc>
        <w:tc>
          <w:tcPr>
            <w:tcW w:w="0" w:type="dxa"/>
            <w:vAlign w:val="bottom"/>
          </w:tcPr>
          <w:p>
            <w:pPr>
              <w:spacing w:after="0"/>
              <w:rPr>
                <w:sz w:val="1"/>
                <w:szCs w:val="1"/>
                <w:color w:val="auto"/>
              </w:rPr>
            </w:pPr>
          </w:p>
        </w:tc>
      </w:tr>
      <w:tr>
        <w:trPr>
          <w:trHeight w:val="168"/>
        </w:trPr>
        <w:tc>
          <w:tcPr>
            <w:tcW w:w="39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Interest and other income</w:t>
            </w:r>
          </w:p>
        </w:tc>
        <w:tc>
          <w:tcPr>
            <w:tcW w:w="22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242,258</w:t>
            </w:r>
          </w:p>
        </w:tc>
        <w:tc>
          <w:tcPr>
            <w:tcW w:w="1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423,255</w:t>
            </w:r>
          </w:p>
        </w:tc>
        <w:tc>
          <w:tcPr>
            <w:tcW w:w="1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356,758</w:t>
            </w:r>
          </w:p>
        </w:tc>
        <w:tc>
          <w:tcPr>
            <w:tcW w:w="0" w:type="dxa"/>
            <w:vAlign w:val="bottom"/>
          </w:tcPr>
          <w:p>
            <w:pPr>
              <w:spacing w:after="0"/>
              <w:rPr>
                <w:sz w:val="1"/>
                <w:szCs w:val="1"/>
                <w:color w:val="auto"/>
              </w:rPr>
            </w:pPr>
          </w:p>
        </w:tc>
      </w:tr>
      <w:tr>
        <w:trPr>
          <w:trHeight w:val="168"/>
        </w:trPr>
        <w:tc>
          <w:tcPr>
            <w:tcW w:w="3980" w:type="dxa"/>
            <w:vAlign w:val="bottom"/>
          </w:tcPr>
          <w:p>
            <w:pPr>
              <w:spacing w:after="0"/>
              <w:rPr>
                <w:sz w:val="14"/>
                <w:szCs w:val="14"/>
                <w:color w:val="auto"/>
              </w:rPr>
            </w:pPr>
          </w:p>
        </w:tc>
        <w:tc>
          <w:tcPr>
            <w:tcW w:w="2200" w:type="dxa"/>
            <w:vAlign w:val="bottom"/>
            <w:vMerge w:val="restart"/>
          </w:tcPr>
          <w:p>
            <w:pPr>
              <w:jc w:val="right"/>
              <w:ind w:right="247"/>
              <w:spacing w:after="0"/>
              <w:rPr>
                <w:sz w:val="20"/>
                <w:szCs w:val="20"/>
                <w:color w:val="auto"/>
              </w:rPr>
            </w:pPr>
            <w:r>
              <w:rPr>
                <w:rFonts w:ascii="Courier New" w:cs="Courier New" w:eastAsia="Courier New" w:hAnsi="Courier New"/>
                <w:sz w:val="15"/>
                <w:szCs w:val="15"/>
                <w:color w:val="auto"/>
                <w:w w:val="71"/>
              </w:rPr>
              <w:t>----------------</w:t>
            </w:r>
            <w:r>
              <w:rPr>
                <w:rFonts w:ascii="Courier New" w:cs="Courier New" w:eastAsia="Courier New" w:hAnsi="Courier New"/>
                <w:sz w:val="29"/>
                <w:szCs w:val="29"/>
                <w:color w:val="auto"/>
                <w:w w:val="71"/>
                <w:vertAlign w:val="subscript"/>
              </w:rPr>
              <w:t>13,988,064</w:t>
            </w:r>
          </w:p>
        </w:tc>
        <w:tc>
          <w:tcPr>
            <w:tcW w:w="1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3980" w:type="dxa"/>
            <w:vAlign w:val="bottom"/>
          </w:tcPr>
          <w:p>
            <w:pPr>
              <w:spacing w:after="0"/>
              <w:rPr>
                <w:sz w:val="14"/>
                <w:szCs w:val="14"/>
                <w:color w:val="auto"/>
              </w:rPr>
            </w:pPr>
          </w:p>
        </w:tc>
        <w:tc>
          <w:tcPr>
            <w:tcW w:w="2200" w:type="dxa"/>
            <w:vAlign w:val="bottom"/>
            <w:vMerge w:val="continue"/>
          </w:tcPr>
          <w:p>
            <w:pPr>
              <w:spacing w:after="0"/>
              <w:rPr>
                <w:sz w:val="14"/>
                <w:szCs w:val="14"/>
                <w:color w:val="auto"/>
              </w:rPr>
            </w:pPr>
          </w:p>
        </w:tc>
        <w:tc>
          <w:tcPr>
            <w:tcW w:w="1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10,034,717</w:t>
            </w:r>
          </w:p>
        </w:tc>
        <w:tc>
          <w:tcPr>
            <w:tcW w:w="1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8,751,705</w:t>
            </w:r>
          </w:p>
        </w:tc>
        <w:tc>
          <w:tcPr>
            <w:tcW w:w="0" w:type="dxa"/>
            <w:vAlign w:val="bottom"/>
          </w:tcPr>
          <w:p>
            <w:pPr>
              <w:spacing w:after="0"/>
              <w:rPr>
                <w:sz w:val="1"/>
                <w:szCs w:val="1"/>
                <w:color w:val="auto"/>
              </w:rPr>
            </w:pPr>
          </w:p>
        </w:tc>
      </w:tr>
      <w:tr>
        <w:trPr>
          <w:trHeight w:val="245"/>
        </w:trPr>
        <w:tc>
          <w:tcPr>
            <w:tcW w:w="3980" w:type="dxa"/>
            <w:vAlign w:val="bottom"/>
            <w:vMerge w:val="restart"/>
          </w:tcPr>
          <w:p>
            <w:pPr>
              <w:spacing w:after="0"/>
              <w:rPr>
                <w:sz w:val="20"/>
                <w:szCs w:val="20"/>
                <w:color w:val="auto"/>
              </w:rPr>
            </w:pPr>
            <w:r>
              <w:rPr>
                <w:rFonts w:ascii="Courier New" w:cs="Courier New" w:eastAsia="Courier New" w:hAnsi="Courier New"/>
                <w:sz w:val="15"/>
                <w:szCs w:val="15"/>
                <w:color w:val="auto"/>
              </w:rPr>
              <w:t>Expenses</w:t>
            </w:r>
          </w:p>
        </w:tc>
        <w:tc>
          <w:tcPr>
            <w:tcW w:w="22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1"/>
        </w:trPr>
        <w:tc>
          <w:tcPr>
            <w:tcW w:w="3980" w:type="dxa"/>
            <w:vAlign w:val="bottom"/>
            <w:vMerge w:val="continue"/>
          </w:tcPr>
          <w:p>
            <w:pPr>
              <w:spacing w:after="0"/>
              <w:rPr>
                <w:sz w:val="7"/>
                <w:szCs w:val="7"/>
                <w:color w:val="auto"/>
              </w:rPr>
            </w:pPr>
          </w:p>
        </w:tc>
        <w:tc>
          <w:tcPr>
            <w:tcW w:w="220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10,641,768</w:t>
            </w:r>
          </w:p>
        </w:tc>
        <w:tc>
          <w:tcPr>
            <w:tcW w:w="192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7,514,621</w:t>
            </w:r>
          </w:p>
        </w:tc>
        <w:tc>
          <w:tcPr>
            <w:tcW w:w="188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6,877,635</w:t>
            </w:r>
          </w:p>
        </w:tc>
        <w:tc>
          <w:tcPr>
            <w:tcW w:w="0" w:type="dxa"/>
            <w:vAlign w:val="bottom"/>
          </w:tcPr>
          <w:p>
            <w:pPr>
              <w:spacing w:after="0"/>
              <w:rPr>
                <w:sz w:val="1"/>
                <w:szCs w:val="1"/>
                <w:color w:val="auto"/>
              </w:rPr>
            </w:pPr>
          </w:p>
        </w:tc>
      </w:tr>
      <w:tr>
        <w:trPr>
          <w:trHeight w:val="168"/>
        </w:trPr>
        <w:tc>
          <w:tcPr>
            <w:tcW w:w="39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Cost of goods sold and services</w:t>
            </w:r>
          </w:p>
        </w:tc>
        <w:tc>
          <w:tcPr>
            <w:tcW w:w="2200" w:type="dxa"/>
            <w:vAlign w:val="bottom"/>
            <w:vMerge w:val="continue"/>
          </w:tcPr>
          <w:p>
            <w:pPr>
              <w:spacing w:after="0"/>
              <w:rPr>
                <w:sz w:val="14"/>
                <w:szCs w:val="14"/>
                <w:color w:val="auto"/>
              </w:rPr>
            </w:pPr>
          </w:p>
        </w:tc>
        <w:tc>
          <w:tcPr>
            <w:tcW w:w="1920" w:type="dxa"/>
            <w:vAlign w:val="bottom"/>
            <w:vMerge w:val="continue"/>
          </w:tcPr>
          <w:p>
            <w:pPr>
              <w:spacing w:after="0"/>
              <w:rPr>
                <w:sz w:val="14"/>
                <w:szCs w:val="14"/>
                <w:color w:val="auto"/>
              </w:rPr>
            </w:pPr>
          </w:p>
        </w:tc>
        <w:tc>
          <w:tcPr>
            <w:tcW w:w="1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9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Research &amp; engineering</w:t>
            </w:r>
          </w:p>
        </w:tc>
        <w:tc>
          <w:tcPr>
            <w:tcW w:w="22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704,336</w:t>
            </w:r>
          </w:p>
        </w:tc>
        <w:tc>
          <w:tcPr>
            <w:tcW w:w="1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540,698</w:t>
            </w:r>
          </w:p>
        </w:tc>
        <w:tc>
          <w:tcPr>
            <w:tcW w:w="1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522,240</w:t>
            </w:r>
          </w:p>
        </w:tc>
        <w:tc>
          <w:tcPr>
            <w:tcW w:w="0" w:type="dxa"/>
            <w:vAlign w:val="bottom"/>
          </w:tcPr>
          <w:p>
            <w:pPr>
              <w:spacing w:after="0"/>
              <w:rPr>
                <w:sz w:val="1"/>
                <w:szCs w:val="1"/>
                <w:color w:val="auto"/>
              </w:rPr>
            </w:pPr>
          </w:p>
        </w:tc>
      </w:tr>
      <w:tr>
        <w:trPr>
          <w:trHeight w:val="168"/>
        </w:trPr>
        <w:tc>
          <w:tcPr>
            <w:tcW w:w="39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Marketing</w:t>
            </w:r>
          </w:p>
        </w:tc>
        <w:tc>
          <w:tcPr>
            <w:tcW w:w="22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447,265</w:t>
            </w:r>
          </w:p>
        </w:tc>
        <w:tc>
          <w:tcPr>
            <w:tcW w:w="1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316,816</w:t>
            </w:r>
          </w:p>
        </w:tc>
        <w:tc>
          <w:tcPr>
            <w:tcW w:w="1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313,871</w:t>
            </w:r>
          </w:p>
        </w:tc>
        <w:tc>
          <w:tcPr>
            <w:tcW w:w="0" w:type="dxa"/>
            <w:vAlign w:val="bottom"/>
          </w:tcPr>
          <w:p>
            <w:pPr>
              <w:spacing w:after="0"/>
              <w:rPr>
                <w:sz w:val="1"/>
                <w:szCs w:val="1"/>
                <w:color w:val="auto"/>
              </w:rPr>
            </w:pPr>
          </w:p>
        </w:tc>
      </w:tr>
      <w:tr>
        <w:trPr>
          <w:trHeight w:val="168"/>
        </w:trPr>
        <w:tc>
          <w:tcPr>
            <w:tcW w:w="39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General</w:t>
            </w:r>
          </w:p>
        </w:tc>
        <w:tc>
          <w:tcPr>
            <w:tcW w:w="22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683,613</w:t>
            </w:r>
          </w:p>
        </w:tc>
        <w:tc>
          <w:tcPr>
            <w:tcW w:w="1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425,820</w:t>
            </w:r>
          </w:p>
        </w:tc>
        <w:tc>
          <w:tcPr>
            <w:tcW w:w="1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363,695</w:t>
            </w:r>
          </w:p>
        </w:tc>
        <w:tc>
          <w:tcPr>
            <w:tcW w:w="0" w:type="dxa"/>
            <w:vAlign w:val="bottom"/>
          </w:tcPr>
          <w:p>
            <w:pPr>
              <w:spacing w:after="0"/>
              <w:rPr>
                <w:sz w:val="1"/>
                <w:szCs w:val="1"/>
                <w:color w:val="auto"/>
              </w:rPr>
            </w:pPr>
          </w:p>
        </w:tc>
      </w:tr>
      <w:tr>
        <w:trPr>
          <w:trHeight w:val="168"/>
        </w:trPr>
        <w:tc>
          <w:tcPr>
            <w:tcW w:w="39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Interest</w:t>
            </w:r>
          </w:p>
        </w:tc>
        <w:tc>
          <w:tcPr>
            <w:tcW w:w="22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384,896</w:t>
            </w:r>
          </w:p>
        </w:tc>
        <w:tc>
          <w:tcPr>
            <w:tcW w:w="1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276,081</w:t>
            </w:r>
          </w:p>
        </w:tc>
        <w:tc>
          <w:tcPr>
            <w:tcW w:w="1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192,954</w:t>
            </w:r>
          </w:p>
        </w:tc>
        <w:tc>
          <w:tcPr>
            <w:tcW w:w="0" w:type="dxa"/>
            <w:vAlign w:val="bottom"/>
          </w:tcPr>
          <w:p>
            <w:pPr>
              <w:spacing w:after="0"/>
              <w:rPr>
                <w:sz w:val="1"/>
                <w:szCs w:val="1"/>
                <w:color w:val="auto"/>
              </w:rPr>
            </w:pPr>
          </w:p>
        </w:tc>
      </w:tr>
      <w:tr>
        <w:trPr>
          <w:trHeight w:val="168"/>
        </w:trPr>
        <w:tc>
          <w:tcPr>
            <w:tcW w:w="3980" w:type="dxa"/>
            <w:vAlign w:val="bottom"/>
          </w:tcPr>
          <w:p>
            <w:pPr>
              <w:spacing w:after="0"/>
              <w:rPr>
                <w:sz w:val="14"/>
                <w:szCs w:val="14"/>
                <w:color w:val="auto"/>
              </w:rPr>
            </w:pPr>
          </w:p>
        </w:tc>
        <w:tc>
          <w:tcPr>
            <w:tcW w:w="2200" w:type="dxa"/>
            <w:vAlign w:val="bottom"/>
            <w:vMerge w:val="restart"/>
          </w:tcPr>
          <w:p>
            <w:pPr>
              <w:jc w:val="right"/>
              <w:ind w:right="247"/>
              <w:spacing w:after="0"/>
              <w:rPr>
                <w:sz w:val="20"/>
                <w:szCs w:val="20"/>
                <w:color w:val="auto"/>
              </w:rPr>
            </w:pPr>
            <w:r>
              <w:rPr>
                <w:rFonts w:ascii="Courier New" w:cs="Courier New" w:eastAsia="Courier New" w:hAnsi="Courier New"/>
                <w:sz w:val="15"/>
                <w:szCs w:val="15"/>
                <w:color w:val="auto"/>
                <w:w w:val="71"/>
              </w:rPr>
              <w:t>----------------</w:t>
            </w:r>
            <w:r>
              <w:rPr>
                <w:rFonts w:ascii="Courier New" w:cs="Courier New" w:eastAsia="Courier New" w:hAnsi="Courier New"/>
                <w:sz w:val="29"/>
                <w:szCs w:val="29"/>
                <w:color w:val="auto"/>
                <w:w w:val="71"/>
                <w:vertAlign w:val="subscript"/>
              </w:rPr>
              <w:t>12,861,878</w:t>
            </w:r>
          </w:p>
        </w:tc>
        <w:tc>
          <w:tcPr>
            <w:tcW w:w="1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3980" w:type="dxa"/>
            <w:vAlign w:val="bottom"/>
          </w:tcPr>
          <w:p>
            <w:pPr>
              <w:spacing w:after="0"/>
              <w:rPr>
                <w:sz w:val="14"/>
                <w:szCs w:val="14"/>
                <w:color w:val="auto"/>
              </w:rPr>
            </w:pPr>
          </w:p>
        </w:tc>
        <w:tc>
          <w:tcPr>
            <w:tcW w:w="2200" w:type="dxa"/>
            <w:vAlign w:val="bottom"/>
            <w:vMerge w:val="continue"/>
          </w:tcPr>
          <w:p>
            <w:pPr>
              <w:spacing w:after="0"/>
              <w:rPr>
                <w:sz w:val="14"/>
                <w:szCs w:val="14"/>
                <w:color w:val="auto"/>
              </w:rPr>
            </w:pPr>
          </w:p>
        </w:tc>
        <w:tc>
          <w:tcPr>
            <w:tcW w:w="1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9,074,036</w:t>
            </w:r>
          </w:p>
        </w:tc>
        <w:tc>
          <w:tcPr>
            <w:tcW w:w="1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8,270,395</w:t>
            </w:r>
          </w:p>
        </w:tc>
        <w:tc>
          <w:tcPr>
            <w:tcW w:w="0" w:type="dxa"/>
            <w:vAlign w:val="bottom"/>
          </w:tcPr>
          <w:p>
            <w:pPr>
              <w:spacing w:after="0"/>
              <w:rPr>
                <w:sz w:val="1"/>
                <w:szCs w:val="1"/>
                <w:color w:val="auto"/>
              </w:rPr>
            </w:pPr>
          </w:p>
        </w:tc>
      </w:tr>
      <w:tr>
        <w:trPr>
          <w:trHeight w:val="245"/>
        </w:trPr>
        <w:tc>
          <w:tcPr>
            <w:tcW w:w="3980" w:type="dxa"/>
            <w:vAlign w:val="bottom"/>
          </w:tcPr>
          <w:p>
            <w:pPr>
              <w:spacing w:after="0"/>
              <w:rPr>
                <w:sz w:val="21"/>
                <w:szCs w:val="21"/>
                <w:color w:val="auto"/>
              </w:rPr>
            </w:pPr>
          </w:p>
        </w:tc>
        <w:tc>
          <w:tcPr>
            <w:tcW w:w="22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3980" w:type="dxa"/>
            <w:vAlign w:val="bottom"/>
          </w:tcPr>
          <w:p>
            <w:pPr>
              <w:spacing w:after="0"/>
              <w:rPr>
                <w:sz w:val="20"/>
                <w:szCs w:val="20"/>
                <w:color w:val="auto"/>
              </w:rPr>
            </w:pPr>
            <w:r>
              <w:rPr>
                <w:rFonts w:ascii="Courier New" w:cs="Courier New" w:eastAsia="Courier New" w:hAnsi="Courier New"/>
                <w:sz w:val="15"/>
                <w:szCs w:val="15"/>
                <w:color w:val="auto"/>
              </w:rPr>
              <w:t>Income from continuing operations before</w:t>
            </w:r>
          </w:p>
        </w:tc>
        <w:tc>
          <w:tcPr>
            <w:tcW w:w="220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1,126,186</w:t>
            </w:r>
          </w:p>
        </w:tc>
        <w:tc>
          <w:tcPr>
            <w:tcW w:w="192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960,681</w:t>
            </w:r>
          </w:p>
        </w:tc>
        <w:tc>
          <w:tcPr>
            <w:tcW w:w="188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481,310</w:t>
            </w:r>
          </w:p>
        </w:tc>
        <w:tc>
          <w:tcPr>
            <w:tcW w:w="0" w:type="dxa"/>
            <w:vAlign w:val="bottom"/>
          </w:tcPr>
          <w:p>
            <w:pPr>
              <w:spacing w:after="0"/>
              <w:rPr>
                <w:sz w:val="1"/>
                <w:szCs w:val="1"/>
                <w:color w:val="auto"/>
              </w:rPr>
            </w:pPr>
          </w:p>
        </w:tc>
      </w:tr>
      <w:tr>
        <w:trPr>
          <w:trHeight w:val="245"/>
        </w:trPr>
        <w:tc>
          <w:tcPr>
            <w:tcW w:w="3980" w:type="dxa"/>
            <w:vAlign w:val="bottom"/>
          </w:tcPr>
          <w:p>
            <w:pPr>
              <w:ind w:left="280"/>
              <w:spacing w:after="0"/>
              <w:rPr>
                <w:sz w:val="20"/>
                <w:szCs w:val="20"/>
                <w:color w:val="auto"/>
              </w:rPr>
            </w:pPr>
            <w:r>
              <w:rPr>
                <w:rFonts w:ascii="Courier New" w:cs="Courier New" w:eastAsia="Courier New" w:hAnsi="Courier New"/>
                <w:sz w:val="15"/>
                <w:szCs w:val="15"/>
                <w:color w:val="auto"/>
              </w:rPr>
              <w:t>taxes and minority interest</w:t>
            </w:r>
          </w:p>
        </w:tc>
        <w:tc>
          <w:tcPr>
            <w:tcW w:w="2200" w:type="dxa"/>
            <w:vAlign w:val="bottom"/>
            <w:vMerge w:val="continue"/>
          </w:tcPr>
          <w:p>
            <w:pPr>
              <w:spacing w:after="0"/>
              <w:rPr>
                <w:sz w:val="21"/>
                <w:szCs w:val="21"/>
                <w:color w:val="auto"/>
              </w:rPr>
            </w:pPr>
          </w:p>
        </w:tc>
        <w:tc>
          <w:tcPr>
            <w:tcW w:w="1920" w:type="dxa"/>
            <w:vAlign w:val="bottom"/>
            <w:vMerge w:val="continue"/>
          </w:tcPr>
          <w:p>
            <w:pPr>
              <w:spacing w:after="0"/>
              <w:rPr>
                <w:sz w:val="21"/>
                <w:szCs w:val="21"/>
                <w:color w:val="auto"/>
              </w:rPr>
            </w:pPr>
          </w:p>
        </w:tc>
        <w:tc>
          <w:tcPr>
            <w:tcW w:w="18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3980" w:type="dxa"/>
            <w:vAlign w:val="bottom"/>
          </w:tcPr>
          <w:p>
            <w:pPr>
              <w:ind w:left="280"/>
              <w:spacing w:after="0"/>
              <w:rPr>
                <w:sz w:val="20"/>
                <w:szCs w:val="20"/>
                <w:color w:val="auto"/>
              </w:rPr>
            </w:pPr>
            <w:r>
              <w:rPr>
                <w:rFonts w:ascii="Courier New" w:cs="Courier New" w:eastAsia="Courier New" w:hAnsi="Courier New"/>
                <w:sz w:val="15"/>
                <w:szCs w:val="15"/>
                <w:color w:val="auto"/>
              </w:rPr>
              <w:t>Taxes on income</w:t>
            </w:r>
          </w:p>
        </w:tc>
        <w:tc>
          <w:tcPr>
            <w:tcW w:w="22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575,424</w:t>
            </w:r>
          </w:p>
        </w:tc>
        <w:tc>
          <w:tcPr>
            <w:tcW w:w="19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228,248</w:t>
            </w:r>
          </w:p>
        </w:tc>
        <w:tc>
          <w:tcPr>
            <w:tcW w:w="1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140,772</w:t>
            </w:r>
          </w:p>
        </w:tc>
        <w:tc>
          <w:tcPr>
            <w:tcW w:w="0" w:type="dxa"/>
            <w:vAlign w:val="bottom"/>
          </w:tcPr>
          <w:p>
            <w:pPr>
              <w:spacing w:after="0"/>
              <w:rPr>
                <w:sz w:val="1"/>
                <w:szCs w:val="1"/>
                <w:color w:val="auto"/>
              </w:rPr>
            </w:pPr>
          </w:p>
        </w:tc>
      </w:tr>
      <w:tr>
        <w:trPr>
          <w:trHeight w:val="245"/>
        </w:trPr>
        <w:tc>
          <w:tcPr>
            <w:tcW w:w="3980" w:type="dxa"/>
            <w:vAlign w:val="bottom"/>
          </w:tcPr>
          <w:p>
            <w:pPr>
              <w:spacing w:after="0"/>
              <w:rPr>
                <w:sz w:val="21"/>
                <w:szCs w:val="21"/>
                <w:color w:val="auto"/>
              </w:rPr>
            </w:pPr>
          </w:p>
        </w:tc>
        <w:tc>
          <w:tcPr>
            <w:tcW w:w="22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3980" w:type="dxa"/>
            <w:vAlign w:val="bottom"/>
          </w:tcPr>
          <w:p>
            <w:pPr>
              <w:spacing w:after="0"/>
              <w:rPr>
                <w:sz w:val="20"/>
                <w:szCs w:val="20"/>
                <w:color w:val="auto"/>
              </w:rPr>
            </w:pPr>
            <w:r>
              <w:rPr>
                <w:rFonts w:ascii="Courier New" w:cs="Courier New" w:eastAsia="Courier New" w:hAnsi="Courier New"/>
                <w:sz w:val="15"/>
                <w:szCs w:val="15"/>
                <w:color w:val="auto"/>
              </w:rPr>
              <w:t>Income from continuing operations</w:t>
            </w:r>
          </w:p>
        </w:tc>
        <w:tc>
          <w:tcPr>
            <w:tcW w:w="220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550,762</w:t>
            </w:r>
          </w:p>
        </w:tc>
        <w:tc>
          <w:tcPr>
            <w:tcW w:w="192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732,433</w:t>
            </w:r>
          </w:p>
        </w:tc>
        <w:tc>
          <w:tcPr>
            <w:tcW w:w="188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340,538</w:t>
            </w:r>
          </w:p>
        </w:tc>
        <w:tc>
          <w:tcPr>
            <w:tcW w:w="0" w:type="dxa"/>
            <w:vAlign w:val="bottom"/>
          </w:tcPr>
          <w:p>
            <w:pPr>
              <w:spacing w:after="0"/>
              <w:rPr>
                <w:sz w:val="1"/>
                <w:szCs w:val="1"/>
                <w:color w:val="auto"/>
              </w:rPr>
            </w:pPr>
          </w:p>
        </w:tc>
      </w:tr>
      <w:tr>
        <w:trPr>
          <w:trHeight w:val="245"/>
        </w:trPr>
        <w:tc>
          <w:tcPr>
            <w:tcW w:w="3980" w:type="dxa"/>
            <w:vAlign w:val="bottom"/>
          </w:tcPr>
          <w:p>
            <w:pPr>
              <w:ind w:left="280"/>
              <w:spacing w:after="0"/>
              <w:rPr>
                <w:sz w:val="20"/>
                <w:szCs w:val="20"/>
                <w:color w:val="auto"/>
              </w:rPr>
            </w:pPr>
            <w:r>
              <w:rPr>
                <w:rFonts w:ascii="Courier New" w:cs="Courier New" w:eastAsia="Courier New" w:hAnsi="Courier New"/>
                <w:sz w:val="15"/>
                <w:szCs w:val="15"/>
                <w:color w:val="auto"/>
              </w:rPr>
              <w:t>before minority interest</w:t>
            </w:r>
          </w:p>
        </w:tc>
        <w:tc>
          <w:tcPr>
            <w:tcW w:w="2200" w:type="dxa"/>
            <w:vAlign w:val="bottom"/>
            <w:vMerge w:val="continue"/>
          </w:tcPr>
          <w:p>
            <w:pPr>
              <w:spacing w:after="0"/>
              <w:rPr>
                <w:sz w:val="21"/>
                <w:szCs w:val="21"/>
                <w:color w:val="auto"/>
              </w:rPr>
            </w:pPr>
          </w:p>
        </w:tc>
        <w:tc>
          <w:tcPr>
            <w:tcW w:w="1920" w:type="dxa"/>
            <w:vAlign w:val="bottom"/>
            <w:vMerge w:val="continue"/>
          </w:tcPr>
          <w:p>
            <w:pPr>
              <w:spacing w:after="0"/>
              <w:rPr>
                <w:sz w:val="21"/>
                <w:szCs w:val="21"/>
                <w:color w:val="auto"/>
              </w:rPr>
            </w:pPr>
          </w:p>
        </w:tc>
        <w:tc>
          <w:tcPr>
            <w:tcW w:w="18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3980" w:type="dxa"/>
            <w:vAlign w:val="bottom"/>
          </w:tcPr>
          <w:p>
            <w:pPr>
              <w:ind w:left="280"/>
              <w:spacing w:after="0"/>
              <w:rPr>
                <w:sz w:val="20"/>
                <w:szCs w:val="20"/>
                <w:color w:val="auto"/>
              </w:rPr>
            </w:pPr>
            <w:r>
              <w:rPr>
                <w:rFonts w:ascii="Courier New" w:cs="Courier New" w:eastAsia="Courier New" w:hAnsi="Courier New"/>
                <w:sz w:val="15"/>
                <w:szCs w:val="15"/>
                <w:color w:val="auto"/>
              </w:rPr>
              <w:t>Minority interest</w:t>
            </w:r>
          </w:p>
        </w:tc>
        <w:tc>
          <w:tcPr>
            <w:tcW w:w="22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(28,545)</w:t>
            </w:r>
          </w:p>
        </w:tc>
        <w:tc>
          <w:tcPr>
            <w:tcW w:w="19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2,163</w:t>
            </w:r>
          </w:p>
        </w:tc>
        <w:tc>
          <w:tcPr>
            <w:tcW w:w="1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(11,204)</w:t>
            </w:r>
          </w:p>
        </w:tc>
        <w:tc>
          <w:tcPr>
            <w:tcW w:w="0" w:type="dxa"/>
            <w:vAlign w:val="bottom"/>
          </w:tcPr>
          <w:p>
            <w:pPr>
              <w:spacing w:after="0"/>
              <w:rPr>
                <w:sz w:val="1"/>
                <w:szCs w:val="1"/>
                <w:color w:val="auto"/>
              </w:rPr>
            </w:pPr>
          </w:p>
        </w:tc>
      </w:tr>
      <w:tr>
        <w:trPr>
          <w:trHeight w:val="245"/>
        </w:trPr>
        <w:tc>
          <w:tcPr>
            <w:tcW w:w="3980" w:type="dxa"/>
            <w:vAlign w:val="bottom"/>
          </w:tcPr>
          <w:p>
            <w:pPr>
              <w:spacing w:after="0"/>
              <w:rPr>
                <w:sz w:val="21"/>
                <w:szCs w:val="21"/>
                <w:color w:val="auto"/>
              </w:rPr>
            </w:pPr>
          </w:p>
        </w:tc>
        <w:tc>
          <w:tcPr>
            <w:tcW w:w="22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36"/>
        </w:trPr>
        <w:tc>
          <w:tcPr>
            <w:tcW w:w="3980" w:type="dxa"/>
            <w:vAlign w:val="bottom"/>
          </w:tcPr>
          <w:p>
            <w:pPr>
              <w:spacing w:after="0"/>
              <w:rPr>
                <w:sz w:val="20"/>
                <w:szCs w:val="20"/>
                <w:color w:val="auto"/>
              </w:rPr>
            </w:pPr>
            <w:r>
              <w:rPr>
                <w:rFonts w:ascii="Courier New" w:cs="Courier New" w:eastAsia="Courier New" w:hAnsi="Courier New"/>
                <w:sz w:val="15"/>
                <w:szCs w:val="15"/>
                <w:color w:val="auto"/>
              </w:rPr>
              <w:t>Income from continuing operations</w:t>
            </w:r>
          </w:p>
        </w:tc>
        <w:tc>
          <w:tcPr>
            <w:tcW w:w="22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522,217</w:t>
            </w:r>
          </w:p>
        </w:tc>
        <w:tc>
          <w:tcPr>
            <w:tcW w:w="19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734,596</w:t>
            </w:r>
          </w:p>
        </w:tc>
        <w:tc>
          <w:tcPr>
            <w:tcW w:w="1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329,334</w:t>
            </w:r>
          </w:p>
        </w:tc>
        <w:tc>
          <w:tcPr>
            <w:tcW w:w="0" w:type="dxa"/>
            <w:vAlign w:val="bottom"/>
          </w:tcPr>
          <w:p>
            <w:pPr>
              <w:spacing w:after="0"/>
              <w:rPr>
                <w:sz w:val="1"/>
                <w:szCs w:val="1"/>
                <w:color w:val="auto"/>
              </w:rPr>
            </w:pPr>
          </w:p>
        </w:tc>
      </w:tr>
      <w:tr>
        <w:trPr>
          <w:trHeight w:val="336"/>
        </w:trPr>
        <w:tc>
          <w:tcPr>
            <w:tcW w:w="3980" w:type="dxa"/>
            <w:vAlign w:val="bottom"/>
          </w:tcPr>
          <w:p>
            <w:pPr>
              <w:spacing w:after="0"/>
              <w:rPr>
                <w:sz w:val="20"/>
                <w:szCs w:val="20"/>
                <w:color w:val="auto"/>
              </w:rPr>
            </w:pPr>
            <w:r>
              <w:rPr>
                <w:rFonts w:ascii="Courier New" w:cs="Courier New" w:eastAsia="Courier New" w:hAnsi="Courier New"/>
                <w:sz w:val="15"/>
                <w:szCs w:val="15"/>
                <w:color w:val="auto"/>
              </w:rPr>
              <w:t>Discontinued operations, net of tax</w:t>
            </w:r>
          </w:p>
        </w:tc>
        <w:tc>
          <w:tcPr>
            <w:tcW w:w="22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9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37,360</w:t>
            </w:r>
          </w:p>
        </w:tc>
        <w:tc>
          <w:tcPr>
            <w:tcW w:w="0" w:type="dxa"/>
            <w:vAlign w:val="bottom"/>
          </w:tcPr>
          <w:p>
            <w:pPr>
              <w:spacing w:after="0"/>
              <w:rPr>
                <w:sz w:val="1"/>
                <w:szCs w:val="1"/>
                <w:color w:val="auto"/>
              </w:rPr>
            </w:pPr>
          </w:p>
        </w:tc>
      </w:tr>
      <w:tr>
        <w:trPr>
          <w:trHeight w:val="259"/>
        </w:trPr>
        <w:tc>
          <w:tcPr>
            <w:tcW w:w="3980" w:type="dxa"/>
            <w:vAlign w:val="bottom"/>
            <w:vMerge w:val="restart"/>
          </w:tcPr>
          <w:p>
            <w:pPr>
              <w:spacing w:after="0"/>
              <w:rPr>
                <w:sz w:val="20"/>
                <w:szCs w:val="20"/>
                <w:color w:val="auto"/>
              </w:rPr>
            </w:pPr>
            <w:r>
              <w:rPr>
                <w:rFonts w:ascii="Courier New" w:cs="Courier New" w:eastAsia="Courier New" w:hAnsi="Courier New"/>
                <w:sz w:val="15"/>
                <w:szCs w:val="15"/>
                <w:color w:val="auto"/>
              </w:rPr>
              <w:t>Net Income</w:t>
            </w:r>
          </w:p>
        </w:tc>
        <w:tc>
          <w:tcPr>
            <w:tcW w:w="2200" w:type="dxa"/>
            <w:vAlign w:val="bottom"/>
            <w:vMerge w:val="restart"/>
          </w:tcPr>
          <w:p>
            <w:pPr>
              <w:jc w:val="right"/>
              <w:ind w:right="247"/>
              <w:spacing w:after="0"/>
              <w:rPr>
                <w:sz w:val="20"/>
                <w:szCs w:val="20"/>
                <w:color w:val="auto"/>
              </w:rPr>
            </w:pPr>
            <w:r>
              <w:rPr>
                <w:rFonts w:ascii="Courier New" w:cs="Courier New" w:eastAsia="Courier New" w:hAnsi="Courier New"/>
                <w:sz w:val="15"/>
                <w:szCs w:val="15"/>
                <w:color w:val="auto"/>
                <w:w w:val="78"/>
              </w:rPr>
              <w:t>----------------</w:t>
            </w:r>
            <w:r>
              <w:rPr>
                <w:rFonts w:ascii="Courier New" w:cs="Courier New" w:eastAsia="Courier New" w:hAnsi="Courier New"/>
                <w:sz w:val="29"/>
                <w:szCs w:val="29"/>
                <w:color w:val="auto"/>
                <w:w w:val="78"/>
                <w:vertAlign w:val="subscript"/>
              </w:rPr>
              <w:t>$522,217</w:t>
            </w:r>
          </w:p>
        </w:tc>
        <w:tc>
          <w:tcPr>
            <w:tcW w:w="1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3980" w:type="dxa"/>
            <w:vAlign w:val="bottom"/>
            <w:vMerge w:val="continue"/>
          </w:tcPr>
          <w:p>
            <w:pPr>
              <w:spacing w:after="0"/>
              <w:rPr>
                <w:sz w:val="14"/>
                <w:szCs w:val="14"/>
                <w:color w:val="auto"/>
              </w:rPr>
            </w:pPr>
          </w:p>
        </w:tc>
        <w:tc>
          <w:tcPr>
            <w:tcW w:w="2200" w:type="dxa"/>
            <w:vAlign w:val="bottom"/>
            <w:vMerge w:val="continue"/>
          </w:tcPr>
          <w:p>
            <w:pPr>
              <w:spacing w:after="0"/>
              <w:rPr>
                <w:sz w:val="14"/>
                <w:szCs w:val="14"/>
                <w:color w:val="auto"/>
              </w:rPr>
            </w:pPr>
          </w:p>
        </w:tc>
        <w:tc>
          <w:tcPr>
            <w:tcW w:w="1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$ 734,596</w:t>
            </w:r>
          </w:p>
        </w:tc>
        <w:tc>
          <w:tcPr>
            <w:tcW w:w="1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$ 366,694</w:t>
            </w:r>
          </w:p>
        </w:tc>
        <w:tc>
          <w:tcPr>
            <w:tcW w:w="0" w:type="dxa"/>
            <w:vAlign w:val="bottom"/>
          </w:tcPr>
          <w:p>
            <w:pPr>
              <w:spacing w:after="0"/>
              <w:rPr>
                <w:sz w:val="1"/>
                <w:szCs w:val="1"/>
                <w:color w:val="auto"/>
              </w:rPr>
            </w:pPr>
          </w:p>
        </w:tc>
      </w:tr>
      <w:tr>
        <w:trPr>
          <w:trHeight w:val="245"/>
        </w:trPr>
        <w:tc>
          <w:tcPr>
            <w:tcW w:w="3980" w:type="dxa"/>
            <w:vAlign w:val="bottom"/>
          </w:tcPr>
          <w:p>
            <w:pPr>
              <w:spacing w:after="0"/>
              <w:rPr>
                <w:sz w:val="21"/>
                <w:szCs w:val="21"/>
                <w:color w:val="auto"/>
              </w:rPr>
            </w:pPr>
          </w:p>
        </w:tc>
        <w:tc>
          <w:tcPr>
            <w:tcW w:w="22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3980" w:type="dxa"/>
            <w:vAlign w:val="bottom"/>
          </w:tcPr>
          <w:p>
            <w:pPr>
              <w:spacing w:after="0"/>
              <w:rPr>
                <w:sz w:val="20"/>
                <w:szCs w:val="20"/>
                <w:color w:val="auto"/>
              </w:rPr>
            </w:pPr>
            <w:r>
              <w:rPr>
                <w:rFonts w:ascii="Courier New" w:cs="Courier New" w:eastAsia="Courier New" w:hAnsi="Courier New"/>
                <w:sz w:val="15"/>
                <w:szCs w:val="15"/>
                <w:color w:val="auto"/>
              </w:rPr>
              <w:t>Basic earnings per share:</w:t>
            </w:r>
          </w:p>
        </w:tc>
        <w:tc>
          <w:tcPr>
            <w:tcW w:w="220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$ 0.91</w:t>
            </w:r>
          </w:p>
        </w:tc>
        <w:tc>
          <w:tcPr>
            <w:tcW w:w="192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$ 1.29</w:t>
            </w:r>
          </w:p>
        </w:tc>
        <w:tc>
          <w:tcPr>
            <w:tcW w:w="188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$ 0.60</w:t>
            </w:r>
          </w:p>
        </w:tc>
        <w:tc>
          <w:tcPr>
            <w:tcW w:w="0" w:type="dxa"/>
            <w:vAlign w:val="bottom"/>
          </w:tcPr>
          <w:p>
            <w:pPr>
              <w:spacing w:after="0"/>
              <w:rPr>
                <w:sz w:val="1"/>
                <w:szCs w:val="1"/>
                <w:color w:val="auto"/>
              </w:rPr>
            </w:pPr>
          </w:p>
        </w:tc>
      </w:tr>
      <w:tr>
        <w:trPr>
          <w:trHeight w:val="168"/>
        </w:trPr>
        <w:tc>
          <w:tcPr>
            <w:tcW w:w="39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Continuing operations</w:t>
            </w:r>
          </w:p>
        </w:tc>
        <w:tc>
          <w:tcPr>
            <w:tcW w:w="2200" w:type="dxa"/>
            <w:vAlign w:val="bottom"/>
            <w:vMerge w:val="continue"/>
          </w:tcPr>
          <w:p>
            <w:pPr>
              <w:spacing w:after="0"/>
              <w:rPr>
                <w:sz w:val="14"/>
                <w:szCs w:val="14"/>
                <w:color w:val="auto"/>
              </w:rPr>
            </w:pPr>
          </w:p>
        </w:tc>
        <w:tc>
          <w:tcPr>
            <w:tcW w:w="1920" w:type="dxa"/>
            <w:vAlign w:val="bottom"/>
            <w:vMerge w:val="continue"/>
          </w:tcPr>
          <w:p>
            <w:pPr>
              <w:spacing w:after="0"/>
              <w:rPr>
                <w:sz w:val="14"/>
                <w:szCs w:val="14"/>
                <w:color w:val="auto"/>
              </w:rPr>
            </w:pPr>
          </w:p>
        </w:tc>
        <w:tc>
          <w:tcPr>
            <w:tcW w:w="1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9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Elimination of goodwill amortization</w:t>
            </w:r>
          </w:p>
        </w:tc>
        <w:tc>
          <w:tcPr>
            <w:tcW w:w="22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0.50</w:t>
            </w:r>
          </w:p>
        </w:tc>
        <w:tc>
          <w:tcPr>
            <w:tcW w:w="1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0.17</w:t>
            </w:r>
          </w:p>
        </w:tc>
        <w:tc>
          <w:tcPr>
            <w:tcW w:w="1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0.16</w:t>
            </w:r>
          </w:p>
        </w:tc>
        <w:tc>
          <w:tcPr>
            <w:tcW w:w="0" w:type="dxa"/>
            <w:vAlign w:val="bottom"/>
          </w:tcPr>
          <w:p>
            <w:pPr>
              <w:spacing w:after="0"/>
              <w:rPr>
                <w:sz w:val="1"/>
                <w:szCs w:val="1"/>
                <w:color w:val="auto"/>
              </w:rPr>
            </w:pPr>
          </w:p>
        </w:tc>
      </w:tr>
      <w:tr>
        <w:trPr>
          <w:trHeight w:val="168"/>
        </w:trPr>
        <w:tc>
          <w:tcPr>
            <w:tcW w:w="3980" w:type="dxa"/>
            <w:vAlign w:val="bottom"/>
            <w:vMerge w:val="restart"/>
          </w:tcPr>
          <w:p>
            <w:pPr>
              <w:ind w:left="280"/>
              <w:spacing w:after="0"/>
              <w:rPr>
                <w:sz w:val="20"/>
                <w:szCs w:val="20"/>
                <w:color w:val="auto"/>
              </w:rPr>
            </w:pPr>
            <w:r>
              <w:rPr>
                <w:rFonts w:ascii="Courier New" w:cs="Courier New" w:eastAsia="Courier New" w:hAnsi="Courier New"/>
                <w:sz w:val="15"/>
                <w:szCs w:val="15"/>
                <w:color w:val="auto"/>
              </w:rPr>
              <w:t>Adjusted continuing operations</w:t>
            </w:r>
          </w:p>
        </w:tc>
        <w:tc>
          <w:tcPr>
            <w:tcW w:w="2200" w:type="dxa"/>
            <w:vAlign w:val="bottom"/>
            <w:vMerge w:val="restart"/>
          </w:tcPr>
          <w:p>
            <w:pPr>
              <w:jc w:val="right"/>
              <w:ind w:right="247"/>
              <w:spacing w:after="0"/>
              <w:rPr>
                <w:sz w:val="20"/>
                <w:szCs w:val="20"/>
                <w:color w:val="auto"/>
              </w:rPr>
            </w:pPr>
            <w:r>
              <w:rPr>
                <w:rFonts w:ascii="Courier New" w:cs="Courier New" w:eastAsia="Courier New" w:hAnsi="Courier New"/>
                <w:sz w:val="15"/>
                <w:szCs w:val="15"/>
                <w:color w:val="auto"/>
                <w:w w:val="97"/>
              </w:rPr>
              <w:t>----------------</w:t>
            </w:r>
            <w:r>
              <w:rPr>
                <w:rFonts w:ascii="Courier New" w:cs="Courier New" w:eastAsia="Courier New" w:hAnsi="Courier New"/>
                <w:sz w:val="29"/>
                <w:szCs w:val="29"/>
                <w:color w:val="auto"/>
                <w:w w:val="97"/>
                <w:vertAlign w:val="subscript"/>
              </w:rPr>
              <w:t>1.41</w:t>
            </w:r>
          </w:p>
        </w:tc>
        <w:tc>
          <w:tcPr>
            <w:tcW w:w="1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3980" w:type="dxa"/>
            <w:vAlign w:val="bottom"/>
            <w:vMerge w:val="continue"/>
          </w:tcPr>
          <w:p>
            <w:pPr>
              <w:spacing w:after="0"/>
              <w:rPr>
                <w:sz w:val="14"/>
                <w:szCs w:val="14"/>
                <w:color w:val="auto"/>
              </w:rPr>
            </w:pPr>
          </w:p>
        </w:tc>
        <w:tc>
          <w:tcPr>
            <w:tcW w:w="2200" w:type="dxa"/>
            <w:vAlign w:val="bottom"/>
            <w:vMerge w:val="continue"/>
          </w:tcPr>
          <w:p>
            <w:pPr>
              <w:spacing w:after="0"/>
              <w:rPr>
                <w:sz w:val="14"/>
                <w:szCs w:val="14"/>
                <w:color w:val="auto"/>
              </w:rPr>
            </w:pPr>
          </w:p>
        </w:tc>
        <w:tc>
          <w:tcPr>
            <w:tcW w:w="1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1.46</w:t>
            </w:r>
          </w:p>
        </w:tc>
        <w:tc>
          <w:tcPr>
            <w:tcW w:w="1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0.76</w:t>
            </w:r>
          </w:p>
        </w:tc>
        <w:tc>
          <w:tcPr>
            <w:tcW w:w="0" w:type="dxa"/>
            <w:vAlign w:val="bottom"/>
          </w:tcPr>
          <w:p>
            <w:pPr>
              <w:spacing w:after="0"/>
              <w:rPr>
                <w:sz w:val="1"/>
                <w:szCs w:val="1"/>
                <w:color w:val="auto"/>
              </w:rPr>
            </w:pPr>
          </w:p>
        </w:tc>
      </w:tr>
      <w:tr>
        <w:trPr>
          <w:trHeight w:val="245"/>
        </w:trPr>
        <w:tc>
          <w:tcPr>
            <w:tcW w:w="3980" w:type="dxa"/>
            <w:vAlign w:val="bottom"/>
          </w:tcPr>
          <w:p>
            <w:pPr>
              <w:ind w:left="280"/>
              <w:spacing w:after="0"/>
              <w:rPr>
                <w:sz w:val="20"/>
                <w:szCs w:val="20"/>
                <w:color w:val="auto"/>
              </w:rPr>
            </w:pPr>
            <w:r>
              <w:rPr>
                <w:rFonts w:ascii="Courier New" w:cs="Courier New" w:eastAsia="Courier New" w:hAnsi="Courier New"/>
                <w:sz w:val="15"/>
                <w:szCs w:val="15"/>
                <w:color w:val="auto"/>
              </w:rPr>
              <w:t>Discontinued operations</w:t>
            </w:r>
          </w:p>
        </w:tc>
        <w:tc>
          <w:tcPr>
            <w:tcW w:w="22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9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0.07</w:t>
            </w:r>
          </w:p>
        </w:tc>
        <w:tc>
          <w:tcPr>
            <w:tcW w:w="0" w:type="dxa"/>
            <w:vAlign w:val="bottom"/>
          </w:tcPr>
          <w:p>
            <w:pPr>
              <w:spacing w:after="0"/>
              <w:rPr>
                <w:sz w:val="1"/>
                <w:szCs w:val="1"/>
                <w:color w:val="auto"/>
              </w:rPr>
            </w:pPr>
          </w:p>
        </w:tc>
      </w:tr>
      <w:tr>
        <w:trPr>
          <w:trHeight w:val="259"/>
        </w:trPr>
        <w:tc>
          <w:tcPr>
            <w:tcW w:w="3980" w:type="dxa"/>
            <w:vAlign w:val="bottom"/>
            <w:vMerge w:val="restart"/>
          </w:tcPr>
          <w:p>
            <w:pPr>
              <w:ind w:left="280"/>
              <w:spacing w:after="0"/>
              <w:rPr>
                <w:sz w:val="20"/>
                <w:szCs w:val="20"/>
                <w:color w:val="auto"/>
              </w:rPr>
            </w:pPr>
            <w:r>
              <w:rPr>
                <w:rFonts w:ascii="Courier New" w:cs="Courier New" w:eastAsia="Courier New" w:hAnsi="Courier New"/>
                <w:sz w:val="15"/>
                <w:szCs w:val="15"/>
                <w:color w:val="auto"/>
              </w:rPr>
              <w:t>Adjusted Net Income</w:t>
            </w:r>
          </w:p>
        </w:tc>
        <w:tc>
          <w:tcPr>
            <w:tcW w:w="2200" w:type="dxa"/>
            <w:vAlign w:val="bottom"/>
            <w:vMerge w:val="restart"/>
          </w:tcPr>
          <w:p>
            <w:pPr>
              <w:jc w:val="right"/>
              <w:ind w:right="247"/>
              <w:spacing w:after="0"/>
              <w:rPr>
                <w:sz w:val="20"/>
                <w:szCs w:val="20"/>
                <w:color w:val="auto"/>
              </w:rPr>
            </w:pPr>
            <w:r>
              <w:rPr>
                <w:rFonts w:ascii="Courier New" w:cs="Courier New" w:eastAsia="Courier New" w:hAnsi="Courier New"/>
                <w:sz w:val="15"/>
                <w:szCs w:val="15"/>
                <w:color w:val="auto"/>
                <w:w w:val="92"/>
              </w:rPr>
              <w:t>----------------</w:t>
            </w:r>
            <w:r>
              <w:rPr>
                <w:rFonts w:ascii="Courier New" w:cs="Courier New" w:eastAsia="Courier New" w:hAnsi="Courier New"/>
                <w:sz w:val="29"/>
                <w:szCs w:val="29"/>
                <w:color w:val="auto"/>
                <w:w w:val="92"/>
                <w:vertAlign w:val="subscript"/>
              </w:rPr>
              <w:t>$1.41</w:t>
            </w:r>
          </w:p>
        </w:tc>
        <w:tc>
          <w:tcPr>
            <w:tcW w:w="1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3980" w:type="dxa"/>
            <w:vAlign w:val="bottom"/>
            <w:vMerge w:val="continue"/>
          </w:tcPr>
          <w:p>
            <w:pPr>
              <w:spacing w:after="0"/>
              <w:rPr>
                <w:sz w:val="14"/>
                <w:szCs w:val="14"/>
                <w:color w:val="auto"/>
              </w:rPr>
            </w:pPr>
          </w:p>
        </w:tc>
        <w:tc>
          <w:tcPr>
            <w:tcW w:w="2200" w:type="dxa"/>
            <w:vAlign w:val="bottom"/>
            <w:vMerge w:val="continue"/>
          </w:tcPr>
          <w:p>
            <w:pPr>
              <w:spacing w:after="0"/>
              <w:rPr>
                <w:sz w:val="14"/>
                <w:szCs w:val="14"/>
                <w:color w:val="auto"/>
              </w:rPr>
            </w:pPr>
          </w:p>
        </w:tc>
        <w:tc>
          <w:tcPr>
            <w:tcW w:w="1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$ 1.46</w:t>
            </w:r>
          </w:p>
        </w:tc>
        <w:tc>
          <w:tcPr>
            <w:tcW w:w="1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$ 0.83</w:t>
            </w:r>
          </w:p>
        </w:tc>
        <w:tc>
          <w:tcPr>
            <w:tcW w:w="0" w:type="dxa"/>
            <w:vAlign w:val="bottom"/>
          </w:tcPr>
          <w:p>
            <w:pPr>
              <w:spacing w:after="0"/>
              <w:rPr>
                <w:sz w:val="1"/>
                <w:szCs w:val="1"/>
                <w:color w:val="auto"/>
              </w:rPr>
            </w:pPr>
          </w:p>
        </w:tc>
      </w:tr>
      <w:tr>
        <w:trPr>
          <w:trHeight w:val="245"/>
        </w:trPr>
        <w:tc>
          <w:tcPr>
            <w:tcW w:w="3980" w:type="dxa"/>
            <w:vAlign w:val="bottom"/>
          </w:tcPr>
          <w:p>
            <w:pPr>
              <w:spacing w:after="0"/>
              <w:rPr>
                <w:sz w:val="21"/>
                <w:szCs w:val="21"/>
                <w:color w:val="auto"/>
              </w:rPr>
            </w:pPr>
          </w:p>
        </w:tc>
        <w:tc>
          <w:tcPr>
            <w:tcW w:w="22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3980" w:type="dxa"/>
            <w:vAlign w:val="bottom"/>
          </w:tcPr>
          <w:p>
            <w:pPr>
              <w:spacing w:after="0"/>
              <w:rPr>
                <w:sz w:val="20"/>
                <w:szCs w:val="20"/>
                <w:color w:val="auto"/>
              </w:rPr>
            </w:pPr>
            <w:r>
              <w:rPr>
                <w:rFonts w:ascii="Courier New" w:cs="Courier New" w:eastAsia="Courier New" w:hAnsi="Courier New"/>
                <w:sz w:val="15"/>
                <w:szCs w:val="15"/>
                <w:color w:val="auto"/>
              </w:rPr>
              <w:t>Diluted earnings per share:</w:t>
            </w:r>
          </w:p>
        </w:tc>
        <w:tc>
          <w:tcPr>
            <w:tcW w:w="220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$ 0.91</w:t>
            </w:r>
          </w:p>
        </w:tc>
        <w:tc>
          <w:tcPr>
            <w:tcW w:w="192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$ 1.27</w:t>
            </w:r>
          </w:p>
        </w:tc>
        <w:tc>
          <w:tcPr>
            <w:tcW w:w="188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$ 0.58</w:t>
            </w:r>
          </w:p>
        </w:tc>
        <w:tc>
          <w:tcPr>
            <w:tcW w:w="0" w:type="dxa"/>
            <w:vAlign w:val="bottom"/>
          </w:tcPr>
          <w:p>
            <w:pPr>
              <w:spacing w:after="0"/>
              <w:rPr>
                <w:sz w:val="1"/>
                <w:szCs w:val="1"/>
                <w:color w:val="auto"/>
              </w:rPr>
            </w:pPr>
          </w:p>
        </w:tc>
      </w:tr>
      <w:tr>
        <w:trPr>
          <w:trHeight w:val="168"/>
        </w:trPr>
        <w:tc>
          <w:tcPr>
            <w:tcW w:w="39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Continuing operations</w:t>
            </w:r>
          </w:p>
        </w:tc>
        <w:tc>
          <w:tcPr>
            <w:tcW w:w="2200" w:type="dxa"/>
            <w:vAlign w:val="bottom"/>
            <w:vMerge w:val="continue"/>
          </w:tcPr>
          <w:p>
            <w:pPr>
              <w:spacing w:after="0"/>
              <w:rPr>
                <w:sz w:val="14"/>
                <w:szCs w:val="14"/>
                <w:color w:val="auto"/>
              </w:rPr>
            </w:pPr>
          </w:p>
        </w:tc>
        <w:tc>
          <w:tcPr>
            <w:tcW w:w="1920" w:type="dxa"/>
            <w:vAlign w:val="bottom"/>
            <w:vMerge w:val="continue"/>
          </w:tcPr>
          <w:p>
            <w:pPr>
              <w:spacing w:after="0"/>
              <w:rPr>
                <w:sz w:val="14"/>
                <w:szCs w:val="14"/>
                <w:color w:val="auto"/>
              </w:rPr>
            </w:pPr>
          </w:p>
        </w:tc>
        <w:tc>
          <w:tcPr>
            <w:tcW w:w="1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9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Elimination of goodwill amortization</w:t>
            </w:r>
          </w:p>
        </w:tc>
        <w:tc>
          <w:tcPr>
            <w:tcW w:w="22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0.50</w:t>
            </w:r>
          </w:p>
        </w:tc>
        <w:tc>
          <w:tcPr>
            <w:tcW w:w="1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0.17</w:t>
            </w:r>
          </w:p>
        </w:tc>
        <w:tc>
          <w:tcPr>
            <w:tcW w:w="1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0.15</w:t>
            </w:r>
          </w:p>
        </w:tc>
        <w:tc>
          <w:tcPr>
            <w:tcW w:w="0" w:type="dxa"/>
            <w:vAlign w:val="bottom"/>
          </w:tcPr>
          <w:p>
            <w:pPr>
              <w:spacing w:after="0"/>
              <w:rPr>
                <w:sz w:val="1"/>
                <w:szCs w:val="1"/>
                <w:color w:val="auto"/>
              </w:rPr>
            </w:pPr>
          </w:p>
        </w:tc>
      </w:tr>
      <w:tr>
        <w:trPr>
          <w:trHeight w:val="168"/>
        </w:trPr>
        <w:tc>
          <w:tcPr>
            <w:tcW w:w="3980" w:type="dxa"/>
            <w:vAlign w:val="bottom"/>
            <w:vMerge w:val="restart"/>
          </w:tcPr>
          <w:p>
            <w:pPr>
              <w:ind w:left="280"/>
              <w:spacing w:after="0"/>
              <w:rPr>
                <w:sz w:val="20"/>
                <w:szCs w:val="20"/>
                <w:color w:val="auto"/>
              </w:rPr>
            </w:pPr>
            <w:r>
              <w:rPr>
                <w:rFonts w:ascii="Courier New" w:cs="Courier New" w:eastAsia="Courier New" w:hAnsi="Courier New"/>
                <w:sz w:val="15"/>
                <w:szCs w:val="15"/>
                <w:color w:val="auto"/>
              </w:rPr>
              <w:t>Adjusted continuing operations</w:t>
            </w:r>
          </w:p>
        </w:tc>
        <w:tc>
          <w:tcPr>
            <w:tcW w:w="2200" w:type="dxa"/>
            <w:vAlign w:val="bottom"/>
            <w:vMerge w:val="restart"/>
          </w:tcPr>
          <w:p>
            <w:pPr>
              <w:jc w:val="right"/>
              <w:ind w:right="247"/>
              <w:spacing w:after="0"/>
              <w:rPr>
                <w:sz w:val="20"/>
                <w:szCs w:val="20"/>
                <w:color w:val="auto"/>
              </w:rPr>
            </w:pPr>
            <w:r>
              <w:rPr>
                <w:rFonts w:ascii="Courier New" w:cs="Courier New" w:eastAsia="Courier New" w:hAnsi="Courier New"/>
                <w:sz w:val="15"/>
                <w:szCs w:val="15"/>
                <w:color w:val="auto"/>
                <w:w w:val="97"/>
              </w:rPr>
              <w:t>----------------</w:t>
            </w:r>
            <w:r>
              <w:rPr>
                <w:rFonts w:ascii="Courier New" w:cs="Courier New" w:eastAsia="Courier New" w:hAnsi="Courier New"/>
                <w:sz w:val="29"/>
                <w:szCs w:val="29"/>
                <w:color w:val="auto"/>
                <w:w w:val="97"/>
                <w:vertAlign w:val="subscript"/>
              </w:rPr>
              <w:t>1.41</w:t>
            </w:r>
          </w:p>
        </w:tc>
        <w:tc>
          <w:tcPr>
            <w:tcW w:w="1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3980" w:type="dxa"/>
            <w:vAlign w:val="bottom"/>
            <w:vMerge w:val="continue"/>
          </w:tcPr>
          <w:p>
            <w:pPr>
              <w:spacing w:after="0"/>
              <w:rPr>
                <w:sz w:val="14"/>
                <w:szCs w:val="14"/>
                <w:color w:val="auto"/>
              </w:rPr>
            </w:pPr>
          </w:p>
        </w:tc>
        <w:tc>
          <w:tcPr>
            <w:tcW w:w="2200" w:type="dxa"/>
            <w:vAlign w:val="bottom"/>
            <w:vMerge w:val="continue"/>
          </w:tcPr>
          <w:p>
            <w:pPr>
              <w:spacing w:after="0"/>
              <w:rPr>
                <w:sz w:val="14"/>
                <w:szCs w:val="14"/>
                <w:color w:val="auto"/>
              </w:rPr>
            </w:pPr>
          </w:p>
        </w:tc>
        <w:tc>
          <w:tcPr>
            <w:tcW w:w="1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1.44</w:t>
            </w:r>
          </w:p>
        </w:tc>
        <w:tc>
          <w:tcPr>
            <w:tcW w:w="1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0.73</w:t>
            </w:r>
          </w:p>
        </w:tc>
        <w:tc>
          <w:tcPr>
            <w:tcW w:w="0" w:type="dxa"/>
            <w:vAlign w:val="bottom"/>
          </w:tcPr>
          <w:p>
            <w:pPr>
              <w:spacing w:after="0"/>
              <w:rPr>
                <w:sz w:val="1"/>
                <w:szCs w:val="1"/>
                <w:color w:val="auto"/>
              </w:rPr>
            </w:pPr>
          </w:p>
        </w:tc>
      </w:tr>
      <w:tr>
        <w:trPr>
          <w:trHeight w:val="245"/>
        </w:trPr>
        <w:tc>
          <w:tcPr>
            <w:tcW w:w="3980" w:type="dxa"/>
            <w:vAlign w:val="bottom"/>
          </w:tcPr>
          <w:p>
            <w:pPr>
              <w:ind w:left="280"/>
              <w:spacing w:after="0"/>
              <w:rPr>
                <w:sz w:val="20"/>
                <w:szCs w:val="20"/>
                <w:color w:val="auto"/>
              </w:rPr>
            </w:pPr>
            <w:r>
              <w:rPr>
                <w:rFonts w:ascii="Courier New" w:cs="Courier New" w:eastAsia="Courier New" w:hAnsi="Courier New"/>
                <w:sz w:val="15"/>
                <w:szCs w:val="15"/>
                <w:color w:val="auto"/>
              </w:rPr>
              <w:t>Discontinued operations</w:t>
            </w:r>
          </w:p>
        </w:tc>
        <w:tc>
          <w:tcPr>
            <w:tcW w:w="22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9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0.07</w:t>
            </w:r>
          </w:p>
        </w:tc>
        <w:tc>
          <w:tcPr>
            <w:tcW w:w="0" w:type="dxa"/>
            <w:vAlign w:val="bottom"/>
          </w:tcPr>
          <w:p>
            <w:pPr>
              <w:spacing w:after="0"/>
              <w:rPr>
                <w:sz w:val="1"/>
                <w:szCs w:val="1"/>
                <w:color w:val="auto"/>
              </w:rPr>
            </w:pPr>
          </w:p>
        </w:tc>
      </w:tr>
      <w:tr>
        <w:trPr>
          <w:trHeight w:val="259"/>
        </w:trPr>
        <w:tc>
          <w:tcPr>
            <w:tcW w:w="3980" w:type="dxa"/>
            <w:vAlign w:val="bottom"/>
            <w:vMerge w:val="restart"/>
          </w:tcPr>
          <w:p>
            <w:pPr>
              <w:ind w:left="280"/>
              <w:spacing w:after="0"/>
              <w:rPr>
                <w:sz w:val="20"/>
                <w:szCs w:val="20"/>
                <w:color w:val="auto"/>
              </w:rPr>
            </w:pPr>
            <w:r>
              <w:rPr>
                <w:rFonts w:ascii="Courier New" w:cs="Courier New" w:eastAsia="Courier New" w:hAnsi="Courier New"/>
                <w:sz w:val="15"/>
                <w:szCs w:val="15"/>
                <w:color w:val="auto"/>
              </w:rPr>
              <w:t>Adjusted Net Income</w:t>
            </w:r>
          </w:p>
        </w:tc>
        <w:tc>
          <w:tcPr>
            <w:tcW w:w="2200" w:type="dxa"/>
            <w:vAlign w:val="bottom"/>
            <w:vMerge w:val="restart"/>
          </w:tcPr>
          <w:p>
            <w:pPr>
              <w:jc w:val="right"/>
              <w:ind w:right="247"/>
              <w:spacing w:after="0"/>
              <w:rPr>
                <w:sz w:val="20"/>
                <w:szCs w:val="20"/>
                <w:color w:val="auto"/>
              </w:rPr>
            </w:pPr>
            <w:r>
              <w:rPr>
                <w:rFonts w:ascii="Courier New" w:cs="Courier New" w:eastAsia="Courier New" w:hAnsi="Courier New"/>
                <w:sz w:val="15"/>
                <w:szCs w:val="15"/>
                <w:color w:val="auto"/>
                <w:w w:val="92"/>
              </w:rPr>
              <w:t>----------------</w:t>
            </w:r>
            <w:r>
              <w:rPr>
                <w:rFonts w:ascii="Courier New" w:cs="Courier New" w:eastAsia="Courier New" w:hAnsi="Courier New"/>
                <w:sz w:val="29"/>
                <w:szCs w:val="29"/>
                <w:color w:val="auto"/>
                <w:w w:val="92"/>
                <w:vertAlign w:val="subscript"/>
              </w:rPr>
              <w:t>$1.41</w:t>
            </w:r>
          </w:p>
        </w:tc>
        <w:tc>
          <w:tcPr>
            <w:tcW w:w="1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3980" w:type="dxa"/>
            <w:vAlign w:val="bottom"/>
            <w:vMerge w:val="continue"/>
          </w:tcPr>
          <w:p>
            <w:pPr>
              <w:spacing w:after="0"/>
              <w:rPr>
                <w:sz w:val="14"/>
                <w:szCs w:val="14"/>
                <w:color w:val="auto"/>
              </w:rPr>
            </w:pPr>
          </w:p>
        </w:tc>
        <w:tc>
          <w:tcPr>
            <w:tcW w:w="2200" w:type="dxa"/>
            <w:vAlign w:val="bottom"/>
            <w:vMerge w:val="continue"/>
          </w:tcPr>
          <w:p>
            <w:pPr>
              <w:spacing w:after="0"/>
              <w:rPr>
                <w:sz w:val="14"/>
                <w:szCs w:val="14"/>
                <w:color w:val="auto"/>
              </w:rPr>
            </w:pPr>
          </w:p>
        </w:tc>
        <w:tc>
          <w:tcPr>
            <w:tcW w:w="1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$ 1.44</w:t>
            </w:r>
          </w:p>
        </w:tc>
        <w:tc>
          <w:tcPr>
            <w:tcW w:w="1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$ 0.80</w:t>
            </w:r>
          </w:p>
        </w:tc>
        <w:tc>
          <w:tcPr>
            <w:tcW w:w="0" w:type="dxa"/>
            <w:vAlign w:val="bottom"/>
          </w:tcPr>
          <w:p>
            <w:pPr>
              <w:spacing w:after="0"/>
              <w:rPr>
                <w:sz w:val="1"/>
                <w:szCs w:val="1"/>
                <w:color w:val="auto"/>
              </w:rPr>
            </w:pPr>
          </w:p>
        </w:tc>
      </w:tr>
      <w:tr>
        <w:trPr>
          <w:trHeight w:val="245"/>
        </w:trPr>
        <w:tc>
          <w:tcPr>
            <w:tcW w:w="3980" w:type="dxa"/>
            <w:vAlign w:val="bottom"/>
          </w:tcPr>
          <w:p>
            <w:pPr>
              <w:spacing w:after="0"/>
              <w:rPr>
                <w:sz w:val="21"/>
                <w:szCs w:val="21"/>
                <w:color w:val="auto"/>
              </w:rPr>
            </w:pPr>
          </w:p>
        </w:tc>
        <w:tc>
          <w:tcPr>
            <w:tcW w:w="22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36"/>
        </w:trPr>
        <w:tc>
          <w:tcPr>
            <w:tcW w:w="3980" w:type="dxa"/>
            <w:vAlign w:val="bottom"/>
          </w:tcPr>
          <w:p>
            <w:pPr>
              <w:spacing w:after="0"/>
              <w:rPr>
                <w:sz w:val="20"/>
                <w:szCs w:val="20"/>
                <w:color w:val="auto"/>
              </w:rPr>
            </w:pPr>
            <w:r>
              <w:rPr>
                <w:rFonts w:ascii="Courier New" w:cs="Courier New" w:eastAsia="Courier New" w:hAnsi="Courier New"/>
                <w:sz w:val="15"/>
                <w:szCs w:val="15"/>
                <w:color w:val="auto"/>
              </w:rPr>
              <w:t>Average shares outstanding</w:t>
            </w:r>
          </w:p>
        </w:tc>
        <w:tc>
          <w:tcPr>
            <w:tcW w:w="22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574,328</w:t>
            </w:r>
          </w:p>
        </w:tc>
        <w:tc>
          <w:tcPr>
            <w:tcW w:w="19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570,028</w:t>
            </w:r>
          </w:p>
        </w:tc>
        <w:tc>
          <w:tcPr>
            <w:tcW w:w="1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548,680</w:t>
            </w:r>
          </w:p>
        </w:tc>
        <w:tc>
          <w:tcPr>
            <w:tcW w:w="0" w:type="dxa"/>
            <w:vAlign w:val="bottom"/>
          </w:tcPr>
          <w:p>
            <w:pPr>
              <w:spacing w:after="0"/>
              <w:rPr>
                <w:sz w:val="1"/>
                <w:szCs w:val="1"/>
                <w:color w:val="auto"/>
              </w:rPr>
            </w:pPr>
          </w:p>
        </w:tc>
      </w:tr>
      <w:tr>
        <w:trPr>
          <w:trHeight w:val="259"/>
        </w:trPr>
        <w:tc>
          <w:tcPr>
            <w:tcW w:w="3980" w:type="dxa"/>
            <w:vAlign w:val="bottom"/>
          </w:tcPr>
          <w:p>
            <w:pPr>
              <w:spacing w:after="0"/>
              <w:rPr>
                <w:sz w:val="20"/>
                <w:szCs w:val="20"/>
                <w:color w:val="auto"/>
              </w:rPr>
            </w:pPr>
            <w:r>
              <w:rPr>
                <w:rFonts w:ascii="Courier New" w:cs="Courier New" w:eastAsia="Courier New" w:hAnsi="Courier New"/>
                <w:sz w:val="15"/>
                <w:szCs w:val="15"/>
                <w:color w:val="auto"/>
              </w:rPr>
              <w:t>Average shares outstanding</w:t>
            </w:r>
          </w:p>
        </w:tc>
        <w:tc>
          <w:tcPr>
            <w:tcW w:w="220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580,214</w:t>
            </w:r>
          </w:p>
        </w:tc>
        <w:tc>
          <w:tcPr>
            <w:tcW w:w="192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580,076</w:t>
            </w:r>
          </w:p>
        </w:tc>
        <w:tc>
          <w:tcPr>
            <w:tcW w:w="188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563,789</w:t>
            </w:r>
          </w:p>
        </w:tc>
        <w:tc>
          <w:tcPr>
            <w:tcW w:w="0" w:type="dxa"/>
            <w:vAlign w:val="bottom"/>
          </w:tcPr>
          <w:p>
            <w:pPr>
              <w:spacing w:after="0"/>
              <w:rPr>
                <w:sz w:val="1"/>
                <w:szCs w:val="1"/>
                <w:color w:val="auto"/>
              </w:rPr>
            </w:pPr>
          </w:p>
        </w:tc>
      </w:tr>
      <w:tr>
        <w:trPr>
          <w:trHeight w:val="245"/>
        </w:trPr>
        <w:tc>
          <w:tcPr>
            <w:tcW w:w="3980" w:type="dxa"/>
            <w:vAlign w:val="bottom"/>
          </w:tcPr>
          <w:p>
            <w:pPr>
              <w:ind w:left="280"/>
              <w:spacing w:after="0"/>
              <w:rPr>
                <w:sz w:val="20"/>
                <w:szCs w:val="20"/>
                <w:color w:val="auto"/>
              </w:rPr>
            </w:pPr>
            <w:r>
              <w:rPr>
                <w:rFonts w:ascii="Courier New" w:cs="Courier New" w:eastAsia="Courier New" w:hAnsi="Courier New"/>
                <w:sz w:val="15"/>
                <w:szCs w:val="15"/>
                <w:color w:val="auto"/>
              </w:rPr>
              <w:t>assuming dilution</w:t>
            </w:r>
          </w:p>
        </w:tc>
        <w:tc>
          <w:tcPr>
            <w:tcW w:w="2200" w:type="dxa"/>
            <w:vAlign w:val="bottom"/>
            <w:vMerge w:val="continue"/>
          </w:tcPr>
          <w:p>
            <w:pPr>
              <w:spacing w:after="0"/>
              <w:rPr>
                <w:sz w:val="21"/>
                <w:szCs w:val="21"/>
                <w:color w:val="auto"/>
              </w:rPr>
            </w:pPr>
          </w:p>
        </w:tc>
        <w:tc>
          <w:tcPr>
            <w:tcW w:w="1920" w:type="dxa"/>
            <w:vAlign w:val="bottom"/>
            <w:vMerge w:val="continue"/>
          </w:tcPr>
          <w:p>
            <w:pPr>
              <w:spacing w:after="0"/>
              <w:rPr>
                <w:sz w:val="21"/>
                <w:szCs w:val="21"/>
                <w:color w:val="auto"/>
              </w:rPr>
            </w:pPr>
          </w:p>
        </w:tc>
        <w:tc>
          <w:tcPr>
            <w:tcW w:w="18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96"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See the Notes to Consolidated Financial Statements</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F-3</w:t>
      </w:r>
    </w:p>
    <w:p>
      <w:pPr>
        <w:sectPr>
          <w:pgSz w:w="11900" w:h="16838" w:orient="portrait"/>
          <w:cols w:equalWidth="0" w:num="1">
            <w:col w:w="10239"/>
          </w:cols>
          <w:pgMar w:left="220" w:top="766" w:right="1440" w:bottom="1440" w:gutter="0" w:footer="0" w:header="0"/>
        </w:sectPr>
      </w:pPr>
    </w:p>
    <w:bookmarkStart w:id="17" w:name="page18"/>
    <w:bookmarkEnd w:id="17"/>
    <w:p>
      <w:pPr>
        <w:jc w:val="center"/>
        <w:ind w:right="3219"/>
        <w:spacing w:after="0"/>
        <w:rPr>
          <w:sz w:val="20"/>
          <w:szCs w:val="20"/>
          <w:color w:val="auto"/>
        </w:rPr>
      </w:pPr>
      <w:r>
        <w:rPr>
          <w:rFonts w:ascii="Courier New" w:cs="Courier New" w:eastAsia="Courier New" w:hAnsi="Courier New"/>
          <w:sz w:val="15"/>
          <w:szCs w:val="15"/>
          <w:color w:val="auto"/>
        </w:rPr>
        <w:t>SCHLUMBERGER LIMITED (SCHLUMBERGER N.V., INCORPORATED IN THE</w:t>
      </w:r>
    </w:p>
    <w:p>
      <w:pPr>
        <w:spacing w:after="0" w:line="24"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NETHERLANDS ANTILLES) AND SUBSIDIARY COMPANIES</w:t>
      </w:r>
    </w:p>
    <w:p>
      <w:pPr>
        <w:spacing w:after="0" w:line="140"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CONSOLIDATED BALANCE SHEET</w:t>
      </w:r>
    </w:p>
    <w:p>
      <w:pPr>
        <w:spacing w:after="0" w:line="24"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040" w:type="dxa"/>
            <w:vAlign w:val="bottom"/>
            <w:vMerge w:val="restart"/>
          </w:tcPr>
          <w:p>
            <w:pPr>
              <w:spacing w:after="0"/>
              <w:rPr>
                <w:sz w:val="20"/>
                <w:szCs w:val="20"/>
                <w:color w:val="auto"/>
              </w:rPr>
            </w:pPr>
            <w:r>
              <w:rPr>
                <w:rFonts w:ascii="Courier New" w:cs="Courier New" w:eastAsia="Courier New" w:hAnsi="Courier New"/>
                <w:sz w:val="15"/>
                <w:szCs w:val="15"/>
                <w:color w:val="auto"/>
              </w:rPr>
              <w:t>December 31,</w:t>
            </w:r>
          </w:p>
        </w:tc>
        <w:tc>
          <w:tcPr>
            <w:tcW w:w="2280" w:type="dxa"/>
            <w:vAlign w:val="bottom"/>
            <w:vMerge w:val="restart"/>
          </w:tcPr>
          <w:p>
            <w:pPr>
              <w:jc w:val="right"/>
              <w:ind w:right="767"/>
              <w:spacing w:after="0"/>
              <w:rPr>
                <w:sz w:val="20"/>
                <w:szCs w:val="20"/>
                <w:color w:val="auto"/>
              </w:rPr>
            </w:pPr>
            <w:r>
              <w:rPr>
                <w:rFonts w:ascii="Courier New" w:cs="Courier New" w:eastAsia="Courier New" w:hAnsi="Courier New"/>
                <w:sz w:val="15"/>
                <w:szCs w:val="15"/>
                <w:color w:val="auto"/>
              </w:rPr>
              <w:t>2001</w:t>
            </w:r>
          </w:p>
        </w:tc>
        <w:tc>
          <w:tcPr>
            <w:tcW w:w="2040" w:type="dxa"/>
            <w:vAlign w:val="bottom"/>
          </w:tcPr>
          <w:p>
            <w:pPr>
              <w:jc w:val="right"/>
              <w:spacing w:after="0"/>
              <w:rPr>
                <w:sz w:val="20"/>
                <w:szCs w:val="20"/>
                <w:color w:val="auto"/>
              </w:rPr>
            </w:pPr>
            <w:r>
              <w:rPr>
                <w:rFonts w:ascii="Courier New" w:cs="Courier New" w:eastAsia="Courier New" w:hAnsi="Courier New"/>
                <w:sz w:val="15"/>
                <w:szCs w:val="15"/>
                <w:color w:val="auto"/>
              </w:rPr>
              <w:t>(Stated in thousands)</w:t>
            </w:r>
          </w:p>
        </w:tc>
        <w:tc>
          <w:tcPr>
            <w:tcW w:w="0" w:type="dxa"/>
            <w:vAlign w:val="bottom"/>
          </w:tcPr>
          <w:p>
            <w:pPr>
              <w:spacing w:after="0"/>
              <w:rPr>
                <w:sz w:val="1"/>
                <w:szCs w:val="1"/>
                <w:color w:val="auto"/>
              </w:rPr>
            </w:pPr>
          </w:p>
        </w:tc>
      </w:tr>
      <w:tr>
        <w:trPr>
          <w:trHeight w:val="168"/>
        </w:trPr>
        <w:tc>
          <w:tcPr>
            <w:tcW w:w="5040" w:type="dxa"/>
            <w:vAlign w:val="bottom"/>
            <w:vMerge w:val="continue"/>
          </w:tcPr>
          <w:p>
            <w:pPr>
              <w:spacing w:after="0"/>
              <w:rPr>
                <w:sz w:val="14"/>
                <w:szCs w:val="14"/>
                <w:color w:val="auto"/>
              </w:rPr>
            </w:pPr>
          </w:p>
        </w:tc>
        <w:tc>
          <w:tcPr>
            <w:tcW w:w="2280" w:type="dxa"/>
            <w:vAlign w:val="bottom"/>
            <w:vMerge w:val="continue"/>
          </w:tcPr>
          <w:p>
            <w:pPr>
              <w:spacing w:after="0"/>
              <w:rPr>
                <w:sz w:val="14"/>
                <w:szCs w:val="14"/>
                <w:color w:val="auto"/>
              </w:rPr>
            </w:pPr>
          </w:p>
        </w:tc>
        <w:tc>
          <w:tcPr>
            <w:tcW w:w="204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2000</w:t>
            </w:r>
          </w:p>
        </w:tc>
        <w:tc>
          <w:tcPr>
            <w:tcW w:w="0" w:type="dxa"/>
            <w:vAlign w:val="bottom"/>
          </w:tcPr>
          <w:p>
            <w:pPr>
              <w:spacing w:after="0"/>
              <w:rPr>
                <w:sz w:val="1"/>
                <w:szCs w:val="1"/>
                <w:color w:val="auto"/>
              </w:rPr>
            </w:pPr>
          </w:p>
        </w:tc>
      </w:tr>
      <w:tr>
        <w:trPr>
          <w:trHeight w:val="245"/>
        </w:trPr>
        <w:tc>
          <w:tcPr>
            <w:tcW w:w="5040" w:type="dxa"/>
            <w:vAlign w:val="bottom"/>
          </w:tcPr>
          <w:p>
            <w:pPr>
              <w:spacing w:after="0"/>
              <w:rPr>
                <w:sz w:val="21"/>
                <w:szCs w:val="21"/>
                <w:color w:val="auto"/>
              </w:rPr>
            </w:pPr>
          </w:p>
        </w:tc>
        <w:tc>
          <w:tcPr>
            <w:tcW w:w="22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2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504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2280" w:type="dxa"/>
            <w:vAlign w:val="bottom"/>
          </w:tcPr>
          <w:p>
            <w:pPr>
              <w:spacing w:after="0"/>
              <w:rPr>
                <w:sz w:val="22"/>
                <w:szCs w:val="22"/>
                <w:color w:val="auto"/>
              </w:rPr>
            </w:pPr>
          </w:p>
        </w:tc>
        <w:tc>
          <w:tcPr>
            <w:tcW w:w="2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504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22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504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228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5040" w:type="dxa"/>
            <w:vAlign w:val="bottom"/>
          </w:tcPr>
          <w:p>
            <w:pPr>
              <w:ind w:left="280"/>
              <w:spacing w:after="0"/>
              <w:rPr>
                <w:sz w:val="20"/>
                <w:szCs w:val="20"/>
                <w:color w:val="auto"/>
              </w:rPr>
            </w:pPr>
            <w:r>
              <w:rPr>
                <w:rFonts w:ascii="Courier New" w:cs="Courier New" w:eastAsia="Courier New" w:hAnsi="Courier New"/>
                <w:sz w:val="15"/>
                <w:szCs w:val="15"/>
                <w:color w:val="auto"/>
              </w:rPr>
              <w:t>Cash</w:t>
            </w:r>
          </w:p>
        </w:tc>
        <w:tc>
          <w:tcPr>
            <w:tcW w:w="22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$ 177,704</w:t>
            </w:r>
          </w:p>
        </w:tc>
        <w:tc>
          <w:tcPr>
            <w:tcW w:w="2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$ 160,718</w:t>
            </w:r>
          </w:p>
        </w:tc>
        <w:tc>
          <w:tcPr>
            <w:tcW w:w="0" w:type="dxa"/>
            <w:vAlign w:val="bottom"/>
          </w:tcPr>
          <w:p>
            <w:pPr>
              <w:spacing w:after="0"/>
              <w:rPr>
                <w:sz w:val="1"/>
                <w:szCs w:val="1"/>
                <w:color w:val="auto"/>
              </w:rPr>
            </w:pPr>
          </w:p>
        </w:tc>
      </w:tr>
      <w:tr>
        <w:trPr>
          <w:trHeight w:val="168"/>
        </w:trPr>
        <w:tc>
          <w:tcPr>
            <w:tcW w:w="50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Short-term investments</w:t>
            </w:r>
          </w:p>
        </w:tc>
        <w:tc>
          <w:tcPr>
            <w:tcW w:w="22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1,439,997</w:t>
            </w:r>
          </w:p>
        </w:tc>
        <w:tc>
          <w:tcPr>
            <w:tcW w:w="2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2,879,432</w:t>
            </w:r>
          </w:p>
        </w:tc>
        <w:tc>
          <w:tcPr>
            <w:tcW w:w="0" w:type="dxa"/>
            <w:vAlign w:val="bottom"/>
          </w:tcPr>
          <w:p>
            <w:pPr>
              <w:spacing w:after="0"/>
              <w:rPr>
                <w:sz w:val="1"/>
                <w:szCs w:val="1"/>
                <w:color w:val="auto"/>
              </w:rPr>
            </w:pPr>
          </w:p>
        </w:tc>
      </w:tr>
      <w:tr>
        <w:trPr>
          <w:trHeight w:val="168"/>
        </w:trPr>
        <w:tc>
          <w:tcPr>
            <w:tcW w:w="50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Receivables less allowance for doubtful accounts</w:t>
            </w:r>
          </w:p>
        </w:tc>
        <w:tc>
          <w:tcPr>
            <w:tcW w:w="2280" w:type="dxa"/>
            <w:vAlign w:val="bottom"/>
            <w:vMerge w:val="restart"/>
          </w:tcPr>
          <w:p>
            <w:pPr>
              <w:jc w:val="right"/>
              <w:ind w:right="247"/>
              <w:spacing w:after="0"/>
              <w:rPr>
                <w:sz w:val="20"/>
                <w:szCs w:val="20"/>
                <w:color w:val="auto"/>
              </w:rPr>
            </w:pPr>
            <w:r>
              <w:rPr>
                <w:rFonts w:ascii="Courier New" w:cs="Courier New" w:eastAsia="Courier New" w:hAnsi="Courier New"/>
                <w:sz w:val="15"/>
                <w:szCs w:val="15"/>
                <w:color w:val="auto"/>
              </w:rPr>
              <w:t>4,028,450</w:t>
            </w:r>
          </w:p>
        </w:tc>
        <w:tc>
          <w:tcPr>
            <w:tcW w:w="2040" w:type="dxa"/>
            <w:vAlign w:val="bottom"/>
            <w:vMerge w:val="restart"/>
          </w:tcPr>
          <w:p>
            <w:pPr>
              <w:jc w:val="right"/>
              <w:ind w:right="87"/>
              <w:spacing w:after="0"/>
              <w:rPr>
                <w:sz w:val="20"/>
                <w:szCs w:val="20"/>
                <w:color w:val="auto"/>
              </w:rPr>
            </w:pPr>
            <w:r>
              <w:rPr>
                <w:rFonts w:ascii="Courier New" w:cs="Courier New" w:eastAsia="Courier New" w:hAnsi="Courier New"/>
                <w:sz w:val="15"/>
                <w:szCs w:val="15"/>
                <w:color w:val="auto"/>
              </w:rPr>
              <w:t>2,768,848</w:t>
            </w:r>
          </w:p>
        </w:tc>
        <w:tc>
          <w:tcPr>
            <w:tcW w:w="0" w:type="dxa"/>
            <w:vAlign w:val="bottom"/>
          </w:tcPr>
          <w:p>
            <w:pPr>
              <w:spacing w:after="0"/>
              <w:rPr>
                <w:sz w:val="1"/>
                <w:szCs w:val="1"/>
                <w:color w:val="auto"/>
              </w:rPr>
            </w:pPr>
          </w:p>
        </w:tc>
      </w:tr>
      <w:tr>
        <w:trPr>
          <w:trHeight w:val="168"/>
        </w:trPr>
        <w:tc>
          <w:tcPr>
            <w:tcW w:w="50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(2001 - $145,268;  2000 - $106,503)</w:t>
            </w:r>
          </w:p>
        </w:tc>
        <w:tc>
          <w:tcPr>
            <w:tcW w:w="2280" w:type="dxa"/>
            <w:vAlign w:val="bottom"/>
            <w:vMerge w:val="continue"/>
          </w:tcPr>
          <w:p>
            <w:pPr>
              <w:spacing w:after="0"/>
              <w:rPr>
                <w:sz w:val="14"/>
                <w:szCs w:val="14"/>
                <w:color w:val="auto"/>
              </w:rPr>
            </w:pPr>
          </w:p>
        </w:tc>
        <w:tc>
          <w:tcPr>
            <w:tcW w:w="2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0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Inventories</w:t>
            </w:r>
          </w:p>
        </w:tc>
        <w:tc>
          <w:tcPr>
            <w:tcW w:w="22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1,204,263</w:t>
            </w:r>
          </w:p>
        </w:tc>
        <w:tc>
          <w:tcPr>
            <w:tcW w:w="2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1,111,585</w:t>
            </w:r>
          </w:p>
        </w:tc>
        <w:tc>
          <w:tcPr>
            <w:tcW w:w="0" w:type="dxa"/>
            <w:vAlign w:val="bottom"/>
          </w:tcPr>
          <w:p>
            <w:pPr>
              <w:spacing w:after="0"/>
              <w:rPr>
                <w:sz w:val="1"/>
                <w:szCs w:val="1"/>
                <w:color w:val="auto"/>
              </w:rPr>
            </w:pPr>
          </w:p>
        </w:tc>
      </w:tr>
      <w:tr>
        <w:trPr>
          <w:trHeight w:val="168"/>
        </w:trPr>
        <w:tc>
          <w:tcPr>
            <w:tcW w:w="50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Deferred taxes</w:t>
            </w:r>
          </w:p>
        </w:tc>
        <w:tc>
          <w:tcPr>
            <w:tcW w:w="22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321,767</w:t>
            </w:r>
          </w:p>
        </w:tc>
        <w:tc>
          <w:tcPr>
            <w:tcW w:w="2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259,184</w:t>
            </w:r>
          </w:p>
        </w:tc>
        <w:tc>
          <w:tcPr>
            <w:tcW w:w="0" w:type="dxa"/>
            <w:vAlign w:val="bottom"/>
          </w:tcPr>
          <w:p>
            <w:pPr>
              <w:spacing w:after="0"/>
              <w:rPr>
                <w:sz w:val="1"/>
                <w:szCs w:val="1"/>
                <w:color w:val="auto"/>
              </w:rPr>
            </w:pPr>
          </w:p>
        </w:tc>
      </w:tr>
      <w:tr>
        <w:trPr>
          <w:trHeight w:val="168"/>
        </w:trPr>
        <w:tc>
          <w:tcPr>
            <w:tcW w:w="50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Other current assets</w:t>
            </w:r>
          </w:p>
        </w:tc>
        <w:tc>
          <w:tcPr>
            <w:tcW w:w="22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532,709</w:t>
            </w:r>
          </w:p>
        </w:tc>
        <w:tc>
          <w:tcPr>
            <w:tcW w:w="2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313,444</w:t>
            </w:r>
          </w:p>
        </w:tc>
        <w:tc>
          <w:tcPr>
            <w:tcW w:w="0" w:type="dxa"/>
            <w:vAlign w:val="bottom"/>
          </w:tcPr>
          <w:p>
            <w:pPr>
              <w:spacing w:after="0"/>
              <w:rPr>
                <w:sz w:val="1"/>
                <w:szCs w:val="1"/>
                <w:color w:val="auto"/>
              </w:rPr>
            </w:pPr>
          </w:p>
        </w:tc>
      </w:tr>
      <w:tr>
        <w:trPr>
          <w:trHeight w:val="168"/>
        </w:trPr>
        <w:tc>
          <w:tcPr>
            <w:tcW w:w="5040" w:type="dxa"/>
            <w:vAlign w:val="bottom"/>
          </w:tcPr>
          <w:p>
            <w:pPr>
              <w:spacing w:after="0"/>
              <w:rPr>
                <w:sz w:val="14"/>
                <w:szCs w:val="14"/>
                <w:color w:val="auto"/>
              </w:rPr>
            </w:pPr>
          </w:p>
        </w:tc>
        <w:tc>
          <w:tcPr>
            <w:tcW w:w="228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w w:val="79"/>
              </w:rPr>
              <w:t>-----------------</w:t>
            </w:r>
            <w:r>
              <w:rPr>
                <w:rFonts w:ascii="Courier New" w:cs="Courier New" w:eastAsia="Courier New" w:hAnsi="Courier New"/>
                <w:sz w:val="29"/>
                <w:szCs w:val="29"/>
                <w:color w:val="auto"/>
                <w:w w:val="79"/>
                <w:vertAlign w:val="subscript"/>
              </w:rPr>
              <w:t>7,704,890</w:t>
            </w:r>
          </w:p>
        </w:tc>
        <w:tc>
          <w:tcPr>
            <w:tcW w:w="2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5040" w:type="dxa"/>
            <w:vAlign w:val="bottom"/>
          </w:tcPr>
          <w:p>
            <w:pPr>
              <w:spacing w:after="0"/>
              <w:rPr>
                <w:sz w:val="22"/>
                <w:szCs w:val="22"/>
                <w:color w:val="auto"/>
              </w:rPr>
            </w:pPr>
          </w:p>
        </w:tc>
        <w:tc>
          <w:tcPr>
            <w:tcW w:w="2280" w:type="dxa"/>
            <w:vAlign w:val="bottom"/>
            <w:vMerge w:val="continue"/>
          </w:tcPr>
          <w:p>
            <w:pPr>
              <w:spacing w:after="0"/>
              <w:rPr>
                <w:sz w:val="22"/>
                <w:szCs w:val="22"/>
                <w:color w:val="auto"/>
              </w:rPr>
            </w:pPr>
          </w:p>
        </w:tc>
        <w:tc>
          <w:tcPr>
            <w:tcW w:w="2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7,493,211</w:t>
            </w:r>
          </w:p>
        </w:tc>
        <w:tc>
          <w:tcPr>
            <w:tcW w:w="0" w:type="dxa"/>
            <w:vAlign w:val="bottom"/>
          </w:tcPr>
          <w:p>
            <w:pPr>
              <w:spacing w:after="0"/>
              <w:rPr>
                <w:sz w:val="1"/>
                <w:szCs w:val="1"/>
                <w:color w:val="auto"/>
              </w:rPr>
            </w:pPr>
          </w:p>
        </w:tc>
      </w:tr>
      <w:tr>
        <w:trPr>
          <w:trHeight w:val="245"/>
        </w:trPr>
        <w:tc>
          <w:tcPr>
            <w:tcW w:w="5040" w:type="dxa"/>
            <w:vAlign w:val="bottom"/>
          </w:tcPr>
          <w:p>
            <w:pPr>
              <w:spacing w:after="0"/>
              <w:rPr>
                <w:sz w:val="20"/>
                <w:szCs w:val="20"/>
                <w:color w:val="auto"/>
              </w:rPr>
            </w:pPr>
            <w:r>
              <w:rPr>
                <w:rFonts w:ascii="Courier New" w:cs="Courier New" w:eastAsia="Courier New" w:hAnsi="Courier New"/>
                <w:sz w:val="15"/>
                <w:szCs w:val="15"/>
                <w:color w:val="auto"/>
              </w:rPr>
              <w:t>Fixed Income Investments, held to maturity</w:t>
            </w:r>
          </w:p>
        </w:tc>
        <w:tc>
          <w:tcPr>
            <w:tcW w:w="22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576,000</w:t>
            </w:r>
          </w:p>
        </w:tc>
        <w:tc>
          <w:tcPr>
            <w:tcW w:w="2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1,547,132</w:t>
            </w:r>
          </w:p>
        </w:tc>
        <w:tc>
          <w:tcPr>
            <w:tcW w:w="0" w:type="dxa"/>
            <w:vAlign w:val="bottom"/>
          </w:tcPr>
          <w:p>
            <w:pPr>
              <w:spacing w:after="0"/>
              <w:rPr>
                <w:sz w:val="1"/>
                <w:szCs w:val="1"/>
                <w:color w:val="auto"/>
              </w:rPr>
            </w:pPr>
          </w:p>
        </w:tc>
      </w:tr>
      <w:tr>
        <w:trPr>
          <w:trHeight w:val="168"/>
        </w:trPr>
        <w:tc>
          <w:tcPr>
            <w:tcW w:w="5040" w:type="dxa"/>
            <w:vAlign w:val="bottom"/>
          </w:tcPr>
          <w:p>
            <w:pPr>
              <w:spacing w:after="0" w:line="168" w:lineRule="exact"/>
              <w:rPr>
                <w:sz w:val="20"/>
                <w:szCs w:val="20"/>
                <w:color w:val="auto"/>
              </w:rPr>
            </w:pPr>
            <w:r>
              <w:rPr>
                <w:rFonts w:ascii="Courier New" w:cs="Courier New" w:eastAsia="Courier New" w:hAnsi="Courier New"/>
                <w:sz w:val="15"/>
                <w:szCs w:val="15"/>
                <w:color w:val="auto"/>
              </w:rPr>
              <w:t>Investments in Affiliated Companies</w:t>
            </w:r>
          </w:p>
        </w:tc>
        <w:tc>
          <w:tcPr>
            <w:tcW w:w="22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820,806</w:t>
            </w:r>
          </w:p>
        </w:tc>
        <w:tc>
          <w:tcPr>
            <w:tcW w:w="2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654,516</w:t>
            </w:r>
          </w:p>
        </w:tc>
        <w:tc>
          <w:tcPr>
            <w:tcW w:w="0" w:type="dxa"/>
            <w:vAlign w:val="bottom"/>
          </w:tcPr>
          <w:p>
            <w:pPr>
              <w:spacing w:after="0"/>
              <w:rPr>
                <w:sz w:val="1"/>
                <w:szCs w:val="1"/>
                <w:color w:val="auto"/>
              </w:rPr>
            </w:pPr>
          </w:p>
        </w:tc>
      </w:tr>
      <w:tr>
        <w:trPr>
          <w:trHeight w:val="168"/>
        </w:trPr>
        <w:tc>
          <w:tcPr>
            <w:tcW w:w="5040" w:type="dxa"/>
            <w:vAlign w:val="bottom"/>
          </w:tcPr>
          <w:p>
            <w:pPr>
              <w:spacing w:after="0" w:line="168" w:lineRule="exact"/>
              <w:rPr>
                <w:sz w:val="20"/>
                <w:szCs w:val="20"/>
                <w:color w:val="auto"/>
              </w:rPr>
            </w:pPr>
            <w:r>
              <w:rPr>
                <w:rFonts w:ascii="Courier New" w:cs="Courier New" w:eastAsia="Courier New" w:hAnsi="Courier New"/>
                <w:sz w:val="15"/>
                <w:szCs w:val="15"/>
                <w:color w:val="auto"/>
              </w:rPr>
              <w:t>Fixed Assets less accumulated depreciation</w:t>
            </w:r>
          </w:p>
        </w:tc>
        <w:tc>
          <w:tcPr>
            <w:tcW w:w="22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4,827,879</w:t>
            </w:r>
          </w:p>
        </w:tc>
        <w:tc>
          <w:tcPr>
            <w:tcW w:w="2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4,394,514</w:t>
            </w:r>
          </w:p>
        </w:tc>
        <w:tc>
          <w:tcPr>
            <w:tcW w:w="0" w:type="dxa"/>
            <w:vAlign w:val="bottom"/>
          </w:tcPr>
          <w:p>
            <w:pPr>
              <w:spacing w:after="0"/>
              <w:rPr>
                <w:sz w:val="1"/>
                <w:szCs w:val="1"/>
                <w:color w:val="auto"/>
              </w:rPr>
            </w:pPr>
          </w:p>
        </w:tc>
      </w:tr>
      <w:tr>
        <w:trPr>
          <w:trHeight w:val="168"/>
        </w:trPr>
        <w:tc>
          <w:tcPr>
            <w:tcW w:w="5040" w:type="dxa"/>
            <w:vAlign w:val="bottom"/>
          </w:tcPr>
          <w:p>
            <w:pPr>
              <w:spacing w:after="0" w:line="168" w:lineRule="exact"/>
              <w:rPr>
                <w:sz w:val="20"/>
                <w:szCs w:val="20"/>
                <w:color w:val="auto"/>
              </w:rPr>
            </w:pPr>
            <w:r>
              <w:rPr>
                <w:rFonts w:ascii="Courier New" w:cs="Courier New" w:eastAsia="Courier New" w:hAnsi="Courier New"/>
                <w:sz w:val="15"/>
                <w:szCs w:val="15"/>
                <w:color w:val="auto"/>
              </w:rPr>
              <w:t>Multiclient Seismic Data</w:t>
            </w:r>
          </w:p>
        </w:tc>
        <w:tc>
          <w:tcPr>
            <w:tcW w:w="22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1,028,954</w:t>
            </w:r>
          </w:p>
        </w:tc>
        <w:tc>
          <w:tcPr>
            <w:tcW w:w="2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975,775</w:t>
            </w:r>
          </w:p>
        </w:tc>
        <w:tc>
          <w:tcPr>
            <w:tcW w:w="0" w:type="dxa"/>
            <w:vAlign w:val="bottom"/>
          </w:tcPr>
          <w:p>
            <w:pPr>
              <w:spacing w:after="0"/>
              <w:rPr>
                <w:sz w:val="1"/>
                <w:szCs w:val="1"/>
                <w:color w:val="auto"/>
              </w:rPr>
            </w:pPr>
          </w:p>
        </w:tc>
      </w:tr>
      <w:tr>
        <w:trPr>
          <w:trHeight w:val="168"/>
        </w:trPr>
        <w:tc>
          <w:tcPr>
            <w:tcW w:w="5040" w:type="dxa"/>
            <w:vAlign w:val="bottom"/>
          </w:tcPr>
          <w:p>
            <w:pPr>
              <w:spacing w:after="0" w:line="168" w:lineRule="exact"/>
              <w:rPr>
                <w:sz w:val="20"/>
                <w:szCs w:val="20"/>
                <w:color w:val="auto"/>
              </w:rPr>
            </w:pPr>
            <w:r>
              <w:rPr>
                <w:rFonts w:ascii="Courier New" w:cs="Courier New" w:eastAsia="Courier New" w:hAnsi="Courier New"/>
                <w:sz w:val="15"/>
                <w:szCs w:val="15"/>
                <w:color w:val="auto"/>
              </w:rPr>
              <w:t>Goodwill</w:t>
            </w:r>
          </w:p>
        </w:tc>
        <w:tc>
          <w:tcPr>
            <w:tcW w:w="22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6,260,969</w:t>
            </w:r>
          </w:p>
        </w:tc>
        <w:tc>
          <w:tcPr>
            <w:tcW w:w="2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1,575,710</w:t>
            </w:r>
          </w:p>
        </w:tc>
        <w:tc>
          <w:tcPr>
            <w:tcW w:w="0" w:type="dxa"/>
            <w:vAlign w:val="bottom"/>
          </w:tcPr>
          <w:p>
            <w:pPr>
              <w:spacing w:after="0"/>
              <w:rPr>
                <w:sz w:val="1"/>
                <w:szCs w:val="1"/>
                <w:color w:val="auto"/>
              </w:rPr>
            </w:pPr>
          </w:p>
        </w:tc>
      </w:tr>
      <w:tr>
        <w:trPr>
          <w:trHeight w:val="168"/>
        </w:trPr>
        <w:tc>
          <w:tcPr>
            <w:tcW w:w="5040" w:type="dxa"/>
            <w:vAlign w:val="bottom"/>
          </w:tcPr>
          <w:p>
            <w:pPr>
              <w:spacing w:after="0" w:line="168" w:lineRule="exact"/>
              <w:rPr>
                <w:sz w:val="20"/>
                <w:szCs w:val="20"/>
                <w:color w:val="auto"/>
              </w:rPr>
            </w:pPr>
            <w:r>
              <w:rPr>
                <w:rFonts w:ascii="Courier New" w:cs="Courier New" w:eastAsia="Courier New" w:hAnsi="Courier New"/>
                <w:sz w:val="15"/>
                <w:szCs w:val="15"/>
                <w:color w:val="auto"/>
              </w:rPr>
              <w:t>Intangible Assets</w:t>
            </w:r>
          </w:p>
        </w:tc>
        <w:tc>
          <w:tcPr>
            <w:tcW w:w="22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811,349</w:t>
            </w:r>
          </w:p>
        </w:tc>
        <w:tc>
          <w:tcPr>
            <w:tcW w:w="2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140,717</w:t>
            </w:r>
          </w:p>
        </w:tc>
        <w:tc>
          <w:tcPr>
            <w:tcW w:w="0" w:type="dxa"/>
            <w:vAlign w:val="bottom"/>
          </w:tcPr>
          <w:p>
            <w:pPr>
              <w:spacing w:after="0"/>
              <w:rPr>
                <w:sz w:val="1"/>
                <w:szCs w:val="1"/>
                <w:color w:val="auto"/>
              </w:rPr>
            </w:pPr>
          </w:p>
        </w:tc>
      </w:tr>
      <w:tr>
        <w:trPr>
          <w:trHeight w:val="168"/>
        </w:trPr>
        <w:tc>
          <w:tcPr>
            <w:tcW w:w="5040" w:type="dxa"/>
            <w:vAlign w:val="bottom"/>
          </w:tcPr>
          <w:p>
            <w:pPr>
              <w:spacing w:after="0" w:line="168" w:lineRule="exact"/>
              <w:rPr>
                <w:sz w:val="20"/>
                <w:szCs w:val="20"/>
                <w:color w:val="auto"/>
              </w:rPr>
            </w:pPr>
            <w:r>
              <w:rPr>
                <w:rFonts w:ascii="Courier New" w:cs="Courier New" w:eastAsia="Courier New" w:hAnsi="Courier New"/>
                <w:sz w:val="15"/>
                <w:szCs w:val="15"/>
                <w:color w:val="auto"/>
              </w:rPr>
              <w:t>Deferred Taxes</w:t>
            </w:r>
          </w:p>
        </w:tc>
        <w:tc>
          <w:tcPr>
            <w:tcW w:w="22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126,057</w:t>
            </w:r>
          </w:p>
        </w:tc>
        <w:tc>
          <w:tcPr>
            <w:tcW w:w="2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271,059</w:t>
            </w:r>
          </w:p>
        </w:tc>
        <w:tc>
          <w:tcPr>
            <w:tcW w:w="0" w:type="dxa"/>
            <w:vAlign w:val="bottom"/>
          </w:tcPr>
          <w:p>
            <w:pPr>
              <w:spacing w:after="0"/>
              <w:rPr>
                <w:sz w:val="1"/>
                <w:szCs w:val="1"/>
                <w:color w:val="auto"/>
              </w:rPr>
            </w:pPr>
          </w:p>
        </w:tc>
      </w:tr>
      <w:tr>
        <w:trPr>
          <w:trHeight w:val="168"/>
        </w:trPr>
        <w:tc>
          <w:tcPr>
            <w:tcW w:w="504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Assets</w:t>
            </w:r>
          </w:p>
        </w:tc>
        <w:tc>
          <w:tcPr>
            <w:tcW w:w="22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169,463</w:t>
            </w:r>
          </w:p>
        </w:tc>
        <w:tc>
          <w:tcPr>
            <w:tcW w:w="2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120,097</w:t>
            </w:r>
          </w:p>
        </w:tc>
        <w:tc>
          <w:tcPr>
            <w:tcW w:w="0" w:type="dxa"/>
            <w:vAlign w:val="bottom"/>
          </w:tcPr>
          <w:p>
            <w:pPr>
              <w:spacing w:after="0"/>
              <w:rPr>
                <w:sz w:val="1"/>
                <w:szCs w:val="1"/>
                <w:color w:val="auto"/>
              </w:rPr>
            </w:pPr>
          </w:p>
        </w:tc>
      </w:tr>
      <w:tr>
        <w:trPr>
          <w:trHeight w:val="168"/>
        </w:trPr>
        <w:tc>
          <w:tcPr>
            <w:tcW w:w="5040" w:type="dxa"/>
            <w:vAlign w:val="bottom"/>
          </w:tcPr>
          <w:p>
            <w:pPr>
              <w:spacing w:after="0"/>
              <w:rPr>
                <w:sz w:val="14"/>
                <w:szCs w:val="14"/>
                <w:color w:val="auto"/>
              </w:rPr>
            </w:pPr>
          </w:p>
        </w:tc>
        <w:tc>
          <w:tcPr>
            <w:tcW w:w="228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w w:val="72"/>
              </w:rPr>
              <w:t>-----------------</w:t>
            </w:r>
            <w:r>
              <w:rPr>
                <w:rFonts w:ascii="Courier New" w:cs="Courier New" w:eastAsia="Courier New" w:hAnsi="Courier New"/>
                <w:sz w:val="29"/>
                <w:szCs w:val="29"/>
                <w:color w:val="auto"/>
                <w:w w:val="72"/>
                <w:vertAlign w:val="subscript"/>
              </w:rPr>
              <w:t>$22,326,367</w:t>
            </w:r>
          </w:p>
        </w:tc>
        <w:tc>
          <w:tcPr>
            <w:tcW w:w="2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5040" w:type="dxa"/>
            <w:vAlign w:val="bottom"/>
          </w:tcPr>
          <w:p>
            <w:pPr>
              <w:spacing w:after="0"/>
              <w:rPr>
                <w:sz w:val="14"/>
                <w:szCs w:val="14"/>
                <w:color w:val="auto"/>
              </w:rPr>
            </w:pPr>
          </w:p>
        </w:tc>
        <w:tc>
          <w:tcPr>
            <w:tcW w:w="2280" w:type="dxa"/>
            <w:vAlign w:val="bottom"/>
            <w:vMerge w:val="continue"/>
          </w:tcPr>
          <w:p>
            <w:pPr>
              <w:spacing w:after="0"/>
              <w:rPr>
                <w:sz w:val="14"/>
                <w:szCs w:val="14"/>
                <w:color w:val="auto"/>
              </w:rPr>
            </w:pPr>
          </w:p>
        </w:tc>
        <w:tc>
          <w:tcPr>
            <w:tcW w:w="2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$ 17,172,731</w:t>
            </w:r>
          </w:p>
        </w:tc>
        <w:tc>
          <w:tcPr>
            <w:tcW w:w="0" w:type="dxa"/>
            <w:vAlign w:val="bottom"/>
          </w:tcPr>
          <w:p>
            <w:pPr>
              <w:spacing w:after="0"/>
              <w:rPr>
                <w:sz w:val="1"/>
                <w:szCs w:val="1"/>
                <w:color w:val="auto"/>
              </w:rPr>
            </w:pPr>
          </w:p>
        </w:tc>
      </w:tr>
      <w:tr>
        <w:trPr>
          <w:trHeight w:val="245"/>
        </w:trPr>
        <w:tc>
          <w:tcPr>
            <w:tcW w:w="5040" w:type="dxa"/>
            <w:vAlign w:val="bottom"/>
          </w:tcPr>
          <w:p>
            <w:pPr>
              <w:spacing w:after="0"/>
              <w:rPr>
                <w:sz w:val="21"/>
                <w:szCs w:val="21"/>
                <w:color w:val="auto"/>
              </w:rPr>
            </w:pPr>
          </w:p>
        </w:tc>
        <w:tc>
          <w:tcPr>
            <w:tcW w:w="22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2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5040" w:type="dxa"/>
            <w:vAlign w:val="bottom"/>
          </w:tcPr>
          <w:p>
            <w:pPr>
              <w:spacing w:after="0"/>
              <w:rPr>
                <w:sz w:val="20"/>
                <w:szCs w:val="20"/>
                <w:color w:val="auto"/>
              </w:rPr>
            </w:pPr>
            <w:r>
              <w:rPr>
                <w:rFonts w:ascii="Courier New" w:cs="Courier New" w:eastAsia="Courier New" w:hAnsi="Courier New"/>
                <w:sz w:val="15"/>
                <w:szCs w:val="15"/>
                <w:color w:val="auto"/>
              </w:rPr>
              <w:t>LIABILITIES AND STOCKHOLDERS' EQUITY</w:t>
            </w:r>
          </w:p>
        </w:tc>
        <w:tc>
          <w:tcPr>
            <w:tcW w:w="2280" w:type="dxa"/>
            <w:vAlign w:val="bottom"/>
          </w:tcPr>
          <w:p>
            <w:pPr>
              <w:spacing w:after="0"/>
              <w:rPr>
                <w:sz w:val="22"/>
                <w:szCs w:val="22"/>
                <w:color w:val="auto"/>
              </w:rPr>
            </w:pPr>
          </w:p>
        </w:tc>
        <w:tc>
          <w:tcPr>
            <w:tcW w:w="2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50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228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504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2280" w:type="dxa"/>
            <w:vAlign w:val="bottom"/>
            <w:vMerge w:val="restart"/>
          </w:tcPr>
          <w:p>
            <w:pPr>
              <w:jc w:val="right"/>
              <w:ind w:right="247"/>
              <w:spacing w:after="0"/>
              <w:rPr>
                <w:sz w:val="20"/>
                <w:szCs w:val="20"/>
                <w:color w:val="auto"/>
              </w:rPr>
            </w:pPr>
            <w:r>
              <w:rPr>
                <w:rFonts w:ascii="Courier New" w:cs="Courier New" w:eastAsia="Courier New" w:hAnsi="Courier New"/>
                <w:sz w:val="15"/>
                <w:szCs w:val="15"/>
                <w:color w:val="auto"/>
              </w:rPr>
              <w:t>$ 4,506,634</w:t>
            </w:r>
          </w:p>
        </w:tc>
        <w:tc>
          <w:tcPr>
            <w:tcW w:w="2040" w:type="dxa"/>
            <w:vAlign w:val="bottom"/>
            <w:vMerge w:val="restart"/>
          </w:tcPr>
          <w:p>
            <w:pPr>
              <w:jc w:val="right"/>
              <w:ind w:right="87"/>
              <w:spacing w:after="0"/>
              <w:rPr>
                <w:sz w:val="20"/>
                <w:szCs w:val="20"/>
                <w:color w:val="auto"/>
              </w:rPr>
            </w:pPr>
            <w:r>
              <w:rPr>
                <w:rFonts w:ascii="Courier New" w:cs="Courier New" w:eastAsia="Courier New" w:hAnsi="Courier New"/>
                <w:sz w:val="15"/>
                <w:szCs w:val="15"/>
                <w:color w:val="auto"/>
              </w:rPr>
              <w:t>$ 2,910,725</w:t>
            </w:r>
          </w:p>
        </w:tc>
        <w:tc>
          <w:tcPr>
            <w:tcW w:w="0" w:type="dxa"/>
            <w:vAlign w:val="bottom"/>
          </w:tcPr>
          <w:p>
            <w:pPr>
              <w:spacing w:after="0"/>
              <w:rPr>
                <w:sz w:val="1"/>
                <w:szCs w:val="1"/>
                <w:color w:val="auto"/>
              </w:rPr>
            </w:pPr>
          </w:p>
        </w:tc>
      </w:tr>
      <w:tr>
        <w:trPr>
          <w:trHeight w:val="168"/>
        </w:trPr>
        <w:tc>
          <w:tcPr>
            <w:tcW w:w="50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Accounts payable and accrued liabilities</w:t>
            </w:r>
          </w:p>
        </w:tc>
        <w:tc>
          <w:tcPr>
            <w:tcW w:w="2280" w:type="dxa"/>
            <w:vAlign w:val="bottom"/>
            <w:vMerge w:val="continue"/>
          </w:tcPr>
          <w:p>
            <w:pPr>
              <w:spacing w:after="0"/>
              <w:rPr>
                <w:sz w:val="14"/>
                <w:szCs w:val="14"/>
                <w:color w:val="auto"/>
              </w:rPr>
            </w:pPr>
          </w:p>
        </w:tc>
        <w:tc>
          <w:tcPr>
            <w:tcW w:w="2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0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Estimated liability for taxes on income</w:t>
            </w:r>
          </w:p>
        </w:tc>
        <w:tc>
          <w:tcPr>
            <w:tcW w:w="22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587,328</w:t>
            </w:r>
          </w:p>
        </w:tc>
        <w:tc>
          <w:tcPr>
            <w:tcW w:w="2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379,916</w:t>
            </w:r>
          </w:p>
        </w:tc>
        <w:tc>
          <w:tcPr>
            <w:tcW w:w="0" w:type="dxa"/>
            <w:vAlign w:val="bottom"/>
          </w:tcPr>
          <w:p>
            <w:pPr>
              <w:spacing w:after="0"/>
              <w:rPr>
                <w:sz w:val="1"/>
                <w:szCs w:val="1"/>
                <w:color w:val="auto"/>
              </w:rPr>
            </w:pPr>
          </w:p>
        </w:tc>
      </w:tr>
      <w:tr>
        <w:trPr>
          <w:trHeight w:val="168"/>
        </w:trPr>
        <w:tc>
          <w:tcPr>
            <w:tcW w:w="50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Dividend payable</w:t>
            </w:r>
          </w:p>
        </w:tc>
        <w:tc>
          <w:tcPr>
            <w:tcW w:w="22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108,642</w:t>
            </w:r>
          </w:p>
        </w:tc>
        <w:tc>
          <w:tcPr>
            <w:tcW w:w="2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108,043</w:t>
            </w:r>
          </w:p>
        </w:tc>
        <w:tc>
          <w:tcPr>
            <w:tcW w:w="0" w:type="dxa"/>
            <w:vAlign w:val="bottom"/>
          </w:tcPr>
          <w:p>
            <w:pPr>
              <w:spacing w:after="0"/>
              <w:rPr>
                <w:sz w:val="1"/>
                <w:szCs w:val="1"/>
                <w:color w:val="auto"/>
              </w:rPr>
            </w:pPr>
          </w:p>
        </w:tc>
      </w:tr>
      <w:tr>
        <w:trPr>
          <w:trHeight w:val="168"/>
        </w:trPr>
        <w:tc>
          <w:tcPr>
            <w:tcW w:w="50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Long-term debt - current portion</w:t>
            </w:r>
          </w:p>
        </w:tc>
        <w:tc>
          <w:tcPr>
            <w:tcW w:w="22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31,990</w:t>
            </w:r>
          </w:p>
        </w:tc>
        <w:tc>
          <w:tcPr>
            <w:tcW w:w="2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36,201</w:t>
            </w:r>
          </w:p>
        </w:tc>
        <w:tc>
          <w:tcPr>
            <w:tcW w:w="0" w:type="dxa"/>
            <w:vAlign w:val="bottom"/>
          </w:tcPr>
          <w:p>
            <w:pPr>
              <w:spacing w:after="0"/>
              <w:rPr>
                <w:sz w:val="1"/>
                <w:szCs w:val="1"/>
                <w:color w:val="auto"/>
              </w:rPr>
            </w:pPr>
          </w:p>
        </w:tc>
      </w:tr>
      <w:tr>
        <w:trPr>
          <w:trHeight w:val="168"/>
        </w:trPr>
        <w:tc>
          <w:tcPr>
            <w:tcW w:w="50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Bank &amp; short-term loans</w:t>
            </w:r>
          </w:p>
        </w:tc>
        <w:tc>
          <w:tcPr>
            <w:tcW w:w="22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983,191</w:t>
            </w:r>
          </w:p>
        </w:tc>
        <w:tc>
          <w:tcPr>
            <w:tcW w:w="2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556,020</w:t>
            </w:r>
          </w:p>
        </w:tc>
        <w:tc>
          <w:tcPr>
            <w:tcW w:w="0" w:type="dxa"/>
            <w:vAlign w:val="bottom"/>
          </w:tcPr>
          <w:p>
            <w:pPr>
              <w:spacing w:after="0"/>
              <w:rPr>
                <w:sz w:val="1"/>
                <w:szCs w:val="1"/>
                <w:color w:val="auto"/>
              </w:rPr>
            </w:pPr>
          </w:p>
        </w:tc>
      </w:tr>
      <w:tr>
        <w:trPr>
          <w:trHeight w:val="168"/>
        </w:trPr>
        <w:tc>
          <w:tcPr>
            <w:tcW w:w="5040" w:type="dxa"/>
            <w:vAlign w:val="bottom"/>
          </w:tcPr>
          <w:p>
            <w:pPr>
              <w:spacing w:after="0"/>
              <w:rPr>
                <w:sz w:val="14"/>
                <w:szCs w:val="14"/>
                <w:color w:val="auto"/>
              </w:rPr>
            </w:pPr>
          </w:p>
        </w:tc>
        <w:tc>
          <w:tcPr>
            <w:tcW w:w="228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w w:val="79"/>
              </w:rPr>
              <w:t>-----------------</w:t>
            </w:r>
            <w:r>
              <w:rPr>
                <w:rFonts w:ascii="Courier New" w:cs="Courier New" w:eastAsia="Courier New" w:hAnsi="Courier New"/>
                <w:sz w:val="29"/>
                <w:szCs w:val="29"/>
                <w:color w:val="auto"/>
                <w:w w:val="79"/>
                <w:vertAlign w:val="subscript"/>
              </w:rPr>
              <w:t>6,217,785</w:t>
            </w:r>
          </w:p>
        </w:tc>
        <w:tc>
          <w:tcPr>
            <w:tcW w:w="2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5040" w:type="dxa"/>
            <w:vAlign w:val="bottom"/>
          </w:tcPr>
          <w:p>
            <w:pPr>
              <w:spacing w:after="0"/>
              <w:rPr>
                <w:sz w:val="22"/>
                <w:szCs w:val="22"/>
                <w:color w:val="auto"/>
              </w:rPr>
            </w:pPr>
          </w:p>
        </w:tc>
        <w:tc>
          <w:tcPr>
            <w:tcW w:w="2280" w:type="dxa"/>
            <w:vAlign w:val="bottom"/>
            <w:vMerge w:val="continue"/>
          </w:tcPr>
          <w:p>
            <w:pPr>
              <w:spacing w:after="0"/>
              <w:rPr>
                <w:sz w:val="22"/>
                <w:szCs w:val="22"/>
                <w:color w:val="auto"/>
              </w:rPr>
            </w:pPr>
          </w:p>
        </w:tc>
        <w:tc>
          <w:tcPr>
            <w:tcW w:w="2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3,990,905</w:t>
            </w:r>
          </w:p>
        </w:tc>
        <w:tc>
          <w:tcPr>
            <w:tcW w:w="0" w:type="dxa"/>
            <w:vAlign w:val="bottom"/>
          </w:tcPr>
          <w:p>
            <w:pPr>
              <w:spacing w:after="0"/>
              <w:rPr>
                <w:sz w:val="1"/>
                <w:szCs w:val="1"/>
                <w:color w:val="auto"/>
              </w:rPr>
            </w:pPr>
          </w:p>
        </w:tc>
      </w:tr>
      <w:tr>
        <w:trPr>
          <w:trHeight w:val="245"/>
        </w:trPr>
        <w:tc>
          <w:tcPr>
            <w:tcW w:w="5040" w:type="dxa"/>
            <w:vAlign w:val="bottom"/>
          </w:tcPr>
          <w:p>
            <w:pPr>
              <w:spacing w:after="0"/>
              <w:rPr>
                <w:sz w:val="20"/>
                <w:szCs w:val="20"/>
                <w:color w:val="auto"/>
              </w:rPr>
            </w:pPr>
            <w:r>
              <w:rPr>
                <w:rFonts w:ascii="Courier New" w:cs="Courier New" w:eastAsia="Courier New" w:hAnsi="Courier New"/>
                <w:sz w:val="15"/>
                <w:szCs w:val="15"/>
                <w:color w:val="auto"/>
              </w:rPr>
              <w:t>Long-term Debt</w:t>
            </w:r>
          </w:p>
        </w:tc>
        <w:tc>
          <w:tcPr>
            <w:tcW w:w="22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6,215,709</w:t>
            </w:r>
          </w:p>
        </w:tc>
        <w:tc>
          <w:tcPr>
            <w:tcW w:w="2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3,573,047</w:t>
            </w:r>
          </w:p>
        </w:tc>
        <w:tc>
          <w:tcPr>
            <w:tcW w:w="0" w:type="dxa"/>
            <w:vAlign w:val="bottom"/>
          </w:tcPr>
          <w:p>
            <w:pPr>
              <w:spacing w:after="0"/>
              <w:rPr>
                <w:sz w:val="1"/>
                <w:szCs w:val="1"/>
                <w:color w:val="auto"/>
              </w:rPr>
            </w:pPr>
          </w:p>
        </w:tc>
      </w:tr>
      <w:tr>
        <w:trPr>
          <w:trHeight w:val="168"/>
        </w:trPr>
        <w:tc>
          <w:tcPr>
            <w:tcW w:w="5040" w:type="dxa"/>
            <w:vAlign w:val="bottom"/>
          </w:tcPr>
          <w:p>
            <w:pPr>
              <w:spacing w:after="0" w:line="168" w:lineRule="exact"/>
              <w:rPr>
                <w:sz w:val="20"/>
                <w:szCs w:val="20"/>
                <w:color w:val="auto"/>
              </w:rPr>
            </w:pPr>
            <w:r>
              <w:rPr>
                <w:rFonts w:ascii="Courier New" w:cs="Courier New" w:eastAsia="Courier New" w:hAnsi="Courier New"/>
                <w:sz w:val="15"/>
                <w:szCs w:val="15"/>
                <w:color w:val="auto"/>
              </w:rPr>
              <w:t>Postretirement Benefits</w:t>
            </w:r>
          </w:p>
        </w:tc>
        <w:tc>
          <w:tcPr>
            <w:tcW w:w="22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504,797</w:t>
            </w:r>
          </w:p>
        </w:tc>
        <w:tc>
          <w:tcPr>
            <w:tcW w:w="2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476,380</w:t>
            </w:r>
          </w:p>
        </w:tc>
        <w:tc>
          <w:tcPr>
            <w:tcW w:w="0" w:type="dxa"/>
            <w:vAlign w:val="bottom"/>
          </w:tcPr>
          <w:p>
            <w:pPr>
              <w:spacing w:after="0"/>
              <w:rPr>
                <w:sz w:val="1"/>
                <w:szCs w:val="1"/>
                <w:color w:val="auto"/>
              </w:rPr>
            </w:pPr>
          </w:p>
        </w:tc>
      </w:tr>
      <w:tr>
        <w:trPr>
          <w:trHeight w:val="168"/>
        </w:trPr>
        <w:tc>
          <w:tcPr>
            <w:tcW w:w="504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Liabilities</w:t>
            </w:r>
          </w:p>
        </w:tc>
        <w:tc>
          <w:tcPr>
            <w:tcW w:w="22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372,696</w:t>
            </w:r>
          </w:p>
        </w:tc>
        <w:tc>
          <w:tcPr>
            <w:tcW w:w="2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231,870</w:t>
            </w:r>
          </w:p>
        </w:tc>
        <w:tc>
          <w:tcPr>
            <w:tcW w:w="0" w:type="dxa"/>
            <w:vAlign w:val="bottom"/>
          </w:tcPr>
          <w:p>
            <w:pPr>
              <w:spacing w:after="0"/>
              <w:rPr>
                <w:sz w:val="1"/>
                <w:szCs w:val="1"/>
                <w:color w:val="auto"/>
              </w:rPr>
            </w:pPr>
          </w:p>
        </w:tc>
      </w:tr>
      <w:tr>
        <w:trPr>
          <w:trHeight w:val="168"/>
        </w:trPr>
        <w:tc>
          <w:tcPr>
            <w:tcW w:w="5040" w:type="dxa"/>
            <w:vAlign w:val="bottom"/>
          </w:tcPr>
          <w:p>
            <w:pPr>
              <w:spacing w:after="0"/>
              <w:rPr>
                <w:sz w:val="14"/>
                <w:szCs w:val="14"/>
                <w:color w:val="auto"/>
              </w:rPr>
            </w:pPr>
          </w:p>
        </w:tc>
        <w:tc>
          <w:tcPr>
            <w:tcW w:w="228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w w:val="75"/>
              </w:rPr>
              <w:t>-----------------</w:t>
            </w:r>
            <w:r>
              <w:rPr>
                <w:rFonts w:ascii="Courier New" w:cs="Courier New" w:eastAsia="Courier New" w:hAnsi="Courier New"/>
                <w:sz w:val="29"/>
                <w:szCs w:val="29"/>
                <w:color w:val="auto"/>
                <w:w w:val="75"/>
                <w:vertAlign w:val="subscript"/>
              </w:rPr>
              <w:t>13,310,987</w:t>
            </w:r>
          </w:p>
        </w:tc>
        <w:tc>
          <w:tcPr>
            <w:tcW w:w="2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5040" w:type="dxa"/>
            <w:vAlign w:val="bottom"/>
          </w:tcPr>
          <w:p>
            <w:pPr>
              <w:spacing w:after="0"/>
              <w:rPr>
                <w:sz w:val="14"/>
                <w:szCs w:val="14"/>
                <w:color w:val="auto"/>
              </w:rPr>
            </w:pPr>
          </w:p>
        </w:tc>
        <w:tc>
          <w:tcPr>
            <w:tcW w:w="2280" w:type="dxa"/>
            <w:vAlign w:val="bottom"/>
            <w:vMerge w:val="continue"/>
          </w:tcPr>
          <w:p>
            <w:pPr>
              <w:spacing w:after="0"/>
              <w:rPr>
                <w:sz w:val="14"/>
                <w:szCs w:val="14"/>
                <w:color w:val="auto"/>
              </w:rPr>
            </w:pPr>
          </w:p>
        </w:tc>
        <w:tc>
          <w:tcPr>
            <w:tcW w:w="2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8,272,202</w:t>
            </w:r>
          </w:p>
        </w:tc>
        <w:tc>
          <w:tcPr>
            <w:tcW w:w="0" w:type="dxa"/>
            <w:vAlign w:val="bottom"/>
          </w:tcPr>
          <w:p>
            <w:pPr>
              <w:spacing w:after="0"/>
              <w:rPr>
                <w:sz w:val="1"/>
                <w:szCs w:val="1"/>
                <w:color w:val="auto"/>
              </w:rPr>
            </w:pPr>
          </w:p>
        </w:tc>
      </w:tr>
      <w:tr>
        <w:trPr>
          <w:trHeight w:val="245"/>
        </w:trPr>
        <w:tc>
          <w:tcPr>
            <w:tcW w:w="5040" w:type="dxa"/>
            <w:vAlign w:val="bottom"/>
          </w:tcPr>
          <w:p>
            <w:pPr>
              <w:spacing w:after="0"/>
              <w:rPr>
                <w:sz w:val="21"/>
                <w:szCs w:val="21"/>
                <w:color w:val="auto"/>
              </w:rPr>
            </w:pPr>
          </w:p>
        </w:tc>
        <w:tc>
          <w:tcPr>
            <w:tcW w:w="22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2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5040" w:type="dxa"/>
            <w:vAlign w:val="bottom"/>
          </w:tcPr>
          <w:p>
            <w:pPr>
              <w:spacing w:after="0"/>
              <w:rPr>
                <w:sz w:val="20"/>
                <w:szCs w:val="20"/>
                <w:color w:val="auto"/>
              </w:rPr>
            </w:pPr>
            <w:r>
              <w:rPr>
                <w:rFonts w:ascii="Courier New" w:cs="Courier New" w:eastAsia="Courier New" w:hAnsi="Courier New"/>
                <w:sz w:val="15"/>
                <w:szCs w:val="15"/>
                <w:color w:val="auto"/>
              </w:rPr>
              <w:t>Minority Interest</w:t>
            </w:r>
          </w:p>
        </w:tc>
        <w:tc>
          <w:tcPr>
            <w:tcW w:w="22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636,899</w:t>
            </w:r>
          </w:p>
        </w:tc>
        <w:tc>
          <w:tcPr>
            <w:tcW w:w="2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605,313</w:t>
            </w:r>
          </w:p>
        </w:tc>
        <w:tc>
          <w:tcPr>
            <w:tcW w:w="0" w:type="dxa"/>
            <w:vAlign w:val="bottom"/>
          </w:tcPr>
          <w:p>
            <w:pPr>
              <w:spacing w:after="0"/>
              <w:rPr>
                <w:sz w:val="1"/>
                <w:szCs w:val="1"/>
                <w:color w:val="auto"/>
              </w:rPr>
            </w:pPr>
          </w:p>
        </w:tc>
      </w:tr>
      <w:tr>
        <w:trPr>
          <w:trHeight w:val="245"/>
        </w:trPr>
        <w:tc>
          <w:tcPr>
            <w:tcW w:w="5040" w:type="dxa"/>
            <w:vAlign w:val="bottom"/>
          </w:tcPr>
          <w:p>
            <w:pPr>
              <w:spacing w:after="0"/>
              <w:rPr>
                <w:sz w:val="21"/>
                <w:szCs w:val="21"/>
                <w:color w:val="auto"/>
              </w:rPr>
            </w:pPr>
          </w:p>
        </w:tc>
        <w:tc>
          <w:tcPr>
            <w:tcW w:w="22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2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504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2280" w:type="dxa"/>
            <w:vAlign w:val="bottom"/>
            <w:vMerge w:val="restart"/>
          </w:tcPr>
          <w:p>
            <w:pPr>
              <w:jc w:val="right"/>
              <w:ind w:right="247"/>
              <w:spacing w:after="0"/>
              <w:rPr>
                <w:sz w:val="20"/>
                <w:szCs w:val="20"/>
                <w:color w:val="auto"/>
              </w:rPr>
            </w:pPr>
            <w:r>
              <w:rPr>
                <w:rFonts w:ascii="Courier New" w:cs="Courier New" w:eastAsia="Courier New" w:hAnsi="Courier New"/>
                <w:sz w:val="15"/>
                <w:szCs w:val="15"/>
                <w:color w:val="auto"/>
              </w:rPr>
              <w:t>2,045,437</w:t>
            </w:r>
          </w:p>
        </w:tc>
        <w:tc>
          <w:tcPr>
            <w:tcW w:w="2040" w:type="dxa"/>
            <w:vAlign w:val="bottom"/>
            <w:vMerge w:val="restart"/>
          </w:tcPr>
          <w:p>
            <w:pPr>
              <w:jc w:val="right"/>
              <w:ind w:right="87"/>
              <w:spacing w:after="0"/>
              <w:rPr>
                <w:sz w:val="20"/>
                <w:szCs w:val="20"/>
                <w:color w:val="auto"/>
              </w:rPr>
            </w:pPr>
            <w:r>
              <w:rPr>
                <w:rFonts w:ascii="Courier New" w:cs="Courier New" w:eastAsia="Courier New" w:hAnsi="Courier New"/>
                <w:sz w:val="15"/>
                <w:szCs w:val="15"/>
                <w:color w:val="auto"/>
              </w:rPr>
              <w:t>1,963,905</w:t>
            </w:r>
          </w:p>
        </w:tc>
        <w:tc>
          <w:tcPr>
            <w:tcW w:w="0" w:type="dxa"/>
            <w:vAlign w:val="bottom"/>
          </w:tcPr>
          <w:p>
            <w:pPr>
              <w:spacing w:after="0"/>
              <w:rPr>
                <w:sz w:val="1"/>
                <w:szCs w:val="1"/>
                <w:color w:val="auto"/>
              </w:rPr>
            </w:pPr>
          </w:p>
        </w:tc>
      </w:tr>
      <w:tr>
        <w:trPr>
          <w:trHeight w:val="168"/>
        </w:trPr>
        <w:tc>
          <w:tcPr>
            <w:tcW w:w="50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Common Stock</w:t>
            </w:r>
          </w:p>
        </w:tc>
        <w:tc>
          <w:tcPr>
            <w:tcW w:w="2280" w:type="dxa"/>
            <w:vAlign w:val="bottom"/>
            <w:vMerge w:val="continue"/>
          </w:tcPr>
          <w:p>
            <w:pPr>
              <w:spacing w:after="0"/>
              <w:rPr>
                <w:sz w:val="14"/>
                <w:szCs w:val="14"/>
                <w:color w:val="auto"/>
              </w:rPr>
            </w:pPr>
          </w:p>
        </w:tc>
        <w:tc>
          <w:tcPr>
            <w:tcW w:w="2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0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Income retained for use in the business</w:t>
            </w:r>
          </w:p>
        </w:tc>
        <w:tc>
          <w:tcPr>
            <w:tcW w:w="22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8,314,766</w:t>
            </w:r>
          </w:p>
        </w:tc>
        <w:tc>
          <w:tcPr>
            <w:tcW w:w="2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8,223,476</w:t>
            </w:r>
          </w:p>
        </w:tc>
        <w:tc>
          <w:tcPr>
            <w:tcW w:w="0" w:type="dxa"/>
            <w:vAlign w:val="bottom"/>
          </w:tcPr>
          <w:p>
            <w:pPr>
              <w:spacing w:after="0"/>
              <w:rPr>
                <w:sz w:val="1"/>
                <w:szCs w:val="1"/>
                <w:color w:val="auto"/>
              </w:rPr>
            </w:pPr>
          </w:p>
        </w:tc>
      </w:tr>
      <w:tr>
        <w:trPr>
          <w:trHeight w:val="168"/>
        </w:trPr>
        <w:tc>
          <w:tcPr>
            <w:tcW w:w="50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Treasury stock at cost</w:t>
            </w:r>
          </w:p>
        </w:tc>
        <w:tc>
          <w:tcPr>
            <w:tcW w:w="2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(1,694,884)</w:t>
            </w:r>
          </w:p>
        </w:tc>
        <w:tc>
          <w:tcPr>
            <w:tcW w:w="2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(1,752,961)</w:t>
            </w:r>
          </w:p>
        </w:tc>
        <w:tc>
          <w:tcPr>
            <w:tcW w:w="0" w:type="dxa"/>
            <w:vAlign w:val="bottom"/>
          </w:tcPr>
          <w:p>
            <w:pPr>
              <w:spacing w:after="0"/>
              <w:rPr>
                <w:sz w:val="1"/>
                <w:szCs w:val="1"/>
                <w:color w:val="auto"/>
              </w:rPr>
            </w:pPr>
          </w:p>
        </w:tc>
      </w:tr>
      <w:tr>
        <w:trPr>
          <w:trHeight w:val="245"/>
        </w:trPr>
        <w:tc>
          <w:tcPr>
            <w:tcW w:w="5040" w:type="dxa"/>
            <w:vAlign w:val="bottom"/>
          </w:tcPr>
          <w:p>
            <w:pPr>
              <w:ind w:left="280"/>
              <w:spacing w:after="0"/>
              <w:rPr>
                <w:sz w:val="20"/>
                <w:szCs w:val="20"/>
                <w:color w:val="auto"/>
              </w:rPr>
            </w:pPr>
            <w:r>
              <w:rPr>
                <w:rFonts w:ascii="Courier New" w:cs="Courier New" w:eastAsia="Courier New" w:hAnsi="Courier New"/>
                <w:sz w:val="15"/>
                <w:szCs w:val="15"/>
                <w:color w:val="auto"/>
              </w:rPr>
              <w:t>Accumulated other comprehensive income</w:t>
            </w:r>
          </w:p>
        </w:tc>
        <w:tc>
          <w:tcPr>
            <w:tcW w:w="22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(286,838)</w:t>
            </w:r>
          </w:p>
        </w:tc>
        <w:tc>
          <w:tcPr>
            <w:tcW w:w="2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(139,204)</w:t>
            </w:r>
          </w:p>
        </w:tc>
        <w:tc>
          <w:tcPr>
            <w:tcW w:w="0" w:type="dxa"/>
            <w:vAlign w:val="bottom"/>
          </w:tcPr>
          <w:p>
            <w:pPr>
              <w:spacing w:after="0"/>
              <w:rPr>
                <w:sz w:val="1"/>
                <w:szCs w:val="1"/>
                <w:color w:val="auto"/>
              </w:rPr>
            </w:pPr>
          </w:p>
        </w:tc>
      </w:tr>
      <w:tr>
        <w:trPr>
          <w:trHeight w:val="259"/>
        </w:trPr>
        <w:tc>
          <w:tcPr>
            <w:tcW w:w="5040" w:type="dxa"/>
            <w:vAlign w:val="bottom"/>
          </w:tcPr>
          <w:p>
            <w:pPr>
              <w:spacing w:after="0"/>
              <w:rPr>
                <w:sz w:val="22"/>
                <w:szCs w:val="22"/>
                <w:color w:val="auto"/>
              </w:rPr>
            </w:pPr>
          </w:p>
        </w:tc>
        <w:tc>
          <w:tcPr>
            <w:tcW w:w="228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w w:val="79"/>
              </w:rPr>
              <w:t>-----------------</w:t>
            </w:r>
            <w:r>
              <w:rPr>
                <w:rFonts w:ascii="Courier New" w:cs="Courier New" w:eastAsia="Courier New" w:hAnsi="Courier New"/>
                <w:sz w:val="29"/>
                <w:szCs w:val="29"/>
                <w:color w:val="auto"/>
                <w:w w:val="79"/>
                <w:vertAlign w:val="subscript"/>
              </w:rPr>
              <w:t>8,378,481</w:t>
            </w:r>
          </w:p>
        </w:tc>
        <w:tc>
          <w:tcPr>
            <w:tcW w:w="2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5040" w:type="dxa"/>
            <w:vAlign w:val="bottom"/>
          </w:tcPr>
          <w:p>
            <w:pPr>
              <w:spacing w:after="0"/>
              <w:rPr>
                <w:sz w:val="14"/>
                <w:szCs w:val="14"/>
                <w:color w:val="auto"/>
              </w:rPr>
            </w:pPr>
          </w:p>
        </w:tc>
        <w:tc>
          <w:tcPr>
            <w:tcW w:w="2280" w:type="dxa"/>
            <w:vAlign w:val="bottom"/>
            <w:vMerge w:val="continue"/>
          </w:tcPr>
          <w:p>
            <w:pPr>
              <w:spacing w:after="0"/>
              <w:rPr>
                <w:sz w:val="14"/>
                <w:szCs w:val="14"/>
                <w:color w:val="auto"/>
              </w:rPr>
            </w:pPr>
          </w:p>
        </w:tc>
        <w:tc>
          <w:tcPr>
            <w:tcW w:w="2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8,295,216</w:t>
            </w:r>
          </w:p>
        </w:tc>
        <w:tc>
          <w:tcPr>
            <w:tcW w:w="0" w:type="dxa"/>
            <w:vAlign w:val="bottom"/>
          </w:tcPr>
          <w:p>
            <w:pPr>
              <w:spacing w:after="0"/>
              <w:rPr>
                <w:sz w:val="1"/>
                <w:szCs w:val="1"/>
                <w:color w:val="auto"/>
              </w:rPr>
            </w:pPr>
          </w:p>
        </w:tc>
      </w:tr>
      <w:tr>
        <w:trPr>
          <w:trHeight w:val="245"/>
        </w:trPr>
        <w:tc>
          <w:tcPr>
            <w:tcW w:w="5040" w:type="dxa"/>
            <w:vAlign w:val="bottom"/>
          </w:tcPr>
          <w:p>
            <w:pPr>
              <w:spacing w:after="0"/>
              <w:rPr>
                <w:sz w:val="21"/>
                <w:szCs w:val="21"/>
                <w:color w:val="auto"/>
              </w:rPr>
            </w:pPr>
          </w:p>
        </w:tc>
        <w:tc>
          <w:tcPr>
            <w:tcW w:w="22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2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5040" w:type="dxa"/>
            <w:vAlign w:val="bottom"/>
          </w:tcPr>
          <w:p>
            <w:pPr>
              <w:spacing w:after="0"/>
              <w:rPr>
                <w:sz w:val="22"/>
                <w:szCs w:val="22"/>
                <w:color w:val="auto"/>
              </w:rPr>
            </w:pPr>
          </w:p>
        </w:tc>
        <w:tc>
          <w:tcPr>
            <w:tcW w:w="228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w w:val="72"/>
              </w:rPr>
              <w:t>-----------------</w:t>
            </w:r>
            <w:r>
              <w:rPr>
                <w:rFonts w:ascii="Courier New" w:cs="Courier New" w:eastAsia="Courier New" w:hAnsi="Courier New"/>
                <w:sz w:val="29"/>
                <w:szCs w:val="29"/>
                <w:color w:val="auto"/>
                <w:w w:val="72"/>
                <w:vertAlign w:val="subscript"/>
              </w:rPr>
              <w:t>$22,326,367</w:t>
            </w:r>
          </w:p>
        </w:tc>
        <w:tc>
          <w:tcPr>
            <w:tcW w:w="2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5040" w:type="dxa"/>
            <w:vAlign w:val="bottom"/>
          </w:tcPr>
          <w:p>
            <w:pPr>
              <w:spacing w:after="0"/>
              <w:rPr>
                <w:sz w:val="14"/>
                <w:szCs w:val="14"/>
                <w:color w:val="auto"/>
              </w:rPr>
            </w:pPr>
          </w:p>
        </w:tc>
        <w:tc>
          <w:tcPr>
            <w:tcW w:w="2280" w:type="dxa"/>
            <w:vAlign w:val="bottom"/>
            <w:vMerge w:val="continue"/>
          </w:tcPr>
          <w:p>
            <w:pPr>
              <w:spacing w:after="0"/>
              <w:rPr>
                <w:sz w:val="14"/>
                <w:szCs w:val="14"/>
                <w:color w:val="auto"/>
              </w:rPr>
            </w:pPr>
          </w:p>
        </w:tc>
        <w:tc>
          <w:tcPr>
            <w:tcW w:w="2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$ 17,172,731</w:t>
            </w:r>
          </w:p>
        </w:tc>
        <w:tc>
          <w:tcPr>
            <w:tcW w:w="0" w:type="dxa"/>
            <w:vAlign w:val="bottom"/>
          </w:tcPr>
          <w:p>
            <w:pPr>
              <w:spacing w:after="0"/>
              <w:rPr>
                <w:sz w:val="1"/>
                <w:szCs w:val="1"/>
                <w:color w:val="auto"/>
              </w:rPr>
            </w:pPr>
          </w:p>
        </w:tc>
      </w:tr>
      <w:tr>
        <w:trPr>
          <w:trHeight w:val="245"/>
        </w:trPr>
        <w:tc>
          <w:tcPr>
            <w:tcW w:w="5040" w:type="dxa"/>
            <w:vAlign w:val="bottom"/>
          </w:tcPr>
          <w:p>
            <w:pPr>
              <w:spacing w:after="0"/>
              <w:rPr>
                <w:sz w:val="21"/>
                <w:szCs w:val="21"/>
                <w:color w:val="auto"/>
              </w:rPr>
            </w:pPr>
          </w:p>
        </w:tc>
        <w:tc>
          <w:tcPr>
            <w:tcW w:w="22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2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59"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See the Notes to Consolidated Financial Statements</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F-4</w:t>
      </w:r>
    </w:p>
    <w:p>
      <w:pPr>
        <w:sectPr>
          <w:pgSz w:w="11900" w:h="16838" w:orient="portrait"/>
          <w:cols w:equalWidth="0" w:num="1">
            <w:col w:w="10239"/>
          </w:cols>
          <w:pgMar w:left="220" w:top="429" w:right="1440" w:bottom="1440" w:gutter="0" w:footer="0" w:header="0"/>
        </w:sectPr>
      </w:pPr>
    </w:p>
    <w:bookmarkStart w:id="18" w:name="page19"/>
    <w:bookmarkEnd w:id="18"/>
    <w:p>
      <w:pPr>
        <w:jc w:val="center"/>
        <w:ind w:right="3920"/>
        <w:spacing w:after="0"/>
        <w:rPr>
          <w:sz w:val="20"/>
          <w:szCs w:val="20"/>
          <w:color w:val="auto"/>
        </w:rPr>
      </w:pPr>
      <w:r>
        <w:rPr>
          <w:rFonts w:ascii="Courier New" w:cs="Courier New" w:eastAsia="Courier New" w:hAnsi="Courier New"/>
          <w:sz w:val="15"/>
          <w:szCs w:val="15"/>
          <w:color w:val="auto"/>
        </w:rPr>
        <w:t>SCHLUMBERGER LIMITED (SCHLUMBERGER N.V., INCORPORATED IN THE</w:t>
      </w:r>
    </w:p>
    <w:p>
      <w:pPr>
        <w:spacing w:after="0" w:line="24" w:lineRule="exact"/>
        <w:rPr>
          <w:sz w:val="20"/>
          <w:szCs w:val="20"/>
          <w:color w:val="auto"/>
        </w:rPr>
      </w:pPr>
    </w:p>
    <w:p>
      <w:pPr>
        <w:jc w:val="center"/>
        <w:ind w:right="3920"/>
        <w:spacing w:after="0"/>
        <w:rPr>
          <w:sz w:val="20"/>
          <w:szCs w:val="20"/>
          <w:color w:val="auto"/>
        </w:rPr>
      </w:pPr>
      <w:r>
        <w:rPr>
          <w:rFonts w:ascii="Courier New" w:cs="Courier New" w:eastAsia="Courier New" w:hAnsi="Courier New"/>
          <w:sz w:val="15"/>
          <w:szCs w:val="15"/>
          <w:color w:val="auto"/>
        </w:rPr>
        <w:t>NETHERLANDS ANTILLES) AND SUBSIDIARY COMPANIES</w:t>
      </w:r>
    </w:p>
    <w:p>
      <w:pPr>
        <w:spacing w:after="0" w:line="140"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CONSOLIDATED STATEMENT OF CASH FLOWS</w:t>
      </w:r>
    </w:p>
    <w:p>
      <w:pPr>
        <w:spacing w:after="0" w:line="24"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740" w:type="dxa"/>
            <w:vAlign w:val="bottom"/>
          </w:tcPr>
          <w:p>
            <w:pPr>
              <w:spacing w:after="0"/>
              <w:rPr>
                <w:sz w:val="21"/>
                <w:szCs w:val="21"/>
                <w:color w:val="auto"/>
              </w:rPr>
            </w:pPr>
          </w:p>
        </w:tc>
        <w:tc>
          <w:tcPr>
            <w:tcW w:w="2360" w:type="dxa"/>
            <w:vAlign w:val="bottom"/>
          </w:tcPr>
          <w:p>
            <w:pPr>
              <w:ind w:left="440"/>
              <w:spacing w:after="0"/>
              <w:rPr>
                <w:sz w:val="20"/>
                <w:szCs w:val="20"/>
                <w:color w:val="auto"/>
              </w:rPr>
            </w:pPr>
            <w:r>
              <w:rPr>
                <w:rFonts w:ascii="Courier New" w:cs="Courier New" w:eastAsia="Courier New" w:hAnsi="Courier New"/>
                <w:sz w:val="15"/>
                <w:szCs w:val="15"/>
                <w:color w:val="auto"/>
              </w:rPr>
              <w:t>(Stated in thousands)</w:t>
            </w:r>
          </w:p>
        </w:tc>
        <w:tc>
          <w:tcPr>
            <w:tcW w:w="196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96"/>
        </w:trPr>
        <w:tc>
          <w:tcPr>
            <w:tcW w:w="4740" w:type="dxa"/>
            <w:vAlign w:val="bottom"/>
          </w:tcPr>
          <w:p>
            <w:pPr>
              <w:spacing w:after="0"/>
              <w:rPr>
                <w:sz w:val="20"/>
                <w:szCs w:val="20"/>
                <w:color w:val="auto"/>
              </w:rPr>
            </w:pPr>
            <w:r>
              <w:rPr>
                <w:rFonts w:ascii="Courier New" w:cs="Courier New" w:eastAsia="Courier New" w:hAnsi="Courier New"/>
                <w:sz w:val="15"/>
                <w:szCs w:val="15"/>
                <w:color w:val="auto"/>
              </w:rPr>
              <w:t>Year Ended December 31,</w:t>
            </w:r>
          </w:p>
        </w:tc>
        <w:tc>
          <w:tcPr>
            <w:tcW w:w="2360" w:type="dxa"/>
            <w:vAlign w:val="bottom"/>
          </w:tcPr>
          <w:p>
            <w:pPr>
              <w:jc w:val="right"/>
              <w:ind w:right="987"/>
              <w:spacing w:after="0"/>
              <w:rPr>
                <w:sz w:val="20"/>
                <w:szCs w:val="20"/>
                <w:color w:val="auto"/>
              </w:rPr>
            </w:pPr>
            <w:r>
              <w:rPr>
                <w:rFonts w:ascii="Courier New" w:cs="Courier New" w:eastAsia="Courier New" w:hAnsi="Courier New"/>
                <w:sz w:val="15"/>
                <w:szCs w:val="15"/>
                <w:color w:val="auto"/>
              </w:rPr>
              <w:t>2001</w:t>
            </w:r>
          </w:p>
        </w:tc>
        <w:tc>
          <w:tcPr>
            <w:tcW w:w="1960" w:type="dxa"/>
            <w:vAlign w:val="bottom"/>
          </w:tcPr>
          <w:p>
            <w:pPr>
              <w:jc w:val="right"/>
              <w:ind w:right="927"/>
              <w:spacing w:after="0"/>
              <w:rPr>
                <w:sz w:val="20"/>
                <w:szCs w:val="20"/>
                <w:color w:val="auto"/>
              </w:rPr>
            </w:pPr>
            <w:r>
              <w:rPr>
                <w:rFonts w:ascii="Courier New" w:cs="Courier New" w:eastAsia="Courier New" w:hAnsi="Courier New"/>
                <w:sz w:val="15"/>
                <w:szCs w:val="15"/>
                <w:color w:val="auto"/>
              </w:rPr>
              <w:t>2000</w:t>
            </w:r>
          </w:p>
        </w:tc>
        <w:tc>
          <w:tcPr>
            <w:tcW w:w="188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1999</w:t>
            </w:r>
          </w:p>
        </w:tc>
        <w:tc>
          <w:tcPr>
            <w:tcW w:w="0" w:type="dxa"/>
            <w:vAlign w:val="bottom"/>
          </w:tcPr>
          <w:p>
            <w:pPr>
              <w:spacing w:after="0"/>
              <w:rPr>
                <w:sz w:val="1"/>
                <w:szCs w:val="1"/>
                <w:color w:val="auto"/>
              </w:rPr>
            </w:pPr>
          </w:p>
        </w:tc>
      </w:tr>
      <w:tr>
        <w:trPr>
          <w:trHeight w:val="245"/>
        </w:trPr>
        <w:tc>
          <w:tcPr>
            <w:tcW w:w="47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23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9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36"/>
        </w:trPr>
        <w:tc>
          <w:tcPr>
            <w:tcW w:w="474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23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4740" w:type="dxa"/>
            <w:vAlign w:val="bottom"/>
          </w:tcPr>
          <w:p>
            <w:pPr>
              <w:ind w:left="280"/>
              <w:spacing w:after="0"/>
              <w:rPr>
                <w:sz w:val="20"/>
                <w:szCs w:val="20"/>
                <w:color w:val="auto"/>
              </w:rPr>
            </w:pPr>
            <w:r>
              <w:rPr>
                <w:rFonts w:ascii="Courier New" w:cs="Courier New" w:eastAsia="Courier New" w:hAnsi="Courier New"/>
                <w:sz w:val="15"/>
                <w:szCs w:val="15"/>
                <w:color w:val="auto"/>
              </w:rPr>
              <w:t>Net income</w:t>
            </w:r>
          </w:p>
        </w:tc>
        <w:tc>
          <w:tcPr>
            <w:tcW w:w="23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$ 522,217</w:t>
            </w:r>
          </w:p>
        </w:tc>
        <w:tc>
          <w:tcPr>
            <w:tcW w:w="19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$ 734,596</w:t>
            </w:r>
          </w:p>
        </w:tc>
        <w:tc>
          <w:tcPr>
            <w:tcW w:w="1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$ 366,694</w:t>
            </w:r>
          </w:p>
        </w:tc>
        <w:tc>
          <w:tcPr>
            <w:tcW w:w="0" w:type="dxa"/>
            <w:vAlign w:val="bottom"/>
          </w:tcPr>
          <w:p>
            <w:pPr>
              <w:spacing w:after="0"/>
              <w:rPr>
                <w:sz w:val="1"/>
                <w:szCs w:val="1"/>
                <w:color w:val="auto"/>
              </w:rPr>
            </w:pPr>
          </w:p>
        </w:tc>
      </w:tr>
      <w:tr>
        <w:trPr>
          <w:trHeight w:val="168"/>
        </w:trPr>
        <w:tc>
          <w:tcPr>
            <w:tcW w:w="47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Adjustments to reconcile net income to net</w:t>
            </w:r>
          </w:p>
        </w:tc>
        <w:tc>
          <w:tcPr>
            <w:tcW w:w="23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7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cash provided by operating activities:</w:t>
            </w:r>
          </w:p>
        </w:tc>
        <w:tc>
          <w:tcPr>
            <w:tcW w:w="2360" w:type="dxa"/>
            <w:vAlign w:val="bottom"/>
            <w:vMerge w:val="restart"/>
          </w:tcPr>
          <w:p>
            <w:pPr>
              <w:jc w:val="right"/>
              <w:ind w:right="467"/>
              <w:spacing w:after="0"/>
              <w:rPr>
                <w:sz w:val="20"/>
                <w:szCs w:val="20"/>
                <w:color w:val="auto"/>
              </w:rPr>
            </w:pPr>
            <w:r>
              <w:rPr>
                <w:rFonts w:ascii="Courier New" w:cs="Courier New" w:eastAsia="Courier New" w:hAnsi="Courier New"/>
                <w:sz w:val="15"/>
                <w:szCs w:val="15"/>
                <w:color w:val="auto"/>
              </w:rPr>
              <w:t>1,896,119</w:t>
            </w:r>
          </w:p>
        </w:tc>
        <w:tc>
          <w:tcPr>
            <w:tcW w:w="196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1,270,754</w:t>
            </w:r>
          </w:p>
        </w:tc>
        <w:tc>
          <w:tcPr>
            <w:tcW w:w="188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1,150,344</w:t>
            </w:r>
          </w:p>
        </w:tc>
        <w:tc>
          <w:tcPr>
            <w:tcW w:w="0" w:type="dxa"/>
            <w:vAlign w:val="bottom"/>
          </w:tcPr>
          <w:p>
            <w:pPr>
              <w:spacing w:after="0"/>
              <w:rPr>
                <w:sz w:val="1"/>
                <w:szCs w:val="1"/>
                <w:color w:val="auto"/>
              </w:rPr>
            </w:pPr>
          </w:p>
        </w:tc>
      </w:tr>
      <w:tr>
        <w:trPr>
          <w:trHeight w:val="168"/>
        </w:trPr>
        <w:tc>
          <w:tcPr>
            <w:tcW w:w="47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Depreciation and amortization (1)</w:t>
            </w:r>
          </w:p>
        </w:tc>
        <w:tc>
          <w:tcPr>
            <w:tcW w:w="2360" w:type="dxa"/>
            <w:vAlign w:val="bottom"/>
            <w:vMerge w:val="continue"/>
          </w:tcPr>
          <w:p>
            <w:pPr>
              <w:spacing w:after="0"/>
              <w:rPr>
                <w:sz w:val="14"/>
                <w:szCs w:val="14"/>
                <w:color w:val="auto"/>
              </w:rPr>
            </w:pPr>
          </w:p>
        </w:tc>
        <w:tc>
          <w:tcPr>
            <w:tcW w:w="1960" w:type="dxa"/>
            <w:vAlign w:val="bottom"/>
            <w:vMerge w:val="continue"/>
          </w:tcPr>
          <w:p>
            <w:pPr>
              <w:spacing w:after="0"/>
              <w:rPr>
                <w:sz w:val="14"/>
                <w:szCs w:val="14"/>
                <w:color w:val="auto"/>
              </w:rPr>
            </w:pPr>
          </w:p>
        </w:tc>
        <w:tc>
          <w:tcPr>
            <w:tcW w:w="1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7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Charges and gains on sale of businesses</w:t>
            </w:r>
          </w:p>
        </w:tc>
        <w:tc>
          <w:tcPr>
            <w:tcW w:w="23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271,174</w:t>
            </w:r>
          </w:p>
        </w:tc>
        <w:tc>
          <w:tcPr>
            <w:tcW w:w="19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2,706</w:t>
            </w:r>
          </w:p>
        </w:tc>
        <w:tc>
          <w:tcPr>
            <w:tcW w:w="1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128,508</w:t>
            </w:r>
          </w:p>
        </w:tc>
        <w:tc>
          <w:tcPr>
            <w:tcW w:w="0" w:type="dxa"/>
            <w:vAlign w:val="bottom"/>
          </w:tcPr>
          <w:p>
            <w:pPr>
              <w:spacing w:after="0"/>
              <w:rPr>
                <w:sz w:val="1"/>
                <w:szCs w:val="1"/>
                <w:color w:val="auto"/>
              </w:rPr>
            </w:pPr>
          </w:p>
        </w:tc>
      </w:tr>
      <w:tr>
        <w:trPr>
          <w:trHeight w:val="168"/>
        </w:trPr>
        <w:tc>
          <w:tcPr>
            <w:tcW w:w="47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Derivatives marked to market</w:t>
            </w:r>
          </w:p>
        </w:tc>
        <w:tc>
          <w:tcPr>
            <w:tcW w:w="2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(49,569)</w:t>
            </w:r>
          </w:p>
        </w:tc>
        <w:tc>
          <w:tcPr>
            <w:tcW w:w="19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47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Earnings of companies carried at equity,</w:t>
            </w:r>
          </w:p>
        </w:tc>
        <w:tc>
          <w:tcPr>
            <w:tcW w:w="23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74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less dividends received (2001 - $ -;</w:t>
            </w:r>
          </w:p>
        </w:tc>
        <w:tc>
          <w:tcPr>
            <w:tcW w:w="2360" w:type="dxa"/>
            <w:vAlign w:val="bottom"/>
            <w:vMerge w:val="restart"/>
          </w:tcPr>
          <w:p>
            <w:pPr>
              <w:jc w:val="right"/>
              <w:ind w:right="367"/>
              <w:spacing w:after="0"/>
              <w:rPr>
                <w:sz w:val="20"/>
                <w:szCs w:val="20"/>
                <w:color w:val="auto"/>
              </w:rPr>
            </w:pPr>
            <w:r>
              <w:rPr>
                <w:rFonts w:ascii="Courier New" w:cs="Courier New" w:eastAsia="Courier New" w:hAnsi="Courier New"/>
                <w:sz w:val="15"/>
                <w:szCs w:val="15"/>
                <w:color w:val="auto"/>
              </w:rPr>
              <w:t>(61,715)</w:t>
            </w:r>
          </w:p>
        </w:tc>
        <w:tc>
          <w:tcPr>
            <w:tcW w:w="196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(39,805)</w:t>
            </w:r>
          </w:p>
        </w:tc>
        <w:tc>
          <w:tcPr>
            <w:tcW w:w="188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(13,904)</w:t>
            </w:r>
          </w:p>
        </w:tc>
        <w:tc>
          <w:tcPr>
            <w:tcW w:w="0" w:type="dxa"/>
            <w:vAlign w:val="bottom"/>
          </w:tcPr>
          <w:p>
            <w:pPr>
              <w:spacing w:after="0"/>
              <w:rPr>
                <w:sz w:val="1"/>
                <w:szCs w:val="1"/>
                <w:color w:val="auto"/>
              </w:rPr>
            </w:pPr>
          </w:p>
        </w:tc>
      </w:tr>
      <w:tr>
        <w:trPr>
          <w:trHeight w:val="168"/>
        </w:trPr>
        <w:tc>
          <w:tcPr>
            <w:tcW w:w="474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2000 - $ -; 1999 - $3,401)</w:t>
            </w:r>
          </w:p>
        </w:tc>
        <w:tc>
          <w:tcPr>
            <w:tcW w:w="2360" w:type="dxa"/>
            <w:vAlign w:val="bottom"/>
            <w:vMerge w:val="continue"/>
          </w:tcPr>
          <w:p>
            <w:pPr>
              <w:spacing w:after="0"/>
              <w:rPr>
                <w:sz w:val="14"/>
                <w:szCs w:val="14"/>
                <w:color w:val="auto"/>
              </w:rPr>
            </w:pPr>
          </w:p>
        </w:tc>
        <w:tc>
          <w:tcPr>
            <w:tcW w:w="1960" w:type="dxa"/>
            <w:vAlign w:val="bottom"/>
            <w:vMerge w:val="continue"/>
          </w:tcPr>
          <w:p>
            <w:pPr>
              <w:spacing w:after="0"/>
              <w:rPr>
                <w:sz w:val="14"/>
                <w:szCs w:val="14"/>
                <w:color w:val="auto"/>
              </w:rPr>
            </w:pPr>
          </w:p>
        </w:tc>
        <w:tc>
          <w:tcPr>
            <w:tcW w:w="1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7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Deferred Taxes</w:t>
            </w:r>
          </w:p>
        </w:tc>
        <w:tc>
          <w:tcPr>
            <w:tcW w:w="23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14,216</w:t>
            </w:r>
          </w:p>
        </w:tc>
        <w:tc>
          <w:tcPr>
            <w:tcW w:w="19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7,686</w:t>
            </w:r>
          </w:p>
        </w:tc>
        <w:tc>
          <w:tcPr>
            <w:tcW w:w="1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(18,519)</w:t>
            </w:r>
          </w:p>
        </w:tc>
        <w:tc>
          <w:tcPr>
            <w:tcW w:w="0" w:type="dxa"/>
            <w:vAlign w:val="bottom"/>
          </w:tcPr>
          <w:p>
            <w:pPr>
              <w:spacing w:after="0"/>
              <w:rPr>
                <w:sz w:val="1"/>
                <w:szCs w:val="1"/>
                <w:color w:val="auto"/>
              </w:rPr>
            </w:pPr>
          </w:p>
        </w:tc>
      </w:tr>
      <w:tr>
        <w:trPr>
          <w:trHeight w:val="168"/>
        </w:trPr>
        <w:tc>
          <w:tcPr>
            <w:tcW w:w="47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Discontinued operations</w:t>
            </w:r>
          </w:p>
        </w:tc>
        <w:tc>
          <w:tcPr>
            <w:tcW w:w="23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19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213,676</w:t>
            </w:r>
          </w:p>
        </w:tc>
        <w:tc>
          <w:tcPr>
            <w:tcW w:w="0" w:type="dxa"/>
            <w:vAlign w:val="bottom"/>
          </w:tcPr>
          <w:p>
            <w:pPr>
              <w:spacing w:after="0"/>
              <w:rPr>
                <w:sz w:val="1"/>
                <w:szCs w:val="1"/>
                <w:color w:val="auto"/>
              </w:rPr>
            </w:pPr>
          </w:p>
        </w:tc>
      </w:tr>
      <w:tr>
        <w:trPr>
          <w:trHeight w:val="168"/>
        </w:trPr>
        <w:tc>
          <w:tcPr>
            <w:tcW w:w="47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Provision for losses on accounts receivable</w:t>
            </w:r>
          </w:p>
        </w:tc>
        <w:tc>
          <w:tcPr>
            <w:tcW w:w="23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56,619</w:t>
            </w:r>
          </w:p>
        </w:tc>
        <w:tc>
          <w:tcPr>
            <w:tcW w:w="19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32,301</w:t>
            </w:r>
          </w:p>
        </w:tc>
        <w:tc>
          <w:tcPr>
            <w:tcW w:w="1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37,943</w:t>
            </w:r>
          </w:p>
        </w:tc>
        <w:tc>
          <w:tcPr>
            <w:tcW w:w="0" w:type="dxa"/>
            <w:vAlign w:val="bottom"/>
          </w:tcPr>
          <w:p>
            <w:pPr>
              <w:spacing w:after="0"/>
              <w:rPr>
                <w:sz w:val="1"/>
                <w:szCs w:val="1"/>
                <w:color w:val="auto"/>
              </w:rPr>
            </w:pPr>
          </w:p>
        </w:tc>
      </w:tr>
      <w:tr>
        <w:trPr>
          <w:trHeight w:val="168"/>
        </w:trPr>
        <w:tc>
          <w:tcPr>
            <w:tcW w:w="47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Change in operating assets and liabilities:</w:t>
            </w:r>
          </w:p>
        </w:tc>
        <w:tc>
          <w:tcPr>
            <w:tcW w:w="2360" w:type="dxa"/>
            <w:vAlign w:val="bottom"/>
            <w:vMerge w:val="restart"/>
          </w:tcPr>
          <w:p>
            <w:pPr>
              <w:jc w:val="right"/>
              <w:ind w:right="367"/>
              <w:spacing w:after="0"/>
              <w:rPr>
                <w:sz w:val="20"/>
                <w:szCs w:val="20"/>
                <w:color w:val="auto"/>
              </w:rPr>
            </w:pPr>
            <w:r>
              <w:rPr>
                <w:rFonts w:ascii="Courier New" w:cs="Courier New" w:eastAsia="Courier New" w:hAnsi="Courier New"/>
                <w:sz w:val="15"/>
                <w:szCs w:val="15"/>
                <w:color w:val="auto"/>
              </w:rPr>
              <w:t>(907,535)</w:t>
            </w:r>
          </w:p>
        </w:tc>
        <w:tc>
          <w:tcPr>
            <w:tcW w:w="196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(364,130)</w:t>
            </w:r>
          </w:p>
        </w:tc>
        <w:tc>
          <w:tcPr>
            <w:tcW w:w="188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265,588</w:t>
            </w:r>
          </w:p>
        </w:tc>
        <w:tc>
          <w:tcPr>
            <w:tcW w:w="0" w:type="dxa"/>
            <w:vAlign w:val="bottom"/>
          </w:tcPr>
          <w:p>
            <w:pPr>
              <w:spacing w:after="0"/>
              <w:rPr>
                <w:sz w:val="1"/>
                <w:szCs w:val="1"/>
                <w:color w:val="auto"/>
              </w:rPr>
            </w:pPr>
          </w:p>
        </w:tc>
      </w:tr>
      <w:tr>
        <w:trPr>
          <w:trHeight w:val="168"/>
        </w:trPr>
        <w:tc>
          <w:tcPr>
            <w:tcW w:w="47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(Increase) decrease in receivables</w:t>
            </w:r>
          </w:p>
        </w:tc>
        <w:tc>
          <w:tcPr>
            <w:tcW w:w="2360" w:type="dxa"/>
            <w:vAlign w:val="bottom"/>
            <w:vMerge w:val="continue"/>
          </w:tcPr>
          <w:p>
            <w:pPr>
              <w:spacing w:after="0"/>
              <w:rPr>
                <w:sz w:val="14"/>
                <w:szCs w:val="14"/>
                <w:color w:val="auto"/>
              </w:rPr>
            </w:pPr>
          </w:p>
        </w:tc>
        <w:tc>
          <w:tcPr>
            <w:tcW w:w="1960" w:type="dxa"/>
            <w:vAlign w:val="bottom"/>
            <w:vMerge w:val="continue"/>
          </w:tcPr>
          <w:p>
            <w:pPr>
              <w:spacing w:after="0"/>
              <w:rPr>
                <w:sz w:val="14"/>
                <w:szCs w:val="14"/>
                <w:color w:val="auto"/>
              </w:rPr>
            </w:pPr>
          </w:p>
        </w:tc>
        <w:tc>
          <w:tcPr>
            <w:tcW w:w="1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7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(Increase) decrease in inventories</w:t>
            </w:r>
          </w:p>
        </w:tc>
        <w:tc>
          <w:tcPr>
            <w:tcW w:w="2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(259,290)</w:t>
            </w:r>
          </w:p>
        </w:tc>
        <w:tc>
          <w:tcPr>
            <w:tcW w:w="1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(194,640)</w:t>
            </w:r>
          </w:p>
        </w:tc>
        <w:tc>
          <w:tcPr>
            <w:tcW w:w="1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53,790</w:t>
            </w:r>
          </w:p>
        </w:tc>
        <w:tc>
          <w:tcPr>
            <w:tcW w:w="0" w:type="dxa"/>
            <w:vAlign w:val="bottom"/>
          </w:tcPr>
          <w:p>
            <w:pPr>
              <w:spacing w:after="0"/>
              <w:rPr>
                <w:sz w:val="1"/>
                <w:szCs w:val="1"/>
                <w:color w:val="auto"/>
              </w:rPr>
            </w:pPr>
          </w:p>
        </w:tc>
      </w:tr>
      <w:tr>
        <w:trPr>
          <w:trHeight w:val="168"/>
        </w:trPr>
        <w:tc>
          <w:tcPr>
            <w:tcW w:w="47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(Increase) decrease in other current assets</w:t>
            </w:r>
          </w:p>
        </w:tc>
        <w:tc>
          <w:tcPr>
            <w:tcW w:w="2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(8,048)</w:t>
            </w:r>
          </w:p>
        </w:tc>
        <w:tc>
          <w:tcPr>
            <w:tcW w:w="1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(38,656)</w:t>
            </w:r>
          </w:p>
        </w:tc>
        <w:tc>
          <w:tcPr>
            <w:tcW w:w="1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5,022</w:t>
            </w:r>
          </w:p>
        </w:tc>
        <w:tc>
          <w:tcPr>
            <w:tcW w:w="0" w:type="dxa"/>
            <w:vAlign w:val="bottom"/>
          </w:tcPr>
          <w:p>
            <w:pPr>
              <w:spacing w:after="0"/>
              <w:rPr>
                <w:sz w:val="1"/>
                <w:szCs w:val="1"/>
                <w:color w:val="auto"/>
              </w:rPr>
            </w:pPr>
          </w:p>
        </w:tc>
      </w:tr>
      <w:tr>
        <w:trPr>
          <w:trHeight w:val="168"/>
        </w:trPr>
        <w:tc>
          <w:tcPr>
            <w:tcW w:w="47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Increase (decrease) in accounts payable</w:t>
            </w:r>
          </w:p>
        </w:tc>
        <w:tc>
          <w:tcPr>
            <w:tcW w:w="2360" w:type="dxa"/>
            <w:vAlign w:val="bottom"/>
            <w:vMerge w:val="restart"/>
          </w:tcPr>
          <w:p>
            <w:pPr>
              <w:jc w:val="right"/>
              <w:ind w:right="467"/>
              <w:spacing w:after="0"/>
              <w:rPr>
                <w:sz w:val="20"/>
                <w:szCs w:val="20"/>
                <w:color w:val="auto"/>
              </w:rPr>
            </w:pPr>
            <w:r>
              <w:rPr>
                <w:rFonts w:ascii="Courier New" w:cs="Courier New" w:eastAsia="Courier New" w:hAnsi="Courier New"/>
                <w:sz w:val="15"/>
                <w:szCs w:val="15"/>
                <w:color w:val="auto"/>
              </w:rPr>
              <w:t>204,751</w:t>
            </w:r>
          </w:p>
        </w:tc>
        <w:tc>
          <w:tcPr>
            <w:tcW w:w="196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493,104</w:t>
            </w:r>
          </w:p>
        </w:tc>
        <w:tc>
          <w:tcPr>
            <w:tcW w:w="188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(181,731)</w:t>
            </w:r>
          </w:p>
        </w:tc>
        <w:tc>
          <w:tcPr>
            <w:tcW w:w="0" w:type="dxa"/>
            <w:vAlign w:val="bottom"/>
          </w:tcPr>
          <w:p>
            <w:pPr>
              <w:spacing w:after="0"/>
              <w:rPr>
                <w:sz w:val="1"/>
                <w:szCs w:val="1"/>
                <w:color w:val="auto"/>
              </w:rPr>
            </w:pPr>
          </w:p>
        </w:tc>
      </w:tr>
      <w:tr>
        <w:trPr>
          <w:trHeight w:val="168"/>
        </w:trPr>
        <w:tc>
          <w:tcPr>
            <w:tcW w:w="474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and accrued liabilities</w:t>
            </w:r>
          </w:p>
        </w:tc>
        <w:tc>
          <w:tcPr>
            <w:tcW w:w="2360" w:type="dxa"/>
            <w:vAlign w:val="bottom"/>
            <w:vMerge w:val="continue"/>
          </w:tcPr>
          <w:p>
            <w:pPr>
              <w:spacing w:after="0"/>
              <w:rPr>
                <w:sz w:val="14"/>
                <w:szCs w:val="14"/>
                <w:color w:val="auto"/>
              </w:rPr>
            </w:pPr>
          </w:p>
        </w:tc>
        <w:tc>
          <w:tcPr>
            <w:tcW w:w="1960" w:type="dxa"/>
            <w:vAlign w:val="bottom"/>
            <w:vMerge w:val="continue"/>
          </w:tcPr>
          <w:p>
            <w:pPr>
              <w:spacing w:after="0"/>
              <w:rPr>
                <w:sz w:val="14"/>
                <w:szCs w:val="14"/>
                <w:color w:val="auto"/>
              </w:rPr>
            </w:pPr>
          </w:p>
        </w:tc>
        <w:tc>
          <w:tcPr>
            <w:tcW w:w="1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7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Increase (decrease) in estimated liability</w:t>
            </w:r>
          </w:p>
        </w:tc>
        <w:tc>
          <w:tcPr>
            <w:tcW w:w="2360" w:type="dxa"/>
            <w:vAlign w:val="bottom"/>
            <w:vMerge w:val="restart"/>
          </w:tcPr>
          <w:p>
            <w:pPr>
              <w:jc w:val="right"/>
              <w:ind w:right="467"/>
              <w:spacing w:after="0"/>
              <w:rPr>
                <w:sz w:val="20"/>
                <w:szCs w:val="20"/>
                <w:color w:val="auto"/>
              </w:rPr>
            </w:pPr>
            <w:r>
              <w:rPr>
                <w:rFonts w:ascii="Courier New" w:cs="Courier New" w:eastAsia="Courier New" w:hAnsi="Courier New"/>
                <w:sz w:val="15"/>
                <w:szCs w:val="15"/>
                <w:color w:val="auto"/>
              </w:rPr>
              <w:t>12,626</w:t>
            </w:r>
          </w:p>
        </w:tc>
        <w:tc>
          <w:tcPr>
            <w:tcW w:w="196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(12,069)</w:t>
            </w:r>
          </w:p>
        </w:tc>
        <w:tc>
          <w:tcPr>
            <w:tcW w:w="188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(69,338)</w:t>
            </w:r>
          </w:p>
        </w:tc>
        <w:tc>
          <w:tcPr>
            <w:tcW w:w="0" w:type="dxa"/>
            <w:vAlign w:val="bottom"/>
          </w:tcPr>
          <w:p>
            <w:pPr>
              <w:spacing w:after="0"/>
              <w:rPr>
                <w:sz w:val="1"/>
                <w:szCs w:val="1"/>
                <w:color w:val="auto"/>
              </w:rPr>
            </w:pPr>
          </w:p>
        </w:tc>
      </w:tr>
      <w:tr>
        <w:trPr>
          <w:trHeight w:val="168"/>
        </w:trPr>
        <w:tc>
          <w:tcPr>
            <w:tcW w:w="474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for taxes on income</w:t>
            </w:r>
          </w:p>
        </w:tc>
        <w:tc>
          <w:tcPr>
            <w:tcW w:w="2360" w:type="dxa"/>
            <w:vAlign w:val="bottom"/>
            <w:vMerge w:val="continue"/>
          </w:tcPr>
          <w:p>
            <w:pPr>
              <w:spacing w:after="0"/>
              <w:rPr>
                <w:sz w:val="14"/>
                <w:szCs w:val="14"/>
                <w:color w:val="auto"/>
              </w:rPr>
            </w:pPr>
          </w:p>
        </w:tc>
        <w:tc>
          <w:tcPr>
            <w:tcW w:w="1960" w:type="dxa"/>
            <w:vAlign w:val="bottom"/>
            <w:vMerge w:val="continue"/>
          </w:tcPr>
          <w:p>
            <w:pPr>
              <w:spacing w:after="0"/>
              <w:rPr>
                <w:sz w:val="14"/>
                <w:szCs w:val="14"/>
                <w:color w:val="auto"/>
              </w:rPr>
            </w:pPr>
          </w:p>
        </w:tc>
        <w:tc>
          <w:tcPr>
            <w:tcW w:w="1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7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Decrease (increase) in other assets</w:t>
            </w:r>
          </w:p>
        </w:tc>
        <w:tc>
          <w:tcPr>
            <w:tcW w:w="23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17,739</w:t>
            </w:r>
          </w:p>
        </w:tc>
        <w:tc>
          <w:tcPr>
            <w:tcW w:w="1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(63,793)</w:t>
            </w:r>
          </w:p>
        </w:tc>
        <w:tc>
          <w:tcPr>
            <w:tcW w:w="1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(43,166)</w:t>
            </w:r>
          </w:p>
        </w:tc>
        <w:tc>
          <w:tcPr>
            <w:tcW w:w="0" w:type="dxa"/>
            <w:vAlign w:val="bottom"/>
          </w:tcPr>
          <w:p>
            <w:pPr>
              <w:spacing w:after="0"/>
              <w:rPr>
                <w:sz w:val="1"/>
                <w:szCs w:val="1"/>
                <w:color w:val="auto"/>
              </w:rPr>
            </w:pPr>
          </w:p>
        </w:tc>
      </w:tr>
      <w:tr>
        <w:trPr>
          <w:trHeight w:val="168"/>
        </w:trPr>
        <w:tc>
          <w:tcPr>
            <w:tcW w:w="47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Other - net</w:t>
            </w:r>
          </w:p>
        </w:tc>
        <w:tc>
          <w:tcPr>
            <w:tcW w:w="2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(141,132)</w:t>
            </w:r>
          </w:p>
        </w:tc>
        <w:tc>
          <w:tcPr>
            <w:tcW w:w="1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(182,729)</w:t>
            </w:r>
          </w:p>
        </w:tc>
        <w:tc>
          <w:tcPr>
            <w:tcW w:w="1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(190,601)</w:t>
            </w:r>
          </w:p>
        </w:tc>
        <w:tc>
          <w:tcPr>
            <w:tcW w:w="0" w:type="dxa"/>
            <w:vAlign w:val="bottom"/>
          </w:tcPr>
          <w:p>
            <w:pPr>
              <w:spacing w:after="0"/>
              <w:rPr>
                <w:sz w:val="1"/>
                <w:szCs w:val="1"/>
                <w:color w:val="auto"/>
              </w:rPr>
            </w:pPr>
          </w:p>
        </w:tc>
      </w:tr>
      <w:tr>
        <w:trPr>
          <w:trHeight w:val="168"/>
        </w:trPr>
        <w:tc>
          <w:tcPr>
            <w:tcW w:w="4740" w:type="dxa"/>
            <w:vAlign w:val="bottom"/>
            <w:vMerge w:val="restart"/>
          </w:tcPr>
          <w:p>
            <w:pPr>
              <w:spacing w:after="0"/>
              <w:rPr>
                <w:sz w:val="20"/>
                <w:szCs w:val="20"/>
                <w:color w:val="auto"/>
              </w:rPr>
            </w:pPr>
            <w:r>
              <w:rPr>
                <w:rFonts w:ascii="Courier New" w:cs="Courier New" w:eastAsia="Courier New" w:hAnsi="Courier New"/>
                <w:sz w:val="15"/>
                <w:szCs w:val="15"/>
                <w:color w:val="auto"/>
              </w:rPr>
              <w:t>NET CASH PROVIDED BY OPERATING ACTIVITIES</w:t>
            </w:r>
          </w:p>
        </w:tc>
        <w:tc>
          <w:tcPr>
            <w:tcW w:w="23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w:t>
            </w:r>
          </w:p>
        </w:tc>
        <w:tc>
          <w:tcPr>
            <w:tcW w:w="1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4740" w:type="dxa"/>
            <w:vAlign w:val="bottom"/>
            <w:vMerge w:val="continue"/>
          </w:tcPr>
          <w:p>
            <w:pPr>
              <w:spacing w:after="0"/>
              <w:rPr>
                <w:sz w:val="14"/>
                <w:szCs w:val="14"/>
                <w:color w:val="auto"/>
              </w:rPr>
            </w:pPr>
          </w:p>
        </w:tc>
        <w:tc>
          <w:tcPr>
            <w:tcW w:w="23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1,568,172</w:t>
            </w:r>
          </w:p>
        </w:tc>
        <w:tc>
          <w:tcPr>
            <w:tcW w:w="19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1,645,325</w:t>
            </w:r>
          </w:p>
        </w:tc>
        <w:tc>
          <w:tcPr>
            <w:tcW w:w="1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1,704,306</w:t>
            </w:r>
          </w:p>
        </w:tc>
        <w:tc>
          <w:tcPr>
            <w:tcW w:w="0" w:type="dxa"/>
            <w:vAlign w:val="bottom"/>
          </w:tcPr>
          <w:p>
            <w:pPr>
              <w:spacing w:after="0"/>
              <w:rPr>
                <w:sz w:val="1"/>
                <w:szCs w:val="1"/>
                <w:color w:val="auto"/>
              </w:rPr>
            </w:pPr>
          </w:p>
        </w:tc>
      </w:tr>
      <w:tr>
        <w:trPr>
          <w:trHeight w:val="245"/>
        </w:trPr>
        <w:tc>
          <w:tcPr>
            <w:tcW w:w="4740" w:type="dxa"/>
            <w:vAlign w:val="bottom"/>
            <w:vMerge w:val="restart"/>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2360" w:type="dxa"/>
            <w:vAlign w:val="bottom"/>
          </w:tcPr>
          <w:p>
            <w:pPr>
              <w:ind w:left="440"/>
              <w:spacing w:after="0"/>
              <w:rPr>
                <w:sz w:val="20"/>
                <w:szCs w:val="20"/>
                <w:color w:val="auto"/>
              </w:rPr>
            </w:pPr>
            <w:r>
              <w:rPr>
                <w:rFonts w:ascii="Courier New" w:cs="Courier New" w:eastAsia="Courier New" w:hAnsi="Courier New"/>
                <w:sz w:val="15"/>
                <w:szCs w:val="15"/>
                <w:color w:val="auto"/>
              </w:rPr>
              <w:t>-----------------</w:t>
            </w:r>
          </w:p>
        </w:tc>
        <w:tc>
          <w:tcPr>
            <w:tcW w:w="19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1"/>
        </w:trPr>
        <w:tc>
          <w:tcPr>
            <w:tcW w:w="4740" w:type="dxa"/>
            <w:vAlign w:val="bottom"/>
            <w:vMerge w:val="continue"/>
          </w:tcPr>
          <w:p>
            <w:pPr>
              <w:spacing w:after="0"/>
              <w:rPr>
                <w:sz w:val="7"/>
                <w:szCs w:val="7"/>
                <w:color w:val="auto"/>
              </w:rPr>
            </w:pPr>
          </w:p>
        </w:tc>
        <w:tc>
          <w:tcPr>
            <w:tcW w:w="2360" w:type="dxa"/>
            <w:vAlign w:val="bottom"/>
            <w:vMerge w:val="restart"/>
          </w:tcPr>
          <w:p>
            <w:pPr>
              <w:jc w:val="right"/>
              <w:ind w:right="367"/>
              <w:spacing w:after="0"/>
              <w:rPr>
                <w:sz w:val="20"/>
                <w:szCs w:val="20"/>
                <w:color w:val="auto"/>
              </w:rPr>
            </w:pPr>
            <w:r>
              <w:rPr>
                <w:rFonts w:ascii="Courier New" w:cs="Courier New" w:eastAsia="Courier New" w:hAnsi="Courier New"/>
                <w:sz w:val="15"/>
                <w:szCs w:val="15"/>
                <w:color w:val="auto"/>
              </w:rPr>
              <w:t>(2,052,635)</w:t>
            </w:r>
          </w:p>
        </w:tc>
        <w:tc>
          <w:tcPr>
            <w:tcW w:w="196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(1,323,015)</w:t>
            </w:r>
          </w:p>
        </w:tc>
        <w:tc>
          <w:tcPr>
            <w:tcW w:w="188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(792,001)</w:t>
            </w:r>
          </w:p>
        </w:tc>
        <w:tc>
          <w:tcPr>
            <w:tcW w:w="0" w:type="dxa"/>
            <w:vAlign w:val="bottom"/>
          </w:tcPr>
          <w:p>
            <w:pPr>
              <w:spacing w:after="0"/>
              <w:rPr>
                <w:sz w:val="1"/>
                <w:szCs w:val="1"/>
                <w:color w:val="auto"/>
              </w:rPr>
            </w:pPr>
          </w:p>
        </w:tc>
      </w:tr>
      <w:tr>
        <w:trPr>
          <w:trHeight w:val="168"/>
        </w:trPr>
        <w:tc>
          <w:tcPr>
            <w:tcW w:w="47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Purchases of fixed assets</w:t>
            </w:r>
          </w:p>
        </w:tc>
        <w:tc>
          <w:tcPr>
            <w:tcW w:w="2360" w:type="dxa"/>
            <w:vAlign w:val="bottom"/>
            <w:vMerge w:val="continue"/>
          </w:tcPr>
          <w:p>
            <w:pPr>
              <w:spacing w:after="0"/>
              <w:rPr>
                <w:sz w:val="14"/>
                <w:szCs w:val="14"/>
                <w:color w:val="auto"/>
              </w:rPr>
            </w:pPr>
          </w:p>
        </w:tc>
        <w:tc>
          <w:tcPr>
            <w:tcW w:w="1960" w:type="dxa"/>
            <w:vAlign w:val="bottom"/>
            <w:vMerge w:val="continue"/>
          </w:tcPr>
          <w:p>
            <w:pPr>
              <w:spacing w:after="0"/>
              <w:rPr>
                <w:sz w:val="14"/>
                <w:szCs w:val="14"/>
                <w:color w:val="auto"/>
              </w:rPr>
            </w:pPr>
          </w:p>
        </w:tc>
        <w:tc>
          <w:tcPr>
            <w:tcW w:w="1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7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Multiclient seismic data capitalized</w:t>
            </w:r>
          </w:p>
        </w:tc>
        <w:tc>
          <w:tcPr>
            <w:tcW w:w="2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(416,188)</w:t>
            </w:r>
          </w:p>
        </w:tc>
        <w:tc>
          <w:tcPr>
            <w:tcW w:w="1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(222,934)</w:t>
            </w:r>
          </w:p>
        </w:tc>
        <w:tc>
          <w:tcPr>
            <w:tcW w:w="1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(226,907)</w:t>
            </w:r>
          </w:p>
        </w:tc>
        <w:tc>
          <w:tcPr>
            <w:tcW w:w="0" w:type="dxa"/>
            <w:vAlign w:val="bottom"/>
          </w:tcPr>
          <w:p>
            <w:pPr>
              <w:spacing w:after="0"/>
              <w:rPr>
                <w:sz w:val="1"/>
                <w:szCs w:val="1"/>
                <w:color w:val="auto"/>
              </w:rPr>
            </w:pPr>
          </w:p>
        </w:tc>
      </w:tr>
      <w:tr>
        <w:trPr>
          <w:trHeight w:val="168"/>
        </w:trPr>
        <w:tc>
          <w:tcPr>
            <w:tcW w:w="47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Sales/retirements of fixed assets &amp; other</w:t>
            </w:r>
          </w:p>
        </w:tc>
        <w:tc>
          <w:tcPr>
            <w:tcW w:w="23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30,824</w:t>
            </w:r>
          </w:p>
        </w:tc>
        <w:tc>
          <w:tcPr>
            <w:tcW w:w="19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149,494</w:t>
            </w:r>
          </w:p>
        </w:tc>
        <w:tc>
          <w:tcPr>
            <w:tcW w:w="1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68,005</w:t>
            </w:r>
          </w:p>
        </w:tc>
        <w:tc>
          <w:tcPr>
            <w:tcW w:w="0" w:type="dxa"/>
            <w:vAlign w:val="bottom"/>
          </w:tcPr>
          <w:p>
            <w:pPr>
              <w:spacing w:after="0"/>
              <w:rPr>
                <w:sz w:val="1"/>
                <w:szCs w:val="1"/>
                <w:color w:val="auto"/>
              </w:rPr>
            </w:pPr>
          </w:p>
        </w:tc>
      </w:tr>
      <w:tr>
        <w:trPr>
          <w:trHeight w:val="168"/>
        </w:trPr>
        <w:tc>
          <w:tcPr>
            <w:tcW w:w="47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Acquisition of Sema plc</w:t>
            </w:r>
          </w:p>
        </w:tc>
        <w:tc>
          <w:tcPr>
            <w:tcW w:w="2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(4,778,498)</w:t>
            </w:r>
          </w:p>
        </w:tc>
        <w:tc>
          <w:tcPr>
            <w:tcW w:w="19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47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Other businesses acquired</w:t>
            </w:r>
          </w:p>
        </w:tc>
        <w:tc>
          <w:tcPr>
            <w:tcW w:w="2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(452,951)</w:t>
            </w:r>
          </w:p>
        </w:tc>
        <w:tc>
          <w:tcPr>
            <w:tcW w:w="1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(1,075,446)</w:t>
            </w:r>
          </w:p>
        </w:tc>
        <w:tc>
          <w:tcPr>
            <w:tcW w:w="1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(135,338)</w:t>
            </w:r>
          </w:p>
        </w:tc>
        <w:tc>
          <w:tcPr>
            <w:tcW w:w="0" w:type="dxa"/>
            <w:vAlign w:val="bottom"/>
          </w:tcPr>
          <w:p>
            <w:pPr>
              <w:spacing w:after="0"/>
              <w:rPr>
                <w:sz w:val="1"/>
                <w:szCs w:val="1"/>
                <w:color w:val="auto"/>
              </w:rPr>
            </w:pPr>
          </w:p>
        </w:tc>
      </w:tr>
      <w:tr>
        <w:trPr>
          <w:trHeight w:val="168"/>
        </w:trPr>
        <w:tc>
          <w:tcPr>
            <w:tcW w:w="47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Sales of businesses</w:t>
            </w:r>
          </w:p>
        </w:tc>
        <w:tc>
          <w:tcPr>
            <w:tcW w:w="23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902,953</w:t>
            </w:r>
          </w:p>
        </w:tc>
        <w:tc>
          <w:tcPr>
            <w:tcW w:w="19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154,843</w:t>
            </w:r>
          </w:p>
        </w:tc>
        <w:tc>
          <w:tcPr>
            <w:tcW w:w="1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47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Decrease (increase) in investments</w:t>
            </w:r>
          </w:p>
        </w:tc>
        <w:tc>
          <w:tcPr>
            <w:tcW w:w="23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2,430,911</w:t>
            </w:r>
          </w:p>
        </w:tc>
        <w:tc>
          <w:tcPr>
            <w:tcW w:w="19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551,619</w:t>
            </w:r>
          </w:p>
        </w:tc>
        <w:tc>
          <w:tcPr>
            <w:tcW w:w="1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(295,075)</w:t>
            </w:r>
          </w:p>
        </w:tc>
        <w:tc>
          <w:tcPr>
            <w:tcW w:w="0" w:type="dxa"/>
            <w:vAlign w:val="bottom"/>
          </w:tcPr>
          <w:p>
            <w:pPr>
              <w:spacing w:after="0"/>
              <w:rPr>
                <w:sz w:val="1"/>
                <w:szCs w:val="1"/>
                <w:color w:val="auto"/>
              </w:rPr>
            </w:pPr>
          </w:p>
        </w:tc>
      </w:tr>
      <w:tr>
        <w:trPr>
          <w:trHeight w:val="168"/>
        </w:trPr>
        <w:tc>
          <w:tcPr>
            <w:tcW w:w="47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Sale of financial instruments</w:t>
            </w:r>
          </w:p>
        </w:tc>
        <w:tc>
          <w:tcPr>
            <w:tcW w:w="23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19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203,572</w:t>
            </w:r>
          </w:p>
        </w:tc>
        <w:tc>
          <w:tcPr>
            <w:tcW w:w="0" w:type="dxa"/>
            <w:vAlign w:val="bottom"/>
          </w:tcPr>
          <w:p>
            <w:pPr>
              <w:spacing w:after="0"/>
              <w:rPr>
                <w:sz w:val="1"/>
                <w:szCs w:val="1"/>
                <w:color w:val="auto"/>
              </w:rPr>
            </w:pPr>
          </w:p>
        </w:tc>
      </w:tr>
      <w:tr>
        <w:trPr>
          <w:trHeight w:val="168"/>
        </w:trPr>
        <w:tc>
          <w:tcPr>
            <w:tcW w:w="47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Drilling fluids joint venture</w:t>
            </w:r>
          </w:p>
        </w:tc>
        <w:tc>
          <w:tcPr>
            <w:tcW w:w="23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19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(325,000)</w:t>
            </w:r>
          </w:p>
        </w:tc>
        <w:tc>
          <w:tcPr>
            <w:tcW w:w="0" w:type="dxa"/>
            <w:vAlign w:val="bottom"/>
          </w:tcPr>
          <w:p>
            <w:pPr>
              <w:spacing w:after="0"/>
              <w:rPr>
                <w:sz w:val="1"/>
                <w:szCs w:val="1"/>
                <w:color w:val="auto"/>
              </w:rPr>
            </w:pPr>
          </w:p>
        </w:tc>
      </w:tr>
      <w:tr>
        <w:trPr>
          <w:trHeight w:val="168"/>
        </w:trPr>
        <w:tc>
          <w:tcPr>
            <w:tcW w:w="47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Discontinued operations</w:t>
            </w:r>
          </w:p>
        </w:tc>
        <w:tc>
          <w:tcPr>
            <w:tcW w:w="23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19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(291,953)</w:t>
            </w:r>
          </w:p>
        </w:tc>
        <w:tc>
          <w:tcPr>
            <w:tcW w:w="0" w:type="dxa"/>
            <w:vAlign w:val="bottom"/>
          </w:tcPr>
          <w:p>
            <w:pPr>
              <w:spacing w:after="0"/>
              <w:rPr>
                <w:sz w:val="1"/>
                <w:szCs w:val="1"/>
                <w:color w:val="auto"/>
              </w:rPr>
            </w:pPr>
          </w:p>
        </w:tc>
      </w:tr>
      <w:tr>
        <w:trPr>
          <w:trHeight w:val="168"/>
        </w:trPr>
        <w:tc>
          <w:tcPr>
            <w:tcW w:w="4740" w:type="dxa"/>
            <w:vAlign w:val="bottom"/>
            <w:vMerge w:val="restart"/>
          </w:tcPr>
          <w:p>
            <w:pPr>
              <w:spacing w:after="0"/>
              <w:rPr>
                <w:sz w:val="20"/>
                <w:szCs w:val="20"/>
                <w:color w:val="auto"/>
              </w:rPr>
            </w:pPr>
            <w:r>
              <w:rPr>
                <w:rFonts w:ascii="Courier New" w:cs="Courier New" w:eastAsia="Courier New" w:hAnsi="Courier New"/>
                <w:sz w:val="15"/>
                <w:szCs w:val="15"/>
                <w:color w:val="auto"/>
              </w:rPr>
              <w:t>NET CASH USED IN INVESTING ACTIVITIES</w:t>
            </w:r>
          </w:p>
        </w:tc>
        <w:tc>
          <w:tcPr>
            <w:tcW w:w="23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w:t>
            </w:r>
          </w:p>
        </w:tc>
        <w:tc>
          <w:tcPr>
            <w:tcW w:w="1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4740" w:type="dxa"/>
            <w:vAlign w:val="bottom"/>
            <w:vMerge w:val="continue"/>
          </w:tcPr>
          <w:p>
            <w:pPr>
              <w:spacing w:after="0"/>
              <w:rPr>
                <w:sz w:val="14"/>
                <w:szCs w:val="14"/>
                <w:color w:val="auto"/>
              </w:rPr>
            </w:pPr>
          </w:p>
        </w:tc>
        <w:tc>
          <w:tcPr>
            <w:tcW w:w="2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(4,335,584)</w:t>
            </w:r>
          </w:p>
        </w:tc>
        <w:tc>
          <w:tcPr>
            <w:tcW w:w="1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(1,765,439)</w:t>
            </w:r>
          </w:p>
        </w:tc>
        <w:tc>
          <w:tcPr>
            <w:tcW w:w="1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(1,794,697)</w:t>
            </w:r>
          </w:p>
        </w:tc>
        <w:tc>
          <w:tcPr>
            <w:tcW w:w="0" w:type="dxa"/>
            <w:vAlign w:val="bottom"/>
          </w:tcPr>
          <w:p>
            <w:pPr>
              <w:spacing w:after="0"/>
              <w:rPr>
                <w:sz w:val="1"/>
                <w:szCs w:val="1"/>
                <w:color w:val="auto"/>
              </w:rPr>
            </w:pPr>
          </w:p>
        </w:tc>
      </w:tr>
      <w:tr>
        <w:trPr>
          <w:trHeight w:val="245"/>
        </w:trPr>
        <w:tc>
          <w:tcPr>
            <w:tcW w:w="4740" w:type="dxa"/>
            <w:vAlign w:val="bottom"/>
            <w:vMerge w:val="restart"/>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2360" w:type="dxa"/>
            <w:vAlign w:val="bottom"/>
          </w:tcPr>
          <w:p>
            <w:pPr>
              <w:ind w:left="440"/>
              <w:spacing w:after="0"/>
              <w:rPr>
                <w:sz w:val="20"/>
                <w:szCs w:val="20"/>
                <w:color w:val="auto"/>
              </w:rPr>
            </w:pPr>
            <w:r>
              <w:rPr>
                <w:rFonts w:ascii="Courier New" w:cs="Courier New" w:eastAsia="Courier New" w:hAnsi="Courier New"/>
                <w:sz w:val="15"/>
                <w:szCs w:val="15"/>
                <w:color w:val="auto"/>
              </w:rPr>
              <w:t>-----------------</w:t>
            </w:r>
          </w:p>
        </w:tc>
        <w:tc>
          <w:tcPr>
            <w:tcW w:w="19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1"/>
        </w:trPr>
        <w:tc>
          <w:tcPr>
            <w:tcW w:w="4740" w:type="dxa"/>
            <w:vAlign w:val="bottom"/>
            <w:vMerge w:val="continue"/>
          </w:tcPr>
          <w:p>
            <w:pPr>
              <w:spacing w:after="0"/>
              <w:rPr>
                <w:sz w:val="7"/>
                <w:szCs w:val="7"/>
                <w:color w:val="auto"/>
              </w:rPr>
            </w:pPr>
          </w:p>
        </w:tc>
        <w:tc>
          <w:tcPr>
            <w:tcW w:w="2360" w:type="dxa"/>
            <w:vAlign w:val="bottom"/>
            <w:vMerge w:val="restart"/>
          </w:tcPr>
          <w:p>
            <w:pPr>
              <w:jc w:val="right"/>
              <w:ind w:right="367"/>
              <w:spacing w:after="0"/>
              <w:rPr>
                <w:sz w:val="20"/>
                <w:szCs w:val="20"/>
                <w:color w:val="auto"/>
              </w:rPr>
            </w:pPr>
            <w:r>
              <w:rPr>
                <w:rFonts w:ascii="Courier New" w:cs="Courier New" w:eastAsia="Courier New" w:hAnsi="Courier New"/>
                <w:sz w:val="15"/>
                <w:szCs w:val="15"/>
                <w:color w:val="auto"/>
              </w:rPr>
              <w:t>(430,328)</w:t>
            </w:r>
          </w:p>
        </w:tc>
        <w:tc>
          <w:tcPr>
            <w:tcW w:w="196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(426,465)</w:t>
            </w:r>
          </w:p>
        </w:tc>
        <w:tc>
          <w:tcPr>
            <w:tcW w:w="188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(410,494)</w:t>
            </w:r>
          </w:p>
        </w:tc>
        <w:tc>
          <w:tcPr>
            <w:tcW w:w="0" w:type="dxa"/>
            <w:vAlign w:val="bottom"/>
          </w:tcPr>
          <w:p>
            <w:pPr>
              <w:spacing w:after="0"/>
              <w:rPr>
                <w:sz w:val="1"/>
                <w:szCs w:val="1"/>
                <w:color w:val="auto"/>
              </w:rPr>
            </w:pPr>
          </w:p>
        </w:tc>
      </w:tr>
      <w:tr>
        <w:trPr>
          <w:trHeight w:val="168"/>
        </w:trPr>
        <w:tc>
          <w:tcPr>
            <w:tcW w:w="47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Dividends paid</w:t>
            </w:r>
          </w:p>
        </w:tc>
        <w:tc>
          <w:tcPr>
            <w:tcW w:w="2360" w:type="dxa"/>
            <w:vAlign w:val="bottom"/>
            <w:vMerge w:val="continue"/>
          </w:tcPr>
          <w:p>
            <w:pPr>
              <w:spacing w:after="0"/>
              <w:rPr>
                <w:sz w:val="14"/>
                <w:szCs w:val="14"/>
                <w:color w:val="auto"/>
              </w:rPr>
            </w:pPr>
          </w:p>
        </w:tc>
        <w:tc>
          <w:tcPr>
            <w:tcW w:w="1960" w:type="dxa"/>
            <w:vAlign w:val="bottom"/>
            <w:vMerge w:val="continue"/>
          </w:tcPr>
          <w:p>
            <w:pPr>
              <w:spacing w:after="0"/>
              <w:rPr>
                <w:sz w:val="14"/>
                <w:szCs w:val="14"/>
                <w:color w:val="auto"/>
              </w:rPr>
            </w:pPr>
          </w:p>
        </w:tc>
        <w:tc>
          <w:tcPr>
            <w:tcW w:w="1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7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Proceeds from employee stock purchase plan</w:t>
            </w:r>
          </w:p>
        </w:tc>
        <w:tc>
          <w:tcPr>
            <w:tcW w:w="23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78,965</w:t>
            </w:r>
          </w:p>
        </w:tc>
        <w:tc>
          <w:tcPr>
            <w:tcW w:w="19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69,089</w:t>
            </w:r>
          </w:p>
        </w:tc>
        <w:tc>
          <w:tcPr>
            <w:tcW w:w="1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70,765</w:t>
            </w:r>
          </w:p>
        </w:tc>
        <w:tc>
          <w:tcPr>
            <w:tcW w:w="0" w:type="dxa"/>
            <w:vAlign w:val="bottom"/>
          </w:tcPr>
          <w:p>
            <w:pPr>
              <w:spacing w:after="0"/>
              <w:rPr>
                <w:sz w:val="1"/>
                <w:szCs w:val="1"/>
                <w:color w:val="auto"/>
              </w:rPr>
            </w:pPr>
          </w:p>
        </w:tc>
      </w:tr>
      <w:tr>
        <w:trPr>
          <w:trHeight w:val="168"/>
        </w:trPr>
        <w:tc>
          <w:tcPr>
            <w:tcW w:w="47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Proceeds from exercise of stock options</w:t>
            </w:r>
          </w:p>
        </w:tc>
        <w:tc>
          <w:tcPr>
            <w:tcW w:w="23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42,795</w:t>
            </w:r>
          </w:p>
        </w:tc>
        <w:tc>
          <w:tcPr>
            <w:tcW w:w="19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160,281</w:t>
            </w:r>
          </w:p>
        </w:tc>
        <w:tc>
          <w:tcPr>
            <w:tcW w:w="1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103,084</w:t>
            </w:r>
          </w:p>
        </w:tc>
        <w:tc>
          <w:tcPr>
            <w:tcW w:w="0" w:type="dxa"/>
            <w:vAlign w:val="bottom"/>
          </w:tcPr>
          <w:p>
            <w:pPr>
              <w:spacing w:after="0"/>
              <w:rPr>
                <w:sz w:val="1"/>
                <w:szCs w:val="1"/>
                <w:color w:val="auto"/>
              </w:rPr>
            </w:pPr>
          </w:p>
        </w:tc>
      </w:tr>
      <w:tr>
        <w:trPr>
          <w:trHeight w:val="168"/>
        </w:trPr>
        <w:tc>
          <w:tcPr>
            <w:tcW w:w="47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Proceeds from exercise of stock warrants</w:t>
            </w:r>
          </w:p>
        </w:tc>
        <w:tc>
          <w:tcPr>
            <w:tcW w:w="23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19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449,625</w:t>
            </w:r>
          </w:p>
        </w:tc>
        <w:tc>
          <w:tcPr>
            <w:tcW w:w="0" w:type="dxa"/>
            <w:vAlign w:val="bottom"/>
          </w:tcPr>
          <w:p>
            <w:pPr>
              <w:spacing w:after="0"/>
              <w:rPr>
                <w:sz w:val="1"/>
                <w:szCs w:val="1"/>
                <w:color w:val="auto"/>
              </w:rPr>
            </w:pPr>
          </w:p>
        </w:tc>
      </w:tr>
      <w:tr>
        <w:trPr>
          <w:trHeight w:val="168"/>
        </w:trPr>
        <w:tc>
          <w:tcPr>
            <w:tcW w:w="47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Proceeds from issuance of long-term debt</w:t>
            </w:r>
          </w:p>
        </w:tc>
        <w:tc>
          <w:tcPr>
            <w:tcW w:w="23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4,815,028</w:t>
            </w:r>
          </w:p>
        </w:tc>
        <w:tc>
          <w:tcPr>
            <w:tcW w:w="19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956,641</w:t>
            </w:r>
          </w:p>
        </w:tc>
        <w:tc>
          <w:tcPr>
            <w:tcW w:w="1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1,062,935</w:t>
            </w:r>
          </w:p>
        </w:tc>
        <w:tc>
          <w:tcPr>
            <w:tcW w:w="0" w:type="dxa"/>
            <w:vAlign w:val="bottom"/>
          </w:tcPr>
          <w:p>
            <w:pPr>
              <w:spacing w:after="0"/>
              <w:rPr>
                <w:sz w:val="1"/>
                <w:szCs w:val="1"/>
                <w:color w:val="auto"/>
              </w:rPr>
            </w:pPr>
          </w:p>
        </w:tc>
      </w:tr>
      <w:tr>
        <w:trPr>
          <w:trHeight w:val="168"/>
        </w:trPr>
        <w:tc>
          <w:tcPr>
            <w:tcW w:w="47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Payment of principal on long-term debt</w:t>
            </w:r>
          </w:p>
        </w:tc>
        <w:tc>
          <w:tcPr>
            <w:tcW w:w="2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(2,092,670)</w:t>
            </w:r>
          </w:p>
        </w:tc>
        <w:tc>
          <w:tcPr>
            <w:tcW w:w="1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(724,911)</w:t>
            </w:r>
          </w:p>
        </w:tc>
        <w:tc>
          <w:tcPr>
            <w:tcW w:w="1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(916,242)</w:t>
            </w:r>
          </w:p>
        </w:tc>
        <w:tc>
          <w:tcPr>
            <w:tcW w:w="0" w:type="dxa"/>
            <w:vAlign w:val="bottom"/>
          </w:tcPr>
          <w:p>
            <w:pPr>
              <w:spacing w:after="0"/>
              <w:rPr>
                <w:sz w:val="1"/>
                <w:szCs w:val="1"/>
                <w:color w:val="auto"/>
              </w:rPr>
            </w:pPr>
          </w:p>
        </w:tc>
      </w:tr>
      <w:tr>
        <w:trPr>
          <w:trHeight w:val="168"/>
        </w:trPr>
        <w:tc>
          <w:tcPr>
            <w:tcW w:w="47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Net increase (decrease) in short-term debt</w:t>
            </w:r>
          </w:p>
        </w:tc>
        <w:tc>
          <w:tcPr>
            <w:tcW w:w="23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370,608</w:t>
            </w:r>
          </w:p>
        </w:tc>
        <w:tc>
          <w:tcPr>
            <w:tcW w:w="19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113,608</w:t>
            </w:r>
          </w:p>
        </w:tc>
        <w:tc>
          <w:tcPr>
            <w:tcW w:w="1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(242,014)</w:t>
            </w:r>
          </w:p>
        </w:tc>
        <w:tc>
          <w:tcPr>
            <w:tcW w:w="0" w:type="dxa"/>
            <w:vAlign w:val="bottom"/>
          </w:tcPr>
          <w:p>
            <w:pPr>
              <w:spacing w:after="0"/>
              <w:rPr>
                <w:sz w:val="1"/>
                <w:szCs w:val="1"/>
                <w:color w:val="auto"/>
              </w:rPr>
            </w:pPr>
          </w:p>
        </w:tc>
      </w:tr>
      <w:tr>
        <w:trPr>
          <w:trHeight w:val="168"/>
        </w:trPr>
        <w:tc>
          <w:tcPr>
            <w:tcW w:w="4740" w:type="dxa"/>
            <w:vAlign w:val="bottom"/>
            <w:vMerge w:val="restart"/>
          </w:tcPr>
          <w:p>
            <w:pPr>
              <w:spacing w:after="0"/>
              <w:rPr>
                <w:sz w:val="20"/>
                <w:szCs w:val="20"/>
                <w:color w:val="auto"/>
              </w:rPr>
            </w:pPr>
            <w:r>
              <w:rPr>
                <w:rFonts w:ascii="Courier New" w:cs="Courier New" w:eastAsia="Courier New" w:hAnsi="Courier New"/>
                <w:sz w:val="15"/>
                <w:szCs w:val="15"/>
                <w:color w:val="auto"/>
              </w:rPr>
              <w:t>NET CASH PROVIDED BY FINANCING ACTIVITIES</w:t>
            </w:r>
          </w:p>
        </w:tc>
        <w:tc>
          <w:tcPr>
            <w:tcW w:w="23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w:t>
            </w:r>
          </w:p>
        </w:tc>
        <w:tc>
          <w:tcPr>
            <w:tcW w:w="1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4740" w:type="dxa"/>
            <w:vAlign w:val="bottom"/>
            <w:vMerge w:val="continue"/>
          </w:tcPr>
          <w:p>
            <w:pPr>
              <w:spacing w:after="0"/>
              <w:rPr>
                <w:sz w:val="14"/>
                <w:szCs w:val="14"/>
                <w:color w:val="auto"/>
              </w:rPr>
            </w:pPr>
          </w:p>
        </w:tc>
        <w:tc>
          <w:tcPr>
            <w:tcW w:w="23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2,784,398</w:t>
            </w:r>
          </w:p>
        </w:tc>
        <w:tc>
          <w:tcPr>
            <w:tcW w:w="19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148,243</w:t>
            </w:r>
          </w:p>
        </w:tc>
        <w:tc>
          <w:tcPr>
            <w:tcW w:w="1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117,659</w:t>
            </w:r>
          </w:p>
        </w:tc>
        <w:tc>
          <w:tcPr>
            <w:tcW w:w="0" w:type="dxa"/>
            <w:vAlign w:val="bottom"/>
          </w:tcPr>
          <w:p>
            <w:pPr>
              <w:spacing w:after="0"/>
              <w:rPr>
                <w:sz w:val="1"/>
                <w:szCs w:val="1"/>
                <w:color w:val="auto"/>
              </w:rPr>
            </w:pPr>
          </w:p>
        </w:tc>
      </w:tr>
      <w:tr>
        <w:trPr>
          <w:trHeight w:val="245"/>
        </w:trPr>
        <w:tc>
          <w:tcPr>
            <w:tcW w:w="4740" w:type="dxa"/>
            <w:vAlign w:val="bottom"/>
          </w:tcPr>
          <w:p>
            <w:pPr>
              <w:spacing w:after="0"/>
              <w:rPr>
                <w:sz w:val="21"/>
                <w:szCs w:val="21"/>
                <w:color w:val="auto"/>
              </w:rPr>
            </w:pPr>
          </w:p>
        </w:tc>
        <w:tc>
          <w:tcPr>
            <w:tcW w:w="2360" w:type="dxa"/>
            <w:vAlign w:val="bottom"/>
          </w:tcPr>
          <w:p>
            <w:pPr>
              <w:ind w:left="440"/>
              <w:spacing w:after="0"/>
              <w:rPr>
                <w:sz w:val="20"/>
                <w:szCs w:val="20"/>
                <w:color w:val="auto"/>
              </w:rPr>
            </w:pPr>
            <w:r>
              <w:rPr>
                <w:rFonts w:ascii="Courier New" w:cs="Courier New" w:eastAsia="Courier New" w:hAnsi="Courier New"/>
                <w:sz w:val="15"/>
                <w:szCs w:val="15"/>
                <w:color w:val="auto"/>
              </w:rPr>
              <w:t>-----------------</w:t>
            </w:r>
          </w:p>
        </w:tc>
        <w:tc>
          <w:tcPr>
            <w:tcW w:w="19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4740" w:type="dxa"/>
            <w:vAlign w:val="bottom"/>
          </w:tcPr>
          <w:p>
            <w:pPr>
              <w:spacing w:after="0"/>
              <w:rPr>
                <w:sz w:val="20"/>
                <w:szCs w:val="20"/>
                <w:color w:val="auto"/>
              </w:rPr>
            </w:pPr>
            <w:r>
              <w:rPr>
                <w:rFonts w:ascii="Courier New" w:cs="Courier New" w:eastAsia="Courier New" w:hAnsi="Courier New"/>
                <w:sz w:val="15"/>
                <w:szCs w:val="15"/>
                <w:color w:val="auto"/>
              </w:rPr>
              <w:t>Net increase in cash</w:t>
            </w:r>
          </w:p>
        </w:tc>
        <w:tc>
          <w:tcPr>
            <w:tcW w:w="23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16,986</w:t>
            </w:r>
          </w:p>
        </w:tc>
        <w:tc>
          <w:tcPr>
            <w:tcW w:w="19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28,129</w:t>
            </w:r>
          </w:p>
        </w:tc>
        <w:tc>
          <w:tcPr>
            <w:tcW w:w="1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27,268</w:t>
            </w:r>
          </w:p>
        </w:tc>
        <w:tc>
          <w:tcPr>
            <w:tcW w:w="0" w:type="dxa"/>
            <w:vAlign w:val="bottom"/>
          </w:tcPr>
          <w:p>
            <w:pPr>
              <w:spacing w:after="0"/>
              <w:rPr>
                <w:sz w:val="1"/>
                <w:szCs w:val="1"/>
                <w:color w:val="auto"/>
              </w:rPr>
            </w:pPr>
          </w:p>
        </w:tc>
      </w:tr>
      <w:tr>
        <w:trPr>
          <w:trHeight w:val="168"/>
        </w:trPr>
        <w:tc>
          <w:tcPr>
            <w:tcW w:w="474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beginning of year</w:t>
            </w:r>
          </w:p>
        </w:tc>
        <w:tc>
          <w:tcPr>
            <w:tcW w:w="23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160,718</w:t>
            </w:r>
          </w:p>
        </w:tc>
        <w:tc>
          <w:tcPr>
            <w:tcW w:w="19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132,589</w:t>
            </w:r>
          </w:p>
        </w:tc>
        <w:tc>
          <w:tcPr>
            <w:tcW w:w="1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105,321</w:t>
            </w:r>
          </w:p>
        </w:tc>
        <w:tc>
          <w:tcPr>
            <w:tcW w:w="0" w:type="dxa"/>
            <w:vAlign w:val="bottom"/>
          </w:tcPr>
          <w:p>
            <w:pPr>
              <w:spacing w:after="0"/>
              <w:rPr>
                <w:sz w:val="1"/>
                <w:szCs w:val="1"/>
                <w:color w:val="auto"/>
              </w:rPr>
            </w:pPr>
          </w:p>
        </w:tc>
      </w:tr>
      <w:tr>
        <w:trPr>
          <w:trHeight w:val="168"/>
        </w:trPr>
        <w:tc>
          <w:tcPr>
            <w:tcW w:w="4740" w:type="dxa"/>
            <w:vAlign w:val="bottom"/>
            <w:vMerge w:val="restart"/>
          </w:tcPr>
          <w:p>
            <w:pPr>
              <w:spacing w:after="0"/>
              <w:rPr>
                <w:sz w:val="20"/>
                <w:szCs w:val="20"/>
                <w:color w:val="auto"/>
              </w:rPr>
            </w:pPr>
            <w:r>
              <w:rPr>
                <w:rFonts w:ascii="Courier New" w:cs="Courier New" w:eastAsia="Courier New" w:hAnsi="Courier New"/>
                <w:sz w:val="15"/>
                <w:szCs w:val="15"/>
                <w:color w:val="auto"/>
              </w:rPr>
              <w:t>CASH, END OF YEAR</w:t>
            </w:r>
          </w:p>
        </w:tc>
        <w:tc>
          <w:tcPr>
            <w:tcW w:w="23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w:t>
            </w:r>
          </w:p>
        </w:tc>
        <w:tc>
          <w:tcPr>
            <w:tcW w:w="1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4740" w:type="dxa"/>
            <w:vAlign w:val="bottom"/>
            <w:vMerge w:val="continue"/>
          </w:tcPr>
          <w:p>
            <w:pPr>
              <w:spacing w:after="0"/>
              <w:rPr>
                <w:sz w:val="14"/>
                <w:szCs w:val="14"/>
                <w:color w:val="auto"/>
              </w:rPr>
            </w:pPr>
          </w:p>
        </w:tc>
        <w:tc>
          <w:tcPr>
            <w:tcW w:w="23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$ 177,704</w:t>
            </w:r>
          </w:p>
        </w:tc>
        <w:tc>
          <w:tcPr>
            <w:tcW w:w="19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$ 160,718</w:t>
            </w:r>
          </w:p>
        </w:tc>
        <w:tc>
          <w:tcPr>
            <w:tcW w:w="1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$ 132,589</w:t>
            </w:r>
          </w:p>
        </w:tc>
        <w:tc>
          <w:tcPr>
            <w:tcW w:w="0" w:type="dxa"/>
            <w:vAlign w:val="bottom"/>
          </w:tcPr>
          <w:p>
            <w:pPr>
              <w:spacing w:after="0"/>
              <w:rPr>
                <w:sz w:val="1"/>
                <w:szCs w:val="1"/>
                <w:color w:val="auto"/>
              </w:rPr>
            </w:pPr>
          </w:p>
        </w:tc>
      </w:tr>
      <w:tr>
        <w:trPr>
          <w:trHeight w:val="245"/>
        </w:trPr>
        <w:tc>
          <w:tcPr>
            <w:tcW w:w="4740" w:type="dxa"/>
            <w:vAlign w:val="bottom"/>
          </w:tcPr>
          <w:p>
            <w:pPr>
              <w:spacing w:after="0"/>
              <w:rPr>
                <w:sz w:val="21"/>
                <w:szCs w:val="21"/>
                <w:color w:val="auto"/>
              </w:rPr>
            </w:pPr>
          </w:p>
        </w:tc>
        <w:tc>
          <w:tcPr>
            <w:tcW w:w="2360" w:type="dxa"/>
            <w:vAlign w:val="bottom"/>
          </w:tcPr>
          <w:p>
            <w:pPr>
              <w:ind w:left="440"/>
              <w:spacing w:after="0"/>
              <w:rPr>
                <w:sz w:val="20"/>
                <w:szCs w:val="20"/>
                <w:color w:val="auto"/>
              </w:rPr>
            </w:pPr>
            <w:r>
              <w:rPr>
                <w:rFonts w:ascii="Courier New" w:cs="Courier New" w:eastAsia="Courier New" w:hAnsi="Courier New"/>
                <w:sz w:val="15"/>
                <w:szCs w:val="15"/>
                <w:color w:val="auto"/>
              </w:rPr>
              <w:t>=================</w:t>
            </w:r>
          </w:p>
        </w:tc>
        <w:tc>
          <w:tcPr>
            <w:tcW w:w="19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 Includes multiclient seismic data costs.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the Notes to Consolidated Financial Statements</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F-5</w:t>
      </w:r>
    </w:p>
    <w:p>
      <w:pPr>
        <w:sectPr>
          <w:pgSz w:w="11900" w:h="16838" w:orient="portrait"/>
          <w:cols w:equalWidth="0" w:num="1">
            <w:col w:w="10940"/>
          </w:cols>
          <w:pgMar w:left="220" w:top="598" w:right="739" w:bottom="1440" w:gutter="0" w:footer="0" w:header="0"/>
        </w:sectPr>
      </w:pPr>
    </w:p>
    <w:bookmarkStart w:id="19" w:name="page20"/>
    <w:bookmarkEnd w:id="19"/>
    <w:p>
      <w:pPr>
        <w:jc w:val="center"/>
        <w:ind w:right="4520"/>
        <w:spacing w:after="0"/>
        <w:rPr>
          <w:sz w:val="20"/>
          <w:szCs w:val="20"/>
          <w:color w:val="auto"/>
        </w:rPr>
      </w:pPr>
      <w:r>
        <w:rPr>
          <w:rFonts w:ascii="Courier New" w:cs="Courier New" w:eastAsia="Courier New" w:hAnsi="Courier New"/>
          <w:sz w:val="15"/>
          <w:szCs w:val="15"/>
          <w:color w:val="auto"/>
        </w:rPr>
        <w:t>SCHLUMBERGER LIMITED (SCHLUMBERGER N.V., INCORPORATED IN THE</w:t>
      </w:r>
    </w:p>
    <w:p>
      <w:pPr>
        <w:spacing w:after="0" w:line="24" w:lineRule="exact"/>
        <w:rPr>
          <w:sz w:val="20"/>
          <w:szCs w:val="20"/>
          <w:color w:val="auto"/>
        </w:rPr>
      </w:pPr>
    </w:p>
    <w:p>
      <w:pPr>
        <w:jc w:val="center"/>
        <w:ind w:right="4520"/>
        <w:spacing w:after="0"/>
        <w:rPr>
          <w:sz w:val="20"/>
          <w:szCs w:val="20"/>
          <w:color w:val="auto"/>
        </w:rPr>
      </w:pPr>
      <w:r>
        <w:rPr>
          <w:rFonts w:ascii="Courier New" w:cs="Courier New" w:eastAsia="Courier New" w:hAnsi="Courier New"/>
          <w:sz w:val="15"/>
          <w:szCs w:val="15"/>
          <w:color w:val="auto"/>
        </w:rPr>
        <w:t>NETHERLANDS ANTILLES) AND SUBSIDIARY COMPANIES</w:t>
      </w:r>
    </w:p>
    <w:p>
      <w:pPr>
        <w:spacing w:after="0" w:line="140"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CONSOLIDATED STATEMENT OF STOCKHOLDERS' EQUITY</w:t>
      </w:r>
    </w:p>
    <w:p>
      <w:pPr>
        <w:spacing w:after="0" w:line="24"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6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220" w:type="dxa"/>
            <w:vAlign w:val="bottom"/>
            <w:gridSpan w:val="5"/>
          </w:tcPr>
          <w:p>
            <w:pPr>
              <w:ind w:left="80"/>
              <w:spacing w:after="0"/>
              <w:rPr>
                <w:sz w:val="20"/>
                <w:szCs w:val="20"/>
                <w:color w:val="auto"/>
              </w:rPr>
            </w:pPr>
            <w:r>
              <w:rPr>
                <w:rFonts w:ascii="Courier New" w:cs="Courier New" w:eastAsia="Courier New" w:hAnsi="Courier New"/>
                <w:sz w:val="15"/>
                <w:szCs w:val="15"/>
                <w:color w:val="auto"/>
                <w:w w:val="96"/>
              </w:rPr>
              <w:t>(Dollar amounts stated in thousands)</w:t>
            </w:r>
          </w:p>
        </w:tc>
        <w:tc>
          <w:tcPr>
            <w:tcW w:w="0" w:type="dxa"/>
            <w:vAlign w:val="bottom"/>
          </w:tcPr>
          <w:p>
            <w:pPr>
              <w:spacing w:after="0"/>
              <w:rPr>
                <w:sz w:val="1"/>
                <w:szCs w:val="1"/>
                <w:color w:val="auto"/>
              </w:rPr>
            </w:pPr>
          </w:p>
        </w:tc>
      </w:tr>
      <w:tr>
        <w:trPr>
          <w:trHeight w:val="259"/>
        </w:trPr>
        <w:tc>
          <w:tcPr>
            <w:tcW w:w="26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2280" w:type="dxa"/>
            <w:vAlign w:val="bottom"/>
            <w:gridSpan w:val="2"/>
            <w:vMerge w:val="restart"/>
          </w:tcPr>
          <w:p>
            <w:pPr>
              <w:jc w:val="right"/>
              <w:ind w:right="715"/>
              <w:spacing w:after="0"/>
              <w:rPr>
                <w:sz w:val="20"/>
                <w:szCs w:val="20"/>
                <w:color w:val="auto"/>
              </w:rPr>
            </w:pPr>
            <w:r>
              <w:rPr>
                <w:rFonts w:ascii="Courier New" w:cs="Courier New" w:eastAsia="Courier New" w:hAnsi="Courier New"/>
                <w:sz w:val="15"/>
                <w:szCs w:val="15"/>
                <w:color w:val="auto"/>
              </w:rPr>
              <w:t>Common Stock</w:t>
            </w:r>
          </w:p>
        </w:tc>
        <w:tc>
          <w:tcPr>
            <w:tcW w:w="1040" w:type="dxa"/>
            <w:vAlign w:val="bottom"/>
          </w:tcPr>
          <w:p>
            <w:pPr>
              <w:spacing w:after="0"/>
              <w:rPr>
                <w:sz w:val="22"/>
                <w:szCs w:val="22"/>
                <w:color w:val="auto"/>
              </w:rPr>
            </w:pPr>
          </w:p>
        </w:tc>
        <w:tc>
          <w:tcPr>
            <w:tcW w:w="4280" w:type="dxa"/>
            <w:vAlign w:val="bottom"/>
            <w:gridSpan w:val="6"/>
          </w:tcPr>
          <w:p>
            <w:pPr>
              <w:jc w:val="right"/>
              <w:ind w:right="787"/>
              <w:spacing w:after="0"/>
              <w:rPr>
                <w:sz w:val="20"/>
                <w:szCs w:val="20"/>
                <w:color w:val="auto"/>
              </w:rPr>
            </w:pPr>
            <w:r>
              <w:rPr>
                <w:rFonts w:ascii="Courier New" w:cs="Courier New" w:eastAsia="Courier New" w:hAnsi="Courier New"/>
                <w:sz w:val="15"/>
                <w:szCs w:val="15"/>
                <w:color w:val="auto"/>
              </w:rPr>
              <w:t>Accumulated Other Comprehensive</w:t>
            </w:r>
          </w:p>
        </w:tc>
        <w:tc>
          <w:tcPr>
            <w:tcW w:w="0" w:type="dxa"/>
            <w:vAlign w:val="bottom"/>
          </w:tcPr>
          <w:p>
            <w:pPr>
              <w:spacing w:after="0"/>
              <w:rPr>
                <w:sz w:val="1"/>
                <w:szCs w:val="1"/>
                <w:color w:val="auto"/>
              </w:rPr>
            </w:pPr>
          </w:p>
        </w:tc>
      </w:tr>
      <w:tr>
        <w:trPr>
          <w:trHeight w:val="168"/>
        </w:trPr>
        <w:tc>
          <w:tcPr>
            <w:tcW w:w="26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280" w:type="dxa"/>
            <w:vAlign w:val="bottom"/>
            <w:gridSpan w:val="2"/>
            <w:vMerge w:val="continue"/>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2"/>
          </w:tcPr>
          <w:p>
            <w:pPr>
              <w:jc w:val="right"/>
              <w:ind w:right="52"/>
              <w:spacing w:after="0" w:line="168" w:lineRule="exact"/>
              <w:rPr>
                <w:sz w:val="20"/>
                <w:szCs w:val="20"/>
                <w:color w:val="auto"/>
              </w:rPr>
            </w:pPr>
            <w:r>
              <w:rPr>
                <w:rFonts w:ascii="Courier New" w:cs="Courier New" w:eastAsia="Courier New" w:hAnsi="Courier New"/>
                <w:sz w:val="15"/>
                <w:szCs w:val="15"/>
                <w:color w:val="auto"/>
              </w:rPr>
              <w:t>Income</w:t>
            </w: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640" w:type="dxa"/>
            <w:vAlign w:val="bottom"/>
          </w:tcPr>
          <w:p>
            <w:pPr>
              <w:spacing w:after="0"/>
              <w:rPr>
                <w:sz w:val="14"/>
                <w:szCs w:val="14"/>
                <w:color w:val="auto"/>
              </w:rPr>
            </w:pPr>
          </w:p>
        </w:tc>
        <w:tc>
          <w:tcPr>
            <w:tcW w:w="2320" w:type="dxa"/>
            <w:vAlign w:val="bottom"/>
            <w:gridSpan w:val="2"/>
            <w:vMerge w:val="restart"/>
          </w:tcPr>
          <w:p>
            <w:pPr>
              <w:jc w:val="right"/>
              <w:spacing w:after="0"/>
              <w:rPr>
                <w:sz w:val="20"/>
                <w:szCs w:val="20"/>
                <w:color w:val="auto"/>
              </w:rPr>
            </w:pPr>
            <w:r>
              <w:rPr>
                <w:rFonts w:ascii="Courier New" w:cs="Courier New" w:eastAsia="Courier New" w:hAnsi="Courier New"/>
                <w:sz w:val="9"/>
                <w:szCs w:val="9"/>
                <w:color w:val="auto"/>
                <w:w w:val="77"/>
              </w:rPr>
              <w:t>-------------------------------------------------</w:t>
            </w:r>
            <w:r>
              <w:rPr>
                <w:rFonts w:ascii="Courier New" w:cs="Courier New" w:eastAsia="Courier New" w:hAnsi="Courier New"/>
                <w:sz w:val="14"/>
                <w:szCs w:val="14"/>
                <w:color w:val="auto"/>
                <w:w w:val="77"/>
                <w:vertAlign w:val="subscript"/>
              </w:rPr>
              <w:t>Issued</w:t>
            </w:r>
          </w:p>
        </w:tc>
        <w:tc>
          <w:tcPr>
            <w:tcW w:w="1260" w:type="dxa"/>
            <w:vAlign w:val="bottom"/>
            <w:vMerge w:val="restart"/>
          </w:tcPr>
          <w:p>
            <w:pPr>
              <w:jc w:val="right"/>
              <w:ind w:right="195"/>
              <w:spacing w:after="0"/>
              <w:rPr>
                <w:sz w:val="20"/>
                <w:szCs w:val="20"/>
                <w:color w:val="auto"/>
              </w:rPr>
            </w:pPr>
            <w:r>
              <w:rPr>
                <w:rFonts w:ascii="Courier New" w:cs="Courier New" w:eastAsia="Courier New" w:hAnsi="Courier New"/>
                <w:sz w:val="15"/>
                <w:szCs w:val="15"/>
                <w:color w:val="auto"/>
                <w:w w:val="98"/>
              </w:rPr>
              <w:t>In Treasury</w:t>
            </w:r>
          </w:p>
        </w:tc>
        <w:tc>
          <w:tcPr>
            <w:tcW w:w="1040" w:type="dxa"/>
            <w:vAlign w:val="bottom"/>
          </w:tcPr>
          <w:p>
            <w:pPr>
              <w:spacing w:after="0"/>
              <w:rPr>
                <w:sz w:val="14"/>
                <w:szCs w:val="14"/>
                <w:color w:val="auto"/>
              </w:rPr>
            </w:pPr>
          </w:p>
        </w:tc>
        <w:tc>
          <w:tcPr>
            <w:tcW w:w="4280" w:type="dxa"/>
            <w:vAlign w:val="bottom"/>
            <w:gridSpan w:val="6"/>
          </w:tcPr>
          <w:p>
            <w:pPr>
              <w:jc w:val="right"/>
              <w:ind w:right="86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2640" w:type="dxa"/>
            <w:vAlign w:val="bottom"/>
          </w:tcPr>
          <w:p>
            <w:pPr>
              <w:spacing w:after="0"/>
              <w:rPr>
                <w:sz w:val="14"/>
                <w:szCs w:val="14"/>
                <w:color w:val="auto"/>
              </w:rPr>
            </w:pPr>
          </w:p>
        </w:tc>
        <w:tc>
          <w:tcPr>
            <w:tcW w:w="1300" w:type="dxa"/>
            <w:vAlign w:val="bottom"/>
            <w:vMerge w:val="continue"/>
          </w:tcPr>
          <w:p>
            <w:pPr>
              <w:spacing w:after="0"/>
              <w:rPr>
                <w:sz w:val="14"/>
                <w:szCs w:val="14"/>
                <w:color w:val="auto"/>
              </w:rPr>
            </w:pPr>
          </w:p>
        </w:tc>
        <w:tc>
          <w:tcPr>
            <w:tcW w:w="102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4"/>
              </w:rPr>
              <w:t>Retained</w:t>
            </w:r>
          </w:p>
        </w:tc>
        <w:tc>
          <w:tcPr>
            <w:tcW w:w="9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Marked to</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Translation</w:t>
            </w:r>
          </w:p>
        </w:tc>
        <w:tc>
          <w:tcPr>
            <w:tcW w:w="1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Comprehensive</w:t>
            </w:r>
          </w:p>
        </w:tc>
        <w:tc>
          <w:tcPr>
            <w:tcW w:w="0" w:type="dxa"/>
            <w:vAlign w:val="bottom"/>
          </w:tcPr>
          <w:p>
            <w:pPr>
              <w:spacing w:after="0"/>
              <w:rPr>
                <w:sz w:val="1"/>
                <w:szCs w:val="1"/>
                <w:color w:val="auto"/>
              </w:rPr>
            </w:pPr>
          </w:p>
        </w:tc>
      </w:tr>
      <w:tr>
        <w:trPr>
          <w:trHeight w:val="168"/>
        </w:trPr>
        <w:tc>
          <w:tcPr>
            <w:tcW w:w="2640" w:type="dxa"/>
            <w:vAlign w:val="bottom"/>
          </w:tcPr>
          <w:p>
            <w:pPr>
              <w:spacing w:after="0"/>
              <w:rPr>
                <w:sz w:val="14"/>
                <w:szCs w:val="14"/>
                <w:color w:val="auto"/>
              </w:rPr>
            </w:pPr>
          </w:p>
        </w:tc>
        <w:tc>
          <w:tcPr>
            <w:tcW w:w="4620" w:type="dxa"/>
            <w:vAlign w:val="bottom"/>
            <w:gridSpan w:val="4"/>
          </w:tcPr>
          <w:p>
            <w:pPr>
              <w:jc w:val="right"/>
              <w:ind w:right="91"/>
              <w:spacing w:after="0" w:line="168" w:lineRule="exact"/>
              <w:rPr>
                <w:sz w:val="20"/>
                <w:szCs w:val="20"/>
                <w:color w:val="auto"/>
              </w:rPr>
            </w:pPr>
            <w:r>
              <w:rPr>
                <w:rFonts w:ascii="Courier New" w:cs="Courier New" w:eastAsia="Courier New" w:hAnsi="Courier New"/>
                <w:sz w:val="15"/>
                <w:szCs w:val="15"/>
                <w:color w:val="auto"/>
              </w:rPr>
              <w:t>------------------------ ------------------------</w:t>
            </w:r>
          </w:p>
        </w:tc>
        <w:tc>
          <w:tcPr>
            <w:tcW w:w="1060" w:type="dxa"/>
            <w:vAlign w:val="bottom"/>
            <w:vMerge w:val="restart"/>
          </w:tcPr>
          <w:p>
            <w:pPr>
              <w:jc w:val="right"/>
              <w:ind w:right="367"/>
              <w:spacing w:after="0"/>
              <w:rPr>
                <w:sz w:val="20"/>
                <w:szCs w:val="20"/>
                <w:color w:val="auto"/>
              </w:rPr>
            </w:pPr>
            <w:r>
              <w:rPr>
                <w:rFonts w:ascii="Courier New" w:cs="Courier New" w:eastAsia="Courier New" w:hAnsi="Courier New"/>
                <w:sz w:val="15"/>
                <w:szCs w:val="15"/>
                <w:color w:val="auto"/>
              </w:rPr>
              <w:t>Income</w:t>
            </w:r>
          </w:p>
        </w:tc>
        <w:tc>
          <w:tcPr>
            <w:tcW w:w="960" w:type="dxa"/>
            <w:vAlign w:val="bottom"/>
            <w:gridSpan w:val="2"/>
            <w:vMerge w:val="restart"/>
          </w:tcPr>
          <w:p>
            <w:pPr>
              <w:ind w:left="80"/>
              <w:spacing w:after="0"/>
              <w:rPr>
                <w:sz w:val="20"/>
                <w:szCs w:val="20"/>
                <w:color w:val="auto"/>
              </w:rPr>
            </w:pPr>
            <w:r>
              <w:rPr>
                <w:rFonts w:ascii="Courier New" w:cs="Courier New" w:eastAsia="Courier New" w:hAnsi="Courier New"/>
                <w:sz w:val="15"/>
                <w:szCs w:val="15"/>
                <w:color w:val="auto"/>
              </w:rPr>
              <w:t>Market</w:t>
            </w:r>
          </w:p>
        </w:tc>
        <w:tc>
          <w:tcPr>
            <w:tcW w:w="1140" w:type="dxa"/>
            <w:vAlign w:val="bottom"/>
            <w:gridSpan w:val="2"/>
            <w:vMerge w:val="restart"/>
          </w:tcPr>
          <w:p>
            <w:pPr>
              <w:ind w:left="80"/>
              <w:spacing w:after="0"/>
              <w:rPr>
                <w:sz w:val="20"/>
                <w:szCs w:val="20"/>
                <w:color w:val="auto"/>
              </w:rPr>
            </w:pPr>
            <w:r>
              <w:rPr>
                <w:rFonts w:ascii="Courier New" w:cs="Courier New" w:eastAsia="Courier New" w:hAnsi="Courier New"/>
                <w:sz w:val="15"/>
                <w:szCs w:val="15"/>
                <w:color w:val="auto"/>
              </w:rPr>
              <w:t>Adjustment</w:t>
            </w:r>
          </w:p>
        </w:tc>
        <w:tc>
          <w:tcPr>
            <w:tcW w:w="1120" w:type="dxa"/>
            <w:vAlign w:val="bottom"/>
            <w:vMerge w:val="restart"/>
          </w:tcPr>
          <w:p>
            <w:pPr>
              <w:jc w:val="right"/>
              <w:ind w:right="267"/>
              <w:spacing w:after="0"/>
              <w:rPr>
                <w:sz w:val="20"/>
                <w:szCs w:val="20"/>
                <w:color w:val="auto"/>
              </w:rPr>
            </w:pPr>
            <w:r>
              <w:rPr>
                <w:rFonts w:ascii="Courier New" w:cs="Courier New" w:eastAsia="Courier New" w:hAnsi="Courier New"/>
                <w:sz w:val="15"/>
                <w:szCs w:val="15"/>
                <w:color w:val="auto"/>
              </w:rPr>
              <w:t>Income</w:t>
            </w:r>
          </w:p>
        </w:tc>
        <w:tc>
          <w:tcPr>
            <w:tcW w:w="0" w:type="dxa"/>
            <w:vAlign w:val="bottom"/>
          </w:tcPr>
          <w:p>
            <w:pPr>
              <w:spacing w:after="0"/>
              <w:rPr>
                <w:sz w:val="1"/>
                <w:szCs w:val="1"/>
                <w:color w:val="auto"/>
              </w:rPr>
            </w:pPr>
          </w:p>
        </w:tc>
      </w:tr>
      <w:tr>
        <w:trPr>
          <w:trHeight w:val="168"/>
        </w:trPr>
        <w:tc>
          <w:tcPr>
            <w:tcW w:w="2640" w:type="dxa"/>
            <w:vAlign w:val="bottom"/>
          </w:tcPr>
          <w:p>
            <w:pPr>
              <w:spacing w:after="0"/>
              <w:rPr>
                <w:sz w:val="14"/>
                <w:szCs w:val="14"/>
                <w:color w:val="auto"/>
              </w:rPr>
            </w:pPr>
          </w:p>
        </w:tc>
        <w:tc>
          <w:tcPr>
            <w:tcW w:w="1300" w:type="dxa"/>
            <w:vAlign w:val="bottom"/>
          </w:tcPr>
          <w:p>
            <w:pPr>
              <w:jc w:val="right"/>
              <w:ind w:right="377"/>
              <w:spacing w:after="0" w:line="168" w:lineRule="exact"/>
              <w:rPr>
                <w:sz w:val="20"/>
                <w:szCs w:val="20"/>
                <w:color w:val="auto"/>
              </w:rPr>
            </w:pPr>
            <w:r>
              <w:rPr>
                <w:rFonts w:ascii="Courier New" w:cs="Courier New" w:eastAsia="Courier New" w:hAnsi="Courier New"/>
                <w:sz w:val="15"/>
                <w:szCs w:val="15"/>
                <w:color w:val="auto"/>
              </w:rPr>
              <w:t>Shares</w:t>
            </w:r>
          </w:p>
        </w:tc>
        <w:tc>
          <w:tcPr>
            <w:tcW w:w="10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Amount</w:t>
            </w:r>
          </w:p>
        </w:tc>
        <w:tc>
          <w:tcPr>
            <w:tcW w:w="1260" w:type="dxa"/>
            <w:vAlign w:val="bottom"/>
          </w:tcPr>
          <w:p>
            <w:pPr>
              <w:jc w:val="right"/>
              <w:ind w:right="455"/>
              <w:spacing w:after="0" w:line="168" w:lineRule="exact"/>
              <w:rPr>
                <w:sz w:val="20"/>
                <w:szCs w:val="20"/>
                <w:color w:val="auto"/>
              </w:rPr>
            </w:pPr>
            <w:r>
              <w:rPr>
                <w:rFonts w:ascii="Courier New" w:cs="Courier New" w:eastAsia="Courier New" w:hAnsi="Courier New"/>
                <w:sz w:val="15"/>
                <w:szCs w:val="15"/>
                <w:color w:val="auto"/>
              </w:rPr>
              <w:t>Shares</w:t>
            </w:r>
          </w:p>
        </w:tc>
        <w:tc>
          <w:tcPr>
            <w:tcW w:w="1040" w:type="dxa"/>
            <w:vAlign w:val="bottom"/>
          </w:tcPr>
          <w:p>
            <w:pPr>
              <w:jc w:val="right"/>
              <w:ind w:right="451"/>
              <w:spacing w:after="0" w:line="168" w:lineRule="exact"/>
              <w:rPr>
                <w:sz w:val="20"/>
                <w:szCs w:val="20"/>
                <w:color w:val="auto"/>
              </w:rPr>
            </w:pPr>
            <w:r>
              <w:rPr>
                <w:rFonts w:ascii="Courier New" w:cs="Courier New" w:eastAsia="Courier New" w:hAnsi="Courier New"/>
                <w:sz w:val="15"/>
                <w:szCs w:val="15"/>
                <w:color w:val="auto"/>
                <w:w w:val="92"/>
              </w:rPr>
              <w:t>Amount</w:t>
            </w:r>
          </w:p>
        </w:tc>
        <w:tc>
          <w:tcPr>
            <w:tcW w:w="1060" w:type="dxa"/>
            <w:vAlign w:val="bottom"/>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2640" w:type="dxa"/>
            <w:vAlign w:val="bottom"/>
          </w:tcPr>
          <w:p>
            <w:pPr>
              <w:spacing w:after="0"/>
              <w:rPr>
                <w:sz w:val="21"/>
                <w:szCs w:val="21"/>
                <w:color w:val="auto"/>
              </w:rPr>
            </w:pPr>
          </w:p>
        </w:tc>
        <w:tc>
          <w:tcPr>
            <w:tcW w:w="8900" w:type="dxa"/>
            <w:vAlign w:val="bottom"/>
            <w:gridSpan w:val="10"/>
          </w:tcPr>
          <w:p>
            <w:pPr>
              <w:jc w:val="right"/>
              <w:spacing w:after="0"/>
              <w:rPr>
                <w:sz w:val="20"/>
                <w:szCs w:val="20"/>
                <w:color w:val="auto"/>
              </w:rPr>
            </w:pPr>
            <w:r>
              <w:rPr>
                <w:rFonts w:ascii="Courier New" w:cs="Courier New" w:eastAsia="Courier New" w:hAnsi="Courier New"/>
                <w:sz w:val="15"/>
                <w:szCs w:val="15"/>
                <w:color w:val="auto"/>
                <w:w w:val="98"/>
              </w:rPr>
              <w:t>------------------------ ------------------------ ------------------------ ------------ ------------</w:t>
            </w:r>
          </w:p>
        </w:tc>
        <w:tc>
          <w:tcPr>
            <w:tcW w:w="0" w:type="dxa"/>
            <w:vAlign w:val="bottom"/>
          </w:tcPr>
          <w:p>
            <w:pPr>
              <w:spacing w:after="0"/>
              <w:rPr>
                <w:sz w:val="1"/>
                <w:szCs w:val="1"/>
                <w:color w:val="auto"/>
              </w:rPr>
            </w:pPr>
          </w:p>
        </w:tc>
      </w:tr>
      <w:tr>
        <w:trPr>
          <w:trHeight w:val="259"/>
        </w:trPr>
        <w:tc>
          <w:tcPr>
            <w:tcW w:w="2640" w:type="dxa"/>
            <w:vAlign w:val="bottom"/>
          </w:tcPr>
          <w:p>
            <w:pPr>
              <w:spacing w:after="0"/>
              <w:rPr>
                <w:sz w:val="20"/>
                <w:szCs w:val="20"/>
                <w:color w:val="auto"/>
              </w:rPr>
            </w:pPr>
            <w:r>
              <w:rPr>
                <w:rFonts w:ascii="Courier New" w:cs="Courier New" w:eastAsia="Courier New" w:hAnsi="Courier New"/>
                <w:sz w:val="15"/>
                <w:szCs w:val="15"/>
                <w:color w:val="auto"/>
              </w:rPr>
              <w:t>Balance, January 1, 1999</w:t>
            </w:r>
          </w:p>
        </w:tc>
        <w:tc>
          <w:tcPr>
            <w:tcW w:w="1300" w:type="dxa"/>
            <w:vAlign w:val="bottom"/>
          </w:tcPr>
          <w:p>
            <w:pPr>
              <w:jc w:val="right"/>
              <w:ind w:right="17"/>
              <w:spacing w:after="0"/>
              <w:rPr>
                <w:sz w:val="20"/>
                <w:szCs w:val="20"/>
                <w:color w:val="auto"/>
              </w:rPr>
            </w:pPr>
            <w:r>
              <w:rPr>
                <w:rFonts w:ascii="Courier New" w:cs="Courier New" w:eastAsia="Courier New" w:hAnsi="Courier New"/>
                <w:sz w:val="15"/>
                <w:szCs w:val="15"/>
                <w:color w:val="auto"/>
              </w:rPr>
              <w:t>665,701,858</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w w:val="94"/>
              </w:rPr>
              <w:t>$ 1,539,408</w:t>
            </w:r>
          </w:p>
        </w:tc>
        <w:tc>
          <w:tcPr>
            <w:tcW w:w="1260" w:type="dxa"/>
            <w:vAlign w:val="bottom"/>
          </w:tcPr>
          <w:p>
            <w:pPr>
              <w:jc w:val="right"/>
              <w:ind w:right="15"/>
              <w:spacing w:after="0"/>
              <w:rPr>
                <w:sz w:val="20"/>
                <w:szCs w:val="20"/>
                <w:color w:val="auto"/>
              </w:rPr>
            </w:pPr>
            <w:r>
              <w:rPr>
                <w:rFonts w:ascii="Courier New" w:cs="Courier New" w:eastAsia="Courier New" w:hAnsi="Courier New"/>
                <w:sz w:val="15"/>
                <w:szCs w:val="15"/>
                <w:color w:val="auto"/>
              </w:rPr>
              <w:t>(119,567,982</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w w:val="94"/>
              </w:rPr>
              <w:t>$(2,221,308)</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$8,882,455</w:t>
            </w:r>
          </w:p>
        </w:tc>
        <w:tc>
          <w:tcPr>
            <w:tcW w:w="22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jc w:val="right"/>
              <w:ind w:right="52"/>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(81,480)</w:t>
            </w:r>
          </w:p>
        </w:tc>
        <w:tc>
          <w:tcPr>
            <w:tcW w:w="1120" w:type="dxa"/>
            <w:vAlign w:val="bottom"/>
          </w:tcPr>
          <w:p>
            <w:pPr>
              <w:jc w:val="right"/>
              <w:ind w:right="7"/>
              <w:spacing w:after="0"/>
              <w:rPr>
                <w:sz w:val="20"/>
                <w:szCs w:val="20"/>
                <w:color w:val="auto"/>
              </w:rPr>
            </w:pPr>
            <w:r>
              <w:rPr>
                <w:rFonts w:ascii="Courier New" w:cs="Courier New" w:eastAsia="Courier New" w:hAnsi="Courier New"/>
                <w:sz w:val="15"/>
                <w:szCs w:val="15"/>
                <w:color w:val="auto"/>
              </w:rPr>
              <w:t>$ 996,051</w:t>
            </w:r>
          </w:p>
        </w:tc>
        <w:tc>
          <w:tcPr>
            <w:tcW w:w="0" w:type="dxa"/>
            <w:vAlign w:val="bottom"/>
          </w:tcPr>
          <w:p>
            <w:pPr>
              <w:spacing w:after="0"/>
              <w:rPr>
                <w:sz w:val="1"/>
                <w:szCs w:val="1"/>
                <w:color w:val="auto"/>
              </w:rPr>
            </w:pPr>
          </w:p>
        </w:tc>
      </w:tr>
      <w:tr>
        <w:trPr>
          <w:trHeight w:val="168"/>
        </w:trPr>
        <w:tc>
          <w:tcPr>
            <w:tcW w:w="2640" w:type="dxa"/>
            <w:vAlign w:val="bottom"/>
            <w:vMerge w:val="restart"/>
          </w:tcPr>
          <w:p>
            <w:pPr>
              <w:spacing w:after="0"/>
              <w:rPr>
                <w:sz w:val="20"/>
                <w:szCs w:val="20"/>
                <w:color w:val="auto"/>
              </w:rPr>
            </w:pPr>
            <w:r>
              <w:rPr>
                <w:rFonts w:ascii="Courier New" w:cs="Courier New" w:eastAsia="Courier New" w:hAnsi="Courier New"/>
                <w:sz w:val="15"/>
                <w:szCs w:val="15"/>
                <w:color w:val="auto"/>
              </w:rPr>
              <w:t>Translation adjustment</w:t>
            </w:r>
          </w:p>
        </w:tc>
        <w:tc>
          <w:tcPr>
            <w:tcW w:w="1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(55,678)</w:t>
            </w:r>
          </w:p>
        </w:tc>
        <w:tc>
          <w:tcPr>
            <w:tcW w:w="1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2640" w:type="dxa"/>
            <w:vAlign w:val="bottom"/>
            <w:vMerge w:val="continue"/>
          </w:tcPr>
          <w:p>
            <w:pPr>
              <w:spacing w:after="0"/>
              <w:rPr>
                <w:sz w:val="14"/>
                <w:szCs w:val="14"/>
                <w:color w:val="auto"/>
              </w:rPr>
            </w:pPr>
          </w:p>
        </w:tc>
        <w:tc>
          <w:tcPr>
            <w:tcW w:w="1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(55,678)</w:t>
            </w:r>
          </w:p>
        </w:tc>
        <w:tc>
          <w:tcPr>
            <w:tcW w:w="0" w:type="dxa"/>
            <w:vAlign w:val="bottom"/>
          </w:tcPr>
          <w:p>
            <w:pPr>
              <w:spacing w:after="0"/>
              <w:rPr>
                <w:sz w:val="1"/>
                <w:szCs w:val="1"/>
                <w:color w:val="auto"/>
              </w:rPr>
            </w:pP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rPr>
              <w:t>Sales to optionees less</w:t>
            </w:r>
          </w:p>
        </w:tc>
        <w:tc>
          <w:tcPr>
            <w:tcW w:w="1300" w:type="dxa"/>
            <w:vAlign w:val="bottom"/>
            <w:vMerge w:val="restart"/>
          </w:tcPr>
          <w:p>
            <w:pPr>
              <w:jc w:val="right"/>
              <w:ind w:right="17"/>
              <w:spacing w:after="0"/>
              <w:rPr>
                <w:sz w:val="20"/>
                <w:szCs w:val="20"/>
                <w:color w:val="auto"/>
              </w:rPr>
            </w:pPr>
            <w:r>
              <w:rPr>
                <w:rFonts w:ascii="Courier New" w:cs="Courier New" w:eastAsia="Courier New" w:hAnsi="Courier New"/>
                <w:sz w:val="15"/>
                <w:szCs w:val="15"/>
                <w:color w:val="auto"/>
              </w:rPr>
              <w:t>28,100</w:t>
            </w:r>
          </w:p>
        </w:tc>
        <w:tc>
          <w:tcPr>
            <w:tcW w:w="10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41,931</w:t>
            </w:r>
          </w:p>
        </w:tc>
        <w:tc>
          <w:tcPr>
            <w:tcW w:w="1260" w:type="dxa"/>
            <w:vAlign w:val="bottom"/>
            <w:vMerge w:val="restart"/>
          </w:tcPr>
          <w:p>
            <w:pPr>
              <w:jc w:val="right"/>
              <w:ind w:right="115"/>
              <w:spacing w:after="0"/>
              <w:rPr>
                <w:sz w:val="20"/>
                <w:szCs w:val="20"/>
                <w:color w:val="auto"/>
              </w:rPr>
            </w:pPr>
            <w:r>
              <w:rPr>
                <w:rFonts w:ascii="Courier New" w:cs="Courier New" w:eastAsia="Courier New" w:hAnsi="Courier New"/>
                <w:sz w:val="15"/>
                <w:szCs w:val="15"/>
                <w:color w:val="auto"/>
              </w:rPr>
              <w:t>3,291,288</w:t>
            </w:r>
          </w:p>
        </w:tc>
        <w:tc>
          <w:tcPr>
            <w:tcW w:w="1040" w:type="dxa"/>
            <w:vAlign w:val="bottom"/>
            <w:vMerge w:val="restart"/>
          </w:tcPr>
          <w:p>
            <w:pPr>
              <w:jc w:val="right"/>
              <w:ind w:right="91"/>
              <w:spacing w:after="0"/>
              <w:rPr>
                <w:sz w:val="20"/>
                <w:szCs w:val="20"/>
                <w:color w:val="auto"/>
              </w:rPr>
            </w:pPr>
            <w:r>
              <w:rPr>
                <w:rFonts w:ascii="Courier New" w:cs="Courier New" w:eastAsia="Courier New" w:hAnsi="Courier New"/>
                <w:sz w:val="15"/>
                <w:szCs w:val="15"/>
                <w:color w:val="auto"/>
              </w:rPr>
              <w:t>61,153</w:t>
            </w: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6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shares exchanged</w:t>
            </w:r>
          </w:p>
        </w:tc>
        <w:tc>
          <w:tcPr>
            <w:tcW w:w="130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rPr>
              <w:t>Employee stock purchase plan</w:t>
            </w:r>
          </w:p>
        </w:tc>
        <w:tc>
          <w:tcPr>
            <w:tcW w:w="1300" w:type="dxa"/>
            <w:vAlign w:val="bottom"/>
          </w:tcPr>
          <w:p>
            <w:pPr>
              <w:jc w:val="right"/>
              <w:ind w:right="17"/>
              <w:spacing w:after="0" w:line="168" w:lineRule="exact"/>
              <w:rPr>
                <w:sz w:val="20"/>
                <w:szCs w:val="20"/>
                <w:color w:val="auto"/>
              </w:rPr>
            </w:pPr>
            <w:r>
              <w:rPr>
                <w:rFonts w:ascii="Courier New" w:cs="Courier New" w:eastAsia="Courier New" w:hAnsi="Courier New"/>
                <w:sz w:val="15"/>
                <w:szCs w:val="15"/>
                <w:color w:val="auto"/>
              </w:rPr>
              <w:t>1,324,848</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70,765</w:t>
            </w:r>
          </w:p>
        </w:tc>
        <w:tc>
          <w:tcPr>
            <w:tcW w:w="1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366,694</w:t>
            </w: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366,694</w:t>
            </w:r>
          </w:p>
        </w:tc>
        <w:tc>
          <w:tcPr>
            <w:tcW w:w="0" w:type="dxa"/>
            <w:vAlign w:val="bottom"/>
          </w:tcPr>
          <w:p>
            <w:pPr>
              <w:spacing w:after="0"/>
              <w:rPr>
                <w:sz w:val="1"/>
                <w:szCs w:val="1"/>
                <w:color w:val="auto"/>
              </w:rPr>
            </w:pP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w:t>
            </w:r>
          </w:p>
        </w:tc>
        <w:tc>
          <w:tcPr>
            <w:tcW w:w="1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9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Dividends declared ($0.75 per share)</w:t>
            </w: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(414,210)</w:t>
            </w: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rPr>
              <w:t>Sedco Forex spin-off</w:t>
            </w:r>
          </w:p>
        </w:tc>
        <w:tc>
          <w:tcPr>
            <w:tcW w:w="130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168,082</w:t>
            </w:r>
          </w:p>
        </w:tc>
        <w:tc>
          <w:tcPr>
            <w:tcW w:w="1260" w:type="dxa"/>
            <w:vAlign w:val="bottom"/>
            <w:vMerge w:val="restart"/>
          </w:tcPr>
          <w:p>
            <w:pPr>
              <w:jc w:val="right"/>
              <w:ind w:right="115"/>
              <w:spacing w:after="0"/>
              <w:rPr>
                <w:sz w:val="20"/>
                <w:szCs w:val="20"/>
                <w:color w:val="auto"/>
              </w:rPr>
            </w:pPr>
            <w:r>
              <w:rPr>
                <w:rFonts w:ascii="Courier New" w:cs="Courier New" w:eastAsia="Courier New" w:hAnsi="Courier New"/>
                <w:sz w:val="15"/>
                <w:szCs w:val="15"/>
                <w:color w:val="auto"/>
              </w:rPr>
              <w:t>15,153,018</w:t>
            </w:r>
          </w:p>
        </w:tc>
        <w:tc>
          <w:tcPr>
            <w:tcW w:w="1040" w:type="dxa"/>
            <w:vAlign w:val="bottom"/>
            <w:vMerge w:val="restart"/>
          </w:tcPr>
          <w:p>
            <w:pPr>
              <w:jc w:val="right"/>
              <w:ind w:right="91"/>
              <w:spacing w:after="0"/>
              <w:rPr>
                <w:sz w:val="20"/>
                <w:szCs w:val="20"/>
                <w:color w:val="auto"/>
              </w:rPr>
            </w:pPr>
            <w:r>
              <w:rPr>
                <w:rFonts w:ascii="Courier New" w:cs="Courier New" w:eastAsia="Courier New" w:hAnsi="Courier New"/>
                <w:sz w:val="15"/>
                <w:szCs w:val="15"/>
                <w:color w:val="auto"/>
              </w:rPr>
              <w:t>281,543</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(918,327)</w:t>
            </w: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rPr>
              <w:t>Exercise of stock warrants</w:t>
            </w:r>
          </w:p>
        </w:tc>
        <w:tc>
          <w:tcPr>
            <w:tcW w:w="130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2640" w:type="dxa"/>
            <w:vAlign w:val="bottom"/>
            <w:vMerge w:val="restart"/>
          </w:tcPr>
          <w:p>
            <w:pPr>
              <w:spacing w:after="0"/>
              <w:rPr>
                <w:sz w:val="20"/>
                <w:szCs w:val="20"/>
                <w:color w:val="auto"/>
              </w:rPr>
            </w:pPr>
            <w:r>
              <w:rPr>
                <w:rFonts w:ascii="Courier New" w:cs="Courier New" w:eastAsia="Courier New" w:hAnsi="Courier New"/>
                <w:sz w:val="15"/>
                <w:szCs w:val="15"/>
                <w:color w:val="auto"/>
              </w:rPr>
              <w:t>Balance, December 31, 1999</w:t>
            </w:r>
          </w:p>
        </w:tc>
        <w:tc>
          <w:tcPr>
            <w:tcW w:w="1300" w:type="dxa"/>
            <w:vAlign w:val="bottom"/>
            <w:vMerge w:val="restart"/>
          </w:tcPr>
          <w:p>
            <w:pPr>
              <w:ind w:left="160"/>
              <w:spacing w:after="0"/>
              <w:rPr>
                <w:sz w:val="20"/>
                <w:szCs w:val="20"/>
                <w:color w:val="auto"/>
              </w:rPr>
            </w:pPr>
            <w:r>
              <w:rPr>
                <w:rFonts w:ascii="Courier New" w:cs="Courier New" w:eastAsia="Courier New" w:hAnsi="Courier New"/>
                <w:sz w:val="8"/>
                <w:szCs w:val="8"/>
                <w:color w:val="auto"/>
                <w:w w:val="70"/>
              </w:rPr>
              <w:t>------------------------</w:t>
            </w:r>
            <w:r>
              <w:rPr>
                <w:rFonts w:ascii="Courier New" w:cs="Courier New" w:eastAsia="Courier New" w:hAnsi="Courier New"/>
                <w:sz w:val="10"/>
                <w:szCs w:val="10"/>
                <w:color w:val="auto"/>
                <w:w w:val="70"/>
                <w:vertAlign w:val="subscript"/>
              </w:rPr>
              <w:t>667,054,806</w:t>
            </w:r>
          </w:p>
        </w:tc>
        <w:tc>
          <w:tcPr>
            <w:tcW w:w="10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1,820,186</w:t>
            </w:r>
          </w:p>
        </w:tc>
        <w:tc>
          <w:tcPr>
            <w:tcW w:w="2300" w:type="dxa"/>
            <w:vAlign w:val="bottom"/>
            <w:gridSpan w:val="2"/>
            <w:vMerge w:val="restart"/>
          </w:tcPr>
          <w:p>
            <w:pPr>
              <w:jc w:val="right"/>
              <w:spacing w:after="0"/>
              <w:rPr>
                <w:sz w:val="20"/>
                <w:szCs w:val="20"/>
                <w:color w:val="auto"/>
              </w:rPr>
            </w:pPr>
            <w:r>
              <w:rPr>
                <w:rFonts w:ascii="Courier New" w:cs="Courier New" w:eastAsia="Courier New" w:hAnsi="Courier New"/>
                <w:sz w:val="8"/>
                <w:szCs w:val="8"/>
                <w:color w:val="auto"/>
                <w:w w:val="71"/>
              </w:rPr>
              <w:t>------------------------</w:t>
            </w:r>
            <w:r>
              <w:rPr>
                <w:rFonts w:ascii="Courier New" w:cs="Courier New" w:eastAsia="Courier New" w:hAnsi="Courier New"/>
                <w:sz w:val="9"/>
                <w:szCs w:val="9"/>
                <w:color w:val="auto"/>
                <w:w w:val="71"/>
                <w:vertAlign w:val="subscript"/>
              </w:rPr>
              <w:t>(101,123,676)(1,878,612)</w:t>
            </w:r>
            <w:r>
              <w:rPr>
                <w:rFonts w:ascii="Courier New" w:cs="Courier New" w:eastAsia="Courier New" w:hAnsi="Courier New"/>
                <w:sz w:val="8"/>
                <w:szCs w:val="8"/>
                <w:color w:val="auto"/>
                <w:w w:val="71"/>
              </w:rPr>
              <w:t>------------------------</w:t>
            </w:r>
          </w:p>
        </w:tc>
        <w:tc>
          <w:tcPr>
            <w:tcW w:w="106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7,916,612</w:t>
            </w:r>
          </w:p>
        </w:tc>
        <w:tc>
          <w:tcPr>
            <w:tcW w:w="22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ind w:left="80"/>
              <w:spacing w:after="0"/>
              <w:rPr>
                <w:sz w:val="20"/>
                <w:szCs w:val="20"/>
                <w:color w:val="auto"/>
              </w:rPr>
            </w:pPr>
            <w:r>
              <w:rPr>
                <w:rFonts w:ascii="Courier New" w:cs="Courier New" w:eastAsia="Courier New" w:hAnsi="Courier New"/>
                <w:sz w:val="5"/>
                <w:szCs w:val="5"/>
                <w:color w:val="auto"/>
                <w:w w:val="72"/>
              </w:rPr>
              <w:t>------------</w:t>
            </w:r>
          </w:p>
        </w:tc>
        <w:tc>
          <w:tcPr>
            <w:tcW w:w="7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w w:val="93"/>
              </w:rPr>
              <w:t>(137,158)</w:t>
            </w: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640" w:type="dxa"/>
            <w:vAlign w:val="bottom"/>
            <w:vMerge w:val="continue"/>
          </w:tcPr>
          <w:p>
            <w:pPr>
              <w:spacing w:after="0"/>
              <w:rPr>
                <w:sz w:val="14"/>
                <w:szCs w:val="14"/>
                <w:color w:val="auto"/>
              </w:rPr>
            </w:pPr>
          </w:p>
        </w:tc>
        <w:tc>
          <w:tcPr>
            <w:tcW w:w="130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2300" w:type="dxa"/>
            <w:vAlign w:val="bottom"/>
            <w:gridSpan w:val="2"/>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$ 311,016</w:t>
            </w:r>
          </w:p>
        </w:tc>
        <w:tc>
          <w:tcPr>
            <w:tcW w:w="0" w:type="dxa"/>
            <w:vAlign w:val="bottom"/>
          </w:tcPr>
          <w:p>
            <w:pPr>
              <w:spacing w:after="0"/>
              <w:rPr>
                <w:sz w:val="1"/>
                <w:szCs w:val="1"/>
                <w:color w:val="auto"/>
              </w:rPr>
            </w:pPr>
          </w:p>
        </w:tc>
      </w:tr>
      <w:tr>
        <w:trPr>
          <w:trHeight w:val="168"/>
        </w:trPr>
        <w:tc>
          <w:tcPr>
            <w:tcW w:w="2640" w:type="dxa"/>
            <w:vAlign w:val="bottom"/>
            <w:vMerge w:val="restart"/>
          </w:tcPr>
          <w:p>
            <w:pPr>
              <w:spacing w:after="0"/>
              <w:rPr>
                <w:sz w:val="20"/>
                <w:szCs w:val="20"/>
                <w:color w:val="auto"/>
              </w:rPr>
            </w:pPr>
            <w:r>
              <w:rPr>
                <w:rFonts w:ascii="Courier New" w:cs="Courier New" w:eastAsia="Courier New" w:hAnsi="Courier New"/>
                <w:sz w:val="15"/>
                <w:szCs w:val="15"/>
                <w:color w:val="auto"/>
              </w:rPr>
              <w:t>Translation adjustment</w:t>
            </w:r>
          </w:p>
        </w:tc>
        <w:tc>
          <w:tcPr>
            <w:tcW w:w="1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(28,487)</w:t>
            </w:r>
          </w:p>
        </w:tc>
        <w:tc>
          <w:tcPr>
            <w:tcW w:w="1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2640" w:type="dxa"/>
            <w:vAlign w:val="bottom"/>
            <w:vMerge w:val="continue"/>
          </w:tcPr>
          <w:p>
            <w:pPr>
              <w:spacing w:after="0"/>
              <w:rPr>
                <w:sz w:val="14"/>
                <w:szCs w:val="14"/>
                <w:color w:val="auto"/>
              </w:rPr>
            </w:pPr>
          </w:p>
        </w:tc>
        <w:tc>
          <w:tcPr>
            <w:tcW w:w="1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(28,487)</w:t>
            </w:r>
          </w:p>
        </w:tc>
        <w:tc>
          <w:tcPr>
            <w:tcW w:w="0" w:type="dxa"/>
            <w:vAlign w:val="bottom"/>
          </w:tcPr>
          <w:p>
            <w:pPr>
              <w:spacing w:after="0"/>
              <w:rPr>
                <w:sz w:val="1"/>
                <w:szCs w:val="1"/>
                <w:color w:val="auto"/>
              </w:rPr>
            </w:pP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rPr>
              <w:t>Sales of businesses</w:t>
            </w:r>
          </w:p>
        </w:tc>
        <w:tc>
          <w:tcPr>
            <w:tcW w:w="1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26,441</w:t>
            </w: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26,441</w:t>
            </w:r>
          </w:p>
        </w:tc>
        <w:tc>
          <w:tcPr>
            <w:tcW w:w="0" w:type="dxa"/>
            <w:vAlign w:val="bottom"/>
          </w:tcPr>
          <w:p>
            <w:pPr>
              <w:spacing w:after="0"/>
              <w:rPr>
                <w:sz w:val="1"/>
                <w:szCs w:val="1"/>
                <w:color w:val="auto"/>
              </w:rPr>
            </w:pP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rPr>
              <w:t>Sales to optionees less</w:t>
            </w:r>
          </w:p>
        </w:tc>
        <w:tc>
          <w:tcPr>
            <w:tcW w:w="1300" w:type="dxa"/>
            <w:vAlign w:val="bottom"/>
            <w:vMerge w:val="restart"/>
          </w:tcPr>
          <w:p>
            <w:pPr>
              <w:jc w:val="right"/>
              <w:ind w:right="97"/>
              <w:spacing w:after="0"/>
              <w:rPr>
                <w:sz w:val="20"/>
                <w:szCs w:val="20"/>
                <w:color w:val="auto"/>
              </w:rPr>
            </w:pPr>
            <w:r>
              <w:rPr>
                <w:rFonts w:ascii="Courier New" w:cs="Courier New" w:eastAsia="Courier New" w:hAnsi="Courier New"/>
                <w:sz w:val="15"/>
                <w:szCs w:val="15"/>
                <w:color w:val="auto"/>
              </w:rPr>
              <w:t>30,987</w:t>
            </w:r>
          </w:p>
        </w:tc>
        <w:tc>
          <w:tcPr>
            <w:tcW w:w="102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61,224</w:t>
            </w:r>
          </w:p>
        </w:tc>
        <w:tc>
          <w:tcPr>
            <w:tcW w:w="1260" w:type="dxa"/>
            <w:vAlign w:val="bottom"/>
            <w:vMerge w:val="restart"/>
          </w:tcPr>
          <w:p>
            <w:pPr>
              <w:jc w:val="right"/>
              <w:ind w:right="195"/>
              <w:spacing w:after="0"/>
              <w:rPr>
                <w:sz w:val="20"/>
                <w:szCs w:val="20"/>
                <w:color w:val="auto"/>
              </w:rPr>
            </w:pPr>
            <w:r>
              <w:rPr>
                <w:rFonts w:ascii="Courier New" w:cs="Courier New" w:eastAsia="Courier New" w:hAnsi="Courier New"/>
                <w:sz w:val="15"/>
                <w:szCs w:val="15"/>
                <w:color w:val="auto"/>
              </w:rPr>
              <w:t>5,331,268</w:t>
            </w:r>
          </w:p>
        </w:tc>
        <w:tc>
          <w:tcPr>
            <w:tcW w:w="1040" w:type="dxa"/>
            <w:vAlign w:val="bottom"/>
            <w:vMerge w:val="restart"/>
          </w:tcPr>
          <w:p>
            <w:pPr>
              <w:jc w:val="right"/>
              <w:ind w:right="191"/>
              <w:spacing w:after="0"/>
              <w:rPr>
                <w:sz w:val="20"/>
                <w:szCs w:val="20"/>
                <w:color w:val="auto"/>
              </w:rPr>
            </w:pPr>
            <w:r>
              <w:rPr>
                <w:rFonts w:ascii="Courier New" w:cs="Courier New" w:eastAsia="Courier New" w:hAnsi="Courier New"/>
                <w:sz w:val="15"/>
                <w:szCs w:val="15"/>
                <w:color w:val="auto"/>
              </w:rPr>
              <w:t>99,057</w:t>
            </w: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6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shares exchanged</w:t>
            </w:r>
          </w:p>
        </w:tc>
        <w:tc>
          <w:tcPr>
            <w:tcW w:w="130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rPr>
              <w:t>Employee stock purchase plan</w:t>
            </w:r>
          </w:p>
        </w:tc>
        <w:tc>
          <w:tcPr>
            <w:tcW w:w="1300" w:type="dxa"/>
            <w:vAlign w:val="bottom"/>
          </w:tcPr>
          <w:p>
            <w:pPr>
              <w:spacing w:after="0"/>
              <w:rPr>
                <w:sz w:val="14"/>
                <w:szCs w:val="14"/>
                <w:color w:val="auto"/>
              </w:rPr>
            </w:pP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42,495</w:t>
            </w:r>
          </w:p>
        </w:tc>
        <w:tc>
          <w:tcPr>
            <w:tcW w:w="1260" w:type="dxa"/>
            <w:vAlign w:val="bottom"/>
          </w:tcPr>
          <w:p>
            <w:pPr>
              <w:jc w:val="right"/>
              <w:ind w:right="195"/>
              <w:spacing w:after="0" w:line="168" w:lineRule="exact"/>
              <w:rPr>
                <w:sz w:val="20"/>
                <w:szCs w:val="20"/>
                <w:color w:val="auto"/>
              </w:rPr>
            </w:pPr>
            <w:r>
              <w:rPr>
                <w:rFonts w:ascii="Courier New" w:cs="Courier New" w:eastAsia="Courier New" w:hAnsi="Courier New"/>
                <w:sz w:val="15"/>
                <w:szCs w:val="15"/>
                <w:color w:val="auto"/>
              </w:rPr>
              <w:t>1,431,309</w:t>
            </w:r>
          </w:p>
        </w:tc>
        <w:tc>
          <w:tcPr>
            <w:tcW w:w="1040" w:type="dxa"/>
            <w:vAlign w:val="bottom"/>
          </w:tcPr>
          <w:p>
            <w:pPr>
              <w:jc w:val="right"/>
              <w:ind w:right="191"/>
              <w:spacing w:after="0" w:line="168" w:lineRule="exact"/>
              <w:rPr>
                <w:sz w:val="20"/>
                <w:szCs w:val="20"/>
                <w:color w:val="auto"/>
              </w:rPr>
            </w:pPr>
            <w:r>
              <w:rPr>
                <w:rFonts w:ascii="Courier New" w:cs="Courier New" w:eastAsia="Courier New" w:hAnsi="Courier New"/>
                <w:sz w:val="15"/>
                <w:szCs w:val="15"/>
                <w:color w:val="auto"/>
              </w:rPr>
              <w:t>26,594</w:t>
            </w:r>
          </w:p>
        </w:tc>
        <w:tc>
          <w:tcPr>
            <w:tcW w:w="106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734,596</w:t>
            </w: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734,596</w:t>
            </w:r>
          </w:p>
        </w:tc>
        <w:tc>
          <w:tcPr>
            <w:tcW w:w="0" w:type="dxa"/>
            <w:vAlign w:val="bottom"/>
          </w:tcPr>
          <w:p>
            <w:pPr>
              <w:spacing w:after="0"/>
              <w:rPr>
                <w:sz w:val="1"/>
                <w:szCs w:val="1"/>
                <w:color w:val="auto"/>
              </w:rPr>
            </w:pP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w:t>
            </w:r>
          </w:p>
        </w:tc>
        <w:tc>
          <w:tcPr>
            <w:tcW w:w="1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9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Dividends declared ($0.75 per share)</w:t>
            </w:r>
          </w:p>
        </w:tc>
        <w:tc>
          <w:tcPr>
            <w:tcW w:w="102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40,000</w:t>
            </w:r>
          </w:p>
        </w:tc>
        <w:tc>
          <w:tcPr>
            <w:tcW w:w="1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(427,732)</w:t>
            </w: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rPr>
              <w:t>Tax benefit on stock options</w:t>
            </w:r>
          </w:p>
        </w:tc>
        <w:tc>
          <w:tcPr>
            <w:tcW w:w="130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1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2640" w:type="dxa"/>
            <w:vAlign w:val="bottom"/>
            <w:vMerge w:val="restart"/>
          </w:tcPr>
          <w:p>
            <w:pPr>
              <w:spacing w:after="0"/>
              <w:rPr>
                <w:sz w:val="20"/>
                <w:szCs w:val="20"/>
                <w:color w:val="auto"/>
              </w:rPr>
            </w:pPr>
            <w:r>
              <w:rPr>
                <w:rFonts w:ascii="Courier New" w:cs="Courier New" w:eastAsia="Courier New" w:hAnsi="Courier New"/>
                <w:sz w:val="15"/>
                <w:szCs w:val="15"/>
                <w:color w:val="auto"/>
              </w:rPr>
              <w:t>Balance, December 31, 2000</w:t>
            </w:r>
          </w:p>
        </w:tc>
        <w:tc>
          <w:tcPr>
            <w:tcW w:w="1300" w:type="dxa"/>
            <w:vAlign w:val="bottom"/>
            <w:vMerge w:val="restart"/>
          </w:tcPr>
          <w:p>
            <w:pPr>
              <w:ind w:left="160"/>
              <w:spacing w:after="0"/>
              <w:rPr>
                <w:sz w:val="20"/>
                <w:szCs w:val="20"/>
                <w:color w:val="auto"/>
              </w:rPr>
            </w:pPr>
            <w:r>
              <w:rPr>
                <w:rFonts w:ascii="Courier New" w:cs="Courier New" w:eastAsia="Courier New" w:hAnsi="Courier New"/>
                <w:sz w:val="8"/>
                <w:szCs w:val="8"/>
                <w:color w:val="auto"/>
                <w:w w:val="70"/>
              </w:rPr>
              <w:t>------------------------</w:t>
            </w:r>
            <w:r>
              <w:rPr>
                <w:rFonts w:ascii="Courier New" w:cs="Courier New" w:eastAsia="Courier New" w:hAnsi="Courier New"/>
                <w:sz w:val="10"/>
                <w:szCs w:val="10"/>
                <w:color w:val="auto"/>
                <w:w w:val="70"/>
                <w:vertAlign w:val="subscript"/>
              </w:rPr>
              <w:t>667,085,793</w:t>
            </w:r>
          </w:p>
        </w:tc>
        <w:tc>
          <w:tcPr>
            <w:tcW w:w="10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1,963,905</w:t>
            </w:r>
          </w:p>
        </w:tc>
        <w:tc>
          <w:tcPr>
            <w:tcW w:w="2300" w:type="dxa"/>
            <w:vAlign w:val="bottom"/>
            <w:gridSpan w:val="2"/>
            <w:vMerge w:val="restart"/>
          </w:tcPr>
          <w:p>
            <w:pPr>
              <w:jc w:val="right"/>
              <w:spacing w:after="0"/>
              <w:rPr>
                <w:sz w:val="20"/>
                <w:szCs w:val="20"/>
                <w:color w:val="auto"/>
              </w:rPr>
            </w:pPr>
            <w:r>
              <w:rPr>
                <w:rFonts w:ascii="Courier New" w:cs="Courier New" w:eastAsia="Courier New" w:hAnsi="Courier New"/>
                <w:sz w:val="8"/>
                <w:szCs w:val="8"/>
                <w:color w:val="auto"/>
                <w:w w:val="70"/>
              </w:rPr>
              <w:t>------------------------</w:t>
            </w:r>
            <w:r>
              <w:rPr>
                <w:rFonts w:ascii="Courier New" w:cs="Courier New" w:eastAsia="Courier New" w:hAnsi="Courier New"/>
                <w:sz w:val="10"/>
                <w:szCs w:val="10"/>
                <w:color w:val="auto"/>
                <w:w w:val="70"/>
                <w:vertAlign w:val="subscript"/>
              </w:rPr>
              <w:t>(94,361,099)(1,752,961)</w:t>
            </w:r>
            <w:r>
              <w:rPr>
                <w:rFonts w:ascii="Courier New" w:cs="Courier New" w:eastAsia="Courier New" w:hAnsi="Courier New"/>
                <w:sz w:val="8"/>
                <w:szCs w:val="8"/>
                <w:color w:val="auto"/>
                <w:w w:val="70"/>
              </w:rPr>
              <w:t>------------------------</w:t>
            </w:r>
          </w:p>
        </w:tc>
        <w:tc>
          <w:tcPr>
            <w:tcW w:w="106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8,223,476</w:t>
            </w:r>
          </w:p>
        </w:tc>
        <w:tc>
          <w:tcPr>
            <w:tcW w:w="22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ind w:left="80"/>
              <w:spacing w:after="0"/>
              <w:rPr>
                <w:sz w:val="20"/>
                <w:szCs w:val="20"/>
                <w:color w:val="auto"/>
              </w:rPr>
            </w:pPr>
            <w:r>
              <w:rPr>
                <w:rFonts w:ascii="Courier New" w:cs="Courier New" w:eastAsia="Courier New" w:hAnsi="Courier New"/>
                <w:sz w:val="5"/>
                <w:szCs w:val="5"/>
                <w:color w:val="auto"/>
                <w:w w:val="72"/>
              </w:rPr>
              <w:t>------------</w:t>
            </w:r>
          </w:p>
        </w:tc>
        <w:tc>
          <w:tcPr>
            <w:tcW w:w="7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w w:val="93"/>
              </w:rPr>
              <w:t>(139,204)</w:t>
            </w: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640" w:type="dxa"/>
            <w:vAlign w:val="bottom"/>
            <w:vMerge w:val="continue"/>
          </w:tcPr>
          <w:p>
            <w:pPr>
              <w:spacing w:after="0"/>
              <w:rPr>
                <w:sz w:val="14"/>
                <w:szCs w:val="14"/>
                <w:color w:val="auto"/>
              </w:rPr>
            </w:pPr>
          </w:p>
        </w:tc>
        <w:tc>
          <w:tcPr>
            <w:tcW w:w="130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2300" w:type="dxa"/>
            <w:vAlign w:val="bottom"/>
            <w:gridSpan w:val="2"/>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$ 732,550</w:t>
            </w:r>
          </w:p>
        </w:tc>
        <w:tc>
          <w:tcPr>
            <w:tcW w:w="0" w:type="dxa"/>
            <w:vAlign w:val="bottom"/>
          </w:tcPr>
          <w:p>
            <w:pPr>
              <w:spacing w:after="0"/>
              <w:rPr>
                <w:sz w:val="1"/>
                <w:szCs w:val="1"/>
                <w:color w:val="auto"/>
              </w:rPr>
            </w:pPr>
          </w:p>
        </w:tc>
      </w:tr>
      <w:tr>
        <w:trPr>
          <w:trHeight w:val="168"/>
        </w:trPr>
        <w:tc>
          <w:tcPr>
            <w:tcW w:w="2640" w:type="dxa"/>
            <w:vAlign w:val="bottom"/>
            <w:vMerge w:val="restart"/>
          </w:tcPr>
          <w:p>
            <w:pPr>
              <w:spacing w:after="0"/>
              <w:rPr>
                <w:sz w:val="20"/>
                <w:szCs w:val="20"/>
                <w:color w:val="auto"/>
              </w:rPr>
            </w:pPr>
            <w:r>
              <w:rPr>
                <w:rFonts w:ascii="Courier New" w:cs="Courier New" w:eastAsia="Courier New" w:hAnsi="Courier New"/>
                <w:sz w:val="15"/>
                <w:szCs w:val="15"/>
                <w:color w:val="auto"/>
              </w:rPr>
              <w:t>Translation adjustment</w:t>
            </w:r>
          </w:p>
        </w:tc>
        <w:tc>
          <w:tcPr>
            <w:tcW w:w="1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w w:val="93"/>
              </w:rPr>
              <w:t>(171,930)</w:t>
            </w:r>
          </w:p>
        </w:tc>
        <w:tc>
          <w:tcPr>
            <w:tcW w:w="1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2640" w:type="dxa"/>
            <w:vAlign w:val="bottom"/>
            <w:vMerge w:val="continue"/>
          </w:tcPr>
          <w:p>
            <w:pPr>
              <w:spacing w:after="0"/>
              <w:rPr>
                <w:sz w:val="14"/>
                <w:szCs w:val="14"/>
                <w:color w:val="auto"/>
              </w:rPr>
            </w:pPr>
          </w:p>
        </w:tc>
        <w:tc>
          <w:tcPr>
            <w:tcW w:w="1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(171,930)</w:t>
            </w:r>
          </w:p>
        </w:tc>
        <w:tc>
          <w:tcPr>
            <w:tcW w:w="0" w:type="dxa"/>
            <w:vAlign w:val="bottom"/>
          </w:tcPr>
          <w:p>
            <w:pPr>
              <w:spacing w:after="0"/>
              <w:rPr>
                <w:sz w:val="1"/>
                <w:szCs w:val="1"/>
                <w:color w:val="auto"/>
              </w:rPr>
            </w:pP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rPr>
              <w:t>RMS disposition</w:t>
            </w:r>
          </w:p>
        </w:tc>
        <w:tc>
          <w:tcPr>
            <w:tcW w:w="1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w w:val="99"/>
              </w:rPr>
              <w:t>(49,569)</w:t>
            </w:r>
          </w:p>
        </w:tc>
        <w:tc>
          <w:tcPr>
            <w:tcW w:w="3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73,865</w:t>
            </w: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73,865</w:t>
            </w:r>
          </w:p>
        </w:tc>
        <w:tc>
          <w:tcPr>
            <w:tcW w:w="0" w:type="dxa"/>
            <w:vAlign w:val="bottom"/>
          </w:tcPr>
          <w:p>
            <w:pPr>
              <w:spacing w:after="0"/>
              <w:rPr>
                <w:sz w:val="1"/>
                <w:szCs w:val="1"/>
                <w:color w:val="auto"/>
              </w:rPr>
            </w:pP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rPr>
              <w:t>Derivatives marked to market</w:t>
            </w:r>
          </w:p>
        </w:tc>
        <w:tc>
          <w:tcPr>
            <w:tcW w:w="1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(49,569)</w:t>
            </w:r>
          </w:p>
        </w:tc>
        <w:tc>
          <w:tcPr>
            <w:tcW w:w="0" w:type="dxa"/>
            <w:vAlign w:val="bottom"/>
          </w:tcPr>
          <w:p>
            <w:pPr>
              <w:spacing w:after="0"/>
              <w:rPr>
                <w:sz w:val="1"/>
                <w:szCs w:val="1"/>
                <w:color w:val="auto"/>
              </w:rPr>
            </w:pP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rPr>
              <w:t>Sales to optionees less</w:t>
            </w:r>
          </w:p>
        </w:tc>
        <w:tc>
          <w:tcPr>
            <w:tcW w:w="1300" w:type="dxa"/>
            <w:vAlign w:val="bottom"/>
            <w:vMerge w:val="restart"/>
          </w:tcPr>
          <w:p>
            <w:pPr>
              <w:jc w:val="right"/>
              <w:ind w:right="17"/>
              <w:spacing w:after="0"/>
              <w:rPr>
                <w:sz w:val="20"/>
                <w:szCs w:val="20"/>
                <w:color w:val="auto"/>
              </w:rPr>
            </w:pPr>
            <w:r>
              <w:rPr>
                <w:rFonts w:ascii="Courier New" w:cs="Courier New" w:eastAsia="Courier New" w:hAnsi="Courier New"/>
                <w:sz w:val="15"/>
                <w:szCs w:val="15"/>
                <w:color w:val="auto"/>
              </w:rPr>
              <w:t>8,385</w:t>
            </w:r>
          </w:p>
        </w:tc>
        <w:tc>
          <w:tcPr>
            <w:tcW w:w="10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17,130</w:t>
            </w:r>
          </w:p>
        </w:tc>
        <w:tc>
          <w:tcPr>
            <w:tcW w:w="1260" w:type="dxa"/>
            <w:vAlign w:val="bottom"/>
            <w:vMerge w:val="restart"/>
          </w:tcPr>
          <w:p>
            <w:pPr>
              <w:jc w:val="right"/>
              <w:ind w:right="115"/>
              <w:spacing w:after="0"/>
              <w:rPr>
                <w:sz w:val="20"/>
                <w:szCs w:val="20"/>
                <w:color w:val="auto"/>
              </w:rPr>
            </w:pPr>
            <w:r>
              <w:rPr>
                <w:rFonts w:ascii="Courier New" w:cs="Courier New" w:eastAsia="Courier New" w:hAnsi="Courier New"/>
                <w:sz w:val="15"/>
                <w:szCs w:val="15"/>
                <w:color w:val="auto"/>
              </w:rPr>
              <w:t>1,399,686</w:t>
            </w:r>
          </w:p>
        </w:tc>
        <w:tc>
          <w:tcPr>
            <w:tcW w:w="1040" w:type="dxa"/>
            <w:vAlign w:val="bottom"/>
            <w:vMerge w:val="restart"/>
          </w:tcPr>
          <w:p>
            <w:pPr>
              <w:jc w:val="right"/>
              <w:ind w:right="91"/>
              <w:spacing w:after="0"/>
              <w:rPr>
                <w:sz w:val="20"/>
                <w:szCs w:val="20"/>
                <w:color w:val="auto"/>
              </w:rPr>
            </w:pPr>
            <w:r>
              <w:rPr>
                <w:rFonts w:ascii="Courier New" w:cs="Courier New" w:eastAsia="Courier New" w:hAnsi="Courier New"/>
                <w:sz w:val="15"/>
                <w:szCs w:val="15"/>
                <w:color w:val="auto"/>
              </w:rPr>
              <w:t>25,420</w:t>
            </w: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6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shares exchanged</w:t>
            </w:r>
          </w:p>
        </w:tc>
        <w:tc>
          <w:tcPr>
            <w:tcW w:w="130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rPr>
              <w:t>Shares granted to Directors</w:t>
            </w:r>
          </w:p>
        </w:tc>
        <w:tc>
          <w:tcPr>
            <w:tcW w:w="1300" w:type="dxa"/>
            <w:vAlign w:val="bottom"/>
          </w:tcPr>
          <w:p>
            <w:pPr>
              <w:spacing w:after="0"/>
              <w:rPr>
                <w:sz w:val="14"/>
                <w:szCs w:val="14"/>
                <w:color w:val="auto"/>
              </w:rPr>
            </w:pP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156</w:t>
            </w:r>
          </w:p>
        </w:tc>
        <w:tc>
          <w:tcPr>
            <w:tcW w:w="1260" w:type="dxa"/>
            <w:vAlign w:val="bottom"/>
          </w:tcPr>
          <w:p>
            <w:pPr>
              <w:jc w:val="right"/>
              <w:ind w:right="115"/>
              <w:spacing w:after="0" w:line="168" w:lineRule="exact"/>
              <w:rPr>
                <w:sz w:val="20"/>
                <w:szCs w:val="20"/>
                <w:color w:val="auto"/>
              </w:rPr>
            </w:pPr>
            <w:r>
              <w:rPr>
                <w:rFonts w:ascii="Courier New" w:cs="Courier New" w:eastAsia="Courier New" w:hAnsi="Courier New"/>
                <w:sz w:val="15"/>
                <w:szCs w:val="15"/>
                <w:color w:val="auto"/>
              </w:rPr>
              <w:t>4,800</w:t>
            </w:r>
          </w:p>
        </w:tc>
        <w:tc>
          <w:tcPr>
            <w:tcW w:w="1040" w:type="dxa"/>
            <w:vAlign w:val="bottom"/>
          </w:tcPr>
          <w:p>
            <w:pPr>
              <w:jc w:val="right"/>
              <w:ind w:right="91"/>
              <w:spacing w:after="0" w:line="168" w:lineRule="exact"/>
              <w:rPr>
                <w:sz w:val="20"/>
                <w:szCs w:val="20"/>
                <w:color w:val="auto"/>
              </w:rPr>
            </w:pPr>
            <w:r>
              <w:rPr>
                <w:rFonts w:ascii="Courier New" w:cs="Courier New" w:eastAsia="Courier New" w:hAnsi="Courier New"/>
                <w:sz w:val="15"/>
                <w:szCs w:val="15"/>
                <w:color w:val="auto"/>
              </w:rPr>
              <w:t>89</w:t>
            </w: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rPr>
              <w:t>Employee stock purchase plan</w:t>
            </w:r>
          </w:p>
        </w:tc>
        <w:tc>
          <w:tcPr>
            <w:tcW w:w="1300" w:type="dxa"/>
            <w:vAlign w:val="bottom"/>
          </w:tcPr>
          <w:p>
            <w:pPr>
              <w:spacing w:after="0"/>
              <w:rPr>
                <w:sz w:val="14"/>
                <w:szCs w:val="14"/>
                <w:color w:val="auto"/>
              </w:rPr>
            </w:pP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46,397</w:t>
            </w:r>
          </w:p>
        </w:tc>
        <w:tc>
          <w:tcPr>
            <w:tcW w:w="1260" w:type="dxa"/>
            <w:vAlign w:val="bottom"/>
          </w:tcPr>
          <w:p>
            <w:pPr>
              <w:jc w:val="right"/>
              <w:ind w:right="115"/>
              <w:spacing w:after="0" w:line="168" w:lineRule="exact"/>
              <w:rPr>
                <w:sz w:val="20"/>
                <w:szCs w:val="20"/>
                <w:color w:val="auto"/>
              </w:rPr>
            </w:pPr>
            <w:r>
              <w:rPr>
                <w:rFonts w:ascii="Courier New" w:cs="Courier New" w:eastAsia="Courier New" w:hAnsi="Courier New"/>
                <w:sz w:val="15"/>
                <w:szCs w:val="15"/>
                <w:color w:val="auto"/>
              </w:rPr>
              <w:t>1,752,833</w:t>
            </w:r>
          </w:p>
        </w:tc>
        <w:tc>
          <w:tcPr>
            <w:tcW w:w="1040" w:type="dxa"/>
            <w:vAlign w:val="bottom"/>
          </w:tcPr>
          <w:p>
            <w:pPr>
              <w:jc w:val="right"/>
              <w:ind w:right="91"/>
              <w:spacing w:after="0" w:line="168" w:lineRule="exact"/>
              <w:rPr>
                <w:sz w:val="20"/>
                <w:szCs w:val="20"/>
                <w:color w:val="auto"/>
              </w:rPr>
            </w:pPr>
            <w:r>
              <w:rPr>
                <w:rFonts w:ascii="Courier New" w:cs="Courier New" w:eastAsia="Courier New" w:hAnsi="Courier New"/>
                <w:sz w:val="15"/>
                <w:szCs w:val="15"/>
                <w:color w:val="auto"/>
              </w:rPr>
              <w:t>32,568</w:t>
            </w:r>
          </w:p>
        </w:tc>
        <w:tc>
          <w:tcPr>
            <w:tcW w:w="106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522,217</w:t>
            </w: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522,217</w:t>
            </w:r>
          </w:p>
        </w:tc>
        <w:tc>
          <w:tcPr>
            <w:tcW w:w="0" w:type="dxa"/>
            <w:vAlign w:val="bottom"/>
          </w:tcPr>
          <w:p>
            <w:pPr>
              <w:spacing w:after="0"/>
              <w:rPr>
                <w:sz w:val="1"/>
                <w:szCs w:val="1"/>
                <w:color w:val="auto"/>
              </w:rPr>
            </w:pP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w:t>
            </w:r>
          </w:p>
        </w:tc>
        <w:tc>
          <w:tcPr>
            <w:tcW w:w="1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9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Dividends declared ($0.75 per share)</w:t>
            </w:r>
          </w:p>
        </w:tc>
        <w:tc>
          <w:tcPr>
            <w:tcW w:w="10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17,849</w:t>
            </w:r>
          </w:p>
        </w:tc>
        <w:tc>
          <w:tcPr>
            <w:tcW w:w="1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(430,927)</w:t>
            </w: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rPr>
              <w:t>Tax benefit on stock options</w:t>
            </w:r>
          </w:p>
        </w:tc>
        <w:tc>
          <w:tcPr>
            <w:tcW w:w="130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1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2640" w:type="dxa"/>
            <w:vAlign w:val="bottom"/>
            <w:vMerge w:val="restart"/>
          </w:tcPr>
          <w:p>
            <w:pPr>
              <w:spacing w:after="0"/>
              <w:rPr>
                <w:sz w:val="20"/>
                <w:szCs w:val="20"/>
                <w:color w:val="auto"/>
              </w:rPr>
            </w:pPr>
            <w:r>
              <w:rPr>
                <w:rFonts w:ascii="Courier New" w:cs="Courier New" w:eastAsia="Courier New" w:hAnsi="Courier New"/>
                <w:sz w:val="15"/>
                <w:szCs w:val="15"/>
                <w:color w:val="auto"/>
              </w:rPr>
              <w:t>Balance, December 31, 2001</w:t>
            </w:r>
          </w:p>
        </w:tc>
        <w:tc>
          <w:tcPr>
            <w:tcW w:w="1300" w:type="dxa"/>
            <w:vAlign w:val="bottom"/>
            <w:vMerge w:val="restart"/>
          </w:tcPr>
          <w:p>
            <w:pPr>
              <w:ind w:left="160"/>
              <w:spacing w:after="0"/>
              <w:rPr>
                <w:sz w:val="20"/>
                <w:szCs w:val="20"/>
                <w:color w:val="auto"/>
              </w:rPr>
            </w:pPr>
            <w:r>
              <w:rPr>
                <w:rFonts w:ascii="Courier New" w:cs="Courier New" w:eastAsia="Courier New" w:hAnsi="Courier New"/>
                <w:sz w:val="8"/>
                <w:szCs w:val="8"/>
                <w:color w:val="auto"/>
                <w:w w:val="70"/>
              </w:rPr>
              <w:t>------------------------</w:t>
            </w:r>
            <w:r>
              <w:rPr>
                <w:rFonts w:ascii="Courier New" w:cs="Courier New" w:eastAsia="Courier New" w:hAnsi="Courier New"/>
                <w:sz w:val="10"/>
                <w:szCs w:val="10"/>
                <w:color w:val="auto"/>
                <w:w w:val="70"/>
                <w:vertAlign w:val="subscript"/>
              </w:rPr>
              <w:t>667,094,178</w:t>
            </w:r>
          </w:p>
        </w:tc>
        <w:tc>
          <w:tcPr>
            <w:tcW w:w="10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w w:val="94"/>
              </w:rPr>
              <w:t>$ 2,045,437</w:t>
            </w:r>
          </w:p>
        </w:tc>
        <w:tc>
          <w:tcPr>
            <w:tcW w:w="1260" w:type="dxa"/>
            <w:vAlign w:val="bottom"/>
            <w:vMerge w:val="restart"/>
          </w:tcPr>
          <w:p>
            <w:pPr>
              <w:jc w:val="center"/>
              <w:spacing w:after="0"/>
              <w:rPr>
                <w:sz w:val="20"/>
                <w:szCs w:val="20"/>
                <w:color w:val="auto"/>
              </w:rPr>
            </w:pPr>
            <w:r>
              <w:rPr>
                <w:rFonts w:ascii="Courier New" w:cs="Courier New" w:eastAsia="Courier New" w:hAnsi="Courier New"/>
                <w:sz w:val="8"/>
                <w:szCs w:val="8"/>
                <w:color w:val="auto"/>
                <w:w w:val="73"/>
              </w:rPr>
              <w:t>------------------------</w:t>
            </w:r>
            <w:r>
              <w:rPr>
                <w:rFonts w:ascii="Courier New" w:cs="Courier New" w:eastAsia="Courier New" w:hAnsi="Courier New"/>
                <w:sz w:val="11"/>
                <w:szCs w:val="11"/>
                <w:color w:val="auto"/>
                <w:w w:val="73"/>
                <w:vertAlign w:val="subscript"/>
              </w:rPr>
              <w:t>(91,203,780)</w:t>
            </w:r>
          </w:p>
        </w:tc>
        <w:tc>
          <w:tcPr>
            <w:tcW w:w="1040" w:type="dxa"/>
            <w:vAlign w:val="bottom"/>
            <w:vMerge w:val="restart"/>
          </w:tcPr>
          <w:p>
            <w:pPr>
              <w:jc w:val="right"/>
              <w:spacing w:after="0"/>
              <w:rPr>
                <w:sz w:val="20"/>
                <w:szCs w:val="20"/>
                <w:color w:val="auto"/>
              </w:rPr>
            </w:pPr>
            <w:r>
              <w:rPr>
                <w:rFonts w:ascii="Courier New" w:cs="Courier New" w:eastAsia="Courier New" w:hAnsi="Courier New"/>
                <w:sz w:val="8"/>
                <w:szCs w:val="8"/>
                <w:color w:val="auto"/>
                <w:w w:val="73"/>
                <w:vertAlign w:val="subscript"/>
              </w:rPr>
              <w:t>$(1,694,884)</w:t>
            </w:r>
            <w:r>
              <w:rPr>
                <w:rFonts w:ascii="Courier New" w:cs="Courier New" w:eastAsia="Courier New" w:hAnsi="Courier New"/>
                <w:sz w:val="7"/>
                <w:szCs w:val="7"/>
                <w:color w:val="auto"/>
                <w:w w:val="73"/>
              </w:rPr>
              <w:t>------------------------</w:t>
            </w:r>
          </w:p>
        </w:tc>
        <w:tc>
          <w:tcPr>
            <w:tcW w:w="106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$8,314,766</w:t>
            </w:r>
          </w:p>
        </w:tc>
        <w:tc>
          <w:tcPr>
            <w:tcW w:w="220" w:type="dxa"/>
            <w:vAlign w:val="bottom"/>
            <w:vMerge w:val="restart"/>
          </w:tcPr>
          <w:p>
            <w:pPr>
              <w:ind w:left="80"/>
              <w:spacing w:after="0"/>
              <w:rPr>
                <w:sz w:val="20"/>
                <w:szCs w:val="20"/>
                <w:color w:val="auto"/>
              </w:rPr>
            </w:pPr>
            <w:r>
              <w:rPr>
                <w:rFonts w:ascii="Courier New" w:cs="Courier New" w:eastAsia="Courier New" w:hAnsi="Courier New"/>
                <w:sz w:val="15"/>
                <w:szCs w:val="15"/>
                <w:color w:val="auto"/>
              </w:rPr>
              <w:t>$</w:t>
            </w:r>
          </w:p>
        </w:tc>
        <w:tc>
          <w:tcPr>
            <w:tcW w:w="7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w w:val="99"/>
              </w:rPr>
              <w:t>(49,569)</w:t>
            </w:r>
          </w:p>
        </w:tc>
        <w:tc>
          <w:tcPr>
            <w:tcW w:w="360" w:type="dxa"/>
            <w:vAlign w:val="bottom"/>
            <w:vMerge w:val="restart"/>
          </w:tcPr>
          <w:p>
            <w:pPr>
              <w:ind w:left="80"/>
              <w:spacing w:after="0"/>
              <w:rPr>
                <w:sz w:val="20"/>
                <w:szCs w:val="20"/>
                <w:color w:val="auto"/>
              </w:rPr>
            </w:pPr>
            <w:r>
              <w:rPr>
                <w:rFonts w:ascii="Courier New" w:cs="Courier New" w:eastAsia="Courier New" w:hAnsi="Courier New"/>
                <w:sz w:val="7"/>
                <w:szCs w:val="7"/>
                <w:color w:val="auto"/>
                <w:w w:val="82"/>
                <w:vertAlign w:val="subscript"/>
              </w:rPr>
              <w:t>$</w:t>
            </w:r>
            <w:r>
              <w:rPr>
                <w:rFonts w:ascii="Courier New" w:cs="Courier New" w:eastAsia="Courier New" w:hAnsi="Courier New"/>
                <w:sz w:val="4"/>
                <w:szCs w:val="4"/>
                <w:color w:val="auto"/>
                <w:w w:val="82"/>
              </w:rPr>
              <w:t>------------</w:t>
            </w:r>
          </w:p>
        </w:tc>
        <w:tc>
          <w:tcPr>
            <w:tcW w:w="7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w w:val="93"/>
              </w:rPr>
              <w:t>(237,269)</w:t>
            </w: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640" w:type="dxa"/>
            <w:vAlign w:val="bottom"/>
            <w:vMerge w:val="continue"/>
          </w:tcPr>
          <w:p>
            <w:pPr>
              <w:spacing w:after="0"/>
              <w:rPr>
                <w:sz w:val="14"/>
                <w:szCs w:val="14"/>
                <w:color w:val="auto"/>
              </w:rPr>
            </w:pPr>
          </w:p>
        </w:tc>
        <w:tc>
          <w:tcPr>
            <w:tcW w:w="130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11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$ 374,583</w:t>
            </w:r>
          </w:p>
        </w:tc>
        <w:tc>
          <w:tcPr>
            <w:tcW w:w="0" w:type="dxa"/>
            <w:vAlign w:val="bottom"/>
          </w:tcPr>
          <w:p>
            <w:pPr>
              <w:spacing w:after="0"/>
              <w:rPr>
                <w:sz w:val="1"/>
                <w:szCs w:val="1"/>
                <w:color w:val="auto"/>
              </w:rPr>
            </w:pPr>
          </w:p>
        </w:tc>
      </w:tr>
      <w:tr>
        <w:trPr>
          <w:trHeight w:val="245"/>
        </w:trPr>
        <w:tc>
          <w:tcPr>
            <w:tcW w:w="2640" w:type="dxa"/>
            <w:vAlign w:val="bottom"/>
          </w:tcPr>
          <w:p>
            <w:pPr>
              <w:spacing w:after="0"/>
              <w:rPr>
                <w:sz w:val="21"/>
                <w:szCs w:val="21"/>
                <w:color w:val="auto"/>
              </w:rPr>
            </w:pPr>
          </w:p>
        </w:tc>
        <w:tc>
          <w:tcPr>
            <w:tcW w:w="7780" w:type="dxa"/>
            <w:vAlign w:val="bottom"/>
            <w:gridSpan w:val="9"/>
          </w:tcPr>
          <w:p>
            <w:pPr>
              <w:ind w:left="160"/>
              <w:spacing w:after="0"/>
              <w:rPr>
                <w:sz w:val="20"/>
                <w:szCs w:val="20"/>
                <w:color w:val="auto"/>
              </w:rPr>
            </w:pPr>
            <w:r>
              <w:rPr>
                <w:rFonts w:ascii="Courier New" w:cs="Courier New" w:eastAsia="Courier New" w:hAnsi="Courier New"/>
                <w:sz w:val="15"/>
                <w:szCs w:val="15"/>
                <w:color w:val="auto"/>
                <w:w w:val="97"/>
              </w:rPr>
              <w:t>======================== ======================== ======================== ============</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the Notes to Consolidated Financial Statements</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F-6</w:t>
      </w:r>
    </w:p>
    <w:p>
      <w:pPr>
        <w:sectPr>
          <w:pgSz w:w="11900" w:h="16838" w:orient="portrait"/>
          <w:cols w:equalWidth="0" w:num="1">
            <w:col w:w="11540"/>
          </w:cols>
          <w:pgMar w:left="220" w:top="598" w:right="139" w:bottom="1440" w:gutter="0" w:footer="0" w:header="0"/>
        </w:sectPr>
      </w:pPr>
    </w:p>
    <w:bookmarkStart w:id="20" w:name="page21"/>
    <w:bookmarkEnd w:id="20"/>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Summary of Accounting Policies</w:t>
      </w:r>
    </w:p>
    <w:p>
      <w:pPr>
        <w:spacing w:after="0" w:line="166" w:lineRule="exact"/>
        <w:rPr>
          <w:sz w:val="20"/>
          <w:szCs w:val="20"/>
          <w:color w:val="auto"/>
        </w:rPr>
      </w:pPr>
    </w:p>
    <w:p>
      <w:pPr>
        <w:ind w:right="3839"/>
        <w:spacing w:after="0" w:line="273" w:lineRule="auto"/>
        <w:rPr>
          <w:sz w:val="20"/>
          <w:szCs w:val="20"/>
          <w:color w:val="auto"/>
        </w:rPr>
      </w:pPr>
      <w:r>
        <w:rPr>
          <w:rFonts w:ascii="Courier New" w:cs="Courier New" w:eastAsia="Courier New" w:hAnsi="Courier New"/>
          <w:sz w:val="15"/>
          <w:szCs w:val="15"/>
          <w:color w:val="auto"/>
        </w:rPr>
        <w:t>The Consolidated Financial Statements of Schlumberger Limited and its subsidiaries have been prepared in accordance with accounting principles generally accepted in the United States of America. Refer to page 3 for a description of Schlumberger's businesses.</w:t>
      </w:r>
    </w:p>
    <w:p>
      <w:pPr>
        <w:spacing w:after="0" w:line="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DISCONTINUED OPERATIONS</w:t>
      </w:r>
    </w:p>
    <w:p>
      <w:pPr>
        <w:spacing w:after="0" w:line="166" w:lineRule="exact"/>
        <w:rPr>
          <w:sz w:val="20"/>
          <w:szCs w:val="20"/>
          <w:color w:val="auto"/>
        </w:rPr>
      </w:pPr>
    </w:p>
    <w:p>
      <w:pPr>
        <w:ind w:right="3319"/>
        <w:spacing w:after="0" w:line="258" w:lineRule="auto"/>
        <w:rPr>
          <w:sz w:val="20"/>
          <w:szCs w:val="20"/>
          <w:color w:val="auto"/>
        </w:rPr>
      </w:pPr>
      <w:r>
        <w:rPr>
          <w:rFonts w:ascii="Courier New" w:cs="Courier New" w:eastAsia="Courier New" w:hAnsi="Courier New"/>
          <w:sz w:val="15"/>
          <w:szCs w:val="15"/>
          <w:color w:val="auto"/>
        </w:rPr>
        <w:t>On December 31, 1999, Schlumberger completed the spin-off of its offshore contract drilling business, Sedco Forex, to its stockholders and the subsequent merger of Sedco Forex and Transocean Offshore Inc., which changed its name to Transocean Sedco Forex Inc. following the merger. The results for the Sedco Forex operations spun off by Schlumberger are reported as Discontinued Operations in the Consolidated Statement of Income.</w:t>
      </w: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PRINCIPLES OF CONSOLIDATION</w:t>
      </w:r>
    </w:p>
    <w:p>
      <w:pPr>
        <w:spacing w:after="0" w:line="166" w:lineRule="exact"/>
        <w:rPr>
          <w:sz w:val="20"/>
          <w:szCs w:val="20"/>
          <w:color w:val="auto"/>
        </w:rPr>
      </w:pPr>
    </w:p>
    <w:p>
      <w:pPr>
        <w:ind w:right="3239"/>
        <w:spacing w:after="0" w:line="264" w:lineRule="auto"/>
        <w:rPr>
          <w:sz w:val="20"/>
          <w:szCs w:val="20"/>
          <w:color w:val="auto"/>
        </w:rPr>
      </w:pPr>
      <w:r>
        <w:rPr>
          <w:rFonts w:ascii="Courier New" w:cs="Courier New" w:eastAsia="Courier New" w:hAnsi="Courier New"/>
          <w:sz w:val="15"/>
          <w:szCs w:val="15"/>
          <w:color w:val="auto"/>
        </w:rPr>
        <w:t>The Consolidated Financial Statements include the accounts of majority-owned subsidiaries. Significant 20% - 50% owned companies are carried on the equity method and classified in Investments in Affiliated Companies. The pro rata share of Schlumberger after-tax earnings is included in Interest and Other Income. All inter-company accounts and transactions have been eliminated.</w:t>
      </w:r>
    </w:p>
    <w:p>
      <w:pPr>
        <w:spacing w:after="0" w:line="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RECLASSIFICATIONS</w:t>
      </w:r>
    </w:p>
    <w:p>
      <w:pPr>
        <w:spacing w:after="0" w:line="166" w:lineRule="exact"/>
        <w:rPr>
          <w:sz w:val="20"/>
          <w:szCs w:val="20"/>
          <w:color w:val="auto"/>
        </w:rPr>
      </w:pPr>
    </w:p>
    <w:p>
      <w:pPr>
        <w:ind w:right="3319"/>
        <w:spacing w:after="0" w:line="344" w:lineRule="auto"/>
        <w:rPr>
          <w:sz w:val="20"/>
          <w:szCs w:val="20"/>
          <w:color w:val="auto"/>
        </w:rPr>
      </w:pPr>
      <w:r>
        <w:rPr>
          <w:rFonts w:ascii="Courier New" w:cs="Courier New" w:eastAsia="Courier New" w:hAnsi="Courier New"/>
          <w:sz w:val="15"/>
          <w:szCs w:val="15"/>
          <w:color w:val="auto"/>
        </w:rPr>
        <w:t>Certain items from prior years have been reclassified to conform to the current year presentation.</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USE OF ESTIMATES</w:t>
      </w:r>
    </w:p>
    <w:p>
      <w:pPr>
        <w:spacing w:after="0" w:line="166" w:lineRule="exact"/>
        <w:rPr>
          <w:sz w:val="20"/>
          <w:szCs w:val="20"/>
          <w:color w:val="auto"/>
        </w:rPr>
      </w:pPr>
    </w:p>
    <w:p>
      <w:pPr>
        <w:ind w:right="3239"/>
        <w:spacing w:after="0" w:line="249" w:lineRule="auto"/>
        <w:rPr>
          <w:sz w:val="20"/>
          <w:szCs w:val="20"/>
          <w:color w:val="auto"/>
        </w:rPr>
      </w:pPr>
      <w:r>
        <w:rPr>
          <w:rFonts w:ascii="Courier New" w:cs="Courier New" w:eastAsia="Courier New" w:hAnsi="Courier New"/>
          <w:sz w:val="15"/>
          <w:szCs w:val="15"/>
          <w:color w:val="auto"/>
        </w:rPr>
        <w:t>The preparation of financial statements in conformity with generally accepted accounting principles requires management to make estimates and assumptions that affect the reported amounts of assets and liabilities, disclosure of contingent assets and liabilities at the date of the financial statements and the reported amounts of revenue and expenses during the reporting period. Significant estimates include estimates of total cost under percentage of completion contracts, useful life of identifiable intangibles, inventory reserves, pension and postretirement actual assumptions and allowances for bad debt. While actual results could differ from these estimates, management believes that the estimates are reasonable.</w:t>
      </w:r>
    </w:p>
    <w:p>
      <w:pPr>
        <w:spacing w:after="0" w:line="8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REVENUE RECOGNITION</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Product and Services Revenue</w:t>
      </w:r>
    </w:p>
    <w:p>
      <w:pPr>
        <w:spacing w:after="0" w:line="166" w:lineRule="exact"/>
        <w:rPr>
          <w:sz w:val="20"/>
          <w:szCs w:val="20"/>
          <w:color w:val="auto"/>
        </w:rPr>
      </w:pPr>
    </w:p>
    <w:p>
      <w:pPr>
        <w:ind w:right="3319"/>
        <w:spacing w:after="0" w:line="280" w:lineRule="auto"/>
        <w:rPr>
          <w:sz w:val="20"/>
          <w:szCs w:val="20"/>
          <w:color w:val="auto"/>
        </w:rPr>
      </w:pPr>
      <w:r>
        <w:rPr>
          <w:rFonts w:ascii="Courier New" w:cs="Courier New" w:eastAsia="Courier New" w:hAnsi="Courier New"/>
          <w:sz w:val="14"/>
          <w:szCs w:val="14"/>
          <w:color w:val="auto"/>
        </w:rPr>
        <w:t>Schlumberger's products and services are generally sold based upon purchase orders or contracts with the customer that include fixed or determinable prices and that do not include right of return or other similar provisions or other significant post delivery obligations. Revenue is recognized for products upon delivery, customer acceptance and when title passes. Revenue is recognized when services are rendered and collectibility is reasonably assured.</w:t>
      </w:r>
    </w:p>
    <w:p>
      <w:pPr>
        <w:spacing w:after="0" w:line="67" w:lineRule="exact"/>
        <w:rPr>
          <w:sz w:val="20"/>
          <w:szCs w:val="20"/>
          <w:color w:val="auto"/>
        </w:rPr>
      </w:pPr>
    </w:p>
    <w:p>
      <w:pPr>
        <w:ind w:right="3239"/>
        <w:spacing w:after="0" w:line="273" w:lineRule="auto"/>
        <w:rPr>
          <w:sz w:val="20"/>
          <w:szCs w:val="20"/>
          <w:color w:val="auto"/>
        </w:rPr>
      </w:pPr>
      <w:r>
        <w:rPr>
          <w:rFonts w:ascii="Courier New" w:cs="Courier New" w:eastAsia="Courier New" w:hAnsi="Courier New"/>
          <w:sz w:val="14"/>
          <w:szCs w:val="14"/>
          <w:color w:val="auto"/>
        </w:rPr>
        <w:t>Certain revenues are recognized on a time and materials basis, or on a percentage of completion basis, depending on the contract, as services are provided. Revenue from time and material service contracts are recognized as the services are provided. Revenue from fixed price contracts is recognized over the contract term based on the percentage of the cost of services provided during the period compared to the total estimated cost of services to be provided over the entire contract. Losses on contracts are recognized during the period in which the loss first becomes probable and reasonably estimated.</w:t>
      </w:r>
    </w:p>
    <w:p>
      <w:pPr>
        <w:spacing w:after="0" w:line="2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F-7</w:t>
      </w:r>
    </w:p>
    <w:p>
      <w:pPr>
        <w:sectPr>
          <w:pgSz w:w="11900" w:h="16838" w:orient="portrait"/>
          <w:cols w:equalWidth="0" w:num="1">
            <w:col w:w="10239"/>
          </w:cols>
          <w:pgMar w:left="220" w:top="766" w:right="1440" w:bottom="1440" w:gutter="0" w:footer="0" w:header="0"/>
        </w:sectPr>
      </w:pPr>
    </w:p>
    <w:bookmarkStart w:id="21" w:name="page22"/>
    <w:bookmarkEnd w:id="21"/>
    <w:p>
      <w:pPr>
        <w:spacing w:after="0"/>
        <w:rPr>
          <w:sz w:val="20"/>
          <w:szCs w:val="20"/>
          <w:color w:val="auto"/>
        </w:rPr>
      </w:pPr>
      <w:r>
        <w:rPr>
          <w:rFonts w:ascii="Courier New" w:cs="Courier New" w:eastAsia="Courier New" w:hAnsi="Courier New"/>
          <w:sz w:val="15"/>
          <w:szCs w:val="15"/>
          <w:color w:val="auto"/>
        </w:rPr>
        <w:t>Software Revenue</w:t>
      </w:r>
    </w:p>
    <w:p>
      <w:pPr>
        <w:spacing w:after="0" w:line="166" w:lineRule="exact"/>
        <w:rPr>
          <w:sz w:val="20"/>
          <w:szCs w:val="20"/>
          <w:color w:val="auto"/>
        </w:rPr>
      </w:pPr>
    </w:p>
    <w:p>
      <w:pPr>
        <w:ind w:right="3579"/>
        <w:spacing w:after="0" w:line="381" w:lineRule="auto"/>
        <w:rPr>
          <w:sz w:val="20"/>
          <w:szCs w:val="20"/>
          <w:color w:val="auto"/>
        </w:rPr>
      </w:pPr>
      <w:r>
        <w:rPr>
          <w:rFonts w:ascii="Courier New" w:cs="Courier New" w:eastAsia="Courier New" w:hAnsi="Courier New"/>
          <w:sz w:val="14"/>
          <w:szCs w:val="14"/>
          <w:color w:val="auto"/>
        </w:rPr>
        <w:t>Revenue derived from the sale of licenses for its software, maintenance and related services may include installation, consulting and training services.</w:t>
      </w:r>
    </w:p>
    <w:p>
      <w:pPr>
        <w:spacing w:after="0" w:line="1" w:lineRule="exact"/>
        <w:rPr>
          <w:sz w:val="20"/>
          <w:szCs w:val="20"/>
          <w:color w:val="auto"/>
        </w:rPr>
      </w:pPr>
    </w:p>
    <w:p>
      <w:pPr>
        <w:ind w:right="3319"/>
        <w:spacing w:after="0" w:line="264" w:lineRule="auto"/>
        <w:rPr>
          <w:sz w:val="20"/>
          <w:szCs w:val="20"/>
          <w:color w:val="auto"/>
        </w:rPr>
      </w:pPr>
      <w:r>
        <w:rPr>
          <w:rFonts w:ascii="Courier New" w:cs="Courier New" w:eastAsia="Courier New" w:hAnsi="Courier New"/>
          <w:sz w:val="15"/>
          <w:szCs w:val="15"/>
          <w:color w:val="auto"/>
        </w:rPr>
        <w:t>If services are not essential to the functionality of the software, the revenue for each element of the contract is recognized separately based on its respective vendor specific objective evidence of fair value when all of the following conditions are met: a signed contract is obtained, delivery has occurred, fee is fixed and determinable and collectibility is probable.</w:t>
      </w:r>
    </w:p>
    <w:p>
      <w:pPr>
        <w:spacing w:after="0" w:line="75" w:lineRule="exact"/>
        <w:rPr>
          <w:sz w:val="20"/>
          <w:szCs w:val="20"/>
          <w:color w:val="auto"/>
        </w:rPr>
      </w:pPr>
    </w:p>
    <w:p>
      <w:pPr>
        <w:ind w:right="3239"/>
        <w:spacing w:after="0" w:line="252" w:lineRule="auto"/>
        <w:rPr>
          <w:sz w:val="20"/>
          <w:szCs w:val="20"/>
          <w:color w:val="auto"/>
        </w:rPr>
      </w:pPr>
      <w:r>
        <w:rPr>
          <w:rFonts w:ascii="Courier New" w:cs="Courier New" w:eastAsia="Courier New" w:hAnsi="Courier New"/>
          <w:sz w:val="15"/>
          <w:szCs w:val="15"/>
          <w:color w:val="auto"/>
        </w:rPr>
        <w:t>If an ongoing vendor obligation exists under the license arrangement, or if any uncertainties with regard to customer acceptance are significant, revenue for the related element is deferred based on its vendor specific objective evidence of fair value. Vendor specific objective evidence of fair value is determined as being the price for the element when sold separately. If vendor specific objective evidence of fair value does not exist for all undelivered elements, all revenue is deferred until sufficient evidence exists or all elements have been delivered.</w:t>
      </w:r>
    </w:p>
    <w:p>
      <w:pPr>
        <w:spacing w:after="0" w:line="8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TRANSLATION OF NON-US CURRENCIES</w:t>
      </w:r>
    </w:p>
    <w:p>
      <w:pPr>
        <w:spacing w:after="0" w:line="166" w:lineRule="exact"/>
        <w:rPr>
          <w:sz w:val="20"/>
          <w:szCs w:val="20"/>
          <w:color w:val="auto"/>
        </w:rPr>
      </w:pPr>
    </w:p>
    <w:p>
      <w:pPr>
        <w:ind w:right="3239"/>
        <w:spacing w:after="0" w:line="267" w:lineRule="auto"/>
        <w:rPr>
          <w:sz w:val="20"/>
          <w:szCs w:val="20"/>
          <w:color w:val="auto"/>
        </w:rPr>
      </w:pPr>
      <w:r>
        <w:rPr>
          <w:rFonts w:ascii="Courier New" w:cs="Courier New" w:eastAsia="Courier New" w:hAnsi="Courier New"/>
          <w:sz w:val="14"/>
          <w:szCs w:val="14"/>
          <w:color w:val="auto"/>
        </w:rPr>
        <w:t>Oilfield Services' functional currency is primarily the US dollar. SchlumbergerSema functional currencies are primarily local currencies. All assets and liabilities recorded in functional currencies other than US dollars are translated at current exchange rates. The resulting adjustments are charged or credited directly to the Stockholders' Equity section of the Consolidated Balance Sheet. Revenue and expenses are translated at the weighted-average exchange rates for the period. All realized and unrealized transaction gains and losses are included in income in the period in which they occur. Schlumberger policy is to hedge against unrealized gains and losses on a monthly basis. Included in the 2001 results were transaction losses of $7 million, compared with losses of $4 million and $12 million in 2000 and 1999, respectively.</w:t>
      </w:r>
    </w:p>
    <w:p>
      <w:pPr>
        <w:spacing w:after="0" w:line="78" w:lineRule="exact"/>
        <w:rPr>
          <w:sz w:val="20"/>
          <w:szCs w:val="20"/>
          <w:color w:val="auto"/>
        </w:rPr>
      </w:pPr>
    </w:p>
    <w:p>
      <w:pPr>
        <w:ind w:right="3499"/>
        <w:spacing w:after="0" w:line="273" w:lineRule="auto"/>
        <w:rPr>
          <w:sz w:val="20"/>
          <w:szCs w:val="20"/>
          <w:color w:val="auto"/>
        </w:rPr>
      </w:pPr>
      <w:r>
        <w:rPr>
          <w:rFonts w:ascii="Courier New" w:cs="Courier New" w:eastAsia="Courier New" w:hAnsi="Courier New"/>
          <w:sz w:val="14"/>
          <w:szCs w:val="14"/>
          <w:color w:val="auto"/>
        </w:rPr>
        <w:t>Currency exchange contracts are entered into as a hedge against the effect of future settlement of assets and liabilities denominated in other than the functional currency of the individual businesses. Gains or losses on the contracts are recognized when the currency exchange rates fluctuate, and the resulting charge or credit partially offsets the unrealized currency gains or losses on those assets and liabilities. On December 31, 2001, contracts were outstanding for the US dollar equivalent of $851 million in various foreign currencies. These contracts mature on various dates in 2002.</w:t>
      </w:r>
    </w:p>
    <w:p>
      <w:pPr>
        <w:spacing w:after="0" w:line="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INVESTMENTS</w:t>
      </w:r>
    </w:p>
    <w:p>
      <w:pPr>
        <w:spacing w:after="0" w:line="166" w:lineRule="exact"/>
        <w:rPr>
          <w:sz w:val="20"/>
          <w:szCs w:val="20"/>
          <w:color w:val="auto"/>
        </w:rPr>
      </w:pPr>
    </w:p>
    <w:p>
      <w:pPr>
        <w:ind w:right="3319"/>
        <w:spacing w:after="0" w:line="250" w:lineRule="auto"/>
        <w:rPr>
          <w:sz w:val="20"/>
          <w:szCs w:val="20"/>
          <w:color w:val="auto"/>
        </w:rPr>
      </w:pPr>
      <w:r>
        <w:rPr>
          <w:rFonts w:ascii="Courier New" w:cs="Courier New" w:eastAsia="Courier New" w:hAnsi="Courier New"/>
          <w:sz w:val="15"/>
          <w:szCs w:val="15"/>
          <w:color w:val="auto"/>
        </w:rPr>
        <w:t>Both short-term investments and fixed income investments, held to maturity comprise primarily eurodollar time deposits, certificates of deposit and commercial paper, euronotes and eurobonds, substantially all denominated in US dollars. They are stated at cost plus accrued interest, which approximates market. Substantially all the investments designated as held to maturity that were purchased and matured during the year had original maturities of less than three months. Short-term investments that are designated as trading are stated at market. The unrealized gains/losses on such securities on December 31, 2001 were not significant.</w:t>
      </w:r>
    </w:p>
    <w:p>
      <w:pPr>
        <w:spacing w:after="0" w:line="89" w:lineRule="exact"/>
        <w:rPr>
          <w:sz w:val="20"/>
          <w:szCs w:val="20"/>
          <w:color w:val="auto"/>
        </w:rPr>
      </w:pPr>
    </w:p>
    <w:p>
      <w:pPr>
        <w:ind w:right="3319"/>
        <w:spacing w:after="0" w:line="290" w:lineRule="auto"/>
        <w:rPr>
          <w:sz w:val="20"/>
          <w:szCs w:val="20"/>
          <w:color w:val="auto"/>
        </w:rPr>
      </w:pPr>
      <w:r>
        <w:rPr>
          <w:rFonts w:ascii="Courier New" w:cs="Courier New" w:eastAsia="Courier New" w:hAnsi="Courier New"/>
          <w:sz w:val="15"/>
          <w:szCs w:val="15"/>
          <w:color w:val="auto"/>
        </w:rPr>
        <w:t>For purposes of the Consolidated Statement of Cash Flows, Schlumberger does not consider short-term investments to be cash equivalents as they generally have original maturities in excess of three months.</w:t>
      </w:r>
    </w:p>
    <w:p>
      <w:pPr>
        <w:spacing w:after="0" w:line="22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INVENTORIES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Inventories are stated at average cost or at market, whichever is lower.</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Inventory consists of materials, supplies and finished goods.</w:t>
      </w:r>
    </w:p>
    <w:p>
      <w:pPr>
        <w:spacing w:after="0" w:line="14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F-8</w:t>
      </w:r>
    </w:p>
    <w:p>
      <w:pPr>
        <w:sectPr>
          <w:pgSz w:w="11900" w:h="16838" w:orient="portrait"/>
          <w:cols w:equalWidth="0" w:num="1">
            <w:col w:w="10239"/>
          </w:cols>
          <w:pgMar w:left="220" w:top="598" w:right="1440" w:bottom="1440" w:gutter="0" w:footer="0" w:header="0"/>
        </w:sectPr>
      </w:pPr>
    </w:p>
    <w:bookmarkStart w:id="22" w:name="page23"/>
    <w:bookmarkEnd w:id="22"/>
    <w:p>
      <w:pPr>
        <w:spacing w:after="0"/>
        <w:rPr>
          <w:sz w:val="20"/>
          <w:szCs w:val="20"/>
          <w:color w:val="auto"/>
        </w:rPr>
      </w:pPr>
      <w:r>
        <w:rPr>
          <w:rFonts w:ascii="Courier New" w:cs="Courier New" w:eastAsia="Courier New" w:hAnsi="Courier New"/>
          <w:sz w:val="15"/>
          <w:szCs w:val="15"/>
          <w:color w:val="auto"/>
        </w:rPr>
        <w:t>GOODWILL AND INTANGIBLE ASSETS</w:t>
      </w:r>
    </w:p>
    <w:p>
      <w:pPr>
        <w:spacing w:after="0" w:line="166" w:lineRule="exact"/>
        <w:rPr>
          <w:sz w:val="20"/>
          <w:szCs w:val="20"/>
          <w:color w:val="auto"/>
        </w:rPr>
      </w:pPr>
    </w:p>
    <w:p>
      <w:pPr>
        <w:ind w:right="3239"/>
        <w:spacing w:after="0" w:line="280" w:lineRule="auto"/>
        <w:rPr>
          <w:sz w:val="20"/>
          <w:szCs w:val="20"/>
          <w:color w:val="auto"/>
        </w:rPr>
      </w:pPr>
      <w:r>
        <w:rPr>
          <w:rFonts w:ascii="Courier New" w:cs="Courier New" w:eastAsia="Courier New" w:hAnsi="Courier New"/>
          <w:sz w:val="14"/>
          <w:szCs w:val="14"/>
          <w:color w:val="auto"/>
        </w:rPr>
        <w:t>Goodwill is amortized on a straight-line basis over 5 to 40 years. Accumulated goodwill amortization was $645 million and $563 million on December 31, 2001 and 2000, respectively. Intangible assets consist primarily of assembled workforce, technology, software and patents. Intangible assets are amortized over periods ranging from 3 to 10 years. Accumulated intangible assets amortization at December 31, 2001 and 2000 was $123 million and $35 million, respectively.</w:t>
      </w:r>
    </w:p>
    <w:p>
      <w:pPr>
        <w:spacing w:after="0" w:line="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FIXED ASSETS AND DEPRECIATION</w:t>
      </w:r>
    </w:p>
    <w:p>
      <w:pPr>
        <w:spacing w:after="0" w:line="166" w:lineRule="exact"/>
        <w:rPr>
          <w:sz w:val="20"/>
          <w:szCs w:val="20"/>
          <w:color w:val="auto"/>
        </w:rPr>
      </w:pPr>
    </w:p>
    <w:p>
      <w:pPr>
        <w:ind w:right="3239"/>
        <w:spacing w:after="0" w:line="270" w:lineRule="auto"/>
        <w:rPr>
          <w:sz w:val="20"/>
          <w:szCs w:val="20"/>
          <w:color w:val="auto"/>
        </w:rPr>
      </w:pPr>
      <w:r>
        <w:rPr>
          <w:rFonts w:ascii="Courier New" w:cs="Courier New" w:eastAsia="Courier New" w:hAnsi="Courier New"/>
          <w:sz w:val="14"/>
          <w:szCs w:val="14"/>
          <w:color w:val="auto"/>
        </w:rPr>
        <w:t>Fixed assets are stated at cost less accumulated depreciation, which is provided for by charges to income over the estimated useful lives of the assets using the straight-line method. Fixed assets include the manufacturing cost (average cost) of oilfield technical equipment manufactured or assembled by subsidiaries of Schlumberger. Expenditures for renewals, replacements and improvements are capitalized. Maintenance and repairs are charged to operating expenses as incurred. Upon sale or other disposition, the applicable amounts of asset cost and accumulated depreciation are removed from the accounts and the net amount, less proceeds from disposal, is charged or credited to income.</w:t>
      </w:r>
    </w:p>
    <w:p>
      <w:pPr>
        <w:spacing w:after="0" w:line="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MULTICLIENT SEISMIC DATA</w:t>
      </w:r>
    </w:p>
    <w:p>
      <w:pPr>
        <w:spacing w:after="0" w:line="166" w:lineRule="exact"/>
        <w:rPr>
          <w:sz w:val="20"/>
          <w:szCs w:val="20"/>
          <w:color w:val="auto"/>
        </w:rPr>
      </w:pPr>
    </w:p>
    <w:p>
      <w:pPr>
        <w:ind w:right="3239"/>
        <w:spacing w:after="0" w:line="258" w:lineRule="auto"/>
        <w:rPr>
          <w:sz w:val="20"/>
          <w:szCs w:val="20"/>
          <w:color w:val="auto"/>
        </w:rPr>
      </w:pPr>
      <w:r>
        <w:rPr>
          <w:rFonts w:ascii="Courier New" w:cs="Courier New" w:eastAsia="Courier New" w:hAnsi="Courier New"/>
          <w:sz w:val="15"/>
          <w:szCs w:val="15"/>
          <w:color w:val="auto"/>
        </w:rPr>
        <w:t>Schlumberger capitalizes the cost of obtaining multiclient surveys. Such costs are charged to Cost of goods sold and services based on a percentage of estimated total revenue that Schlumberger expects to receive from the sales of such data. The carrying value of individual surveys is periodically reviewed and adjustments to the value are made based upon the revised estimated revenues for the surveys.</w:t>
      </w: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CAPITALIZED INTEREST</w:t>
      </w:r>
    </w:p>
    <w:p>
      <w:pPr>
        <w:spacing w:after="0" w:line="166" w:lineRule="exact"/>
        <w:rPr>
          <w:sz w:val="20"/>
          <w:szCs w:val="20"/>
          <w:color w:val="auto"/>
        </w:rPr>
      </w:pPr>
    </w:p>
    <w:p>
      <w:pPr>
        <w:ind w:right="3239"/>
        <w:spacing w:after="0" w:line="290" w:lineRule="auto"/>
        <w:rPr>
          <w:sz w:val="20"/>
          <w:szCs w:val="20"/>
          <w:color w:val="auto"/>
        </w:rPr>
      </w:pPr>
      <w:r>
        <w:rPr>
          <w:rFonts w:ascii="Courier New" w:cs="Courier New" w:eastAsia="Courier New" w:hAnsi="Courier New"/>
          <w:sz w:val="15"/>
          <w:szCs w:val="15"/>
          <w:color w:val="auto"/>
        </w:rPr>
        <w:t>Schlumberger capitalizes interest expense during the new construction or upgrade of qualifying assets. No interest expense was capitalized in 2001 and 2000. Interest expense capitalized in 1999 was $5 million.</w:t>
      </w:r>
    </w:p>
    <w:p>
      <w:pPr>
        <w:spacing w:after="0" w:line="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IMPAIRMENT OF LONG-LIVED ASSETS</w:t>
      </w:r>
    </w:p>
    <w:p>
      <w:pPr>
        <w:spacing w:after="0" w:line="166" w:lineRule="exact"/>
        <w:rPr>
          <w:sz w:val="20"/>
          <w:szCs w:val="20"/>
          <w:color w:val="auto"/>
        </w:rPr>
      </w:pPr>
    </w:p>
    <w:p>
      <w:pPr>
        <w:ind w:right="3239"/>
        <w:spacing w:after="0" w:line="252" w:lineRule="auto"/>
        <w:rPr>
          <w:sz w:val="20"/>
          <w:szCs w:val="20"/>
          <w:color w:val="auto"/>
        </w:rPr>
      </w:pPr>
      <w:r>
        <w:rPr>
          <w:rFonts w:ascii="Courier New" w:cs="Courier New" w:eastAsia="Courier New" w:hAnsi="Courier New"/>
          <w:sz w:val="15"/>
          <w:szCs w:val="15"/>
          <w:color w:val="auto"/>
        </w:rPr>
        <w:t>Schlumberger reviews the carrying value of its long-lived assets, including goodwill and intangible assets, whenever events or changes in circumstances indicate that the historical cost-carrying value of an asset may no longer be appropriate. Schlumberger assesses recoverability of the carrying value of the asset by estimating the future net cash flows expected to result from the asset, including eventual disposition. If the future net cash flows are less than the carrying value of the asset, an impairment loss is recorded equal to the difference between the asset's carrying value and fair value.</w:t>
      </w:r>
    </w:p>
    <w:p>
      <w:pPr>
        <w:spacing w:after="0" w:line="8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TAXES ON INCOME</w:t>
      </w:r>
    </w:p>
    <w:p>
      <w:pPr>
        <w:spacing w:after="0" w:line="166" w:lineRule="exact"/>
        <w:rPr>
          <w:sz w:val="20"/>
          <w:szCs w:val="20"/>
          <w:color w:val="auto"/>
        </w:rPr>
      </w:pPr>
    </w:p>
    <w:p>
      <w:pPr>
        <w:ind w:right="3239"/>
        <w:spacing w:after="0" w:line="252" w:lineRule="auto"/>
        <w:rPr>
          <w:sz w:val="20"/>
          <w:szCs w:val="20"/>
          <w:color w:val="auto"/>
        </w:rPr>
      </w:pPr>
      <w:r>
        <w:rPr>
          <w:rFonts w:ascii="Courier New" w:cs="Courier New" w:eastAsia="Courier New" w:hAnsi="Courier New"/>
          <w:sz w:val="15"/>
          <w:szCs w:val="15"/>
          <w:color w:val="auto"/>
        </w:rPr>
        <w:t>Schlumberger and its subsidiaries compute taxes on income in accordance with the tax rules and regulations of the many taxing authorities where the income is earned. The income tax rates imposed by these taxing authorities vary substantially. Taxable income may differ from pretax income for financial accounting purposes. To the extent that differences are due to revenue or expense items reported in one period for tax purposes and in another period for financial accounting purposes, an appropriate provision for deferred income taxes is made.</w:t>
      </w:r>
    </w:p>
    <w:p>
      <w:pPr>
        <w:spacing w:after="0" w:line="86" w:lineRule="exact"/>
        <w:rPr>
          <w:sz w:val="20"/>
          <w:szCs w:val="20"/>
          <w:color w:val="auto"/>
        </w:rPr>
      </w:pPr>
    </w:p>
    <w:p>
      <w:pPr>
        <w:ind w:right="3239"/>
        <w:spacing w:after="0" w:line="287" w:lineRule="auto"/>
        <w:rPr>
          <w:sz w:val="20"/>
          <w:szCs w:val="20"/>
          <w:color w:val="auto"/>
        </w:rPr>
      </w:pPr>
      <w:r>
        <w:rPr>
          <w:rFonts w:ascii="Courier New" w:cs="Courier New" w:eastAsia="Courier New" w:hAnsi="Courier New"/>
          <w:sz w:val="14"/>
          <w:szCs w:val="14"/>
          <w:color w:val="auto"/>
        </w:rPr>
        <w:t>Approximately $4 billion of consolidated income retained for use in the business on December 31, 2001 represented undistributed earnings of consolidated subsidiaries and the pro rata Schlumberger share of 20%-50% owned companies. No provision is made for deferred income taxes on those earnings considered to be indefinitely reinvested or earnings that would not be taxed when remitted.</w:t>
      </w:r>
    </w:p>
    <w:p>
      <w:pPr>
        <w:spacing w:after="0" w:line="6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F-9</w:t>
      </w:r>
    </w:p>
    <w:p>
      <w:pPr>
        <w:sectPr>
          <w:pgSz w:w="11900" w:h="16838" w:orient="portrait"/>
          <w:cols w:equalWidth="0" w:num="1">
            <w:col w:w="10239"/>
          </w:cols>
          <w:pgMar w:left="220" w:top="766" w:right="1440" w:bottom="1440" w:gutter="0" w:footer="0" w:header="0"/>
        </w:sectPr>
      </w:pPr>
    </w:p>
    <w:bookmarkStart w:id="23" w:name="page24"/>
    <w:bookmarkEnd w:id="23"/>
    <w:p>
      <w:pPr>
        <w:spacing w:after="0"/>
        <w:rPr>
          <w:sz w:val="20"/>
          <w:szCs w:val="20"/>
          <w:color w:val="auto"/>
        </w:rPr>
      </w:pPr>
      <w:r>
        <w:rPr>
          <w:rFonts w:ascii="Courier New" w:cs="Courier New" w:eastAsia="Courier New" w:hAnsi="Courier New"/>
          <w:sz w:val="15"/>
          <w:szCs w:val="15"/>
          <w:color w:val="auto"/>
        </w:rPr>
        <w:t>EARNINGS PER SHARE</w:t>
      </w:r>
    </w:p>
    <w:p>
      <w:pPr>
        <w:spacing w:after="0" w:line="166" w:lineRule="exact"/>
        <w:rPr>
          <w:sz w:val="20"/>
          <w:szCs w:val="20"/>
          <w:color w:val="auto"/>
        </w:rPr>
      </w:pPr>
    </w:p>
    <w:p>
      <w:pPr>
        <w:ind w:right="3319"/>
        <w:spacing w:after="0" w:line="250" w:lineRule="auto"/>
        <w:rPr>
          <w:sz w:val="20"/>
          <w:szCs w:val="20"/>
          <w:color w:val="auto"/>
        </w:rPr>
      </w:pPr>
      <w:r>
        <w:rPr>
          <w:rFonts w:ascii="Courier New" w:cs="Courier New" w:eastAsia="Courier New" w:hAnsi="Courier New"/>
          <w:sz w:val="15"/>
          <w:szCs w:val="15"/>
          <w:color w:val="auto"/>
        </w:rPr>
        <w:t>Basic earnings per share is calculated by dividing net income by the average number of common shares outstanding during the year. Diluted earnings per share is calculated by dividing net income by the average number of common shares outstanding assuming dilution, the calculation of which assumes that all stock options and warrants which are in the money are exercised at the beginning of the period and the proceeds used, by Schlumberger, to purchase shares at the average market price for the period. The following is a reconciliation from basic earnings per share to diluted earnings per share from continuing operations for each of the last three years:</w:t>
      </w:r>
    </w:p>
    <w:p>
      <w:pPr>
        <w:spacing w:after="0" w:line="200" w:lineRule="exact"/>
        <w:rPr>
          <w:sz w:val="20"/>
          <w:szCs w:val="20"/>
          <w:color w:val="auto"/>
        </w:rPr>
      </w:pP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60" w:type="dxa"/>
            <w:vAlign w:val="bottom"/>
          </w:tcPr>
          <w:p>
            <w:pPr>
              <w:spacing w:after="0"/>
              <w:rPr>
                <w:sz w:val="14"/>
                <w:szCs w:val="14"/>
                <w:color w:val="auto"/>
              </w:rPr>
            </w:pPr>
          </w:p>
        </w:tc>
        <w:tc>
          <w:tcPr>
            <w:tcW w:w="5300" w:type="dxa"/>
            <w:vAlign w:val="bottom"/>
            <w:gridSpan w:val="3"/>
          </w:tcPr>
          <w:p>
            <w:pPr>
              <w:jc w:val="right"/>
              <w:ind w:right="287"/>
              <w:spacing w:after="0"/>
              <w:rPr>
                <w:sz w:val="20"/>
                <w:szCs w:val="20"/>
                <w:color w:val="auto"/>
              </w:rPr>
            </w:pPr>
            <w:r>
              <w:rPr>
                <w:rFonts w:ascii="Courier New" w:cs="Courier New" w:eastAsia="Courier New" w:hAnsi="Courier New"/>
                <w:sz w:val="15"/>
                <w:szCs w:val="15"/>
                <w:color w:val="auto"/>
              </w:rPr>
              <w:t>(Stated in thousands except per share amounts)</w:t>
            </w:r>
          </w:p>
        </w:tc>
        <w:tc>
          <w:tcPr>
            <w:tcW w:w="0" w:type="dxa"/>
            <w:vAlign w:val="bottom"/>
          </w:tcPr>
          <w:p>
            <w:pPr>
              <w:spacing w:after="0"/>
              <w:rPr>
                <w:sz w:val="1"/>
                <w:szCs w:val="1"/>
                <w:color w:val="auto"/>
              </w:rPr>
            </w:pPr>
          </w:p>
        </w:tc>
      </w:tr>
      <w:tr>
        <w:trPr>
          <w:trHeight w:val="168"/>
        </w:trPr>
        <w:tc>
          <w:tcPr>
            <w:tcW w:w="2060" w:type="dxa"/>
            <w:vAlign w:val="bottom"/>
          </w:tcPr>
          <w:p>
            <w:pPr>
              <w:spacing w:after="0"/>
              <w:rPr>
                <w:sz w:val="14"/>
                <w:szCs w:val="14"/>
                <w:color w:val="auto"/>
              </w:rPr>
            </w:pPr>
          </w:p>
        </w:tc>
        <w:tc>
          <w:tcPr>
            <w:tcW w:w="1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Income from</w:t>
            </w:r>
          </w:p>
        </w:tc>
        <w:tc>
          <w:tcPr>
            <w:tcW w:w="176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Average</w:t>
            </w:r>
          </w:p>
        </w:tc>
        <w:tc>
          <w:tcPr>
            <w:tcW w:w="162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rPr>
              <w:t>Earnings</w:t>
            </w:r>
          </w:p>
        </w:tc>
        <w:tc>
          <w:tcPr>
            <w:tcW w:w="0" w:type="dxa"/>
            <w:vAlign w:val="bottom"/>
          </w:tcPr>
          <w:p>
            <w:pPr>
              <w:spacing w:after="0"/>
              <w:rPr>
                <w:sz w:val="1"/>
                <w:szCs w:val="1"/>
                <w:color w:val="auto"/>
              </w:rPr>
            </w:pPr>
          </w:p>
        </w:tc>
      </w:tr>
      <w:tr>
        <w:trPr>
          <w:trHeight w:val="168"/>
        </w:trPr>
        <w:tc>
          <w:tcPr>
            <w:tcW w:w="2060" w:type="dxa"/>
            <w:vAlign w:val="bottom"/>
          </w:tcPr>
          <w:p>
            <w:pPr>
              <w:spacing w:after="0"/>
              <w:rPr>
                <w:sz w:val="14"/>
                <w:szCs w:val="14"/>
                <w:color w:val="auto"/>
              </w:rPr>
            </w:pPr>
          </w:p>
        </w:tc>
        <w:tc>
          <w:tcPr>
            <w:tcW w:w="19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Continuing</w:t>
            </w:r>
          </w:p>
        </w:tc>
        <w:tc>
          <w:tcPr>
            <w:tcW w:w="176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Shares</w:t>
            </w:r>
          </w:p>
        </w:tc>
        <w:tc>
          <w:tcPr>
            <w:tcW w:w="1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60" w:type="dxa"/>
            <w:vAlign w:val="bottom"/>
          </w:tcPr>
          <w:p>
            <w:pPr>
              <w:spacing w:after="0"/>
              <w:rPr>
                <w:sz w:val="14"/>
                <w:szCs w:val="14"/>
                <w:color w:val="auto"/>
              </w:rPr>
            </w:pPr>
          </w:p>
        </w:tc>
        <w:tc>
          <w:tcPr>
            <w:tcW w:w="19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Operations</w:t>
            </w:r>
          </w:p>
        </w:tc>
        <w:tc>
          <w:tcPr>
            <w:tcW w:w="17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Outstanding</w:t>
            </w:r>
          </w:p>
        </w:tc>
        <w:tc>
          <w:tcPr>
            <w:tcW w:w="16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Per Share</w:t>
            </w:r>
          </w:p>
        </w:tc>
        <w:tc>
          <w:tcPr>
            <w:tcW w:w="0" w:type="dxa"/>
            <w:vAlign w:val="bottom"/>
          </w:tcPr>
          <w:p>
            <w:pPr>
              <w:spacing w:after="0"/>
              <w:rPr>
                <w:sz w:val="1"/>
                <w:szCs w:val="1"/>
                <w:color w:val="auto"/>
              </w:rPr>
            </w:pPr>
          </w:p>
        </w:tc>
      </w:tr>
      <w:tr>
        <w:trPr>
          <w:trHeight w:val="245"/>
        </w:trPr>
        <w:tc>
          <w:tcPr>
            <w:tcW w:w="2060" w:type="dxa"/>
            <w:vAlign w:val="bottom"/>
          </w:tcPr>
          <w:p>
            <w:pPr>
              <w:spacing w:after="0"/>
              <w:rPr>
                <w:sz w:val="21"/>
                <w:szCs w:val="21"/>
                <w:color w:val="auto"/>
              </w:rPr>
            </w:pPr>
          </w:p>
        </w:tc>
        <w:tc>
          <w:tcPr>
            <w:tcW w:w="1920" w:type="dxa"/>
            <w:vAlign w:val="bottom"/>
          </w:tcPr>
          <w:p>
            <w:pPr>
              <w:jc w:val="center"/>
              <w:ind w:left="287"/>
              <w:spacing w:after="0"/>
              <w:rPr>
                <w:sz w:val="20"/>
                <w:szCs w:val="20"/>
                <w:color w:val="auto"/>
              </w:rPr>
            </w:pPr>
            <w:r>
              <w:rPr>
                <w:rFonts w:ascii="Courier New" w:cs="Courier New" w:eastAsia="Courier New" w:hAnsi="Courier New"/>
                <w:sz w:val="15"/>
                <w:szCs w:val="15"/>
                <w:color w:val="auto"/>
                <w:w w:val="97"/>
              </w:rPr>
              <w:t>---------------</w:t>
            </w:r>
          </w:p>
        </w:tc>
        <w:tc>
          <w:tcPr>
            <w:tcW w:w="1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427"/>
        </w:trPr>
        <w:tc>
          <w:tcPr>
            <w:tcW w:w="2060" w:type="dxa"/>
            <w:vAlign w:val="bottom"/>
          </w:tcPr>
          <w:p>
            <w:pPr>
              <w:spacing w:after="0"/>
              <w:rPr>
                <w:sz w:val="20"/>
                <w:szCs w:val="20"/>
                <w:color w:val="auto"/>
              </w:rPr>
            </w:pPr>
            <w:r>
              <w:rPr>
                <w:rFonts w:ascii="Courier New" w:cs="Courier New" w:eastAsia="Courier New" w:hAnsi="Courier New"/>
                <w:sz w:val="15"/>
                <w:szCs w:val="15"/>
                <w:color w:val="auto"/>
              </w:rPr>
              <w:t>2001</w:t>
            </w:r>
          </w:p>
        </w:tc>
        <w:tc>
          <w:tcPr>
            <w:tcW w:w="1920" w:type="dxa"/>
            <w:vAlign w:val="bottom"/>
            <w:vMerge w:val="restart"/>
          </w:tcPr>
          <w:p>
            <w:pPr>
              <w:jc w:val="center"/>
              <w:ind w:left="287"/>
              <w:spacing w:after="0"/>
              <w:rPr>
                <w:sz w:val="20"/>
                <w:szCs w:val="20"/>
                <w:color w:val="auto"/>
              </w:rPr>
            </w:pPr>
            <w:r>
              <w:rPr>
                <w:rFonts w:ascii="Courier New" w:cs="Courier New" w:eastAsia="Courier New" w:hAnsi="Courier New"/>
                <w:sz w:val="15"/>
                <w:szCs w:val="15"/>
                <w:color w:val="auto"/>
                <w:w w:val="98"/>
              </w:rPr>
              <w:t>$ 522,217</w:t>
            </w:r>
          </w:p>
        </w:tc>
        <w:tc>
          <w:tcPr>
            <w:tcW w:w="176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574,328</w:t>
            </w:r>
          </w:p>
        </w:tc>
        <w:tc>
          <w:tcPr>
            <w:tcW w:w="162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$ 0.91</w:t>
            </w:r>
          </w:p>
        </w:tc>
        <w:tc>
          <w:tcPr>
            <w:tcW w:w="0" w:type="dxa"/>
            <w:vAlign w:val="bottom"/>
          </w:tcPr>
          <w:p>
            <w:pPr>
              <w:spacing w:after="0"/>
              <w:rPr>
                <w:sz w:val="1"/>
                <w:szCs w:val="1"/>
                <w:color w:val="auto"/>
              </w:rPr>
            </w:pPr>
          </w:p>
        </w:tc>
      </w:tr>
      <w:tr>
        <w:trPr>
          <w:trHeight w:val="168"/>
        </w:trPr>
        <w:tc>
          <w:tcPr>
            <w:tcW w:w="2060" w:type="dxa"/>
            <w:vAlign w:val="bottom"/>
          </w:tcPr>
          <w:p>
            <w:pPr>
              <w:spacing w:after="0" w:line="168" w:lineRule="exact"/>
              <w:rPr>
                <w:sz w:val="20"/>
                <w:szCs w:val="20"/>
                <w:color w:val="auto"/>
              </w:rPr>
            </w:pPr>
            <w:r>
              <w:rPr>
                <w:rFonts w:ascii="Courier New" w:cs="Courier New" w:eastAsia="Courier New" w:hAnsi="Courier New"/>
                <w:sz w:val="15"/>
                <w:szCs w:val="15"/>
                <w:color w:val="auto"/>
              </w:rPr>
              <w:t>Basic</w:t>
            </w:r>
          </w:p>
        </w:tc>
        <w:tc>
          <w:tcPr>
            <w:tcW w:w="1920" w:type="dxa"/>
            <w:vAlign w:val="bottom"/>
            <w:vMerge w:val="continue"/>
          </w:tcPr>
          <w:p>
            <w:pPr>
              <w:spacing w:after="0"/>
              <w:rPr>
                <w:sz w:val="14"/>
                <w:szCs w:val="14"/>
                <w:color w:val="auto"/>
              </w:rPr>
            </w:pPr>
          </w:p>
        </w:tc>
        <w:tc>
          <w:tcPr>
            <w:tcW w:w="1760" w:type="dxa"/>
            <w:vAlign w:val="bottom"/>
            <w:vMerge w:val="continue"/>
          </w:tcPr>
          <w:p>
            <w:pPr>
              <w:spacing w:after="0"/>
              <w:rPr>
                <w:sz w:val="14"/>
                <w:szCs w:val="14"/>
                <w:color w:val="auto"/>
              </w:rPr>
            </w:pPr>
          </w:p>
        </w:tc>
        <w:tc>
          <w:tcPr>
            <w:tcW w:w="1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2060" w:type="dxa"/>
            <w:vAlign w:val="bottom"/>
            <w:vMerge w:val="restart"/>
          </w:tcPr>
          <w:p>
            <w:pPr>
              <w:spacing w:after="0"/>
              <w:rPr>
                <w:sz w:val="20"/>
                <w:szCs w:val="20"/>
                <w:color w:val="auto"/>
              </w:rPr>
            </w:pPr>
            <w:r>
              <w:rPr>
                <w:rFonts w:ascii="Courier New" w:cs="Courier New" w:eastAsia="Courier New" w:hAnsi="Courier New"/>
                <w:sz w:val="15"/>
                <w:szCs w:val="15"/>
                <w:color w:val="auto"/>
              </w:rPr>
              <w:t>Effects of dilution:</w:t>
            </w:r>
          </w:p>
        </w:tc>
        <w:tc>
          <w:tcPr>
            <w:tcW w:w="192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1"/>
        </w:trPr>
        <w:tc>
          <w:tcPr>
            <w:tcW w:w="2060" w:type="dxa"/>
            <w:vAlign w:val="bottom"/>
            <w:vMerge w:val="continue"/>
          </w:tcPr>
          <w:p>
            <w:pPr>
              <w:spacing w:after="0"/>
              <w:rPr>
                <w:sz w:val="7"/>
                <w:szCs w:val="7"/>
                <w:color w:val="auto"/>
              </w:rPr>
            </w:pPr>
          </w:p>
        </w:tc>
        <w:tc>
          <w:tcPr>
            <w:tcW w:w="1920" w:type="dxa"/>
            <w:vAlign w:val="bottom"/>
          </w:tcPr>
          <w:p>
            <w:pPr>
              <w:spacing w:after="0"/>
              <w:rPr>
                <w:sz w:val="7"/>
                <w:szCs w:val="7"/>
                <w:color w:val="auto"/>
              </w:rPr>
            </w:pPr>
          </w:p>
        </w:tc>
        <w:tc>
          <w:tcPr>
            <w:tcW w:w="176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5,886</w:t>
            </w:r>
          </w:p>
        </w:tc>
        <w:tc>
          <w:tcPr>
            <w:tcW w:w="16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60" w:type="dxa"/>
            <w:vAlign w:val="bottom"/>
          </w:tcPr>
          <w:p>
            <w:pPr>
              <w:ind w:left="540"/>
              <w:spacing w:after="0"/>
              <w:rPr>
                <w:sz w:val="20"/>
                <w:szCs w:val="20"/>
                <w:color w:val="auto"/>
              </w:rPr>
            </w:pPr>
            <w:r>
              <w:rPr>
                <w:rFonts w:ascii="Courier New" w:cs="Courier New" w:eastAsia="Courier New" w:hAnsi="Courier New"/>
                <w:sz w:val="15"/>
                <w:szCs w:val="15"/>
                <w:color w:val="auto"/>
              </w:rPr>
              <w:t>Options</w:t>
            </w:r>
          </w:p>
        </w:tc>
        <w:tc>
          <w:tcPr>
            <w:tcW w:w="1920" w:type="dxa"/>
            <w:vAlign w:val="bottom"/>
          </w:tcPr>
          <w:p>
            <w:pPr>
              <w:spacing w:after="0"/>
              <w:rPr>
                <w:sz w:val="21"/>
                <w:szCs w:val="21"/>
                <w:color w:val="auto"/>
              </w:rPr>
            </w:pPr>
          </w:p>
        </w:tc>
        <w:tc>
          <w:tcPr>
            <w:tcW w:w="1760" w:type="dxa"/>
            <w:vAlign w:val="bottom"/>
            <w:vMerge w:val="continue"/>
          </w:tcPr>
          <w:p>
            <w:pPr>
              <w:spacing w:after="0"/>
              <w:rPr>
                <w:sz w:val="21"/>
                <w:szCs w:val="21"/>
                <w:color w:val="auto"/>
              </w:rPr>
            </w:pPr>
          </w:p>
        </w:tc>
        <w:tc>
          <w:tcPr>
            <w:tcW w:w="1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2060" w:type="dxa"/>
            <w:vAlign w:val="bottom"/>
            <w:vMerge w:val="restart"/>
          </w:tcPr>
          <w:p>
            <w:pPr>
              <w:spacing w:after="0"/>
              <w:rPr>
                <w:sz w:val="20"/>
                <w:szCs w:val="20"/>
                <w:color w:val="auto"/>
              </w:rPr>
            </w:pPr>
            <w:r>
              <w:rPr>
                <w:rFonts w:ascii="Courier New" w:cs="Courier New" w:eastAsia="Courier New" w:hAnsi="Courier New"/>
                <w:sz w:val="15"/>
                <w:szCs w:val="15"/>
                <w:color w:val="auto"/>
              </w:rPr>
              <w:t>Diluted</w:t>
            </w:r>
          </w:p>
        </w:tc>
        <w:tc>
          <w:tcPr>
            <w:tcW w:w="1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62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$ 0.91</w:t>
            </w:r>
          </w:p>
        </w:tc>
        <w:tc>
          <w:tcPr>
            <w:tcW w:w="0" w:type="dxa"/>
            <w:vAlign w:val="bottom"/>
          </w:tcPr>
          <w:p>
            <w:pPr>
              <w:spacing w:after="0"/>
              <w:rPr>
                <w:sz w:val="1"/>
                <w:szCs w:val="1"/>
                <w:color w:val="auto"/>
              </w:rPr>
            </w:pPr>
          </w:p>
        </w:tc>
      </w:tr>
      <w:tr>
        <w:trPr>
          <w:trHeight w:val="168"/>
        </w:trPr>
        <w:tc>
          <w:tcPr>
            <w:tcW w:w="2060" w:type="dxa"/>
            <w:vAlign w:val="bottom"/>
            <w:vMerge w:val="continue"/>
          </w:tcPr>
          <w:p>
            <w:pPr>
              <w:spacing w:after="0"/>
              <w:rPr>
                <w:sz w:val="14"/>
                <w:szCs w:val="14"/>
                <w:color w:val="auto"/>
              </w:rPr>
            </w:pPr>
          </w:p>
        </w:tc>
        <w:tc>
          <w:tcPr>
            <w:tcW w:w="1920" w:type="dxa"/>
            <w:vAlign w:val="bottom"/>
          </w:tcPr>
          <w:p>
            <w:pPr>
              <w:jc w:val="center"/>
              <w:ind w:left="287"/>
              <w:spacing w:after="0" w:line="168" w:lineRule="exact"/>
              <w:rPr>
                <w:sz w:val="20"/>
                <w:szCs w:val="20"/>
                <w:color w:val="auto"/>
              </w:rPr>
            </w:pPr>
            <w:r>
              <w:rPr>
                <w:rFonts w:ascii="Courier New" w:cs="Courier New" w:eastAsia="Courier New" w:hAnsi="Courier New"/>
                <w:sz w:val="15"/>
                <w:szCs w:val="15"/>
                <w:color w:val="auto"/>
                <w:w w:val="98"/>
              </w:rPr>
              <w:t>$ 522,217</w:t>
            </w:r>
          </w:p>
        </w:tc>
        <w:tc>
          <w:tcPr>
            <w:tcW w:w="17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580,214</w:t>
            </w:r>
          </w:p>
        </w:tc>
        <w:tc>
          <w:tcPr>
            <w:tcW w:w="1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2060" w:type="dxa"/>
            <w:vAlign w:val="bottom"/>
          </w:tcPr>
          <w:p>
            <w:pPr>
              <w:spacing w:after="0"/>
              <w:rPr>
                <w:sz w:val="21"/>
                <w:szCs w:val="21"/>
                <w:color w:val="auto"/>
              </w:rPr>
            </w:pPr>
          </w:p>
        </w:tc>
        <w:tc>
          <w:tcPr>
            <w:tcW w:w="1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2060" w:type="dxa"/>
            <w:vAlign w:val="bottom"/>
          </w:tcPr>
          <w:p>
            <w:pPr>
              <w:spacing w:after="0"/>
              <w:rPr>
                <w:sz w:val="20"/>
                <w:szCs w:val="20"/>
                <w:color w:val="auto"/>
              </w:rPr>
            </w:pPr>
            <w:r>
              <w:rPr>
                <w:rFonts w:ascii="Courier New" w:cs="Courier New" w:eastAsia="Courier New" w:hAnsi="Courier New"/>
                <w:sz w:val="15"/>
                <w:szCs w:val="15"/>
                <w:color w:val="auto"/>
              </w:rPr>
              <w:t>2000</w:t>
            </w:r>
          </w:p>
        </w:tc>
        <w:tc>
          <w:tcPr>
            <w:tcW w:w="1920" w:type="dxa"/>
            <w:vAlign w:val="bottom"/>
            <w:vMerge w:val="restart"/>
          </w:tcPr>
          <w:p>
            <w:pPr>
              <w:jc w:val="center"/>
              <w:ind w:left="287"/>
              <w:spacing w:after="0"/>
              <w:rPr>
                <w:sz w:val="20"/>
                <w:szCs w:val="20"/>
                <w:color w:val="auto"/>
              </w:rPr>
            </w:pPr>
            <w:r>
              <w:rPr>
                <w:rFonts w:ascii="Courier New" w:cs="Courier New" w:eastAsia="Courier New" w:hAnsi="Courier New"/>
                <w:sz w:val="15"/>
                <w:szCs w:val="15"/>
                <w:color w:val="auto"/>
                <w:w w:val="98"/>
              </w:rPr>
              <w:t>$ 734,596</w:t>
            </w:r>
          </w:p>
        </w:tc>
        <w:tc>
          <w:tcPr>
            <w:tcW w:w="176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570,028</w:t>
            </w:r>
          </w:p>
        </w:tc>
        <w:tc>
          <w:tcPr>
            <w:tcW w:w="162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$ 1.29</w:t>
            </w:r>
          </w:p>
        </w:tc>
        <w:tc>
          <w:tcPr>
            <w:tcW w:w="0" w:type="dxa"/>
            <w:vAlign w:val="bottom"/>
          </w:tcPr>
          <w:p>
            <w:pPr>
              <w:spacing w:after="0"/>
              <w:rPr>
                <w:sz w:val="1"/>
                <w:szCs w:val="1"/>
                <w:color w:val="auto"/>
              </w:rPr>
            </w:pPr>
          </w:p>
        </w:tc>
      </w:tr>
      <w:tr>
        <w:trPr>
          <w:trHeight w:val="168"/>
        </w:trPr>
        <w:tc>
          <w:tcPr>
            <w:tcW w:w="2060" w:type="dxa"/>
            <w:vAlign w:val="bottom"/>
          </w:tcPr>
          <w:p>
            <w:pPr>
              <w:spacing w:after="0" w:line="168" w:lineRule="exact"/>
              <w:rPr>
                <w:sz w:val="20"/>
                <w:szCs w:val="20"/>
                <w:color w:val="auto"/>
              </w:rPr>
            </w:pPr>
            <w:r>
              <w:rPr>
                <w:rFonts w:ascii="Courier New" w:cs="Courier New" w:eastAsia="Courier New" w:hAnsi="Courier New"/>
                <w:sz w:val="15"/>
                <w:szCs w:val="15"/>
                <w:color w:val="auto"/>
              </w:rPr>
              <w:t>Basic</w:t>
            </w:r>
          </w:p>
        </w:tc>
        <w:tc>
          <w:tcPr>
            <w:tcW w:w="1920" w:type="dxa"/>
            <w:vAlign w:val="bottom"/>
            <w:vMerge w:val="continue"/>
          </w:tcPr>
          <w:p>
            <w:pPr>
              <w:spacing w:after="0"/>
              <w:rPr>
                <w:sz w:val="14"/>
                <w:szCs w:val="14"/>
                <w:color w:val="auto"/>
              </w:rPr>
            </w:pPr>
          </w:p>
        </w:tc>
        <w:tc>
          <w:tcPr>
            <w:tcW w:w="1760" w:type="dxa"/>
            <w:vAlign w:val="bottom"/>
            <w:vMerge w:val="continue"/>
          </w:tcPr>
          <w:p>
            <w:pPr>
              <w:spacing w:after="0"/>
              <w:rPr>
                <w:sz w:val="14"/>
                <w:szCs w:val="14"/>
                <w:color w:val="auto"/>
              </w:rPr>
            </w:pPr>
          </w:p>
        </w:tc>
        <w:tc>
          <w:tcPr>
            <w:tcW w:w="1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2060" w:type="dxa"/>
            <w:vAlign w:val="bottom"/>
            <w:vMerge w:val="restart"/>
          </w:tcPr>
          <w:p>
            <w:pPr>
              <w:spacing w:after="0"/>
              <w:rPr>
                <w:sz w:val="20"/>
                <w:szCs w:val="20"/>
                <w:color w:val="auto"/>
              </w:rPr>
            </w:pPr>
            <w:r>
              <w:rPr>
                <w:rFonts w:ascii="Courier New" w:cs="Courier New" w:eastAsia="Courier New" w:hAnsi="Courier New"/>
                <w:sz w:val="15"/>
                <w:szCs w:val="15"/>
                <w:color w:val="auto"/>
              </w:rPr>
              <w:t>Effects of dilution:</w:t>
            </w:r>
          </w:p>
        </w:tc>
        <w:tc>
          <w:tcPr>
            <w:tcW w:w="192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1"/>
        </w:trPr>
        <w:tc>
          <w:tcPr>
            <w:tcW w:w="2060" w:type="dxa"/>
            <w:vAlign w:val="bottom"/>
            <w:vMerge w:val="continue"/>
          </w:tcPr>
          <w:p>
            <w:pPr>
              <w:spacing w:after="0"/>
              <w:rPr>
                <w:sz w:val="7"/>
                <w:szCs w:val="7"/>
                <w:color w:val="auto"/>
              </w:rPr>
            </w:pPr>
          </w:p>
        </w:tc>
        <w:tc>
          <w:tcPr>
            <w:tcW w:w="1920" w:type="dxa"/>
            <w:vAlign w:val="bottom"/>
          </w:tcPr>
          <w:p>
            <w:pPr>
              <w:spacing w:after="0"/>
              <w:rPr>
                <w:sz w:val="7"/>
                <w:szCs w:val="7"/>
                <w:color w:val="auto"/>
              </w:rPr>
            </w:pPr>
          </w:p>
        </w:tc>
        <w:tc>
          <w:tcPr>
            <w:tcW w:w="176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10,048</w:t>
            </w:r>
          </w:p>
        </w:tc>
        <w:tc>
          <w:tcPr>
            <w:tcW w:w="16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60" w:type="dxa"/>
            <w:vAlign w:val="bottom"/>
          </w:tcPr>
          <w:p>
            <w:pPr>
              <w:ind w:left="540"/>
              <w:spacing w:after="0"/>
              <w:rPr>
                <w:sz w:val="20"/>
                <w:szCs w:val="20"/>
                <w:color w:val="auto"/>
              </w:rPr>
            </w:pPr>
            <w:r>
              <w:rPr>
                <w:rFonts w:ascii="Courier New" w:cs="Courier New" w:eastAsia="Courier New" w:hAnsi="Courier New"/>
                <w:sz w:val="15"/>
                <w:szCs w:val="15"/>
                <w:color w:val="auto"/>
              </w:rPr>
              <w:t>Options</w:t>
            </w:r>
          </w:p>
        </w:tc>
        <w:tc>
          <w:tcPr>
            <w:tcW w:w="1920" w:type="dxa"/>
            <w:vAlign w:val="bottom"/>
          </w:tcPr>
          <w:p>
            <w:pPr>
              <w:spacing w:after="0"/>
              <w:rPr>
                <w:sz w:val="21"/>
                <w:szCs w:val="21"/>
                <w:color w:val="auto"/>
              </w:rPr>
            </w:pPr>
          </w:p>
        </w:tc>
        <w:tc>
          <w:tcPr>
            <w:tcW w:w="1760" w:type="dxa"/>
            <w:vAlign w:val="bottom"/>
            <w:vMerge w:val="continue"/>
          </w:tcPr>
          <w:p>
            <w:pPr>
              <w:spacing w:after="0"/>
              <w:rPr>
                <w:sz w:val="21"/>
                <w:szCs w:val="21"/>
                <w:color w:val="auto"/>
              </w:rPr>
            </w:pPr>
          </w:p>
        </w:tc>
        <w:tc>
          <w:tcPr>
            <w:tcW w:w="1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2060" w:type="dxa"/>
            <w:vAlign w:val="bottom"/>
            <w:vMerge w:val="restart"/>
          </w:tcPr>
          <w:p>
            <w:pPr>
              <w:spacing w:after="0"/>
              <w:rPr>
                <w:sz w:val="20"/>
                <w:szCs w:val="20"/>
                <w:color w:val="auto"/>
              </w:rPr>
            </w:pPr>
            <w:r>
              <w:rPr>
                <w:rFonts w:ascii="Courier New" w:cs="Courier New" w:eastAsia="Courier New" w:hAnsi="Courier New"/>
                <w:sz w:val="15"/>
                <w:szCs w:val="15"/>
                <w:color w:val="auto"/>
              </w:rPr>
              <w:t>Diluted</w:t>
            </w:r>
          </w:p>
        </w:tc>
        <w:tc>
          <w:tcPr>
            <w:tcW w:w="1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62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$ 1.27</w:t>
            </w:r>
          </w:p>
        </w:tc>
        <w:tc>
          <w:tcPr>
            <w:tcW w:w="0" w:type="dxa"/>
            <w:vAlign w:val="bottom"/>
          </w:tcPr>
          <w:p>
            <w:pPr>
              <w:spacing w:after="0"/>
              <w:rPr>
                <w:sz w:val="1"/>
                <w:szCs w:val="1"/>
                <w:color w:val="auto"/>
              </w:rPr>
            </w:pPr>
          </w:p>
        </w:tc>
      </w:tr>
      <w:tr>
        <w:trPr>
          <w:trHeight w:val="168"/>
        </w:trPr>
        <w:tc>
          <w:tcPr>
            <w:tcW w:w="2060" w:type="dxa"/>
            <w:vAlign w:val="bottom"/>
            <w:vMerge w:val="continue"/>
          </w:tcPr>
          <w:p>
            <w:pPr>
              <w:spacing w:after="0"/>
              <w:rPr>
                <w:sz w:val="14"/>
                <w:szCs w:val="14"/>
                <w:color w:val="auto"/>
              </w:rPr>
            </w:pPr>
          </w:p>
        </w:tc>
        <w:tc>
          <w:tcPr>
            <w:tcW w:w="1920" w:type="dxa"/>
            <w:vAlign w:val="bottom"/>
          </w:tcPr>
          <w:p>
            <w:pPr>
              <w:jc w:val="center"/>
              <w:ind w:left="287"/>
              <w:spacing w:after="0" w:line="168" w:lineRule="exact"/>
              <w:rPr>
                <w:sz w:val="20"/>
                <w:szCs w:val="20"/>
                <w:color w:val="auto"/>
              </w:rPr>
            </w:pPr>
            <w:r>
              <w:rPr>
                <w:rFonts w:ascii="Courier New" w:cs="Courier New" w:eastAsia="Courier New" w:hAnsi="Courier New"/>
                <w:sz w:val="15"/>
                <w:szCs w:val="15"/>
                <w:color w:val="auto"/>
                <w:w w:val="98"/>
              </w:rPr>
              <w:t>$ 734,596</w:t>
            </w:r>
          </w:p>
        </w:tc>
        <w:tc>
          <w:tcPr>
            <w:tcW w:w="17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580,076</w:t>
            </w:r>
          </w:p>
        </w:tc>
        <w:tc>
          <w:tcPr>
            <w:tcW w:w="1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2060" w:type="dxa"/>
            <w:vAlign w:val="bottom"/>
          </w:tcPr>
          <w:p>
            <w:pPr>
              <w:spacing w:after="0"/>
              <w:rPr>
                <w:sz w:val="21"/>
                <w:szCs w:val="21"/>
                <w:color w:val="auto"/>
              </w:rPr>
            </w:pPr>
          </w:p>
        </w:tc>
        <w:tc>
          <w:tcPr>
            <w:tcW w:w="1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2060" w:type="dxa"/>
            <w:vAlign w:val="bottom"/>
          </w:tcPr>
          <w:p>
            <w:pPr>
              <w:spacing w:after="0"/>
              <w:rPr>
                <w:sz w:val="20"/>
                <w:szCs w:val="20"/>
                <w:color w:val="auto"/>
              </w:rPr>
            </w:pPr>
            <w:r>
              <w:rPr>
                <w:rFonts w:ascii="Courier New" w:cs="Courier New" w:eastAsia="Courier New" w:hAnsi="Courier New"/>
                <w:sz w:val="15"/>
                <w:szCs w:val="15"/>
                <w:color w:val="auto"/>
              </w:rPr>
              <w:t>1999</w:t>
            </w:r>
          </w:p>
        </w:tc>
        <w:tc>
          <w:tcPr>
            <w:tcW w:w="1920" w:type="dxa"/>
            <w:vAlign w:val="bottom"/>
            <w:vMerge w:val="restart"/>
          </w:tcPr>
          <w:p>
            <w:pPr>
              <w:jc w:val="center"/>
              <w:ind w:left="287"/>
              <w:spacing w:after="0"/>
              <w:rPr>
                <w:sz w:val="20"/>
                <w:szCs w:val="20"/>
                <w:color w:val="auto"/>
              </w:rPr>
            </w:pPr>
            <w:r>
              <w:rPr>
                <w:rFonts w:ascii="Courier New" w:cs="Courier New" w:eastAsia="Courier New" w:hAnsi="Courier New"/>
                <w:sz w:val="15"/>
                <w:szCs w:val="15"/>
                <w:color w:val="auto"/>
                <w:w w:val="98"/>
              </w:rPr>
              <w:t>$ 329,334</w:t>
            </w:r>
          </w:p>
        </w:tc>
        <w:tc>
          <w:tcPr>
            <w:tcW w:w="176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548,680</w:t>
            </w:r>
          </w:p>
        </w:tc>
        <w:tc>
          <w:tcPr>
            <w:tcW w:w="162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$ 0.60</w:t>
            </w:r>
          </w:p>
        </w:tc>
        <w:tc>
          <w:tcPr>
            <w:tcW w:w="0" w:type="dxa"/>
            <w:vAlign w:val="bottom"/>
          </w:tcPr>
          <w:p>
            <w:pPr>
              <w:spacing w:after="0"/>
              <w:rPr>
                <w:sz w:val="1"/>
                <w:szCs w:val="1"/>
                <w:color w:val="auto"/>
              </w:rPr>
            </w:pPr>
          </w:p>
        </w:tc>
      </w:tr>
      <w:tr>
        <w:trPr>
          <w:trHeight w:val="168"/>
        </w:trPr>
        <w:tc>
          <w:tcPr>
            <w:tcW w:w="2060" w:type="dxa"/>
            <w:vAlign w:val="bottom"/>
          </w:tcPr>
          <w:p>
            <w:pPr>
              <w:spacing w:after="0" w:line="168" w:lineRule="exact"/>
              <w:rPr>
                <w:sz w:val="20"/>
                <w:szCs w:val="20"/>
                <w:color w:val="auto"/>
              </w:rPr>
            </w:pPr>
            <w:r>
              <w:rPr>
                <w:rFonts w:ascii="Courier New" w:cs="Courier New" w:eastAsia="Courier New" w:hAnsi="Courier New"/>
                <w:sz w:val="15"/>
                <w:szCs w:val="15"/>
                <w:color w:val="auto"/>
              </w:rPr>
              <w:t>Basic</w:t>
            </w:r>
          </w:p>
        </w:tc>
        <w:tc>
          <w:tcPr>
            <w:tcW w:w="1920" w:type="dxa"/>
            <w:vAlign w:val="bottom"/>
            <w:vMerge w:val="continue"/>
          </w:tcPr>
          <w:p>
            <w:pPr>
              <w:spacing w:after="0"/>
              <w:rPr>
                <w:sz w:val="14"/>
                <w:szCs w:val="14"/>
                <w:color w:val="auto"/>
              </w:rPr>
            </w:pPr>
          </w:p>
        </w:tc>
        <w:tc>
          <w:tcPr>
            <w:tcW w:w="1760" w:type="dxa"/>
            <w:vAlign w:val="bottom"/>
            <w:vMerge w:val="continue"/>
          </w:tcPr>
          <w:p>
            <w:pPr>
              <w:spacing w:after="0"/>
              <w:rPr>
                <w:sz w:val="14"/>
                <w:szCs w:val="14"/>
                <w:color w:val="auto"/>
              </w:rPr>
            </w:pPr>
          </w:p>
        </w:tc>
        <w:tc>
          <w:tcPr>
            <w:tcW w:w="1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2060" w:type="dxa"/>
            <w:vAlign w:val="bottom"/>
            <w:vMerge w:val="restart"/>
          </w:tcPr>
          <w:p>
            <w:pPr>
              <w:spacing w:after="0"/>
              <w:rPr>
                <w:sz w:val="20"/>
                <w:szCs w:val="20"/>
                <w:color w:val="auto"/>
              </w:rPr>
            </w:pPr>
            <w:r>
              <w:rPr>
                <w:rFonts w:ascii="Courier New" w:cs="Courier New" w:eastAsia="Courier New" w:hAnsi="Courier New"/>
                <w:sz w:val="15"/>
                <w:szCs w:val="15"/>
                <w:color w:val="auto"/>
              </w:rPr>
              <w:t>Effects of dilution:</w:t>
            </w:r>
          </w:p>
        </w:tc>
        <w:tc>
          <w:tcPr>
            <w:tcW w:w="192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1"/>
        </w:trPr>
        <w:tc>
          <w:tcPr>
            <w:tcW w:w="2060" w:type="dxa"/>
            <w:vAlign w:val="bottom"/>
            <w:vMerge w:val="continue"/>
          </w:tcPr>
          <w:p>
            <w:pPr>
              <w:spacing w:after="0"/>
              <w:rPr>
                <w:sz w:val="7"/>
                <w:szCs w:val="7"/>
                <w:color w:val="auto"/>
              </w:rPr>
            </w:pPr>
          </w:p>
        </w:tc>
        <w:tc>
          <w:tcPr>
            <w:tcW w:w="1920" w:type="dxa"/>
            <w:vAlign w:val="bottom"/>
          </w:tcPr>
          <w:p>
            <w:pPr>
              <w:spacing w:after="0"/>
              <w:rPr>
                <w:sz w:val="7"/>
                <w:szCs w:val="7"/>
                <w:color w:val="auto"/>
              </w:rPr>
            </w:pPr>
          </w:p>
        </w:tc>
        <w:tc>
          <w:tcPr>
            <w:tcW w:w="176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7,916</w:t>
            </w:r>
          </w:p>
        </w:tc>
        <w:tc>
          <w:tcPr>
            <w:tcW w:w="16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206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Options</w:t>
            </w:r>
          </w:p>
        </w:tc>
        <w:tc>
          <w:tcPr>
            <w:tcW w:w="1920" w:type="dxa"/>
            <w:vAlign w:val="bottom"/>
          </w:tcPr>
          <w:p>
            <w:pPr>
              <w:spacing w:after="0"/>
              <w:rPr>
                <w:sz w:val="14"/>
                <w:szCs w:val="14"/>
                <w:color w:val="auto"/>
              </w:rPr>
            </w:pPr>
          </w:p>
        </w:tc>
        <w:tc>
          <w:tcPr>
            <w:tcW w:w="1760" w:type="dxa"/>
            <w:vAlign w:val="bottom"/>
            <w:vMerge w:val="continue"/>
          </w:tcPr>
          <w:p>
            <w:pPr>
              <w:spacing w:after="0"/>
              <w:rPr>
                <w:sz w:val="14"/>
                <w:szCs w:val="14"/>
                <w:color w:val="auto"/>
              </w:rPr>
            </w:pP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6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Warrants</w:t>
            </w:r>
          </w:p>
        </w:tc>
        <w:tc>
          <w:tcPr>
            <w:tcW w:w="192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7,193</w:t>
            </w: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60" w:type="dxa"/>
            <w:vAlign w:val="bottom"/>
            <w:vMerge w:val="restart"/>
          </w:tcPr>
          <w:p>
            <w:pPr>
              <w:spacing w:after="0"/>
              <w:rPr>
                <w:sz w:val="20"/>
                <w:szCs w:val="20"/>
                <w:color w:val="auto"/>
              </w:rPr>
            </w:pPr>
            <w:r>
              <w:rPr>
                <w:rFonts w:ascii="Courier New" w:cs="Courier New" w:eastAsia="Courier New" w:hAnsi="Courier New"/>
                <w:sz w:val="15"/>
                <w:szCs w:val="15"/>
                <w:color w:val="auto"/>
              </w:rPr>
              <w:t>Diluted</w:t>
            </w:r>
          </w:p>
        </w:tc>
        <w:tc>
          <w:tcPr>
            <w:tcW w:w="1920" w:type="dxa"/>
            <w:vAlign w:val="bottom"/>
            <w:vMerge w:val="continue"/>
          </w:tcPr>
          <w:p>
            <w:pPr>
              <w:spacing w:after="0"/>
              <w:rPr>
                <w:sz w:val="14"/>
                <w:szCs w:val="14"/>
                <w:color w:val="auto"/>
              </w:rPr>
            </w:pPr>
          </w:p>
        </w:tc>
        <w:tc>
          <w:tcPr>
            <w:tcW w:w="17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$ 0.58</w:t>
            </w:r>
          </w:p>
        </w:tc>
        <w:tc>
          <w:tcPr>
            <w:tcW w:w="0" w:type="dxa"/>
            <w:vAlign w:val="bottom"/>
          </w:tcPr>
          <w:p>
            <w:pPr>
              <w:spacing w:after="0"/>
              <w:rPr>
                <w:sz w:val="1"/>
                <w:szCs w:val="1"/>
                <w:color w:val="auto"/>
              </w:rPr>
            </w:pPr>
          </w:p>
        </w:tc>
      </w:tr>
      <w:tr>
        <w:trPr>
          <w:trHeight w:val="168"/>
        </w:trPr>
        <w:tc>
          <w:tcPr>
            <w:tcW w:w="2060" w:type="dxa"/>
            <w:vAlign w:val="bottom"/>
            <w:vMerge w:val="continue"/>
          </w:tcPr>
          <w:p>
            <w:pPr>
              <w:spacing w:after="0"/>
              <w:rPr>
                <w:sz w:val="14"/>
                <w:szCs w:val="14"/>
                <w:color w:val="auto"/>
              </w:rPr>
            </w:pPr>
          </w:p>
        </w:tc>
        <w:tc>
          <w:tcPr>
            <w:tcW w:w="1920" w:type="dxa"/>
            <w:vAlign w:val="bottom"/>
          </w:tcPr>
          <w:p>
            <w:pPr>
              <w:jc w:val="center"/>
              <w:ind w:left="287"/>
              <w:spacing w:after="0" w:line="168" w:lineRule="exact"/>
              <w:rPr>
                <w:sz w:val="20"/>
                <w:szCs w:val="20"/>
                <w:color w:val="auto"/>
              </w:rPr>
            </w:pPr>
            <w:r>
              <w:rPr>
                <w:rFonts w:ascii="Courier New" w:cs="Courier New" w:eastAsia="Courier New" w:hAnsi="Courier New"/>
                <w:sz w:val="15"/>
                <w:szCs w:val="15"/>
                <w:color w:val="auto"/>
                <w:w w:val="98"/>
              </w:rPr>
              <w:t>$ 329,334</w:t>
            </w:r>
          </w:p>
        </w:tc>
        <w:tc>
          <w:tcPr>
            <w:tcW w:w="17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563,789</w:t>
            </w:r>
          </w:p>
        </w:tc>
        <w:tc>
          <w:tcPr>
            <w:tcW w:w="1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2060" w:type="dxa"/>
            <w:vAlign w:val="bottom"/>
          </w:tcPr>
          <w:p>
            <w:pPr>
              <w:spacing w:after="0"/>
              <w:rPr>
                <w:sz w:val="21"/>
                <w:szCs w:val="21"/>
                <w:color w:val="auto"/>
              </w:rPr>
            </w:pPr>
          </w:p>
        </w:tc>
        <w:tc>
          <w:tcPr>
            <w:tcW w:w="1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ADJUSTED NET INCOME</w:t>
      </w:r>
    </w:p>
    <w:p>
      <w:pPr>
        <w:spacing w:after="0" w:line="166" w:lineRule="exact"/>
        <w:rPr>
          <w:sz w:val="20"/>
          <w:szCs w:val="20"/>
          <w:color w:val="auto"/>
        </w:rPr>
      </w:pPr>
    </w:p>
    <w:p>
      <w:pPr>
        <w:ind w:right="3319"/>
        <w:spacing w:after="0" w:line="290" w:lineRule="auto"/>
        <w:rPr>
          <w:sz w:val="20"/>
          <w:szCs w:val="20"/>
          <w:color w:val="auto"/>
        </w:rPr>
      </w:pPr>
      <w:r>
        <w:rPr>
          <w:rFonts w:ascii="Courier New" w:cs="Courier New" w:eastAsia="Courier New" w:hAnsi="Courier New"/>
          <w:sz w:val="15"/>
          <w:szCs w:val="15"/>
          <w:color w:val="auto"/>
        </w:rPr>
        <w:t>The following is a reconciliation of reported net income to adjusted net income following the adoption of SFAS 142 (Goodwill and Other Intangible Assets) on January 1, 2002--see NEW ACCOUNTING STANDARDS below.</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2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4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(Stated in thousands)</w:t>
            </w:r>
          </w:p>
        </w:tc>
        <w:tc>
          <w:tcPr>
            <w:tcW w:w="0" w:type="dxa"/>
            <w:vAlign w:val="bottom"/>
          </w:tcPr>
          <w:p>
            <w:pPr>
              <w:spacing w:after="0"/>
              <w:rPr>
                <w:sz w:val="1"/>
                <w:szCs w:val="1"/>
                <w:color w:val="auto"/>
              </w:rPr>
            </w:pPr>
          </w:p>
        </w:tc>
      </w:tr>
      <w:tr>
        <w:trPr>
          <w:trHeight w:val="259"/>
        </w:trPr>
        <w:tc>
          <w:tcPr>
            <w:tcW w:w="3240" w:type="dxa"/>
            <w:vAlign w:val="bottom"/>
          </w:tcPr>
          <w:p>
            <w:pPr>
              <w:spacing w:after="0"/>
              <w:rPr>
                <w:sz w:val="22"/>
                <w:szCs w:val="22"/>
                <w:color w:val="auto"/>
              </w:rPr>
            </w:pPr>
          </w:p>
        </w:tc>
        <w:tc>
          <w:tcPr>
            <w:tcW w:w="1060" w:type="dxa"/>
            <w:vAlign w:val="bottom"/>
          </w:tcPr>
          <w:p>
            <w:pPr>
              <w:jc w:val="center"/>
              <w:spacing w:after="0"/>
              <w:rPr>
                <w:sz w:val="20"/>
                <w:szCs w:val="20"/>
                <w:color w:val="auto"/>
              </w:rPr>
            </w:pPr>
            <w:r>
              <w:rPr>
                <w:rFonts w:ascii="Courier New" w:cs="Courier New" w:eastAsia="Courier New" w:hAnsi="Courier New"/>
                <w:sz w:val="15"/>
                <w:szCs w:val="15"/>
                <w:color w:val="auto"/>
                <w:w w:val="94"/>
              </w:rPr>
              <w:t>2001</w:t>
            </w:r>
          </w:p>
        </w:tc>
        <w:tc>
          <w:tcPr>
            <w:tcW w:w="12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2000</w:t>
            </w:r>
          </w:p>
        </w:tc>
        <w:tc>
          <w:tcPr>
            <w:tcW w:w="12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1999</w:t>
            </w:r>
          </w:p>
        </w:tc>
        <w:tc>
          <w:tcPr>
            <w:tcW w:w="0" w:type="dxa"/>
            <w:vAlign w:val="bottom"/>
          </w:tcPr>
          <w:p>
            <w:pPr>
              <w:spacing w:after="0"/>
              <w:rPr>
                <w:sz w:val="1"/>
                <w:szCs w:val="1"/>
                <w:color w:val="auto"/>
              </w:rPr>
            </w:pPr>
          </w:p>
        </w:tc>
      </w:tr>
      <w:tr>
        <w:trPr>
          <w:trHeight w:val="245"/>
        </w:trPr>
        <w:tc>
          <w:tcPr>
            <w:tcW w:w="3240" w:type="dxa"/>
            <w:vAlign w:val="bottom"/>
          </w:tcPr>
          <w:p>
            <w:pPr>
              <w:spacing w:after="0"/>
              <w:rPr>
                <w:sz w:val="21"/>
                <w:szCs w:val="21"/>
                <w:color w:val="auto"/>
              </w:rPr>
            </w:pPr>
          </w:p>
        </w:tc>
        <w:tc>
          <w:tcPr>
            <w:tcW w:w="1060" w:type="dxa"/>
            <w:vAlign w:val="bottom"/>
          </w:tcPr>
          <w:p>
            <w:pPr>
              <w:jc w:val="center"/>
              <w:spacing w:after="0"/>
              <w:rPr>
                <w:sz w:val="20"/>
                <w:szCs w:val="20"/>
                <w:color w:val="auto"/>
              </w:rPr>
            </w:pPr>
            <w:r>
              <w:rPr>
                <w:rFonts w:ascii="Courier New" w:cs="Courier New" w:eastAsia="Courier New" w:hAnsi="Courier New"/>
                <w:sz w:val="15"/>
                <w:szCs w:val="15"/>
                <w:color w:val="auto"/>
                <w:w w:val="95"/>
              </w:rPr>
              <w:t>----------</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3240" w:type="dxa"/>
            <w:vAlign w:val="bottom"/>
          </w:tcPr>
          <w:p>
            <w:pPr>
              <w:spacing w:after="0"/>
              <w:rPr>
                <w:sz w:val="20"/>
                <w:szCs w:val="20"/>
                <w:color w:val="auto"/>
              </w:rPr>
            </w:pPr>
            <w:r>
              <w:rPr>
                <w:rFonts w:ascii="Courier New" w:cs="Courier New" w:eastAsia="Courier New" w:hAnsi="Courier New"/>
                <w:sz w:val="15"/>
                <w:szCs w:val="15"/>
                <w:color w:val="auto"/>
              </w:rPr>
              <w:t>Reported Net Income</w:t>
            </w:r>
          </w:p>
        </w:tc>
        <w:tc>
          <w:tcPr>
            <w:tcW w:w="1060" w:type="dxa"/>
            <w:vAlign w:val="bottom"/>
          </w:tcPr>
          <w:p>
            <w:pPr>
              <w:jc w:val="center"/>
              <w:spacing w:after="0"/>
              <w:rPr>
                <w:sz w:val="20"/>
                <w:szCs w:val="20"/>
                <w:color w:val="auto"/>
              </w:rPr>
            </w:pPr>
            <w:r>
              <w:rPr>
                <w:rFonts w:ascii="Courier New" w:cs="Courier New" w:eastAsia="Courier New" w:hAnsi="Courier New"/>
                <w:sz w:val="15"/>
                <w:szCs w:val="15"/>
                <w:color w:val="auto"/>
                <w:w w:val="97"/>
              </w:rPr>
              <w:t>$522,217</w:t>
            </w:r>
          </w:p>
        </w:tc>
        <w:tc>
          <w:tcPr>
            <w:tcW w:w="12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$734,596</w:t>
            </w:r>
          </w:p>
        </w:tc>
        <w:tc>
          <w:tcPr>
            <w:tcW w:w="12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$366,694</w:t>
            </w:r>
          </w:p>
        </w:tc>
        <w:tc>
          <w:tcPr>
            <w:tcW w:w="0" w:type="dxa"/>
            <w:vAlign w:val="bottom"/>
          </w:tcPr>
          <w:p>
            <w:pPr>
              <w:spacing w:after="0"/>
              <w:rPr>
                <w:sz w:val="1"/>
                <w:szCs w:val="1"/>
                <w:color w:val="auto"/>
              </w:rPr>
            </w:pP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Elimination of goodwill amortization</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291,574</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94,746</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85,324</w:t>
            </w:r>
          </w:p>
        </w:tc>
        <w:tc>
          <w:tcPr>
            <w:tcW w:w="0" w:type="dxa"/>
            <w:vAlign w:val="bottom"/>
          </w:tcPr>
          <w:p>
            <w:pPr>
              <w:spacing w:after="0"/>
              <w:rPr>
                <w:sz w:val="1"/>
                <w:szCs w:val="1"/>
                <w:color w:val="auto"/>
              </w:rPr>
            </w:pPr>
          </w:p>
        </w:tc>
      </w:tr>
      <w:tr>
        <w:trPr>
          <w:trHeight w:val="168"/>
        </w:trPr>
        <w:tc>
          <w:tcPr>
            <w:tcW w:w="3240" w:type="dxa"/>
            <w:vAlign w:val="bottom"/>
            <w:vMerge w:val="restart"/>
          </w:tcPr>
          <w:p>
            <w:pPr>
              <w:spacing w:after="0"/>
              <w:rPr>
                <w:sz w:val="20"/>
                <w:szCs w:val="20"/>
                <w:color w:val="auto"/>
              </w:rPr>
            </w:pPr>
            <w:r>
              <w:rPr>
                <w:rFonts w:ascii="Courier New" w:cs="Courier New" w:eastAsia="Courier New" w:hAnsi="Courier New"/>
                <w:sz w:val="15"/>
                <w:szCs w:val="15"/>
                <w:color w:val="auto"/>
              </w:rPr>
              <w:t>Adjusted net income</w:t>
            </w:r>
          </w:p>
        </w:tc>
        <w:tc>
          <w:tcPr>
            <w:tcW w:w="10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3240" w:type="dxa"/>
            <w:vAlign w:val="bottom"/>
            <w:vMerge w:val="continue"/>
          </w:tcPr>
          <w:p>
            <w:pPr>
              <w:spacing w:after="0"/>
              <w:rPr>
                <w:sz w:val="14"/>
                <w:szCs w:val="14"/>
                <w:color w:val="auto"/>
              </w:rPr>
            </w:pPr>
          </w:p>
        </w:tc>
        <w:tc>
          <w:tcPr>
            <w:tcW w:w="10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$813,791</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$829,342</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$452,018</w:t>
            </w:r>
          </w:p>
        </w:tc>
        <w:tc>
          <w:tcPr>
            <w:tcW w:w="0" w:type="dxa"/>
            <w:vAlign w:val="bottom"/>
          </w:tcPr>
          <w:p>
            <w:pPr>
              <w:spacing w:after="0"/>
              <w:rPr>
                <w:sz w:val="1"/>
                <w:szCs w:val="1"/>
                <w:color w:val="auto"/>
              </w:rPr>
            </w:pPr>
          </w:p>
        </w:tc>
      </w:tr>
      <w:tr>
        <w:trPr>
          <w:trHeight w:val="245"/>
        </w:trPr>
        <w:tc>
          <w:tcPr>
            <w:tcW w:w="3240" w:type="dxa"/>
            <w:vAlign w:val="bottom"/>
          </w:tcPr>
          <w:p>
            <w:pPr>
              <w:spacing w:after="0"/>
              <w:rPr>
                <w:sz w:val="21"/>
                <w:szCs w:val="21"/>
                <w:color w:val="auto"/>
              </w:rPr>
            </w:pPr>
          </w:p>
        </w:tc>
        <w:tc>
          <w:tcPr>
            <w:tcW w:w="1060" w:type="dxa"/>
            <w:vAlign w:val="bottom"/>
          </w:tcPr>
          <w:p>
            <w:pPr>
              <w:jc w:val="center"/>
              <w:spacing w:after="0"/>
              <w:rPr>
                <w:sz w:val="20"/>
                <w:szCs w:val="20"/>
                <w:color w:val="auto"/>
              </w:rPr>
            </w:pPr>
            <w:r>
              <w:rPr>
                <w:rFonts w:ascii="Courier New" w:cs="Courier New" w:eastAsia="Courier New" w:hAnsi="Courier New"/>
                <w:sz w:val="15"/>
                <w:szCs w:val="15"/>
                <w:color w:val="auto"/>
                <w:w w:val="97"/>
              </w:rPr>
              <w:t>========</w:t>
            </w:r>
          </w:p>
        </w:tc>
        <w:tc>
          <w:tcPr>
            <w:tcW w:w="12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RESEARCH &amp; ENGINEERING</w:t>
      </w:r>
    </w:p>
    <w:p>
      <w:pPr>
        <w:spacing w:after="0" w:line="166" w:lineRule="exact"/>
        <w:rPr>
          <w:sz w:val="20"/>
          <w:szCs w:val="20"/>
          <w:color w:val="auto"/>
        </w:rPr>
      </w:pPr>
    </w:p>
    <w:p>
      <w:pPr>
        <w:ind w:right="3499"/>
        <w:spacing w:after="0" w:line="273" w:lineRule="auto"/>
        <w:rPr>
          <w:sz w:val="20"/>
          <w:szCs w:val="20"/>
          <w:color w:val="auto"/>
        </w:rPr>
      </w:pPr>
      <w:r>
        <w:rPr>
          <w:rFonts w:ascii="Courier New" w:cs="Courier New" w:eastAsia="Courier New" w:hAnsi="Courier New"/>
          <w:sz w:val="15"/>
          <w:szCs w:val="15"/>
          <w:color w:val="auto"/>
        </w:rPr>
        <w:t>All research and engineering expenditures are expensed as incurred, including costs relating to patents or rights that may result from such expenditures. Included in 2001 expenditures was a charge of $25 million for in-process R&amp;D related to the Bull CP8 acquisition.</w:t>
      </w:r>
    </w:p>
    <w:p>
      <w:pPr>
        <w:spacing w:after="0" w:line="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ACCOUNTING STANDARDS</w:t>
      </w:r>
    </w:p>
    <w:p>
      <w:pPr>
        <w:spacing w:after="0" w:line="166" w:lineRule="exact"/>
        <w:rPr>
          <w:sz w:val="20"/>
          <w:szCs w:val="20"/>
          <w:color w:val="auto"/>
        </w:rPr>
      </w:pPr>
    </w:p>
    <w:p>
      <w:pPr>
        <w:ind w:right="3319"/>
        <w:spacing w:after="0" w:line="280" w:lineRule="auto"/>
        <w:rPr>
          <w:sz w:val="20"/>
          <w:szCs w:val="20"/>
          <w:color w:val="auto"/>
        </w:rPr>
      </w:pPr>
      <w:r>
        <w:rPr>
          <w:rFonts w:ascii="Courier New" w:cs="Courier New" w:eastAsia="Courier New" w:hAnsi="Courier New"/>
          <w:sz w:val="14"/>
          <w:szCs w:val="14"/>
          <w:color w:val="auto"/>
        </w:rPr>
        <w:t>In June 2001, SFAS 141 (Business Combinations) and SFAS 142 (Goodwill and Other Intangible Assets) were issued. SFAS 141 has been adopted by Schlumberger for acquisitions subsequent to June 30, 2001. SFAS 142 will be adopted by Schlumberger commencing January 1, 2002. As required by SFAS 142, Schlumberger will undertake a review for impairment in 2002. The preliminary findings of an independent valuation indicated there will be no impairment writedown in 2002.</w:t>
      </w:r>
    </w:p>
    <w:p>
      <w:pPr>
        <w:spacing w:after="0" w:line="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F-10</w:t>
      </w:r>
    </w:p>
    <w:p>
      <w:pPr>
        <w:sectPr>
          <w:pgSz w:w="11900" w:h="16838" w:orient="portrait"/>
          <w:cols w:equalWidth="0" w:num="1">
            <w:col w:w="10239"/>
          </w:cols>
          <w:pgMar w:left="220" w:top="766" w:right="1440" w:bottom="32" w:gutter="0" w:footer="0" w:header="0"/>
        </w:sectPr>
      </w:pPr>
    </w:p>
    <w:bookmarkStart w:id="24" w:name="page25"/>
    <w:bookmarkEnd w:id="24"/>
    <w:p>
      <w:pPr>
        <w:ind w:right="3839"/>
        <w:spacing w:after="0" w:line="344" w:lineRule="auto"/>
        <w:rPr>
          <w:sz w:val="20"/>
          <w:szCs w:val="20"/>
          <w:color w:val="auto"/>
        </w:rPr>
      </w:pPr>
      <w:r>
        <w:rPr>
          <w:rFonts w:ascii="Courier New" w:cs="Courier New" w:eastAsia="Courier New" w:hAnsi="Courier New"/>
          <w:sz w:val="15"/>
          <w:szCs w:val="15"/>
          <w:color w:val="auto"/>
        </w:rPr>
        <w:t>Amortization of goodwill and other intangibles included in Schlumberger's results are as follows:</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8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25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(Stated in millions)</w:t>
            </w:r>
          </w:p>
        </w:tc>
        <w:tc>
          <w:tcPr>
            <w:tcW w:w="0" w:type="dxa"/>
            <w:vAlign w:val="bottom"/>
          </w:tcPr>
          <w:p>
            <w:pPr>
              <w:spacing w:after="0"/>
              <w:rPr>
                <w:sz w:val="1"/>
                <w:szCs w:val="1"/>
                <w:color w:val="auto"/>
              </w:rPr>
            </w:pPr>
          </w:p>
        </w:tc>
      </w:tr>
      <w:tr>
        <w:trPr>
          <w:trHeight w:val="259"/>
        </w:trPr>
        <w:tc>
          <w:tcPr>
            <w:tcW w:w="184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3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Pretax</w:t>
            </w: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1840" w:type="dxa"/>
            <w:vAlign w:val="bottom"/>
          </w:tcPr>
          <w:p>
            <w:pPr>
              <w:spacing w:after="0"/>
              <w:rPr>
                <w:sz w:val="14"/>
                <w:szCs w:val="14"/>
                <w:color w:val="auto"/>
              </w:rPr>
            </w:pPr>
          </w:p>
        </w:tc>
        <w:tc>
          <w:tcPr>
            <w:tcW w:w="394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1840" w:type="dxa"/>
            <w:vAlign w:val="bottom"/>
          </w:tcPr>
          <w:p>
            <w:pPr>
              <w:spacing w:after="0"/>
              <w:rPr>
                <w:sz w:val="14"/>
                <w:szCs w:val="14"/>
                <w:color w:val="auto"/>
              </w:rPr>
            </w:pPr>
          </w:p>
        </w:tc>
        <w:tc>
          <w:tcPr>
            <w:tcW w:w="14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2001</w:t>
            </w:r>
          </w:p>
        </w:tc>
        <w:tc>
          <w:tcPr>
            <w:tcW w:w="13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2000</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1999</w:t>
            </w:r>
          </w:p>
        </w:tc>
        <w:tc>
          <w:tcPr>
            <w:tcW w:w="0" w:type="dxa"/>
            <w:vAlign w:val="bottom"/>
          </w:tcPr>
          <w:p>
            <w:pPr>
              <w:spacing w:after="0"/>
              <w:rPr>
                <w:sz w:val="1"/>
                <w:szCs w:val="1"/>
                <w:color w:val="auto"/>
              </w:rPr>
            </w:pPr>
          </w:p>
        </w:tc>
      </w:tr>
      <w:tr>
        <w:trPr>
          <w:trHeight w:val="168"/>
        </w:trPr>
        <w:tc>
          <w:tcPr>
            <w:tcW w:w="1840" w:type="dxa"/>
            <w:vAlign w:val="bottom"/>
            <w:vMerge w:val="restart"/>
          </w:tcPr>
          <w:p>
            <w:pPr>
              <w:spacing w:after="0"/>
              <w:rPr>
                <w:sz w:val="20"/>
                <w:szCs w:val="20"/>
                <w:color w:val="auto"/>
              </w:rPr>
            </w:pPr>
            <w:r>
              <w:rPr>
                <w:rFonts w:ascii="Courier New" w:cs="Courier New" w:eastAsia="Courier New" w:hAnsi="Courier New"/>
                <w:sz w:val="15"/>
                <w:szCs w:val="15"/>
                <w:color w:val="auto"/>
              </w:rPr>
              <w:t>Goodwill</w:t>
            </w:r>
          </w:p>
        </w:tc>
        <w:tc>
          <w:tcPr>
            <w:tcW w:w="144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w w:val="89"/>
              </w:rPr>
              <w:t>-----------</w:t>
            </w:r>
            <w:r>
              <w:rPr>
                <w:rFonts w:ascii="Courier New" w:cs="Courier New" w:eastAsia="Courier New" w:hAnsi="Courier New"/>
                <w:sz w:val="29"/>
                <w:szCs w:val="29"/>
                <w:color w:val="auto"/>
                <w:w w:val="89"/>
                <w:vertAlign w:val="subscript"/>
              </w:rPr>
              <w:t>$270</w:t>
            </w:r>
          </w:p>
        </w:tc>
        <w:tc>
          <w:tcPr>
            <w:tcW w:w="13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1840" w:type="dxa"/>
            <w:vAlign w:val="bottom"/>
            <w:vMerge w:val="continue"/>
          </w:tcPr>
          <w:p>
            <w:pPr>
              <w:spacing w:after="0"/>
              <w:rPr>
                <w:sz w:val="14"/>
                <w:szCs w:val="14"/>
                <w:color w:val="auto"/>
              </w:rPr>
            </w:pPr>
          </w:p>
        </w:tc>
        <w:tc>
          <w:tcPr>
            <w:tcW w:w="1440" w:type="dxa"/>
            <w:vAlign w:val="bottom"/>
            <w:vMerge w:val="continue"/>
          </w:tcPr>
          <w:p>
            <w:pPr>
              <w:spacing w:after="0"/>
              <w:rPr>
                <w:sz w:val="14"/>
                <w:szCs w:val="14"/>
                <w:color w:val="auto"/>
              </w:rPr>
            </w:pP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$ 96</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$ 85</w:t>
            </w:r>
          </w:p>
        </w:tc>
        <w:tc>
          <w:tcPr>
            <w:tcW w:w="0" w:type="dxa"/>
            <w:vAlign w:val="bottom"/>
          </w:tcPr>
          <w:p>
            <w:pPr>
              <w:spacing w:after="0"/>
              <w:rPr>
                <w:sz w:val="1"/>
                <w:szCs w:val="1"/>
                <w:color w:val="auto"/>
              </w:rPr>
            </w:pPr>
          </w:p>
        </w:tc>
      </w:tr>
      <w:tr>
        <w:trPr>
          <w:trHeight w:val="168"/>
        </w:trPr>
        <w:tc>
          <w:tcPr>
            <w:tcW w:w="1840" w:type="dxa"/>
            <w:vAlign w:val="bottom"/>
          </w:tcPr>
          <w:p>
            <w:pPr>
              <w:spacing w:after="0" w:line="168" w:lineRule="exact"/>
              <w:rPr>
                <w:sz w:val="20"/>
                <w:szCs w:val="20"/>
                <w:color w:val="auto"/>
              </w:rPr>
            </w:pPr>
            <w:r>
              <w:rPr>
                <w:rFonts w:ascii="Courier New" w:cs="Courier New" w:eastAsia="Courier New" w:hAnsi="Courier New"/>
                <w:sz w:val="15"/>
                <w:szCs w:val="15"/>
                <w:color w:val="auto"/>
              </w:rPr>
              <w:t>Work force</w:t>
            </w:r>
          </w:p>
        </w:tc>
        <w:tc>
          <w:tcPr>
            <w:tcW w:w="144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22</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184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intangibles</w:t>
            </w:r>
          </w:p>
        </w:tc>
        <w:tc>
          <w:tcPr>
            <w:tcW w:w="144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55</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1840" w:type="dxa"/>
            <w:vAlign w:val="bottom"/>
          </w:tcPr>
          <w:p>
            <w:pPr>
              <w:spacing w:after="0"/>
              <w:rPr>
                <w:sz w:val="14"/>
                <w:szCs w:val="14"/>
                <w:color w:val="auto"/>
              </w:rPr>
            </w:pPr>
          </w:p>
        </w:tc>
        <w:tc>
          <w:tcPr>
            <w:tcW w:w="144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w w:val="89"/>
              </w:rPr>
              <w:t>-----------</w:t>
            </w:r>
            <w:r>
              <w:rPr>
                <w:rFonts w:ascii="Courier New" w:cs="Courier New" w:eastAsia="Courier New" w:hAnsi="Courier New"/>
                <w:sz w:val="29"/>
                <w:szCs w:val="29"/>
                <w:color w:val="auto"/>
                <w:w w:val="89"/>
                <w:vertAlign w:val="subscript"/>
              </w:rPr>
              <w:t>$347</w:t>
            </w:r>
          </w:p>
        </w:tc>
        <w:tc>
          <w:tcPr>
            <w:tcW w:w="13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1840" w:type="dxa"/>
            <w:vAlign w:val="bottom"/>
          </w:tcPr>
          <w:p>
            <w:pPr>
              <w:spacing w:after="0"/>
              <w:rPr>
                <w:sz w:val="14"/>
                <w:szCs w:val="14"/>
                <w:color w:val="auto"/>
              </w:rPr>
            </w:pPr>
          </w:p>
        </w:tc>
        <w:tc>
          <w:tcPr>
            <w:tcW w:w="1440" w:type="dxa"/>
            <w:vAlign w:val="bottom"/>
            <w:vMerge w:val="continue"/>
          </w:tcPr>
          <w:p>
            <w:pPr>
              <w:spacing w:after="0"/>
              <w:rPr>
                <w:sz w:val="14"/>
                <w:szCs w:val="14"/>
                <w:color w:val="auto"/>
              </w:rPr>
            </w:pP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$ 101</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$ 85</w:t>
            </w:r>
          </w:p>
        </w:tc>
        <w:tc>
          <w:tcPr>
            <w:tcW w:w="0" w:type="dxa"/>
            <w:vAlign w:val="bottom"/>
          </w:tcPr>
          <w:p>
            <w:pPr>
              <w:spacing w:after="0"/>
              <w:rPr>
                <w:sz w:val="1"/>
                <w:szCs w:val="1"/>
                <w:color w:val="auto"/>
              </w:rPr>
            </w:pPr>
          </w:p>
        </w:tc>
      </w:tr>
      <w:tr>
        <w:trPr>
          <w:trHeight w:val="245"/>
        </w:trPr>
        <w:tc>
          <w:tcPr>
            <w:tcW w:w="1840" w:type="dxa"/>
            <w:vAlign w:val="bottom"/>
          </w:tcPr>
          <w:p>
            <w:pPr>
              <w:spacing w:after="0"/>
              <w:rPr>
                <w:sz w:val="21"/>
                <w:szCs w:val="21"/>
                <w:color w:val="auto"/>
              </w:rPr>
            </w:pPr>
          </w:p>
        </w:tc>
        <w:tc>
          <w:tcPr>
            <w:tcW w:w="14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59" w:lineRule="exact"/>
        <w:rPr>
          <w:sz w:val="20"/>
          <w:szCs w:val="20"/>
          <w:color w:val="auto"/>
        </w:rPr>
      </w:pPr>
    </w:p>
    <w:p>
      <w:pPr>
        <w:ind w:right="3239"/>
        <w:spacing w:after="0" w:line="290" w:lineRule="auto"/>
        <w:rPr>
          <w:sz w:val="20"/>
          <w:szCs w:val="20"/>
          <w:color w:val="auto"/>
        </w:rPr>
      </w:pPr>
      <w:r>
        <w:rPr>
          <w:rFonts w:ascii="Courier New" w:cs="Courier New" w:eastAsia="Courier New" w:hAnsi="Courier New"/>
          <w:sz w:val="15"/>
          <w:szCs w:val="15"/>
          <w:color w:val="auto"/>
        </w:rPr>
        <w:t>With the adoption of SFAS 142, the equivalent amount of amortization for other intangibles is estimated to be $70 million in 2002. Amortization of goodwill and work force ceases.</w:t>
      </w:r>
    </w:p>
    <w:p>
      <w:pPr>
        <w:spacing w:after="0" w:line="57" w:lineRule="exact"/>
        <w:rPr>
          <w:sz w:val="20"/>
          <w:szCs w:val="20"/>
          <w:color w:val="auto"/>
        </w:rPr>
      </w:pPr>
    </w:p>
    <w:p>
      <w:pPr>
        <w:ind w:right="3239"/>
        <w:spacing w:after="0" w:line="273" w:lineRule="auto"/>
        <w:rPr>
          <w:sz w:val="20"/>
          <w:szCs w:val="20"/>
          <w:color w:val="auto"/>
        </w:rPr>
      </w:pPr>
      <w:r>
        <w:rPr>
          <w:rFonts w:ascii="Courier New" w:cs="Courier New" w:eastAsia="Courier New" w:hAnsi="Courier New"/>
          <w:sz w:val="15"/>
          <w:szCs w:val="15"/>
          <w:color w:val="auto"/>
        </w:rPr>
        <w:t>In June 2001, SFAS 143 (Accounting for Asset Retirement Obligations) was issued. SFAS 143 will be adopted by Schlumberger commencing January 1, 2003. Schlumberger does not believe that the implementation of this standard will have any material effect on its financial position and results of operations.</w:t>
      </w:r>
    </w:p>
    <w:p>
      <w:pPr>
        <w:spacing w:after="0" w:line="68" w:lineRule="exact"/>
        <w:rPr>
          <w:sz w:val="20"/>
          <w:szCs w:val="20"/>
          <w:color w:val="auto"/>
        </w:rPr>
      </w:pPr>
    </w:p>
    <w:p>
      <w:pPr>
        <w:ind w:right="3319"/>
        <w:spacing w:after="0" w:line="264" w:lineRule="auto"/>
        <w:rPr>
          <w:sz w:val="20"/>
          <w:szCs w:val="20"/>
          <w:color w:val="auto"/>
        </w:rPr>
      </w:pPr>
      <w:r>
        <w:rPr>
          <w:rFonts w:ascii="Courier New" w:cs="Courier New" w:eastAsia="Courier New" w:hAnsi="Courier New"/>
          <w:sz w:val="15"/>
          <w:szCs w:val="15"/>
          <w:color w:val="auto"/>
        </w:rPr>
        <w:t>In August 2001, SFAS 144 (Accounting for Impairment or Disposal of Long-Lived Assets) was issued. SFAS 144 will be adopted by Schlumberger commencing January 1, 2002. Schlumberger does not believe that the implementation of this standard will have any material effect on its financial position and results of operations.</w:t>
      </w:r>
    </w:p>
    <w:p>
      <w:pPr>
        <w:spacing w:after="0" w:line="75"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5"/>
          <w:szCs w:val="15"/>
          <w:color w:val="auto"/>
        </w:rPr>
        <w:t>In November, the FASB EITF staff issued announcement Topic D-103, "Income Statement Characterization of Reimbursements Received for "Out-of-Pocket"". As a result, customer reimbursements, including those relating to travel and other out-of-pocket expenses, and other similar third-party costs, will be required to be included as Revenues effective January 1, 2002, and an equivalent amount of reimbursable expenses will be included in expenses. The adoption of this announcement will not have an effect on net income.</w:t>
      </w: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Charges - continuing operations</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Schlumberger recorded the following charges/credits in continuing operations:</w:t>
      </w:r>
    </w:p>
    <w:p>
      <w:pPr>
        <w:spacing w:after="0" w:line="166" w:lineRule="exact"/>
        <w:rPr>
          <w:sz w:val="20"/>
          <w:szCs w:val="20"/>
          <w:color w:val="auto"/>
        </w:rPr>
      </w:pPr>
    </w:p>
    <w:p>
      <w:pPr>
        <w:ind w:right="3499"/>
        <w:spacing w:after="0" w:line="344" w:lineRule="auto"/>
        <w:rPr>
          <w:sz w:val="20"/>
          <w:szCs w:val="20"/>
          <w:color w:val="auto"/>
        </w:rPr>
      </w:pPr>
      <w:r>
        <w:rPr>
          <w:rFonts w:ascii="Courier New" w:cs="Courier New" w:eastAsia="Courier New" w:hAnsi="Courier New"/>
          <w:sz w:val="15"/>
          <w:szCs w:val="15"/>
          <w:color w:val="auto"/>
        </w:rPr>
        <w:t>In March 2001, a charge of $25 million for in-process R&amp;D related to the Bull CP8 acquisition.</w:t>
      </w:r>
    </w:p>
    <w:p>
      <w:pPr>
        <w:spacing w:after="0" w:line="17" w:lineRule="exact"/>
        <w:rPr>
          <w:sz w:val="20"/>
          <w:szCs w:val="20"/>
          <w:color w:val="auto"/>
        </w:rPr>
      </w:pPr>
    </w:p>
    <w:p>
      <w:pPr>
        <w:ind w:right="3319"/>
        <w:spacing w:after="0" w:line="290" w:lineRule="auto"/>
        <w:rPr>
          <w:sz w:val="20"/>
          <w:szCs w:val="20"/>
          <w:color w:val="auto"/>
        </w:rPr>
      </w:pPr>
      <w:r>
        <w:rPr>
          <w:rFonts w:ascii="Courier New" w:cs="Courier New" w:eastAsia="Courier New" w:hAnsi="Courier New"/>
          <w:sz w:val="15"/>
          <w:szCs w:val="15"/>
          <w:color w:val="auto"/>
        </w:rPr>
        <w:t>In June 2001, a charge of $280 million ($0.48 per share - diluted) for the estimated impairment charge from the disposition of certain Resource Management Services businesses.</w:t>
      </w:r>
    </w:p>
    <w:p>
      <w:pPr>
        <w:spacing w:after="0" w:line="57" w:lineRule="exact"/>
        <w:rPr>
          <w:sz w:val="20"/>
          <w:szCs w:val="20"/>
          <w:color w:val="auto"/>
        </w:rPr>
      </w:pPr>
    </w:p>
    <w:p>
      <w:pPr>
        <w:ind w:right="3239"/>
        <w:spacing w:after="0" w:line="244" w:lineRule="auto"/>
        <w:rPr>
          <w:sz w:val="20"/>
          <w:szCs w:val="20"/>
          <w:color w:val="auto"/>
        </w:rPr>
      </w:pPr>
      <w:r>
        <w:rPr>
          <w:rFonts w:ascii="Courier New" w:cs="Courier New" w:eastAsia="Courier New" w:hAnsi="Courier New"/>
          <w:sz w:val="15"/>
          <w:szCs w:val="15"/>
          <w:color w:val="auto"/>
        </w:rPr>
        <w:t>In September 2001, a pretax credit of $42 million (after tax $3 million) representing the gain on the sale of the worldwide gas compression business, partially offset by an impairment charge relating to the expected disposition of certain activities. The proceeds from the sale of the worldwide gas compression business included $274 million in cash, a $150 million long-term subordinated note and newly issued Hanover Compressor Company shares with a value of $173 million. The shares have a three year marketability restriction. As part of the transaction, Schlumberger agreed that the financing of a certain joint venture project would be non-recourse to the buyer and would be executed prior to December 31, 2002. Accordingly, Schlumberger is obligated with respect to the financing to guarantee 30% (approximately $80 million) until the project is completed in late 2002. If as of December 31, 2002 refinancing has not become non-recourse to the buyer or the project has not achieved substantial completion, the buyer has an option to put its interest in such joint venture back to Schlumberger. The gain on the sale of this joint venture has been deferred.</w:t>
      </w:r>
    </w:p>
    <w:p>
      <w:pPr>
        <w:spacing w:after="0" w:line="95" w:lineRule="exact"/>
        <w:rPr>
          <w:sz w:val="20"/>
          <w:szCs w:val="20"/>
          <w:color w:val="auto"/>
        </w:rPr>
      </w:pPr>
    </w:p>
    <w:p>
      <w:pPr>
        <w:jc w:val="both"/>
        <w:ind w:right="3399"/>
        <w:spacing w:after="0" w:line="290" w:lineRule="auto"/>
        <w:rPr>
          <w:sz w:val="20"/>
          <w:szCs w:val="20"/>
          <w:color w:val="auto"/>
        </w:rPr>
      </w:pPr>
      <w:r>
        <w:rPr>
          <w:rFonts w:ascii="Courier New" w:cs="Courier New" w:eastAsia="Courier New" w:hAnsi="Courier New"/>
          <w:sz w:val="15"/>
          <w:szCs w:val="15"/>
          <w:color w:val="auto"/>
        </w:rPr>
        <w:t>In December 2001, a pretax credit of $119 million (net - $5 million after tax and minority interest, $0.01 per share - diluted), consisting primarily of the following:</w:t>
      </w:r>
    </w:p>
    <w:p>
      <w:pPr>
        <w:spacing w:after="0" w:line="5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F-11</w:t>
      </w:r>
    </w:p>
    <w:p>
      <w:pPr>
        <w:sectPr>
          <w:pgSz w:w="11900" w:h="16838" w:orient="portrait"/>
          <w:cols w:equalWidth="0" w:num="1">
            <w:col w:w="10239"/>
          </w:cols>
          <w:pgMar w:left="220" w:top="766" w:right="1440" w:bottom="1440" w:gutter="0" w:footer="0" w:header="0"/>
        </w:sectPr>
      </w:pPr>
    </w:p>
    <w:bookmarkStart w:id="25" w:name="page26"/>
    <w:bookmarkEnd w:id="25"/>
    <w:p>
      <w:pPr>
        <w:ind w:left="800" w:right="3319" w:hanging="703"/>
        <w:spacing w:after="0" w:line="255" w:lineRule="auto"/>
        <w:tabs>
          <w:tab w:leader="none" w:pos="80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credit of $223 million ($117 million after tax) from the sale of the former Resource Management Services North American</w:t>
      </w:r>
    </w:p>
    <w:p>
      <w:pPr>
        <w:spacing w:after="0" w:line="1" w:lineRule="exact"/>
        <w:rPr>
          <w:rFonts w:ascii="Courier New" w:cs="Courier New" w:eastAsia="Courier New" w:hAnsi="Courier New"/>
          <w:sz w:val="15"/>
          <w:szCs w:val="15"/>
          <w:color w:val="auto"/>
        </w:rPr>
      </w:pPr>
    </w:p>
    <w:p>
      <w:pPr>
        <w:ind w:left="8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Water division.</w:t>
      </w:r>
    </w:p>
    <w:p>
      <w:pPr>
        <w:spacing w:after="0" w:line="140" w:lineRule="exact"/>
        <w:rPr>
          <w:sz w:val="20"/>
          <w:szCs w:val="20"/>
          <w:color w:val="auto"/>
        </w:rPr>
      </w:pPr>
    </w:p>
    <w:p>
      <w:pPr>
        <w:ind w:left="800" w:right="3319" w:hanging="703"/>
        <w:spacing w:after="0" w:line="273" w:lineRule="auto"/>
        <w:tabs>
          <w:tab w:leader="none" w:pos="80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pretax charge of $43 million ($37 million after tax) for employee termination costs, principally in Europe and the US, related to Oilfield Services and SchlumbergerSema in response to current business conditions.</w:t>
      </w:r>
    </w:p>
    <w:p>
      <w:pPr>
        <w:spacing w:after="0" w:line="68" w:lineRule="exact"/>
        <w:rPr>
          <w:sz w:val="20"/>
          <w:szCs w:val="20"/>
          <w:color w:val="auto"/>
        </w:rPr>
      </w:pPr>
    </w:p>
    <w:p>
      <w:pPr>
        <w:ind w:left="800" w:hanging="703"/>
        <w:spacing w:after="0"/>
        <w:tabs>
          <w:tab w:leader="none" w:pos="800"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tax charge for reorganization costs of $29 million.</w:t>
      </w:r>
    </w:p>
    <w:p>
      <w:pPr>
        <w:spacing w:after="0" w:line="166" w:lineRule="exact"/>
        <w:rPr>
          <w:sz w:val="20"/>
          <w:szCs w:val="20"/>
          <w:color w:val="auto"/>
        </w:rPr>
      </w:pPr>
    </w:p>
    <w:p>
      <w:pPr>
        <w:ind w:left="800" w:right="3239" w:hanging="703"/>
        <w:spacing w:after="0" w:line="273" w:lineRule="auto"/>
        <w:tabs>
          <w:tab w:leader="none" w:pos="80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further pretax charge of $28 million ($20 million after tax) related to the second quarter estimated loss on the divestiture of certain Resource Management Services businesses following the actual closing in the fourth quarter.</w:t>
      </w:r>
    </w:p>
    <w:p>
      <w:pPr>
        <w:spacing w:after="0" w:line="68" w:lineRule="exact"/>
        <w:rPr>
          <w:sz w:val="20"/>
          <w:szCs w:val="20"/>
          <w:color w:val="auto"/>
        </w:rPr>
      </w:pPr>
    </w:p>
    <w:p>
      <w:pPr>
        <w:ind w:left="800" w:right="3399" w:hanging="703"/>
        <w:spacing w:after="0" w:line="273" w:lineRule="auto"/>
        <w:tabs>
          <w:tab w:leader="none" w:pos="800"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$33 million pretax asset writedown ($23 million after tax and minority interest) following a recent determination of technological impairment related to certain Land seismic assets in the newly formed joint venture.</w:t>
      </w:r>
    </w:p>
    <w:p>
      <w:pPr>
        <w:spacing w:after="0" w:line="68" w:lineRule="exact"/>
        <w:rPr>
          <w:sz w:val="20"/>
          <w:szCs w:val="20"/>
          <w:color w:val="auto"/>
        </w:rPr>
      </w:pPr>
    </w:p>
    <w:p>
      <w:pPr>
        <w:jc w:val="both"/>
        <w:ind w:right="3239"/>
        <w:spacing w:after="0" w:line="290" w:lineRule="auto"/>
        <w:rPr>
          <w:sz w:val="20"/>
          <w:szCs w:val="20"/>
          <w:color w:val="auto"/>
        </w:rPr>
      </w:pPr>
      <w:r>
        <w:rPr>
          <w:rFonts w:ascii="Courier New" w:cs="Courier New" w:eastAsia="Courier New" w:hAnsi="Courier New"/>
          <w:sz w:val="15"/>
          <w:szCs w:val="15"/>
          <w:color w:val="auto"/>
        </w:rPr>
        <w:t>The above 2001 pretax amounts are recorded: an aggregated $119 million charge in Cost of goods sold and services, a $25 million charge in Research &amp; engineering and a $10 million credit in Minority interest.</w:t>
      </w:r>
    </w:p>
    <w:p>
      <w:pPr>
        <w:spacing w:after="0" w:line="57" w:lineRule="exact"/>
        <w:rPr>
          <w:sz w:val="20"/>
          <w:szCs w:val="20"/>
          <w:color w:val="auto"/>
        </w:rPr>
      </w:pPr>
    </w:p>
    <w:p>
      <w:pPr>
        <w:ind w:right="3319"/>
        <w:spacing w:after="0" w:line="290" w:lineRule="auto"/>
        <w:rPr>
          <w:sz w:val="20"/>
          <w:szCs w:val="20"/>
          <w:color w:val="auto"/>
        </w:rPr>
      </w:pPr>
      <w:r>
        <w:rPr>
          <w:rFonts w:ascii="Courier New" w:cs="Courier New" w:eastAsia="Courier New" w:hAnsi="Courier New"/>
          <w:sz w:val="15"/>
          <w:szCs w:val="15"/>
          <w:color w:val="auto"/>
        </w:rPr>
        <w:t>In December 2000, a pretax charge of $84 million offset by a pretax gain of $82 million (net - $3 million after tax and minority interest, $0.00 per share - diluted), consisting of the following:</w:t>
      </w:r>
    </w:p>
    <w:p>
      <w:pPr>
        <w:spacing w:after="0" w:line="57" w:lineRule="exact"/>
        <w:rPr>
          <w:sz w:val="20"/>
          <w:szCs w:val="20"/>
          <w:color w:val="auto"/>
        </w:rPr>
      </w:pPr>
    </w:p>
    <w:p>
      <w:pPr>
        <w:ind w:left="800" w:right="3499" w:hanging="703"/>
        <w:spacing w:after="0" w:line="290" w:lineRule="auto"/>
        <w:tabs>
          <w:tab w:leader="none" w:pos="80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charge of $29 million ($25 million after tax) related primarily to the write down of certain inventory and severance costs in the Semiconductor Solutions business due to weak market conditions.</w:t>
      </w:r>
    </w:p>
    <w:p>
      <w:pPr>
        <w:spacing w:after="0" w:line="57" w:lineRule="exact"/>
        <w:rPr>
          <w:sz w:val="20"/>
          <w:szCs w:val="20"/>
          <w:color w:val="auto"/>
        </w:rPr>
      </w:pPr>
    </w:p>
    <w:p>
      <w:pPr>
        <w:ind w:left="800" w:right="3399" w:hanging="703"/>
        <w:spacing w:after="0" w:line="273" w:lineRule="auto"/>
        <w:tabs>
          <w:tab w:leader="none" w:pos="800"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charge of $55 million ($39 million after tax and minority interest) related to the creation of the WesternGeco seismic joint venture, including asset impairments and severance costs for Schlumberger's existing Geco-Prakla business.</w:t>
      </w:r>
    </w:p>
    <w:p>
      <w:pPr>
        <w:spacing w:after="0" w:line="68" w:lineRule="exact"/>
        <w:rPr>
          <w:sz w:val="20"/>
          <w:szCs w:val="20"/>
          <w:color w:val="auto"/>
        </w:rPr>
      </w:pPr>
    </w:p>
    <w:p>
      <w:pPr>
        <w:ind w:left="800" w:right="3239" w:hanging="703"/>
        <w:spacing w:after="0" w:line="264" w:lineRule="auto"/>
        <w:tabs>
          <w:tab w:leader="none" w:pos="800"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credit of $82 million ($61 million after tax) resulting from the gain on the sale of two Gas Services businesses in Europe. Revenue and operating net results for these divested activities were $110 million and a $740,000 loss, respectively, in 2000 (10 months) and $163 million and $2.7 million profit, respectively in 1999.</w:t>
      </w:r>
    </w:p>
    <w:p>
      <w:pPr>
        <w:spacing w:after="0" w:line="75" w:lineRule="exact"/>
        <w:rPr>
          <w:sz w:val="20"/>
          <w:szCs w:val="20"/>
          <w:color w:val="auto"/>
        </w:rPr>
      </w:pPr>
    </w:p>
    <w:p>
      <w:pPr>
        <w:ind w:right="3319"/>
        <w:spacing w:after="0" w:line="273" w:lineRule="auto"/>
        <w:rPr>
          <w:sz w:val="20"/>
          <w:szCs w:val="20"/>
          <w:color w:val="auto"/>
        </w:rPr>
      </w:pPr>
      <w:r>
        <w:rPr>
          <w:rFonts w:ascii="Courier New" w:cs="Courier New" w:eastAsia="Courier New" w:hAnsi="Courier New"/>
          <w:sz w:val="15"/>
          <w:szCs w:val="15"/>
          <w:color w:val="auto"/>
        </w:rPr>
        <w:t>The pretax gain on the sale of the Gas Services businesses is included in Interest &amp; other income. The pretax Semiconductor Solutions and WesternGeco charges are included in Cost of goods sold and services. A $9 million credit is included in Minority interest relating to the WesternGeco charges.</w:t>
      </w:r>
    </w:p>
    <w:p>
      <w:pPr>
        <w:spacing w:after="0" w:line="68" w:lineRule="exact"/>
        <w:rPr>
          <w:sz w:val="20"/>
          <w:szCs w:val="20"/>
          <w:color w:val="auto"/>
        </w:rPr>
      </w:pPr>
    </w:p>
    <w:p>
      <w:pPr>
        <w:ind w:right="3239"/>
        <w:spacing w:after="0" w:line="290" w:lineRule="auto"/>
        <w:rPr>
          <w:sz w:val="20"/>
          <w:szCs w:val="20"/>
          <w:color w:val="auto"/>
        </w:rPr>
      </w:pPr>
      <w:r>
        <w:rPr>
          <w:rFonts w:ascii="Courier New" w:cs="Courier New" w:eastAsia="Courier New" w:hAnsi="Courier New"/>
          <w:sz w:val="15"/>
          <w:szCs w:val="15"/>
          <w:color w:val="auto"/>
        </w:rPr>
        <w:t>In March 1999, a pretax charge of $147 million partially offset by a pretax gain of $103 million (net - $58 million after tax, $0.10 per share - diluted), consisting of the following:</w:t>
      </w:r>
    </w:p>
    <w:p>
      <w:pPr>
        <w:spacing w:after="0" w:line="57" w:lineRule="exact"/>
        <w:rPr>
          <w:sz w:val="20"/>
          <w:szCs w:val="20"/>
          <w:color w:val="auto"/>
        </w:rPr>
      </w:pPr>
    </w:p>
    <w:p>
      <w:pPr>
        <w:ind w:left="800" w:right="3399" w:hanging="703"/>
        <w:spacing w:after="0" w:line="320" w:lineRule="auto"/>
        <w:tabs>
          <w:tab w:leader="none" w:pos="800"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charge of $118 million ($118 million after tax) related to the downsizing of its global Oilfield Services activities, including $108 million of severance costs and $10 million for asset impairments.</w:t>
      </w:r>
    </w:p>
    <w:p>
      <w:pPr>
        <w:spacing w:after="0" w:line="38" w:lineRule="exact"/>
        <w:rPr>
          <w:sz w:val="20"/>
          <w:szCs w:val="20"/>
          <w:color w:val="auto"/>
        </w:rPr>
      </w:pPr>
    </w:p>
    <w:p>
      <w:pPr>
        <w:ind w:left="800" w:right="3319" w:hanging="703"/>
        <w:spacing w:after="0" w:line="264" w:lineRule="auto"/>
        <w:tabs>
          <w:tab w:leader="none" w:pos="800"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charge of $29 million ($20 million after tax) related to Resource Management Services and Test &amp; Transactions, consisting principally of $16 million of severance costs at several Resource Management Services facilities resulting from a downturn in business and $5 million of asset write downs.</w:t>
      </w:r>
    </w:p>
    <w:p>
      <w:pPr>
        <w:spacing w:after="0" w:line="75" w:lineRule="exact"/>
        <w:rPr>
          <w:sz w:val="20"/>
          <w:szCs w:val="20"/>
          <w:color w:val="auto"/>
        </w:rPr>
      </w:pPr>
    </w:p>
    <w:p>
      <w:pPr>
        <w:ind w:left="800" w:right="3239" w:hanging="703"/>
        <w:spacing w:after="0" w:line="290" w:lineRule="auto"/>
        <w:tabs>
          <w:tab w:leader="none" w:pos="800"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credit of $103 million ($80 million after tax) from the gain on the sale of financial instruments received in connection with the 1998 sale of the Retail Petroleum Systems business.</w:t>
      </w:r>
    </w:p>
    <w:p>
      <w:pPr>
        <w:spacing w:after="0" w:line="22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F-12</w:t>
      </w:r>
    </w:p>
    <w:p>
      <w:pPr>
        <w:sectPr>
          <w:pgSz w:w="11900" w:h="16838" w:orient="portrait"/>
          <w:cols w:equalWidth="0" w:num="1">
            <w:col w:w="10239"/>
          </w:cols>
          <w:pgMar w:left="220" w:top="934" w:right="1440" w:bottom="1440" w:gutter="0" w:footer="0" w:header="0"/>
        </w:sectPr>
      </w:pPr>
    </w:p>
    <w:bookmarkStart w:id="26" w:name="page27"/>
    <w:bookmarkEnd w:id="26"/>
    <w:p>
      <w:pPr>
        <w:jc w:val="both"/>
        <w:ind w:right="3399"/>
        <w:spacing w:after="0" w:line="290" w:lineRule="auto"/>
        <w:rPr>
          <w:sz w:val="20"/>
          <w:szCs w:val="20"/>
          <w:color w:val="auto"/>
        </w:rPr>
      </w:pPr>
      <w:r>
        <w:rPr>
          <w:rFonts w:ascii="Courier New" w:cs="Courier New" w:eastAsia="Courier New" w:hAnsi="Courier New"/>
          <w:sz w:val="15"/>
          <w:szCs w:val="15"/>
          <w:color w:val="auto"/>
        </w:rPr>
        <w:t>The pretax gain on the sale of financial instruments is included in Interest &amp; other income. The pretax charge of $147 million is classified in Cost of goods sold and services.</w:t>
      </w:r>
    </w:p>
    <w:p>
      <w:pPr>
        <w:spacing w:after="0" w:line="57" w:lineRule="exact"/>
        <w:rPr>
          <w:sz w:val="20"/>
          <w:szCs w:val="20"/>
          <w:color w:val="auto"/>
        </w:rPr>
      </w:pPr>
    </w:p>
    <w:p>
      <w:pPr>
        <w:ind w:right="3759"/>
        <w:spacing w:after="0" w:line="290" w:lineRule="auto"/>
        <w:rPr>
          <w:sz w:val="20"/>
          <w:szCs w:val="20"/>
          <w:color w:val="auto"/>
        </w:rPr>
      </w:pPr>
      <w:r>
        <w:rPr>
          <w:rFonts w:ascii="Courier New" w:cs="Courier New" w:eastAsia="Courier New" w:hAnsi="Courier New"/>
          <w:sz w:val="15"/>
          <w:szCs w:val="15"/>
          <w:color w:val="auto"/>
        </w:rPr>
        <w:t>In December 1999, a pretax charge of $77 million ($71 million after tax), classified in Cost of goods sold and services, consisting primarily of the following:</w:t>
      </w:r>
    </w:p>
    <w:p>
      <w:pPr>
        <w:spacing w:after="0" w:line="57" w:lineRule="exact"/>
        <w:rPr>
          <w:sz w:val="20"/>
          <w:szCs w:val="20"/>
          <w:color w:val="auto"/>
        </w:rPr>
      </w:pPr>
    </w:p>
    <w:p>
      <w:pPr>
        <w:ind w:left="800" w:right="3399" w:hanging="703"/>
        <w:spacing w:after="0" w:line="273" w:lineRule="auto"/>
        <w:tabs>
          <w:tab w:leader="none" w:pos="800"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charge of $31 million ($26 million after tax) including $23 million of asset impairments and $8 million of severance costs related to reductions in the marine seismic fleet due to depressed market conditions.</w:t>
      </w:r>
    </w:p>
    <w:p>
      <w:pPr>
        <w:spacing w:after="0" w:line="68" w:lineRule="exact"/>
        <w:rPr>
          <w:sz w:val="20"/>
          <w:szCs w:val="20"/>
          <w:color w:val="auto"/>
        </w:rPr>
      </w:pPr>
    </w:p>
    <w:p>
      <w:pPr>
        <w:jc w:val="both"/>
        <w:ind w:left="800" w:right="3399" w:hanging="703"/>
        <w:spacing w:after="0" w:line="298" w:lineRule="auto"/>
        <w:tabs>
          <w:tab w:leader="none" w:pos="800"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charge of $38 million ($37 million after tax) including $33 million of asset impairments and $5 million of severance costs related to the restructuring of its land drilling activity following the spin-off of its offshore drilling business to stockholders.</w:t>
      </w:r>
    </w:p>
    <w:p>
      <w:pPr>
        <w:spacing w:after="0" w:line="53" w:lineRule="exact"/>
        <w:rPr>
          <w:sz w:val="20"/>
          <w:szCs w:val="20"/>
          <w:color w:val="auto"/>
        </w:rPr>
      </w:pPr>
    </w:p>
    <w:p>
      <w:pPr>
        <w:ind w:right="3239"/>
        <w:spacing w:after="0" w:line="264" w:lineRule="auto"/>
        <w:rPr>
          <w:sz w:val="20"/>
          <w:szCs w:val="20"/>
          <w:color w:val="auto"/>
        </w:rPr>
      </w:pPr>
      <w:r>
        <w:rPr>
          <w:rFonts w:ascii="Courier New" w:cs="Courier New" w:eastAsia="Courier New" w:hAnsi="Courier New"/>
          <w:sz w:val="15"/>
          <w:szCs w:val="15"/>
          <w:color w:val="auto"/>
        </w:rPr>
        <w:t>The December 2001 charge included severance costs of $41 million (775 people) of which $9 million (318 people) had been paid at December 31, 2001. The remaining severance costs are expected to be paid before June 30, 2002. The December 2000 charges included severance costs of $9 million (380 people) which have been paid.</w:t>
      </w:r>
    </w:p>
    <w:p>
      <w:pPr>
        <w:spacing w:after="0" w:line="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Discontinued Operations</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40" w:lineRule="exact"/>
        <w:rPr>
          <w:sz w:val="20"/>
          <w:szCs w:val="20"/>
          <w:color w:val="auto"/>
        </w:rPr>
      </w:pPr>
    </w:p>
    <w:p>
      <w:pPr>
        <w:ind w:right="3319"/>
        <w:spacing w:after="0" w:line="264" w:lineRule="auto"/>
        <w:rPr>
          <w:sz w:val="20"/>
          <w:szCs w:val="20"/>
          <w:color w:val="auto"/>
        </w:rPr>
      </w:pPr>
      <w:r>
        <w:rPr>
          <w:rFonts w:ascii="Courier New" w:cs="Courier New" w:eastAsia="Courier New" w:hAnsi="Courier New"/>
          <w:sz w:val="15"/>
          <w:szCs w:val="15"/>
          <w:color w:val="auto"/>
        </w:rPr>
        <w:t>On December 31, 1999, Schlumberger completed the spin-off of its offshore contract drilling business, Sedco Forex, to its stockholders and the subsequent merger of Sedco Forex and Transocean Offshore Inc., which changed its name to Transocean Sedco Forex Inc. following the merger. The spin-off was approved by stockholders on December 10, 1999.</w:t>
      </w:r>
    </w:p>
    <w:p>
      <w:pPr>
        <w:spacing w:after="0" w:line="75" w:lineRule="exact"/>
        <w:rPr>
          <w:sz w:val="20"/>
          <w:szCs w:val="20"/>
          <w:color w:val="auto"/>
        </w:rPr>
      </w:pPr>
    </w:p>
    <w:p>
      <w:pPr>
        <w:jc w:val="both"/>
        <w:ind w:right="3319"/>
        <w:spacing w:after="0" w:line="273" w:lineRule="auto"/>
        <w:rPr>
          <w:sz w:val="20"/>
          <w:szCs w:val="20"/>
          <w:color w:val="auto"/>
        </w:rPr>
      </w:pPr>
      <w:r>
        <w:rPr>
          <w:rFonts w:ascii="Courier New" w:cs="Courier New" w:eastAsia="Courier New" w:hAnsi="Courier New"/>
          <w:sz w:val="15"/>
          <w:szCs w:val="15"/>
          <w:color w:val="auto"/>
        </w:rPr>
        <w:t>Upon completion of the merger, Schlumberger stockholders held approximately 52% of the ordinary shares of Transocean Sedco Forex Inc., and Transocean Offshore Inc. shareholders held the remaining 48%. Schlumberger retained no ownership in the combined company.</w:t>
      </w:r>
    </w:p>
    <w:p>
      <w:pPr>
        <w:spacing w:after="0" w:line="68" w:lineRule="exact"/>
        <w:rPr>
          <w:sz w:val="20"/>
          <w:szCs w:val="20"/>
          <w:color w:val="auto"/>
        </w:rPr>
      </w:pPr>
    </w:p>
    <w:p>
      <w:pPr>
        <w:ind w:right="3239"/>
        <w:spacing w:after="0" w:line="264" w:lineRule="auto"/>
        <w:rPr>
          <w:sz w:val="20"/>
          <w:szCs w:val="20"/>
          <w:color w:val="auto"/>
        </w:rPr>
      </w:pPr>
      <w:r>
        <w:rPr>
          <w:rFonts w:ascii="Courier New" w:cs="Courier New" w:eastAsia="Courier New" w:hAnsi="Courier New"/>
          <w:sz w:val="15"/>
          <w:szCs w:val="15"/>
          <w:color w:val="auto"/>
        </w:rPr>
        <w:t>In the spin-off, Schlumberger stockholders received one share of Sedco Forex for each share of Schlumberger owned on the record date of December 20, 1999. In the merger, each Sedco Forex share was exchanged for 0.1936 ordinary share of Transocean Sedco Forex Inc. Stockholders received cash in lieu of fractional shares.</w:t>
      </w:r>
    </w:p>
    <w:p>
      <w:pPr>
        <w:spacing w:after="0" w:line="75" w:lineRule="exact"/>
        <w:rPr>
          <w:sz w:val="20"/>
          <w:szCs w:val="20"/>
          <w:color w:val="auto"/>
        </w:rPr>
      </w:pPr>
    </w:p>
    <w:p>
      <w:pPr>
        <w:jc w:val="both"/>
        <w:ind w:right="3939"/>
        <w:spacing w:after="0" w:line="290" w:lineRule="auto"/>
        <w:rPr>
          <w:sz w:val="20"/>
          <w:szCs w:val="20"/>
          <w:color w:val="auto"/>
        </w:rPr>
      </w:pPr>
      <w:r>
        <w:rPr>
          <w:rFonts w:ascii="Courier New" w:cs="Courier New" w:eastAsia="Courier New" w:hAnsi="Courier New"/>
          <w:sz w:val="15"/>
          <w:szCs w:val="15"/>
          <w:color w:val="auto"/>
        </w:rPr>
        <w:t>Results for the Sedco Forex operations spun off by Schlumberger for this transaction are reported as discontinued operations in the Consolidated Statement of Income.</w:t>
      </w:r>
    </w:p>
    <w:p>
      <w:pPr>
        <w:spacing w:after="0" w:line="57" w:lineRule="exact"/>
        <w:rPr>
          <w:sz w:val="20"/>
          <w:szCs w:val="20"/>
          <w:color w:val="auto"/>
        </w:rPr>
      </w:pPr>
    </w:p>
    <w:p>
      <w:pPr>
        <w:ind w:right="3579"/>
        <w:spacing w:after="0" w:line="290" w:lineRule="auto"/>
        <w:rPr>
          <w:sz w:val="20"/>
          <w:szCs w:val="20"/>
          <w:color w:val="auto"/>
        </w:rPr>
      </w:pPr>
      <w:r>
        <w:rPr>
          <w:rFonts w:ascii="Courier New" w:cs="Courier New" w:eastAsia="Courier New" w:hAnsi="Courier New"/>
          <w:sz w:val="15"/>
          <w:szCs w:val="15"/>
          <w:color w:val="auto"/>
        </w:rPr>
        <w:t>Discontinued Operations on the Consolidated Statement of Income includes the operating results of the spun-off Sedco Forex business and the following charges:</w:t>
      </w:r>
    </w:p>
    <w:p>
      <w:pPr>
        <w:spacing w:after="0" w:line="57" w:lineRule="exact"/>
        <w:rPr>
          <w:sz w:val="20"/>
          <w:szCs w:val="20"/>
          <w:color w:val="auto"/>
        </w:rPr>
      </w:pPr>
    </w:p>
    <w:p>
      <w:pPr>
        <w:ind w:left="800" w:right="3579" w:hanging="703"/>
        <w:spacing w:after="0" w:line="307" w:lineRule="auto"/>
        <w:tabs>
          <w:tab w:leader="none" w:pos="800"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December 1999, an after-tax charge of $50 million ($0.09 per share - diluted) for costs directly associated with the spin-off.</w:t>
      </w:r>
    </w:p>
    <w:p>
      <w:pPr>
        <w:spacing w:after="0" w:line="238" w:lineRule="exact"/>
        <w:rPr>
          <w:sz w:val="20"/>
          <w:szCs w:val="20"/>
          <w:color w:val="auto"/>
        </w:rPr>
      </w:pPr>
    </w:p>
    <w:p>
      <w:pPr>
        <w:ind w:left="800" w:right="3239" w:hanging="703"/>
        <w:spacing w:after="0" w:line="255" w:lineRule="auto"/>
        <w:tabs>
          <w:tab w:leader="none" w:pos="800"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March 1999, an after-tax charge of $33 million ($0.06 per share - diluted) for severance costs ($13 million) and legal</w:t>
      </w:r>
    </w:p>
    <w:p>
      <w:pPr>
        <w:spacing w:after="0" w:line="1" w:lineRule="exact"/>
        <w:rPr>
          <w:rFonts w:ascii="Courier New" w:cs="Courier New" w:eastAsia="Courier New" w:hAnsi="Courier New"/>
          <w:sz w:val="15"/>
          <w:szCs w:val="15"/>
          <w:color w:val="auto"/>
        </w:rPr>
      </w:pPr>
    </w:p>
    <w:p>
      <w:pPr>
        <w:ind w:left="8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claims.</w:t>
      </w:r>
    </w:p>
    <w:p>
      <w:pPr>
        <w:spacing w:after="0" w:line="140" w:lineRule="exact"/>
        <w:rPr>
          <w:sz w:val="20"/>
          <w:szCs w:val="20"/>
          <w:color w:val="auto"/>
        </w:rPr>
      </w:pPr>
    </w:p>
    <w:p>
      <w:pPr>
        <w:ind w:right="3239"/>
        <w:spacing w:after="0" w:line="264" w:lineRule="auto"/>
        <w:rPr>
          <w:sz w:val="20"/>
          <w:szCs w:val="20"/>
          <w:color w:val="auto"/>
        </w:rPr>
      </w:pPr>
      <w:r>
        <w:rPr>
          <w:rFonts w:ascii="Courier New" w:cs="Courier New" w:eastAsia="Courier New" w:hAnsi="Courier New"/>
          <w:sz w:val="15"/>
          <w:szCs w:val="15"/>
          <w:color w:val="auto"/>
        </w:rPr>
        <w:t>As a result of the spin-off, Schlumberger Income Retained for Use in the Business was reduced by $918 million representing the spun-off net assets of Sedco Forex ($1.23 billion) less payments received in settlement of intercompany balances between Schlumberger and Sedco Forex ($313 million). The net assets spun off included $1.3 billion of fixed assets.</w:t>
      </w:r>
    </w:p>
    <w:p>
      <w:pPr>
        <w:spacing w:after="0" w:line="75" w:lineRule="exact"/>
        <w:rPr>
          <w:sz w:val="20"/>
          <w:szCs w:val="20"/>
          <w:color w:val="auto"/>
        </w:rPr>
      </w:pPr>
    </w:p>
    <w:p>
      <w:pPr>
        <w:ind w:right="3499"/>
        <w:spacing w:after="0" w:line="255" w:lineRule="auto"/>
        <w:rPr>
          <w:sz w:val="20"/>
          <w:szCs w:val="20"/>
          <w:color w:val="auto"/>
        </w:rPr>
      </w:pPr>
      <w:r>
        <w:rPr>
          <w:rFonts w:ascii="Courier New" w:cs="Courier New" w:eastAsia="Courier New" w:hAnsi="Courier New"/>
          <w:sz w:val="15"/>
          <w:szCs w:val="15"/>
          <w:color w:val="auto"/>
        </w:rPr>
        <w:t>Pursuant to Accounting Principles Board Opinion (APB) No. 30, Reporting the Results of Operations-Reporting the Effects of Disposal of a Segment of a Business, and Extraordinary, Unusual and Infrequently Occurring Events and Transactions, the revenue and expenses of Sedco Forex have been excluded from the respective captions in the Consolidated Statement of Income. The net operating results of Sedco Forex have been reported, net of applicable income taxes, as Discontinued Operations.</w:t>
      </w:r>
    </w:p>
    <w:p>
      <w:pPr>
        <w:spacing w:after="0" w:line="25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F-13</w:t>
      </w:r>
    </w:p>
    <w:p>
      <w:pPr>
        <w:sectPr>
          <w:pgSz w:w="11900" w:h="16838" w:orient="portrait"/>
          <w:cols w:equalWidth="0" w:num="1">
            <w:col w:w="10239"/>
          </w:cols>
          <w:pgMar w:left="220" w:top="766" w:right="1440" w:bottom="1440" w:gutter="0" w:footer="0" w:header="0"/>
        </w:sectPr>
      </w:pPr>
    </w:p>
    <w:bookmarkStart w:id="27" w:name="page28"/>
    <w:bookmarkEnd w:id="27"/>
    <w:p>
      <w:pPr>
        <w:ind w:right="3579"/>
        <w:spacing w:after="0" w:line="344" w:lineRule="auto"/>
        <w:rPr>
          <w:sz w:val="20"/>
          <w:szCs w:val="20"/>
          <w:color w:val="auto"/>
        </w:rPr>
      </w:pPr>
      <w:r>
        <w:rPr>
          <w:rFonts w:ascii="Courier New" w:cs="Courier New" w:eastAsia="Courier New" w:hAnsi="Courier New"/>
          <w:sz w:val="15"/>
          <w:szCs w:val="15"/>
          <w:color w:val="auto"/>
        </w:rPr>
        <w:t>Summarized 1999 financial information for the discontinued operations, is as follows:</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060" w:type="dxa"/>
            <w:vAlign w:val="bottom"/>
          </w:tcPr>
          <w:p>
            <w:pPr>
              <w:spacing w:after="0"/>
              <w:rPr>
                <w:sz w:val="21"/>
                <w:szCs w:val="21"/>
                <w:color w:val="auto"/>
              </w:rPr>
            </w:pPr>
          </w:p>
        </w:tc>
        <w:tc>
          <w:tcPr>
            <w:tcW w:w="2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(Stated in millions)</w:t>
            </w:r>
          </w:p>
        </w:tc>
      </w:tr>
      <w:tr>
        <w:trPr>
          <w:trHeight w:val="259"/>
        </w:trPr>
        <w:tc>
          <w:tcPr>
            <w:tcW w:w="20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2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1999</w:t>
            </w:r>
          </w:p>
        </w:tc>
      </w:tr>
      <w:tr>
        <w:trPr>
          <w:trHeight w:val="245"/>
        </w:trPr>
        <w:tc>
          <w:tcPr>
            <w:tcW w:w="2060" w:type="dxa"/>
            <w:vAlign w:val="bottom"/>
          </w:tcPr>
          <w:p>
            <w:pPr>
              <w:spacing w:after="0"/>
              <w:rPr>
                <w:sz w:val="21"/>
                <w:szCs w:val="21"/>
                <w:color w:val="auto"/>
              </w:rPr>
            </w:pPr>
          </w:p>
        </w:tc>
        <w:tc>
          <w:tcPr>
            <w:tcW w:w="214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r>
      <w:tr>
        <w:trPr>
          <w:trHeight w:val="336"/>
        </w:trPr>
        <w:tc>
          <w:tcPr>
            <w:tcW w:w="2060" w:type="dxa"/>
            <w:vAlign w:val="bottom"/>
          </w:tcPr>
          <w:p>
            <w:pPr>
              <w:spacing w:after="0"/>
              <w:rPr>
                <w:sz w:val="20"/>
                <w:szCs w:val="20"/>
                <w:color w:val="auto"/>
              </w:rPr>
            </w:pPr>
            <w:r>
              <w:rPr>
                <w:rFonts w:ascii="Courier New" w:cs="Courier New" w:eastAsia="Courier New" w:hAnsi="Courier New"/>
                <w:sz w:val="15"/>
                <w:szCs w:val="15"/>
                <w:color w:val="auto"/>
              </w:rPr>
              <w:t>Operating Revenue</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648</w:t>
            </w:r>
          </w:p>
        </w:tc>
      </w:tr>
      <w:tr>
        <w:trPr>
          <w:trHeight w:val="336"/>
        </w:trPr>
        <w:tc>
          <w:tcPr>
            <w:tcW w:w="2060" w:type="dxa"/>
            <w:vAlign w:val="bottom"/>
          </w:tcPr>
          <w:p>
            <w:pPr>
              <w:spacing w:after="0"/>
              <w:rPr>
                <w:sz w:val="20"/>
                <w:szCs w:val="20"/>
                <w:color w:val="auto"/>
              </w:rPr>
            </w:pPr>
            <w:r>
              <w:rPr>
                <w:rFonts w:ascii="Courier New" w:cs="Courier New" w:eastAsia="Courier New" w:hAnsi="Courier New"/>
                <w:sz w:val="15"/>
                <w:szCs w:val="15"/>
                <w:color w:val="auto"/>
              </w:rPr>
              <w:t>Income before taxes</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29</w:t>
            </w:r>
          </w:p>
        </w:tc>
      </w:tr>
      <w:tr>
        <w:trPr>
          <w:trHeight w:val="336"/>
        </w:trPr>
        <w:tc>
          <w:tcPr>
            <w:tcW w:w="2060" w:type="dxa"/>
            <w:vAlign w:val="bottom"/>
          </w:tcPr>
          <w:p>
            <w:pPr>
              <w:spacing w:after="0"/>
              <w:rPr>
                <w:sz w:val="20"/>
                <w:szCs w:val="20"/>
                <w:color w:val="auto"/>
              </w:rPr>
            </w:pPr>
            <w:r>
              <w:rPr>
                <w:rFonts w:ascii="Courier New" w:cs="Courier New" w:eastAsia="Courier New" w:hAnsi="Courier New"/>
                <w:sz w:val="15"/>
                <w:szCs w:val="15"/>
                <w:color w:val="auto"/>
              </w:rPr>
              <w:t>Income after taxes</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37</w:t>
            </w:r>
          </w:p>
        </w:tc>
      </w:tr>
    </w:tbl>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Acquisitions</w:t>
      </w:r>
    </w:p>
    <w:p>
      <w:pPr>
        <w:spacing w:after="0" w:line="24" w:lineRule="exact"/>
        <w:rPr>
          <w:sz w:val="20"/>
          <w:szCs w:val="20"/>
          <w:color w:val="auto"/>
        </w:rPr>
      </w:pPr>
    </w:p>
    <w:p>
      <w:pPr>
        <w:ind w:left="180" w:hanging="170"/>
        <w:spacing w:after="0"/>
        <w:tabs>
          <w:tab w:leader="none" w:pos="180"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40"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Acquisition of Sema plc</w:t>
      </w:r>
    </w:p>
    <w:p>
      <w:pPr>
        <w:spacing w:after="0" w:line="166" w:lineRule="exact"/>
        <w:rPr>
          <w:sz w:val="20"/>
          <w:szCs w:val="20"/>
          <w:color w:val="auto"/>
        </w:rPr>
      </w:pPr>
    </w:p>
    <w:p>
      <w:pPr>
        <w:ind w:right="3319"/>
        <w:spacing w:after="0" w:line="320" w:lineRule="auto"/>
        <w:rPr>
          <w:sz w:val="20"/>
          <w:szCs w:val="20"/>
          <w:color w:val="auto"/>
        </w:rPr>
      </w:pPr>
      <w:r>
        <w:rPr>
          <w:rFonts w:ascii="Courier New" w:cs="Courier New" w:eastAsia="Courier New" w:hAnsi="Courier New"/>
          <w:sz w:val="14"/>
          <w:szCs w:val="14"/>
          <w:color w:val="auto"/>
        </w:rPr>
        <w:t>On February 12, 2001, Schlumberger announced that it had reached an agreement with the board of directors of Sema plc on the terms of a recommended offer for the entire issued and to be issued share capital of Sema plc.</w:t>
      </w:r>
    </w:p>
    <w:p>
      <w:pPr>
        <w:spacing w:after="0" w:line="38" w:lineRule="exact"/>
        <w:rPr>
          <w:sz w:val="20"/>
          <w:szCs w:val="20"/>
          <w:color w:val="auto"/>
        </w:rPr>
      </w:pPr>
    </w:p>
    <w:p>
      <w:pPr>
        <w:ind w:right="3499"/>
        <w:spacing w:after="0" w:line="290" w:lineRule="auto"/>
        <w:rPr>
          <w:sz w:val="20"/>
          <w:szCs w:val="20"/>
          <w:color w:val="auto"/>
        </w:rPr>
      </w:pPr>
      <w:r>
        <w:rPr>
          <w:rFonts w:ascii="Courier New" w:cs="Courier New" w:eastAsia="Courier New" w:hAnsi="Courier New"/>
          <w:sz w:val="15"/>
          <w:szCs w:val="15"/>
          <w:color w:val="auto"/>
        </w:rPr>
        <w:t>On March 8, 2001, a wholly owned subsidiary of Schlumberger acquired, through market purchases, approximately 20% of the issued share capital of Sema at a cost of $1 billion.</w:t>
      </w:r>
    </w:p>
    <w:p>
      <w:pPr>
        <w:spacing w:after="0" w:line="57" w:lineRule="exact"/>
        <w:rPr>
          <w:sz w:val="20"/>
          <w:szCs w:val="20"/>
          <w:color w:val="auto"/>
        </w:rPr>
      </w:pPr>
    </w:p>
    <w:p>
      <w:pPr>
        <w:ind w:right="3399"/>
        <w:spacing w:after="0" w:line="264" w:lineRule="auto"/>
        <w:rPr>
          <w:sz w:val="20"/>
          <w:szCs w:val="20"/>
          <w:color w:val="auto"/>
        </w:rPr>
      </w:pPr>
      <w:r>
        <w:rPr>
          <w:rFonts w:ascii="Courier New" w:cs="Courier New" w:eastAsia="Courier New" w:hAnsi="Courier New"/>
          <w:sz w:val="15"/>
          <w:szCs w:val="15"/>
          <w:color w:val="auto"/>
        </w:rPr>
        <w:t>On April 6, 2001, the offer for the shares of Sema plc was declared unconditional in all respects. The aggregate consideration for the acquisition of 100% of the issued Sema shares was $5.15 billion (including expenses of the transaction) which was financed from existing cash resources and borrowings under a $3 billion credit facility.</w:t>
      </w:r>
    </w:p>
    <w:p>
      <w:pPr>
        <w:spacing w:after="0" w:line="75" w:lineRule="exact"/>
        <w:rPr>
          <w:sz w:val="20"/>
          <w:szCs w:val="20"/>
          <w:color w:val="auto"/>
        </w:rPr>
      </w:pPr>
    </w:p>
    <w:p>
      <w:pPr>
        <w:ind w:right="3239"/>
        <w:spacing w:after="0" w:line="264" w:lineRule="auto"/>
        <w:rPr>
          <w:sz w:val="20"/>
          <w:szCs w:val="20"/>
          <w:color w:val="auto"/>
        </w:rPr>
      </w:pPr>
      <w:r>
        <w:rPr>
          <w:rFonts w:ascii="Courier New" w:cs="Courier New" w:eastAsia="Courier New" w:hAnsi="Courier New"/>
          <w:sz w:val="15"/>
          <w:szCs w:val="15"/>
          <w:color w:val="auto"/>
        </w:rPr>
        <w:t>On October 3, 2001, wholly owned subsidiaries of Schlumberger issued $1.9 billion European bonds (Euro 1.4 billion and (pound)425 million). The average rate of these bonds is 5.9% with maturity from 2008 through 2032. The proceeds from the issues were used to repay short-term bank loans originally taken out by those subsidiaries to finance the acquisition of Sema plc.</w:t>
      </w:r>
    </w:p>
    <w:p>
      <w:pPr>
        <w:spacing w:after="0" w:line="75" w:lineRule="exact"/>
        <w:rPr>
          <w:sz w:val="20"/>
          <w:szCs w:val="20"/>
          <w:color w:val="auto"/>
        </w:rPr>
      </w:pPr>
    </w:p>
    <w:p>
      <w:pPr>
        <w:ind w:right="3319"/>
        <w:spacing w:after="0" w:line="264" w:lineRule="auto"/>
        <w:rPr>
          <w:sz w:val="20"/>
          <w:szCs w:val="20"/>
          <w:color w:val="auto"/>
        </w:rPr>
      </w:pPr>
      <w:r>
        <w:rPr>
          <w:rFonts w:ascii="Courier New" w:cs="Courier New" w:eastAsia="Courier New" w:hAnsi="Courier New"/>
          <w:sz w:val="15"/>
          <w:szCs w:val="15"/>
          <w:color w:val="auto"/>
        </w:rPr>
        <w:t>The acquisition was accounted for using the purchase method of accounting and the goodwill and identifiable intangibles aggregated $5.19 billion which are being amortized on a straight-line basis. Goodwill and identifiable intangibles are currently amortized on a straight-line basis over a composite life of 18 years.</w:t>
      </w:r>
    </w:p>
    <w:p>
      <w:pPr>
        <w:spacing w:after="0" w:line="75" w:lineRule="exact"/>
        <w:rPr>
          <w:sz w:val="20"/>
          <w:szCs w:val="20"/>
          <w:color w:val="auto"/>
        </w:rPr>
      </w:pPr>
    </w:p>
    <w:p>
      <w:pPr>
        <w:ind w:right="3759"/>
        <w:spacing w:after="0" w:line="344" w:lineRule="auto"/>
        <w:rPr>
          <w:sz w:val="20"/>
          <w:szCs w:val="20"/>
          <w:color w:val="auto"/>
        </w:rPr>
      </w:pPr>
      <w:r>
        <w:rPr>
          <w:rFonts w:ascii="Courier New" w:cs="Courier New" w:eastAsia="Courier New" w:hAnsi="Courier New"/>
          <w:sz w:val="15"/>
          <w:szCs w:val="15"/>
          <w:color w:val="auto"/>
        </w:rPr>
        <w:t>The aggregate value of goodwill and identifiable intangibles comprised the following:</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280" w:type="dxa"/>
            <w:vAlign w:val="bottom"/>
          </w:tcPr>
          <w:p>
            <w:pPr>
              <w:spacing w:after="0"/>
              <w:rPr>
                <w:sz w:val="21"/>
                <w:szCs w:val="21"/>
                <w:color w:val="auto"/>
              </w:rPr>
            </w:pPr>
          </w:p>
        </w:tc>
        <w:tc>
          <w:tcPr>
            <w:tcW w:w="21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(Dollars in billions)</w:t>
            </w:r>
          </w:p>
        </w:tc>
      </w:tr>
      <w:tr>
        <w:trPr>
          <w:trHeight w:val="427"/>
        </w:trPr>
        <w:tc>
          <w:tcPr>
            <w:tcW w:w="3280" w:type="dxa"/>
            <w:vAlign w:val="bottom"/>
          </w:tcPr>
          <w:p>
            <w:pPr>
              <w:spacing w:after="0"/>
              <w:rPr>
                <w:sz w:val="20"/>
                <w:szCs w:val="20"/>
                <w:color w:val="auto"/>
              </w:rPr>
            </w:pPr>
            <w:r>
              <w:rPr>
                <w:rFonts w:ascii="Courier New" w:cs="Courier New" w:eastAsia="Courier New" w:hAnsi="Courier New"/>
                <w:sz w:val="15"/>
                <w:szCs w:val="15"/>
                <w:color w:val="auto"/>
              </w:rPr>
              <w:t>Cost (including expenses)</w:t>
            </w:r>
          </w:p>
        </w:tc>
        <w:tc>
          <w:tcPr>
            <w:tcW w:w="10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5.15</w:t>
            </w: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Purchase accounting adjustments/1/</w:t>
            </w:r>
          </w:p>
        </w:tc>
        <w:tc>
          <w:tcPr>
            <w:tcW w:w="1060" w:type="dxa"/>
            <w:vAlign w:val="bottom"/>
          </w:tcPr>
          <w:p>
            <w:pPr>
              <w:spacing w:after="0"/>
              <w:rPr>
                <w:sz w:val="14"/>
                <w:szCs w:val="14"/>
                <w:color w:val="auto"/>
              </w:rPr>
            </w:pPr>
          </w:p>
        </w:tc>
        <w:tc>
          <w:tcPr>
            <w:tcW w:w="110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0.34</w:t>
            </w: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Net tangible assets acquired</w:t>
            </w:r>
          </w:p>
        </w:tc>
        <w:tc>
          <w:tcPr>
            <w:tcW w:w="1060" w:type="dxa"/>
            <w:vAlign w:val="bottom"/>
          </w:tcPr>
          <w:p>
            <w:pPr>
              <w:spacing w:after="0"/>
              <w:rPr>
                <w:sz w:val="14"/>
                <w:szCs w:val="14"/>
                <w:color w:val="auto"/>
              </w:rPr>
            </w:pPr>
          </w:p>
        </w:tc>
        <w:tc>
          <w:tcPr>
            <w:tcW w:w="1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(0.30)</w:t>
            </w:r>
          </w:p>
        </w:tc>
      </w:tr>
      <w:tr>
        <w:trPr>
          <w:trHeight w:val="168"/>
        </w:trPr>
        <w:tc>
          <w:tcPr>
            <w:tcW w:w="3280" w:type="dxa"/>
            <w:vAlign w:val="bottom"/>
          </w:tcPr>
          <w:p>
            <w:pPr>
              <w:spacing w:after="0"/>
              <w:rPr>
                <w:sz w:val="14"/>
                <w:szCs w:val="14"/>
                <w:color w:val="auto"/>
              </w:rPr>
            </w:pPr>
          </w:p>
        </w:tc>
        <w:tc>
          <w:tcPr>
            <w:tcW w:w="216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80" w:type="dxa"/>
            <w:vAlign w:val="bottom"/>
          </w:tcPr>
          <w:p>
            <w:pPr>
              <w:spacing w:after="0"/>
              <w:rPr>
                <w:sz w:val="14"/>
                <w:szCs w:val="14"/>
                <w:color w:val="auto"/>
              </w:rPr>
            </w:pP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5.19</w:t>
            </w:r>
          </w:p>
        </w:tc>
      </w:tr>
      <w:tr>
        <w:trPr>
          <w:trHeight w:val="245"/>
        </w:trPr>
        <w:tc>
          <w:tcPr>
            <w:tcW w:w="3280" w:type="dxa"/>
            <w:vAlign w:val="bottom"/>
          </w:tcPr>
          <w:p>
            <w:pPr>
              <w:spacing w:after="0"/>
              <w:rPr>
                <w:sz w:val="21"/>
                <w:szCs w:val="21"/>
                <w:color w:val="auto"/>
              </w:rPr>
            </w:pPr>
          </w:p>
        </w:tc>
        <w:tc>
          <w:tcPr>
            <w:tcW w:w="216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r>
    </w:tbl>
    <w:p>
      <w:pPr>
        <w:spacing w:after="0" w:line="259" w:lineRule="exact"/>
        <w:rPr>
          <w:sz w:val="20"/>
          <w:szCs w:val="20"/>
          <w:color w:val="auto"/>
        </w:rPr>
      </w:pPr>
    </w:p>
    <w:p>
      <w:pPr>
        <w:ind w:left="280" w:right="3399" w:hanging="270"/>
        <w:spacing w:after="0" w:line="258" w:lineRule="auto"/>
        <w:tabs>
          <w:tab w:leader="none" w:pos="280"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Purchase accounting adjustments consisted primarily of severance costs ($84 million - 1781 people), facility reductions ($33 million), pension plan adjustments ($136 million) and tax restructuring costs ($50 million). At December 31, 2001, $26 million (593 people) of the severance costs had been paid. The remaining severance costs are expected to be paid before June 30, 2002.</w:t>
      </w:r>
    </w:p>
    <w:p>
      <w:pPr>
        <w:spacing w:after="0" w:line="81" w:lineRule="exact"/>
        <w:rPr>
          <w:sz w:val="20"/>
          <w:szCs w:val="20"/>
          <w:color w:val="auto"/>
        </w:rPr>
      </w:pPr>
    </w:p>
    <w:p>
      <w:pPr>
        <w:ind w:right="3319"/>
        <w:spacing w:after="0" w:line="252" w:lineRule="auto"/>
        <w:rPr>
          <w:sz w:val="20"/>
          <w:szCs w:val="20"/>
          <w:color w:val="auto"/>
        </w:rPr>
      </w:pPr>
      <w:r>
        <w:rPr>
          <w:rFonts w:ascii="Courier New" w:cs="Courier New" w:eastAsia="Courier New" w:hAnsi="Courier New"/>
          <w:sz w:val="15"/>
          <w:szCs w:val="15"/>
          <w:color w:val="auto"/>
        </w:rPr>
        <w:t>For financial reporting purposes, Schlumberger included the results of operations of Sema in its consolidated accounts commencing April 1, 2001. If Sema had been included in the consolidated financial statements of Schlumberger from January 1, consolidated revenue for the twelve months ended December 31, 2001 would have increased by $538 million (unaudited) to $14.3 billion (unaudited) and consolidated net income would have decreased by approximately $140 million (unaudited), to $382 million (unaudited), related primarily to increased interest expense and</w:t>
      </w:r>
    </w:p>
    <w:p>
      <w:pPr>
        <w:spacing w:after="0" w:line="25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F-14</w:t>
      </w:r>
    </w:p>
    <w:p>
      <w:pPr>
        <w:sectPr>
          <w:pgSz w:w="11900" w:h="16838" w:orient="portrait"/>
          <w:cols w:equalWidth="0" w:num="1">
            <w:col w:w="10239"/>
          </w:cols>
          <w:pgMar w:left="220" w:top="934" w:right="1440" w:bottom="1440" w:gutter="0" w:footer="0" w:header="0"/>
        </w:sectPr>
      </w:pPr>
    </w:p>
    <w:bookmarkStart w:id="28" w:name="page29"/>
    <w:bookmarkEnd w:id="28"/>
    <w:p>
      <w:pPr>
        <w:ind w:right="3399"/>
        <w:spacing w:after="0" w:line="290" w:lineRule="auto"/>
        <w:rPr>
          <w:sz w:val="20"/>
          <w:szCs w:val="20"/>
          <w:color w:val="auto"/>
        </w:rPr>
      </w:pPr>
      <w:r>
        <w:rPr>
          <w:rFonts w:ascii="Courier New" w:cs="Courier New" w:eastAsia="Courier New" w:hAnsi="Courier New"/>
          <w:sz w:val="15"/>
          <w:szCs w:val="15"/>
          <w:color w:val="auto"/>
        </w:rPr>
        <w:t>amortization of intangibles, and lower interest income. On a proforma basis, Schlumberger 2000 operating revenue and net income would have been $12 billion (unaudited) and $300 million (unaudited), respectively.</w:t>
      </w:r>
    </w:p>
    <w:p>
      <w:pPr>
        <w:spacing w:after="0" w:line="57" w:lineRule="exact"/>
        <w:rPr>
          <w:sz w:val="20"/>
          <w:szCs w:val="20"/>
          <w:color w:val="auto"/>
        </w:rPr>
      </w:pPr>
    </w:p>
    <w:p>
      <w:pPr>
        <w:ind w:right="3239"/>
        <w:spacing w:after="0" w:line="269" w:lineRule="auto"/>
        <w:rPr>
          <w:sz w:val="20"/>
          <w:szCs w:val="20"/>
          <w:color w:val="auto"/>
        </w:rPr>
      </w:pPr>
      <w:r>
        <w:rPr>
          <w:rFonts w:ascii="Courier New" w:cs="Courier New" w:eastAsia="Courier New" w:hAnsi="Courier New"/>
          <w:sz w:val="14"/>
          <w:szCs w:val="14"/>
          <w:color w:val="auto"/>
        </w:rPr>
        <w:t>Sema is an IT services company (with approximately 22,000 employees at the date of acquisition) that provides its customers with design, implementation, operations and management of information systems and IT-related consulting services. Among the industry sectors which Sema serves, Sema has increasingly focused on the telecommunications and finance sectors, and provides a range of its own software products specifically designed for these sectors in addition to its IT services. Sema's customers include a wide variety of businesses and governmental departments around the world. Sema's services and product offerings include systems integration and consulting; software products for the telecommunications, energy, transport and finance sectors; and outsourcing.</w:t>
      </w:r>
    </w:p>
    <w:p>
      <w:pPr>
        <w:spacing w:after="0" w:line="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Acquisitions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During 2001, subsidiaries of Schlumberger acquired the following:</w:t>
      </w:r>
    </w:p>
    <w:p>
      <w:pPr>
        <w:spacing w:after="0" w:line="166" w:lineRule="exact"/>
        <w:rPr>
          <w:sz w:val="20"/>
          <w:szCs w:val="20"/>
          <w:color w:val="auto"/>
        </w:rPr>
      </w:pPr>
    </w:p>
    <w:p>
      <w:pPr>
        <w:ind w:left="800" w:right="3239" w:hanging="703"/>
        <w:spacing w:after="0" w:line="255" w:lineRule="auto"/>
        <w:tabs>
          <w:tab w:leader="none" w:pos="800"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March, Bull CP8, a market leader in microprocessor-based smart cards and associated systems applications for the banking, mobile communications and network security industries. The acquisition price was $313 million in cash. Assets acquired included identifiable intangibles (primarily patents) of $136 million and goodwill of $140 million. In-process R&amp;D, which aggregated $25 million, was charged to expense in the first quarter.</w:t>
      </w:r>
    </w:p>
    <w:p>
      <w:pPr>
        <w:spacing w:after="0" w:line="82" w:lineRule="exact"/>
        <w:rPr>
          <w:sz w:val="20"/>
          <w:szCs w:val="20"/>
          <w:color w:val="auto"/>
        </w:rPr>
      </w:pPr>
    </w:p>
    <w:p>
      <w:pPr>
        <w:ind w:left="800" w:right="3239" w:hanging="703"/>
        <w:spacing w:after="0" w:line="273" w:lineRule="auto"/>
        <w:tabs>
          <w:tab w:leader="none" w:pos="800"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June, Infosynergi ASA, a Norwegian based company specializing in customer information and billing systems integration. The acquisition price was $29 million in cash. Assets acquired included goodwill of $29 million.</w:t>
      </w:r>
    </w:p>
    <w:p>
      <w:pPr>
        <w:spacing w:after="0" w:line="68" w:lineRule="exact"/>
        <w:rPr>
          <w:sz w:val="20"/>
          <w:szCs w:val="20"/>
          <w:color w:val="auto"/>
        </w:rPr>
      </w:pPr>
    </w:p>
    <w:p>
      <w:pPr>
        <w:ind w:left="800" w:right="3239" w:hanging="703"/>
        <w:spacing w:after="0" w:line="255" w:lineRule="auto"/>
        <w:tabs>
          <w:tab w:leader="none" w:pos="800"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September, Sensor Highways Limited, a UK based market leader in the design, manufacture and deployment of a new generation of fiber optic sensors specializing in real-time data solutions to the oil and gas, process and power distribution industries. The acquisition price was $100 million, consisting of $70 million in cash and $30 million in notes. Assets acquired included identifiable intangibles of $48 million and goodwill of $50 million.</w:t>
      </w:r>
    </w:p>
    <w:p>
      <w:pPr>
        <w:spacing w:after="0" w:line="82" w:lineRule="exact"/>
        <w:rPr>
          <w:sz w:val="20"/>
          <w:szCs w:val="20"/>
          <w:color w:val="auto"/>
        </w:rPr>
      </w:pPr>
    </w:p>
    <w:p>
      <w:pPr>
        <w:ind w:left="800" w:right="3319" w:hanging="703"/>
        <w:spacing w:after="0" w:line="264" w:lineRule="auto"/>
        <w:tabs>
          <w:tab w:leader="none" w:pos="800"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September, Phoenix Petroleum Services, a UK based leader in providing tools, technologies and techniques for optimizing production in artificially lifted wells, particularly those using submersible pumps. The acquisition price was $33 million in cash. Assets acquired included goodwill of $26 million.</w:t>
      </w:r>
    </w:p>
    <w:p>
      <w:pPr>
        <w:spacing w:after="0" w:line="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These acquisitions were accounted for using the purchase method of accounting.</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During 2000, subsidiaries of Schlumberger acquired the following:</w:t>
      </w:r>
    </w:p>
    <w:p>
      <w:pPr>
        <w:spacing w:after="0" w:line="166" w:lineRule="exact"/>
        <w:rPr>
          <w:sz w:val="20"/>
          <w:szCs w:val="20"/>
          <w:color w:val="auto"/>
        </w:rPr>
      </w:pPr>
    </w:p>
    <w:p>
      <w:pPr>
        <w:ind w:left="800" w:right="3839" w:hanging="703"/>
        <w:spacing w:after="0" w:line="290" w:lineRule="auto"/>
        <w:tabs>
          <w:tab w:leader="none" w:pos="800"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January, Telweb Inc., an Internet access company based in Quebec, Canada. The purchase price was $28 million and the assets acquired included goodwill of $28 million.</w:t>
      </w:r>
    </w:p>
    <w:p>
      <w:pPr>
        <w:spacing w:after="0" w:line="57" w:lineRule="exact"/>
        <w:rPr>
          <w:sz w:val="20"/>
          <w:szCs w:val="20"/>
          <w:color w:val="auto"/>
        </w:rPr>
      </w:pPr>
    </w:p>
    <w:p>
      <w:pPr>
        <w:ind w:left="800" w:right="3579" w:hanging="703"/>
        <w:spacing w:after="0" w:line="255" w:lineRule="auto"/>
        <w:tabs>
          <w:tab w:leader="none" w:pos="800"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April, Operational Services, Inc., which provides a systematic approach to production management though efficient systems</w:t>
      </w:r>
    </w:p>
    <w:p>
      <w:pPr>
        <w:spacing w:after="0" w:line="1" w:lineRule="exact"/>
        <w:rPr>
          <w:rFonts w:ascii="Courier New" w:cs="Courier New" w:eastAsia="Courier New" w:hAnsi="Courier New"/>
          <w:sz w:val="15"/>
          <w:szCs w:val="15"/>
          <w:color w:val="auto"/>
        </w:rPr>
      </w:pPr>
    </w:p>
    <w:p>
      <w:pPr>
        <w:ind w:left="800" w:right="4379"/>
        <w:spacing w:after="0" w:line="30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and processes. The purchase price was $13 million and the assets acquired included goodwill of $13 million.</w:t>
      </w:r>
    </w:p>
    <w:p>
      <w:pPr>
        <w:spacing w:after="0" w:line="44" w:lineRule="exact"/>
        <w:rPr>
          <w:sz w:val="20"/>
          <w:szCs w:val="20"/>
          <w:color w:val="auto"/>
        </w:rPr>
      </w:pPr>
    </w:p>
    <w:p>
      <w:pPr>
        <w:ind w:left="800" w:right="3239" w:hanging="703"/>
        <w:spacing w:after="0" w:line="258" w:lineRule="auto"/>
        <w:tabs>
          <w:tab w:leader="none" w:pos="800"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May, substantially all of the assets of CellNet Data Systems, Inc., a provider of telemetry services for the development and deployment of large-scale automatic metering reading systems. The acquisition was handled through Chapter 11 procedure and was approved by the bankruptcy court. The purchase price was $209 million and there was no goodwill arising on the acquisition.</w:t>
      </w:r>
    </w:p>
    <w:p>
      <w:pPr>
        <w:spacing w:after="0" w:line="25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F-15</w:t>
      </w:r>
    </w:p>
    <w:p>
      <w:pPr>
        <w:sectPr>
          <w:pgSz w:w="11900" w:h="16838" w:orient="portrait"/>
          <w:cols w:equalWidth="0" w:num="1">
            <w:col w:w="10239"/>
          </w:cols>
          <w:pgMar w:left="220" w:top="598" w:right="1440" w:bottom="1440" w:gutter="0" w:footer="0" w:header="0"/>
        </w:sectPr>
      </w:pPr>
    </w:p>
    <w:bookmarkStart w:id="29" w:name="page30"/>
    <w:bookmarkEnd w:id="29"/>
    <w:p>
      <w:pPr>
        <w:ind w:left="800" w:right="3399" w:hanging="703"/>
        <w:spacing w:after="0" w:line="273" w:lineRule="auto"/>
        <w:tabs>
          <w:tab w:leader="none" w:pos="800"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October, Data Marine Systems Limited, a global provider of telecommunications services for transmitting data from remote locations. The purchase price was $83 million and the assets acquired included goodwill of $75 million.</w:t>
      </w:r>
    </w:p>
    <w:p>
      <w:pPr>
        <w:spacing w:after="0" w:line="68" w:lineRule="exact"/>
        <w:rPr>
          <w:sz w:val="20"/>
          <w:szCs w:val="20"/>
          <w:color w:val="auto"/>
        </w:rPr>
      </w:pPr>
    </w:p>
    <w:p>
      <w:pPr>
        <w:ind w:left="800" w:right="3499" w:hanging="703"/>
        <w:spacing w:after="0" w:line="298" w:lineRule="auto"/>
        <w:tabs>
          <w:tab w:leader="none" w:pos="800" w:val="left"/>
        </w:tabs>
        <w:numPr>
          <w:ilvl w:val="0"/>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November, a 70% interest in the Convergent Group, a provider of business consulting, software engineering, system integration and project management services. The purchase price was $263 million and the assets acquired included goodwill of $214 million.</w:t>
      </w:r>
    </w:p>
    <w:p>
      <w:pPr>
        <w:spacing w:after="0" w:line="53" w:lineRule="exact"/>
        <w:rPr>
          <w:sz w:val="20"/>
          <w:szCs w:val="20"/>
          <w:color w:val="auto"/>
        </w:rPr>
      </w:pPr>
    </w:p>
    <w:p>
      <w:pPr>
        <w:ind w:left="800" w:right="3319" w:hanging="703"/>
        <w:spacing w:after="0" w:line="258" w:lineRule="auto"/>
        <w:tabs>
          <w:tab w:leader="none" w:pos="800"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November, a 70% interest in WesternGeco, a new venture which combined the Schlumberger surface seismic business, Geco-Prakla, and the Western Geophysical seismic unit of Baker Hughes Incorporated. The purchase price was $720 million which comprised $500 million in cash and a 30% interest, valued at $220 million, in Geco-Prakla. There was no goodwill arising on the acquisition.</w:t>
      </w: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These acquisitions were accounted for using the purchase method of accounting.</w:t>
      </w:r>
    </w:p>
    <w:p>
      <w:pPr>
        <w:spacing w:after="0" w:line="178" w:lineRule="exact"/>
        <w:rPr>
          <w:sz w:val="20"/>
          <w:szCs w:val="20"/>
          <w:color w:val="auto"/>
        </w:rPr>
      </w:pPr>
    </w:p>
    <w:p>
      <w:pPr>
        <w:ind w:right="3399"/>
        <w:spacing w:after="0" w:line="344" w:lineRule="auto"/>
        <w:rPr>
          <w:sz w:val="20"/>
          <w:szCs w:val="20"/>
          <w:color w:val="auto"/>
        </w:rPr>
      </w:pPr>
      <w:r>
        <w:rPr>
          <w:rFonts w:ascii="Courier New" w:cs="Courier New" w:eastAsia="Courier New" w:hAnsi="Courier New"/>
          <w:sz w:val="15"/>
          <w:szCs w:val="15"/>
          <w:color w:val="auto"/>
        </w:rPr>
        <w:t>Unaudited APB 16 proforma results pertaining to the above acquisitions are not presented as the impact was not significant.</w:t>
      </w:r>
    </w:p>
    <w:p>
      <w:pPr>
        <w:spacing w:after="0" w:line="17" w:lineRule="exact"/>
        <w:rPr>
          <w:sz w:val="20"/>
          <w:szCs w:val="20"/>
          <w:color w:val="auto"/>
        </w:rPr>
      </w:pPr>
    </w:p>
    <w:p>
      <w:pPr>
        <w:ind w:right="3499"/>
        <w:spacing w:after="0" w:line="255" w:lineRule="auto"/>
        <w:rPr>
          <w:sz w:val="20"/>
          <w:szCs w:val="20"/>
          <w:color w:val="auto"/>
        </w:rPr>
      </w:pPr>
      <w:r>
        <w:rPr>
          <w:rFonts w:ascii="Courier New" w:cs="Courier New" w:eastAsia="Courier New" w:hAnsi="Courier New"/>
          <w:sz w:val="15"/>
          <w:szCs w:val="15"/>
          <w:color w:val="auto"/>
        </w:rPr>
        <w:t>During 1999, subsidiaries of Schlumberger acquired Merak, a market leader in petroleum software solutions; Secure Oil Tools, a leader in multilateral completions; and substantially all of the assets of Panther Software Corporation, a provider of hardware and software products and services for managing large volumes of seismic data. These acquisitions were accounted for using the purchase method of accounting and the total goodwill arising on the acquisitions was $106 million.</w:t>
      </w:r>
    </w:p>
    <w:p>
      <w:pPr>
        <w:spacing w:after="0" w:line="82" w:lineRule="exact"/>
        <w:rPr>
          <w:sz w:val="20"/>
          <w:szCs w:val="20"/>
          <w:color w:val="auto"/>
        </w:rPr>
      </w:pPr>
    </w:p>
    <w:p>
      <w:pPr>
        <w:ind w:right="3399"/>
        <w:spacing w:after="0" w:line="258" w:lineRule="auto"/>
        <w:rPr>
          <w:sz w:val="20"/>
          <w:szCs w:val="20"/>
          <w:color w:val="auto"/>
        </w:rPr>
      </w:pPr>
      <w:r>
        <w:rPr>
          <w:rFonts w:ascii="Courier New" w:cs="Courier New" w:eastAsia="Courier New" w:hAnsi="Courier New"/>
          <w:sz w:val="15"/>
          <w:szCs w:val="15"/>
          <w:color w:val="auto"/>
        </w:rPr>
        <w:t>In the third quarter of 1999, the Omnes joint venture, created in 1995 between Schlumberger and Cable &amp; Wireless, was restructured into two separate business units. Under the agreement, equal ownership and access to products, technology and intellectual property was given to both parent companies. Schlumberger retained ownership of the Omnes name. Omnes is now a fully operational company within Oilfield Services.</w:t>
      </w: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Investments in Affiliated Companies</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40" w:lineRule="exact"/>
        <w:rPr>
          <w:sz w:val="20"/>
          <w:szCs w:val="20"/>
          <w:color w:val="auto"/>
        </w:rPr>
      </w:pPr>
    </w:p>
    <w:p>
      <w:pPr>
        <w:ind w:right="3239"/>
        <w:spacing w:after="0" w:line="250" w:lineRule="auto"/>
        <w:rPr>
          <w:sz w:val="20"/>
          <w:szCs w:val="20"/>
          <w:color w:val="auto"/>
        </w:rPr>
      </w:pPr>
      <w:r>
        <w:rPr>
          <w:rFonts w:ascii="Courier New" w:cs="Courier New" w:eastAsia="Courier New" w:hAnsi="Courier New"/>
          <w:sz w:val="15"/>
          <w:szCs w:val="15"/>
          <w:color w:val="auto"/>
        </w:rPr>
        <w:t>In the third quarter of 1999, Schlumberger and Smith International Inc. entered into an agreement whereby their drilling fluids operations were combined to form a joint venture. Under the terms of the agreement, Schlumberger contributed its non-US drilling fluids business and a total of $325 million to the joint venture. Schlumberger owns a 40% interest in the joint venture and records income using the equity method of accounting. Schlumberger's investment on December 31, 2001 and 2000 was $573 million and $461 million, respectively. Schlumberger's equity income from this joint venture in 2001 was $51 million and $33 million in 2000.</w:t>
      </w:r>
    </w:p>
    <w:p>
      <w:pPr>
        <w:spacing w:after="0" w:line="8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Investments</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40" w:lineRule="exact"/>
        <w:rPr>
          <w:sz w:val="20"/>
          <w:szCs w:val="20"/>
          <w:color w:val="auto"/>
        </w:rPr>
      </w:pPr>
    </w:p>
    <w:p>
      <w:pPr>
        <w:ind w:right="3239"/>
        <w:spacing w:after="0" w:line="264" w:lineRule="auto"/>
        <w:rPr>
          <w:sz w:val="20"/>
          <w:szCs w:val="20"/>
          <w:color w:val="auto"/>
        </w:rPr>
      </w:pPr>
      <w:r>
        <w:rPr>
          <w:rFonts w:ascii="Courier New" w:cs="Courier New" w:eastAsia="Courier New" w:hAnsi="Courier New"/>
          <w:sz w:val="15"/>
          <w:szCs w:val="15"/>
          <w:color w:val="auto"/>
        </w:rPr>
        <w:t>The Consolidated Balance Sheet reflects the Schlumberger investment portfolio separated between current and long term, based on maturity. Except for $146 million of investments which are considered trading on December 31, 2001 ($139 million in 2000), under normal circumstances it is the intent of Schlumberger to hold the investments until maturity.</w:t>
      </w:r>
    </w:p>
    <w:p>
      <w:pPr>
        <w:spacing w:after="0" w:line="75" w:lineRule="exact"/>
        <w:rPr>
          <w:sz w:val="20"/>
          <w:szCs w:val="20"/>
          <w:color w:val="auto"/>
        </w:rPr>
      </w:pPr>
    </w:p>
    <w:p>
      <w:pPr>
        <w:ind w:right="3399"/>
        <w:spacing w:after="0" w:line="344" w:lineRule="auto"/>
        <w:rPr>
          <w:sz w:val="20"/>
          <w:szCs w:val="20"/>
          <w:color w:val="auto"/>
        </w:rPr>
      </w:pPr>
      <w:r>
        <w:rPr>
          <w:rFonts w:ascii="Courier New" w:cs="Courier New" w:eastAsia="Courier New" w:hAnsi="Courier New"/>
          <w:sz w:val="15"/>
          <w:szCs w:val="15"/>
          <w:color w:val="auto"/>
        </w:rPr>
        <w:t>Fixed income investments mature as follows: $123 million in 2003, $173 million in 2004 and $280 million in 2005.</w:t>
      </w:r>
    </w:p>
    <w:p>
      <w:pPr>
        <w:spacing w:after="0" w:line="17" w:lineRule="exact"/>
        <w:rPr>
          <w:sz w:val="20"/>
          <w:szCs w:val="20"/>
          <w:color w:val="auto"/>
        </w:rPr>
      </w:pPr>
    </w:p>
    <w:p>
      <w:pPr>
        <w:jc w:val="both"/>
        <w:ind w:right="3319"/>
        <w:spacing w:after="0" w:line="290" w:lineRule="auto"/>
        <w:rPr>
          <w:sz w:val="20"/>
          <w:szCs w:val="20"/>
          <w:color w:val="auto"/>
        </w:rPr>
      </w:pPr>
      <w:r>
        <w:rPr>
          <w:rFonts w:ascii="Courier New" w:cs="Courier New" w:eastAsia="Courier New" w:hAnsi="Courier New"/>
          <w:sz w:val="15"/>
          <w:szCs w:val="15"/>
          <w:color w:val="auto"/>
        </w:rPr>
        <w:t>On December 31, 2001, there were no interest rate swap arrangements outstanding related to investments. Interest rate swap arrangements had no material effect on consolidated interest income.</w:t>
      </w:r>
    </w:p>
    <w:p>
      <w:pPr>
        <w:spacing w:after="0" w:line="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Securitization</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4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F-16</w:t>
      </w:r>
    </w:p>
    <w:p>
      <w:pPr>
        <w:sectPr>
          <w:pgSz w:w="11900" w:h="16838" w:orient="portrait"/>
          <w:cols w:equalWidth="0" w:num="1">
            <w:col w:w="10239"/>
          </w:cols>
          <w:pgMar w:left="220" w:top="934" w:right="1440" w:bottom="1440" w:gutter="0" w:footer="0" w:header="0"/>
        </w:sectPr>
      </w:pPr>
    </w:p>
    <w:bookmarkStart w:id="30" w:name="page31"/>
    <w:bookmarkEnd w:id="30"/>
    <w:p>
      <w:pPr>
        <w:ind w:right="3239"/>
        <w:spacing w:after="0" w:line="258" w:lineRule="auto"/>
        <w:rPr>
          <w:sz w:val="20"/>
          <w:szCs w:val="20"/>
          <w:color w:val="auto"/>
        </w:rPr>
      </w:pPr>
      <w:r>
        <w:rPr>
          <w:rFonts w:ascii="Courier New" w:cs="Courier New" w:eastAsia="Courier New" w:hAnsi="Courier New"/>
          <w:sz w:val="15"/>
          <w:szCs w:val="15"/>
          <w:color w:val="auto"/>
        </w:rPr>
        <w:t>In September 2000, a wholly owned subsidiary of Schlumberger entered into an agreement to sell, on an ongoing basis, up to $220 million of an undivided interest in its accounts receivable and subsequently amended up to $350 million. The amount of receivables sold under this agreement totaled $176 million at December 31, 2001. Costs of the program, which primarily consist of the purchasers' financing and administrative costs, were not significant.</w:t>
      </w:r>
    </w:p>
    <w:p>
      <w:pPr>
        <w:spacing w:after="0" w:line="81" w:lineRule="exact"/>
        <w:rPr>
          <w:sz w:val="20"/>
          <w:szCs w:val="20"/>
          <w:color w:val="auto"/>
        </w:rPr>
      </w:pPr>
    </w:p>
    <w:p>
      <w:pPr>
        <w:ind w:right="3239"/>
        <w:spacing w:after="0" w:line="273" w:lineRule="auto"/>
        <w:rPr>
          <w:sz w:val="20"/>
          <w:szCs w:val="20"/>
          <w:color w:val="auto"/>
        </w:rPr>
      </w:pPr>
      <w:r>
        <w:rPr>
          <w:rFonts w:ascii="Courier New" w:cs="Courier New" w:eastAsia="Courier New" w:hAnsi="Courier New"/>
          <w:sz w:val="15"/>
          <w:szCs w:val="15"/>
          <w:color w:val="auto"/>
        </w:rPr>
        <w:t>Schlumberger continues to service the receivables and maintains an allowance for doubtful accounts based upon the expected collectibility of all Schlumberger accounts receivable, including the portion of receivables sold. Unless extended by amendment, the agreement expires in September 2002.</w:t>
      </w:r>
    </w:p>
    <w:p>
      <w:pPr>
        <w:spacing w:after="0" w:line="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Fixed Assets</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 summary of fixed assets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7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(Stated in millions)</w:t>
            </w:r>
          </w:p>
        </w:tc>
        <w:tc>
          <w:tcPr>
            <w:tcW w:w="0" w:type="dxa"/>
            <w:vAlign w:val="bottom"/>
          </w:tcPr>
          <w:p>
            <w:pPr>
              <w:spacing w:after="0"/>
              <w:rPr>
                <w:sz w:val="1"/>
                <w:szCs w:val="1"/>
                <w:color w:val="auto"/>
              </w:rPr>
            </w:pPr>
          </w:p>
        </w:tc>
      </w:tr>
      <w:tr>
        <w:trPr>
          <w:trHeight w:val="259"/>
        </w:trPr>
        <w:tc>
          <w:tcPr>
            <w:tcW w:w="2720" w:type="dxa"/>
            <w:vAlign w:val="bottom"/>
          </w:tcPr>
          <w:p>
            <w:pPr>
              <w:spacing w:after="0"/>
              <w:rPr>
                <w:sz w:val="20"/>
                <w:szCs w:val="20"/>
                <w:color w:val="auto"/>
              </w:rPr>
            </w:pPr>
            <w:r>
              <w:rPr>
                <w:rFonts w:ascii="Courier New" w:cs="Courier New" w:eastAsia="Courier New" w:hAnsi="Courier New"/>
                <w:sz w:val="15"/>
                <w:szCs w:val="15"/>
                <w:color w:val="auto"/>
              </w:rPr>
              <w:t>December 31,</w:t>
            </w:r>
          </w:p>
        </w:tc>
        <w:tc>
          <w:tcPr>
            <w:tcW w:w="520" w:type="dxa"/>
            <w:vAlign w:val="bottom"/>
          </w:tcPr>
          <w:p>
            <w:pPr>
              <w:spacing w:after="0"/>
              <w:rPr>
                <w:sz w:val="22"/>
                <w:szCs w:val="22"/>
                <w:color w:val="auto"/>
              </w:rPr>
            </w:pPr>
          </w:p>
        </w:tc>
        <w:tc>
          <w:tcPr>
            <w:tcW w:w="920" w:type="dxa"/>
            <w:vAlign w:val="bottom"/>
          </w:tcPr>
          <w:p>
            <w:pPr>
              <w:jc w:val="right"/>
              <w:ind w:right="487"/>
              <w:spacing w:after="0"/>
              <w:rPr>
                <w:sz w:val="20"/>
                <w:szCs w:val="20"/>
                <w:color w:val="auto"/>
              </w:rPr>
            </w:pPr>
            <w:r>
              <w:rPr>
                <w:rFonts w:ascii="Courier New" w:cs="Courier New" w:eastAsia="Courier New" w:hAnsi="Courier New"/>
                <w:sz w:val="15"/>
                <w:szCs w:val="15"/>
                <w:color w:val="auto"/>
                <w:w w:val="94"/>
              </w:rPr>
              <w:t>2001</w:t>
            </w:r>
          </w:p>
        </w:tc>
        <w:tc>
          <w:tcPr>
            <w:tcW w:w="660" w:type="dxa"/>
            <w:vAlign w:val="bottom"/>
          </w:tcPr>
          <w:p>
            <w:pPr>
              <w:spacing w:after="0"/>
              <w:rPr>
                <w:sz w:val="22"/>
                <w:szCs w:val="22"/>
                <w:color w:val="auto"/>
              </w:rPr>
            </w:pPr>
          </w:p>
        </w:tc>
        <w:tc>
          <w:tcPr>
            <w:tcW w:w="122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2000</w:t>
            </w:r>
          </w:p>
        </w:tc>
        <w:tc>
          <w:tcPr>
            <w:tcW w:w="0" w:type="dxa"/>
            <w:vAlign w:val="bottom"/>
          </w:tcPr>
          <w:p>
            <w:pPr>
              <w:spacing w:after="0"/>
              <w:rPr>
                <w:sz w:val="1"/>
                <w:szCs w:val="1"/>
                <w:color w:val="auto"/>
              </w:rPr>
            </w:pPr>
          </w:p>
        </w:tc>
      </w:tr>
      <w:tr>
        <w:trPr>
          <w:trHeight w:val="245"/>
        </w:trPr>
        <w:tc>
          <w:tcPr>
            <w:tcW w:w="2720" w:type="dxa"/>
            <w:vAlign w:val="bottom"/>
          </w:tcPr>
          <w:p>
            <w:pPr>
              <w:spacing w:after="0"/>
              <w:rPr>
                <w:sz w:val="21"/>
                <w:szCs w:val="21"/>
                <w:color w:val="auto"/>
              </w:rPr>
            </w:pPr>
          </w:p>
        </w:tc>
        <w:tc>
          <w:tcPr>
            <w:tcW w:w="14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2720" w:type="dxa"/>
            <w:vAlign w:val="bottom"/>
          </w:tcPr>
          <w:p>
            <w:pPr>
              <w:spacing w:after="0"/>
              <w:rPr>
                <w:sz w:val="20"/>
                <w:szCs w:val="20"/>
                <w:color w:val="auto"/>
              </w:rPr>
            </w:pPr>
            <w:r>
              <w:rPr>
                <w:rFonts w:ascii="Courier New" w:cs="Courier New" w:eastAsia="Courier New" w:hAnsi="Courier New"/>
                <w:sz w:val="15"/>
                <w:szCs w:val="15"/>
                <w:color w:val="auto"/>
              </w:rPr>
              <w:t>Land</w:t>
            </w:r>
          </w:p>
        </w:tc>
        <w:tc>
          <w:tcPr>
            <w:tcW w:w="52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82</w:t>
            </w:r>
          </w:p>
        </w:tc>
        <w:tc>
          <w:tcPr>
            <w:tcW w:w="66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80</w:t>
            </w:r>
          </w:p>
        </w:tc>
        <w:tc>
          <w:tcPr>
            <w:tcW w:w="0" w:type="dxa"/>
            <w:vAlign w:val="bottom"/>
          </w:tcPr>
          <w:p>
            <w:pPr>
              <w:spacing w:after="0"/>
              <w:rPr>
                <w:sz w:val="1"/>
                <w:szCs w:val="1"/>
                <w:color w:val="auto"/>
              </w:rPr>
            </w:pPr>
          </w:p>
        </w:tc>
      </w:tr>
      <w:tr>
        <w:trPr>
          <w:trHeight w:val="168"/>
        </w:trPr>
        <w:tc>
          <w:tcPr>
            <w:tcW w:w="2720" w:type="dxa"/>
            <w:vAlign w:val="bottom"/>
          </w:tcPr>
          <w:p>
            <w:pPr>
              <w:spacing w:after="0" w:line="168" w:lineRule="exact"/>
              <w:rPr>
                <w:sz w:val="20"/>
                <w:szCs w:val="20"/>
                <w:color w:val="auto"/>
              </w:rPr>
            </w:pPr>
            <w:r>
              <w:rPr>
                <w:rFonts w:ascii="Courier New" w:cs="Courier New" w:eastAsia="Courier New" w:hAnsi="Courier New"/>
                <w:sz w:val="15"/>
                <w:szCs w:val="15"/>
                <w:color w:val="auto"/>
              </w:rPr>
              <w:t>Building &amp; Improvements</w:t>
            </w:r>
          </w:p>
        </w:tc>
        <w:tc>
          <w:tcPr>
            <w:tcW w:w="520" w:type="dxa"/>
            <w:vAlign w:val="bottom"/>
          </w:tcPr>
          <w:p>
            <w:pPr>
              <w:spacing w:after="0"/>
              <w:rPr>
                <w:sz w:val="14"/>
                <w:szCs w:val="14"/>
                <w:color w:val="auto"/>
              </w:rPr>
            </w:pPr>
          </w:p>
        </w:tc>
        <w:tc>
          <w:tcPr>
            <w:tcW w:w="9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1,050</w:t>
            </w:r>
          </w:p>
        </w:tc>
        <w:tc>
          <w:tcPr>
            <w:tcW w:w="660" w:type="dxa"/>
            <w:vAlign w:val="bottom"/>
          </w:tcPr>
          <w:p>
            <w:pPr>
              <w:spacing w:after="0"/>
              <w:rPr>
                <w:sz w:val="14"/>
                <w:szCs w:val="14"/>
                <w:color w:val="auto"/>
              </w:rPr>
            </w:pPr>
          </w:p>
        </w:tc>
        <w:tc>
          <w:tcPr>
            <w:tcW w:w="122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1,081</w:t>
            </w:r>
          </w:p>
        </w:tc>
        <w:tc>
          <w:tcPr>
            <w:tcW w:w="0" w:type="dxa"/>
            <w:vAlign w:val="bottom"/>
          </w:tcPr>
          <w:p>
            <w:pPr>
              <w:spacing w:after="0"/>
              <w:rPr>
                <w:sz w:val="1"/>
                <w:szCs w:val="1"/>
                <w:color w:val="auto"/>
              </w:rPr>
            </w:pPr>
          </w:p>
        </w:tc>
      </w:tr>
      <w:tr>
        <w:trPr>
          <w:trHeight w:val="168"/>
        </w:trPr>
        <w:tc>
          <w:tcPr>
            <w:tcW w:w="2720" w:type="dxa"/>
            <w:vAlign w:val="bottom"/>
          </w:tcPr>
          <w:p>
            <w:pPr>
              <w:spacing w:after="0" w:line="168" w:lineRule="exact"/>
              <w:rPr>
                <w:sz w:val="20"/>
                <w:szCs w:val="20"/>
                <w:color w:val="auto"/>
              </w:rPr>
            </w:pPr>
            <w:r>
              <w:rPr>
                <w:rFonts w:ascii="Courier New" w:cs="Courier New" w:eastAsia="Courier New" w:hAnsi="Courier New"/>
                <w:sz w:val="15"/>
                <w:szCs w:val="15"/>
                <w:color w:val="auto"/>
              </w:rPr>
              <w:t>Machinery &amp; Equipment</w:t>
            </w:r>
          </w:p>
        </w:tc>
        <w:tc>
          <w:tcPr>
            <w:tcW w:w="520" w:type="dxa"/>
            <w:vAlign w:val="bottom"/>
          </w:tcPr>
          <w:p>
            <w:pPr>
              <w:spacing w:after="0"/>
              <w:rPr>
                <w:sz w:val="14"/>
                <w:szCs w:val="14"/>
                <w:color w:val="auto"/>
              </w:rPr>
            </w:pPr>
          </w:p>
        </w:tc>
        <w:tc>
          <w:tcPr>
            <w:tcW w:w="9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w w:val="96"/>
              </w:rPr>
              <w:t>10,047</w:t>
            </w:r>
          </w:p>
        </w:tc>
        <w:tc>
          <w:tcPr>
            <w:tcW w:w="660" w:type="dxa"/>
            <w:vAlign w:val="bottom"/>
          </w:tcPr>
          <w:p>
            <w:pPr>
              <w:spacing w:after="0"/>
              <w:rPr>
                <w:sz w:val="14"/>
                <w:szCs w:val="14"/>
                <w:color w:val="auto"/>
              </w:rPr>
            </w:pPr>
          </w:p>
        </w:tc>
        <w:tc>
          <w:tcPr>
            <w:tcW w:w="122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9,661</w:t>
            </w:r>
          </w:p>
        </w:tc>
        <w:tc>
          <w:tcPr>
            <w:tcW w:w="0" w:type="dxa"/>
            <w:vAlign w:val="bottom"/>
          </w:tcPr>
          <w:p>
            <w:pPr>
              <w:spacing w:after="0"/>
              <w:rPr>
                <w:sz w:val="1"/>
                <w:szCs w:val="1"/>
                <w:color w:val="auto"/>
              </w:rPr>
            </w:pPr>
          </w:p>
        </w:tc>
      </w:tr>
      <w:tr>
        <w:trPr>
          <w:trHeight w:val="245"/>
        </w:trPr>
        <w:tc>
          <w:tcPr>
            <w:tcW w:w="2720" w:type="dxa"/>
            <w:vAlign w:val="bottom"/>
          </w:tcPr>
          <w:p>
            <w:pPr>
              <w:spacing w:after="0"/>
              <w:rPr>
                <w:sz w:val="21"/>
                <w:szCs w:val="21"/>
                <w:color w:val="auto"/>
              </w:rPr>
            </w:pPr>
          </w:p>
        </w:tc>
        <w:tc>
          <w:tcPr>
            <w:tcW w:w="14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2720" w:type="dxa"/>
            <w:vAlign w:val="bottom"/>
          </w:tcPr>
          <w:p>
            <w:pPr>
              <w:spacing w:after="0"/>
              <w:rPr>
                <w:sz w:val="20"/>
                <w:szCs w:val="20"/>
                <w:color w:val="auto"/>
              </w:rPr>
            </w:pPr>
            <w:r>
              <w:rPr>
                <w:rFonts w:ascii="Courier New" w:cs="Courier New" w:eastAsia="Courier New" w:hAnsi="Courier New"/>
                <w:sz w:val="15"/>
                <w:szCs w:val="15"/>
                <w:color w:val="auto"/>
              </w:rPr>
              <w:t>Total cost</w:t>
            </w:r>
          </w:p>
        </w:tc>
        <w:tc>
          <w:tcPr>
            <w:tcW w:w="520" w:type="dxa"/>
            <w:vAlign w:val="bottom"/>
          </w:tcPr>
          <w:p>
            <w:pPr>
              <w:spacing w:after="0"/>
              <w:rPr>
                <w:sz w:val="22"/>
                <w:szCs w:val="22"/>
                <w:color w:val="auto"/>
              </w:rPr>
            </w:pPr>
          </w:p>
        </w:tc>
        <w:tc>
          <w:tcPr>
            <w:tcW w:w="920" w:type="dxa"/>
            <w:vAlign w:val="bottom"/>
          </w:tcPr>
          <w:p>
            <w:pPr>
              <w:jc w:val="right"/>
              <w:ind w:right="307"/>
              <w:spacing w:after="0"/>
              <w:rPr>
                <w:sz w:val="20"/>
                <w:szCs w:val="20"/>
                <w:color w:val="auto"/>
              </w:rPr>
            </w:pPr>
            <w:r>
              <w:rPr>
                <w:rFonts w:ascii="Courier New" w:cs="Courier New" w:eastAsia="Courier New" w:hAnsi="Courier New"/>
                <w:sz w:val="15"/>
                <w:szCs w:val="15"/>
                <w:color w:val="auto"/>
                <w:w w:val="96"/>
              </w:rPr>
              <w:t>11,179</w:t>
            </w:r>
          </w:p>
        </w:tc>
        <w:tc>
          <w:tcPr>
            <w:tcW w:w="660" w:type="dxa"/>
            <w:vAlign w:val="bottom"/>
          </w:tcPr>
          <w:p>
            <w:pPr>
              <w:spacing w:after="0"/>
              <w:rPr>
                <w:sz w:val="22"/>
                <w:szCs w:val="22"/>
                <w:color w:val="auto"/>
              </w:rPr>
            </w:pPr>
          </w:p>
        </w:tc>
        <w:tc>
          <w:tcPr>
            <w:tcW w:w="122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10,822</w:t>
            </w:r>
          </w:p>
        </w:tc>
        <w:tc>
          <w:tcPr>
            <w:tcW w:w="0" w:type="dxa"/>
            <w:vAlign w:val="bottom"/>
          </w:tcPr>
          <w:p>
            <w:pPr>
              <w:spacing w:after="0"/>
              <w:rPr>
                <w:sz w:val="1"/>
                <w:szCs w:val="1"/>
                <w:color w:val="auto"/>
              </w:rPr>
            </w:pPr>
          </w:p>
        </w:tc>
      </w:tr>
      <w:tr>
        <w:trPr>
          <w:trHeight w:val="245"/>
        </w:trPr>
        <w:tc>
          <w:tcPr>
            <w:tcW w:w="2720" w:type="dxa"/>
            <w:vAlign w:val="bottom"/>
          </w:tcPr>
          <w:p>
            <w:pPr>
              <w:spacing w:after="0"/>
              <w:rPr>
                <w:sz w:val="20"/>
                <w:szCs w:val="20"/>
                <w:color w:val="auto"/>
              </w:rPr>
            </w:pPr>
            <w:r>
              <w:rPr>
                <w:rFonts w:ascii="Courier New" w:cs="Courier New" w:eastAsia="Courier New" w:hAnsi="Courier New"/>
                <w:sz w:val="15"/>
                <w:szCs w:val="15"/>
                <w:color w:val="auto"/>
              </w:rPr>
              <w:t>Less accumulated depreciation</w:t>
            </w:r>
          </w:p>
        </w:tc>
        <w:tc>
          <w:tcPr>
            <w:tcW w:w="520" w:type="dxa"/>
            <w:vAlign w:val="bottom"/>
          </w:tcPr>
          <w:p>
            <w:pPr>
              <w:spacing w:after="0"/>
              <w:rPr>
                <w:sz w:val="21"/>
                <w:szCs w:val="21"/>
                <w:color w:val="auto"/>
              </w:rPr>
            </w:pPr>
          </w:p>
        </w:tc>
        <w:tc>
          <w:tcPr>
            <w:tcW w:w="92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6,351</w:t>
            </w:r>
          </w:p>
        </w:tc>
        <w:tc>
          <w:tcPr>
            <w:tcW w:w="660" w:type="dxa"/>
            <w:vAlign w:val="bottom"/>
          </w:tcPr>
          <w:p>
            <w:pPr>
              <w:spacing w:after="0"/>
              <w:rPr>
                <w:sz w:val="21"/>
                <w:szCs w:val="21"/>
                <w:color w:val="auto"/>
              </w:rPr>
            </w:pPr>
          </w:p>
        </w:tc>
        <w:tc>
          <w:tcPr>
            <w:tcW w:w="122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6,427</w:t>
            </w:r>
          </w:p>
        </w:tc>
        <w:tc>
          <w:tcPr>
            <w:tcW w:w="0" w:type="dxa"/>
            <w:vAlign w:val="bottom"/>
          </w:tcPr>
          <w:p>
            <w:pPr>
              <w:spacing w:after="0"/>
              <w:rPr>
                <w:sz w:val="1"/>
                <w:szCs w:val="1"/>
                <w:color w:val="auto"/>
              </w:rPr>
            </w:pPr>
          </w:p>
        </w:tc>
      </w:tr>
      <w:tr>
        <w:trPr>
          <w:trHeight w:val="259"/>
        </w:trPr>
        <w:tc>
          <w:tcPr>
            <w:tcW w:w="2720" w:type="dxa"/>
            <w:vAlign w:val="bottom"/>
          </w:tcPr>
          <w:p>
            <w:pPr>
              <w:spacing w:after="0"/>
              <w:rPr>
                <w:sz w:val="22"/>
                <w:szCs w:val="22"/>
                <w:color w:val="auto"/>
              </w:rPr>
            </w:pPr>
          </w:p>
        </w:tc>
        <w:tc>
          <w:tcPr>
            <w:tcW w:w="520" w:type="dxa"/>
            <w:vAlign w:val="bottom"/>
            <w:vMerge w:val="restart"/>
          </w:tcPr>
          <w:p>
            <w:pPr>
              <w:ind w:left="180"/>
              <w:spacing w:after="0"/>
              <w:rPr>
                <w:sz w:val="20"/>
                <w:szCs w:val="20"/>
                <w:color w:val="auto"/>
              </w:rPr>
            </w:pPr>
            <w:r>
              <w:rPr>
                <w:rFonts w:ascii="Courier New" w:cs="Courier New" w:eastAsia="Courier New" w:hAnsi="Courier New"/>
                <w:sz w:val="4"/>
                <w:szCs w:val="4"/>
                <w:color w:val="auto"/>
                <w:w w:val="93"/>
              </w:rPr>
              <w:t>-------------</w:t>
            </w:r>
            <w:r>
              <w:rPr>
                <w:rFonts w:ascii="Courier New" w:cs="Courier New" w:eastAsia="Courier New" w:hAnsi="Courier New"/>
                <w:sz w:val="7"/>
                <w:szCs w:val="7"/>
                <w:color w:val="auto"/>
                <w:w w:val="93"/>
                <w:vertAlign w:val="subscript"/>
              </w:rPr>
              <w:t>$</w:t>
            </w:r>
          </w:p>
        </w:tc>
        <w:tc>
          <w:tcPr>
            <w:tcW w:w="920" w:type="dxa"/>
            <w:vAlign w:val="bottom"/>
            <w:vMerge w:val="restart"/>
          </w:tcPr>
          <w:p>
            <w:pPr>
              <w:jc w:val="right"/>
              <w:ind w:right="307"/>
              <w:spacing w:after="0"/>
              <w:rPr>
                <w:sz w:val="20"/>
                <w:szCs w:val="20"/>
                <w:color w:val="auto"/>
              </w:rPr>
            </w:pPr>
            <w:r>
              <w:rPr>
                <w:rFonts w:ascii="Courier New" w:cs="Courier New" w:eastAsia="Courier New" w:hAnsi="Courier New"/>
                <w:sz w:val="15"/>
                <w:szCs w:val="15"/>
                <w:color w:val="auto"/>
              </w:rPr>
              <w:t>4,828</w:t>
            </w:r>
          </w:p>
        </w:tc>
        <w:tc>
          <w:tcPr>
            <w:tcW w:w="188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272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66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4,395</w:t>
            </w:r>
          </w:p>
        </w:tc>
        <w:tc>
          <w:tcPr>
            <w:tcW w:w="0" w:type="dxa"/>
            <w:vAlign w:val="bottom"/>
          </w:tcPr>
          <w:p>
            <w:pPr>
              <w:spacing w:after="0"/>
              <w:rPr>
                <w:sz w:val="1"/>
                <w:szCs w:val="1"/>
                <w:color w:val="auto"/>
              </w:rPr>
            </w:pPr>
          </w:p>
        </w:tc>
      </w:tr>
      <w:tr>
        <w:trPr>
          <w:trHeight w:val="245"/>
        </w:trPr>
        <w:tc>
          <w:tcPr>
            <w:tcW w:w="2720" w:type="dxa"/>
            <w:vAlign w:val="bottom"/>
          </w:tcPr>
          <w:p>
            <w:pPr>
              <w:spacing w:after="0"/>
              <w:rPr>
                <w:sz w:val="21"/>
                <w:szCs w:val="21"/>
                <w:color w:val="auto"/>
              </w:rPr>
            </w:pPr>
          </w:p>
        </w:tc>
        <w:tc>
          <w:tcPr>
            <w:tcW w:w="14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91" w:lineRule="exact"/>
        <w:rPr>
          <w:sz w:val="20"/>
          <w:szCs w:val="20"/>
          <w:color w:val="auto"/>
        </w:rPr>
      </w:pPr>
    </w:p>
    <w:p>
      <w:pPr>
        <w:ind w:right="3319"/>
        <w:spacing w:after="0" w:line="290" w:lineRule="auto"/>
        <w:rPr>
          <w:sz w:val="20"/>
          <w:szCs w:val="20"/>
          <w:color w:val="auto"/>
        </w:rPr>
      </w:pPr>
      <w:r>
        <w:rPr>
          <w:rFonts w:ascii="Courier New" w:cs="Courier New" w:eastAsia="Courier New" w:hAnsi="Courier New"/>
          <w:sz w:val="15"/>
          <w:szCs w:val="15"/>
          <w:color w:val="auto"/>
        </w:rPr>
        <w:t>The estimated useful lives of Buildings &amp; Improvements are primarily 30 to 40 years. For Machinery &amp; Equipment, 13% is being depreciated over 16 to 25 years, 14% over 10 to 15 years and 73% over 2 to 9 years.</w:t>
      </w:r>
    </w:p>
    <w:p>
      <w:pPr>
        <w:spacing w:after="0" w:line="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Long-term Debt</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 summary of long-term debt by currency follows:</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(Stated in millions)</w:t>
            </w:r>
          </w:p>
        </w:tc>
      </w:tr>
      <w:tr>
        <w:trPr>
          <w:trHeight w:val="259"/>
        </w:trPr>
        <w:tc>
          <w:tcPr>
            <w:tcW w:w="2100" w:type="dxa"/>
            <w:vAlign w:val="bottom"/>
          </w:tcPr>
          <w:p>
            <w:pPr>
              <w:spacing w:after="0"/>
              <w:rPr>
                <w:sz w:val="20"/>
                <w:szCs w:val="20"/>
                <w:color w:val="auto"/>
              </w:rPr>
            </w:pPr>
            <w:r>
              <w:rPr>
                <w:rFonts w:ascii="Courier New" w:cs="Courier New" w:eastAsia="Courier New" w:hAnsi="Courier New"/>
                <w:sz w:val="15"/>
                <w:szCs w:val="15"/>
                <w:color w:val="auto"/>
              </w:rPr>
              <w:t>December 31,</w:t>
            </w:r>
          </w:p>
        </w:tc>
        <w:tc>
          <w:tcPr>
            <w:tcW w:w="1060" w:type="dxa"/>
            <w:vAlign w:val="bottom"/>
          </w:tcPr>
          <w:p>
            <w:pPr>
              <w:spacing w:after="0"/>
              <w:rPr>
                <w:sz w:val="22"/>
                <w:szCs w:val="22"/>
                <w:color w:val="auto"/>
              </w:rPr>
            </w:pPr>
          </w:p>
        </w:tc>
        <w:tc>
          <w:tcPr>
            <w:tcW w:w="100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2001</w:t>
            </w:r>
          </w:p>
        </w:tc>
        <w:tc>
          <w:tcPr>
            <w:tcW w:w="660" w:type="dxa"/>
            <w:vAlign w:val="bottom"/>
          </w:tcPr>
          <w:p>
            <w:pPr>
              <w:spacing w:after="0"/>
              <w:rPr>
                <w:sz w:val="22"/>
                <w:szCs w:val="22"/>
                <w:color w:val="auto"/>
              </w:rPr>
            </w:pPr>
          </w:p>
        </w:tc>
        <w:tc>
          <w:tcPr>
            <w:tcW w:w="122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2000</w:t>
            </w:r>
          </w:p>
        </w:tc>
      </w:tr>
      <w:tr>
        <w:trPr>
          <w:trHeight w:val="245"/>
        </w:trPr>
        <w:tc>
          <w:tcPr>
            <w:tcW w:w="2100" w:type="dxa"/>
            <w:vAlign w:val="bottom"/>
          </w:tcPr>
          <w:p>
            <w:pPr>
              <w:spacing w:after="0"/>
              <w:rPr>
                <w:sz w:val="21"/>
                <w:szCs w:val="21"/>
                <w:color w:val="auto"/>
              </w:rPr>
            </w:pPr>
          </w:p>
        </w:tc>
        <w:tc>
          <w:tcPr>
            <w:tcW w:w="206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r>
      <w:tr>
        <w:trPr>
          <w:trHeight w:val="259"/>
        </w:trPr>
        <w:tc>
          <w:tcPr>
            <w:tcW w:w="2100" w:type="dxa"/>
            <w:vAlign w:val="bottom"/>
          </w:tcPr>
          <w:p>
            <w:pPr>
              <w:spacing w:after="0"/>
              <w:rPr>
                <w:sz w:val="20"/>
                <w:szCs w:val="20"/>
                <w:color w:val="auto"/>
              </w:rPr>
            </w:pPr>
            <w:r>
              <w:rPr>
                <w:rFonts w:ascii="Courier New" w:cs="Courier New" w:eastAsia="Courier New" w:hAnsi="Courier New"/>
                <w:sz w:val="15"/>
                <w:szCs w:val="15"/>
                <w:color w:val="auto"/>
              </w:rPr>
              <w:t>US dollar</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3,194</w:t>
            </w: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2,969</w:t>
            </w:r>
          </w:p>
        </w:tc>
      </w:tr>
      <w:tr>
        <w:trPr>
          <w:trHeight w:val="168"/>
        </w:trPr>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Euro</w:t>
            </w:r>
          </w:p>
        </w:tc>
        <w:tc>
          <w:tcPr>
            <w:tcW w:w="1060" w:type="dxa"/>
            <w:vAlign w:val="bottom"/>
          </w:tcPr>
          <w:p>
            <w:pPr>
              <w:spacing w:after="0"/>
              <w:rPr>
                <w:sz w:val="14"/>
                <w:szCs w:val="14"/>
                <w:color w:val="auto"/>
              </w:rPr>
            </w:pP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1,565</w:t>
            </w:r>
          </w:p>
        </w:tc>
        <w:tc>
          <w:tcPr>
            <w:tcW w:w="660" w:type="dxa"/>
            <w:vAlign w:val="bottom"/>
          </w:tcPr>
          <w:p>
            <w:pPr>
              <w:spacing w:after="0"/>
              <w:rPr>
                <w:sz w:val="14"/>
                <w:szCs w:val="14"/>
                <w:color w:val="auto"/>
              </w:rPr>
            </w:pPr>
          </w:p>
        </w:tc>
        <w:tc>
          <w:tcPr>
            <w:tcW w:w="122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214</w:t>
            </w:r>
          </w:p>
        </w:tc>
      </w:tr>
      <w:tr>
        <w:trPr>
          <w:trHeight w:val="168"/>
        </w:trPr>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UK pound</w:t>
            </w:r>
          </w:p>
        </w:tc>
        <w:tc>
          <w:tcPr>
            <w:tcW w:w="1060" w:type="dxa"/>
            <w:vAlign w:val="bottom"/>
          </w:tcPr>
          <w:p>
            <w:pPr>
              <w:spacing w:after="0"/>
              <w:rPr>
                <w:sz w:val="14"/>
                <w:szCs w:val="14"/>
                <w:color w:val="auto"/>
              </w:rPr>
            </w:pP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1,201</w:t>
            </w:r>
          </w:p>
        </w:tc>
        <w:tc>
          <w:tcPr>
            <w:tcW w:w="660" w:type="dxa"/>
            <w:vAlign w:val="bottom"/>
          </w:tcPr>
          <w:p>
            <w:pPr>
              <w:spacing w:after="0"/>
              <w:rPr>
                <w:sz w:val="14"/>
                <w:szCs w:val="14"/>
                <w:color w:val="auto"/>
              </w:rPr>
            </w:pPr>
          </w:p>
        </w:tc>
        <w:tc>
          <w:tcPr>
            <w:tcW w:w="122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170</w:t>
            </w:r>
          </w:p>
        </w:tc>
      </w:tr>
      <w:tr>
        <w:trPr>
          <w:trHeight w:val="168"/>
        </w:trPr>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Canadian dollar</w:t>
            </w:r>
          </w:p>
        </w:tc>
        <w:tc>
          <w:tcPr>
            <w:tcW w:w="1060" w:type="dxa"/>
            <w:vAlign w:val="bottom"/>
          </w:tcPr>
          <w:p>
            <w:pPr>
              <w:spacing w:after="0"/>
              <w:rPr>
                <w:sz w:val="14"/>
                <w:szCs w:val="14"/>
                <w:color w:val="auto"/>
              </w:rPr>
            </w:pP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129</w:t>
            </w:r>
          </w:p>
        </w:tc>
        <w:tc>
          <w:tcPr>
            <w:tcW w:w="660" w:type="dxa"/>
            <w:vAlign w:val="bottom"/>
          </w:tcPr>
          <w:p>
            <w:pPr>
              <w:spacing w:after="0"/>
              <w:rPr>
                <w:sz w:val="14"/>
                <w:szCs w:val="14"/>
                <w:color w:val="auto"/>
              </w:rPr>
            </w:pPr>
          </w:p>
        </w:tc>
        <w:tc>
          <w:tcPr>
            <w:tcW w:w="122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73</w:t>
            </w:r>
          </w:p>
        </w:tc>
      </w:tr>
      <w:tr>
        <w:trPr>
          <w:trHeight w:val="168"/>
        </w:trPr>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Japanese yen</w:t>
            </w:r>
          </w:p>
        </w:tc>
        <w:tc>
          <w:tcPr>
            <w:tcW w:w="1060" w:type="dxa"/>
            <w:vAlign w:val="bottom"/>
          </w:tcPr>
          <w:p>
            <w:pPr>
              <w:spacing w:after="0"/>
              <w:rPr>
                <w:sz w:val="14"/>
                <w:szCs w:val="14"/>
                <w:color w:val="auto"/>
              </w:rPr>
            </w:pP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107</w:t>
            </w:r>
          </w:p>
        </w:tc>
        <w:tc>
          <w:tcPr>
            <w:tcW w:w="660" w:type="dxa"/>
            <w:vAlign w:val="bottom"/>
          </w:tcPr>
          <w:p>
            <w:pPr>
              <w:spacing w:after="0"/>
              <w:rPr>
                <w:sz w:val="14"/>
                <w:szCs w:val="14"/>
                <w:color w:val="auto"/>
              </w:rPr>
            </w:pPr>
          </w:p>
        </w:tc>
        <w:tc>
          <w:tcPr>
            <w:tcW w:w="122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132</w:t>
            </w:r>
          </w:p>
        </w:tc>
      </w:tr>
      <w:tr>
        <w:trPr>
          <w:trHeight w:val="168"/>
        </w:trPr>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w:t>
            </w:r>
          </w:p>
        </w:tc>
        <w:tc>
          <w:tcPr>
            <w:tcW w:w="1060" w:type="dxa"/>
            <w:vAlign w:val="bottom"/>
          </w:tcPr>
          <w:p>
            <w:pPr>
              <w:spacing w:after="0"/>
              <w:rPr>
                <w:sz w:val="14"/>
                <w:szCs w:val="14"/>
                <w:color w:val="auto"/>
              </w:rPr>
            </w:pP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20</w:t>
            </w:r>
          </w:p>
        </w:tc>
        <w:tc>
          <w:tcPr>
            <w:tcW w:w="660" w:type="dxa"/>
            <w:vAlign w:val="bottom"/>
          </w:tcPr>
          <w:p>
            <w:pPr>
              <w:spacing w:after="0"/>
              <w:rPr>
                <w:sz w:val="14"/>
                <w:szCs w:val="14"/>
                <w:color w:val="auto"/>
              </w:rPr>
            </w:pPr>
          </w:p>
        </w:tc>
        <w:tc>
          <w:tcPr>
            <w:tcW w:w="122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15</w:t>
            </w:r>
          </w:p>
        </w:tc>
      </w:tr>
      <w:tr>
        <w:trPr>
          <w:trHeight w:val="168"/>
        </w:trPr>
        <w:tc>
          <w:tcPr>
            <w:tcW w:w="2100" w:type="dxa"/>
            <w:vAlign w:val="bottom"/>
          </w:tcPr>
          <w:p>
            <w:pPr>
              <w:spacing w:after="0"/>
              <w:rPr>
                <w:sz w:val="14"/>
                <w:szCs w:val="14"/>
                <w:color w:val="auto"/>
              </w:rPr>
            </w:pPr>
          </w:p>
        </w:tc>
        <w:tc>
          <w:tcPr>
            <w:tcW w:w="20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100" w:type="dxa"/>
            <w:vAlign w:val="bottom"/>
          </w:tcPr>
          <w:p>
            <w:pPr>
              <w:spacing w:after="0"/>
              <w:rPr>
                <w:sz w:val="14"/>
                <w:szCs w:val="14"/>
                <w:color w:val="auto"/>
              </w:rPr>
            </w:pPr>
          </w:p>
        </w:tc>
        <w:tc>
          <w:tcPr>
            <w:tcW w:w="1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6,216</w:t>
            </w: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3,573</w:t>
            </w:r>
          </w:p>
        </w:tc>
      </w:tr>
      <w:tr>
        <w:trPr>
          <w:trHeight w:val="245"/>
        </w:trPr>
        <w:tc>
          <w:tcPr>
            <w:tcW w:w="2100" w:type="dxa"/>
            <w:vAlign w:val="bottom"/>
          </w:tcPr>
          <w:p>
            <w:pPr>
              <w:spacing w:after="0"/>
              <w:rPr>
                <w:sz w:val="21"/>
                <w:szCs w:val="21"/>
                <w:color w:val="auto"/>
              </w:rPr>
            </w:pPr>
          </w:p>
        </w:tc>
        <w:tc>
          <w:tcPr>
            <w:tcW w:w="206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r>
    </w:tbl>
    <w:p>
      <w:pPr>
        <w:spacing w:after="0" w:line="91" w:lineRule="exact"/>
        <w:rPr>
          <w:sz w:val="20"/>
          <w:szCs w:val="20"/>
          <w:color w:val="auto"/>
        </w:rPr>
      </w:pPr>
    </w:p>
    <w:p>
      <w:pPr>
        <w:ind w:right="3239"/>
        <w:spacing w:after="0" w:line="264" w:lineRule="auto"/>
        <w:rPr>
          <w:sz w:val="20"/>
          <w:szCs w:val="20"/>
          <w:color w:val="auto"/>
        </w:rPr>
      </w:pPr>
      <w:r>
        <w:rPr>
          <w:rFonts w:ascii="Courier New" w:cs="Courier New" w:eastAsia="Courier New" w:hAnsi="Courier New"/>
          <w:sz w:val="15"/>
          <w:szCs w:val="15"/>
          <w:color w:val="auto"/>
        </w:rPr>
        <w:t>During December 2001, the principal US subsidiary of Schlumberger initiated a US commercial paper program. At December 31, 2001, commercial paper borrowings totaled $335 million with a weighted average interest rate of 2.04%. Commercial paper borrowings are supported by a revolving credit agreement with the principal US subsidiary.</w:t>
      </w:r>
    </w:p>
    <w:p>
      <w:pPr>
        <w:spacing w:after="0" w:line="75" w:lineRule="exact"/>
        <w:rPr>
          <w:sz w:val="20"/>
          <w:szCs w:val="20"/>
          <w:color w:val="auto"/>
        </w:rPr>
      </w:pPr>
    </w:p>
    <w:p>
      <w:pPr>
        <w:ind w:right="3319"/>
        <w:spacing w:after="0" w:line="273" w:lineRule="auto"/>
        <w:rPr>
          <w:sz w:val="20"/>
          <w:szCs w:val="20"/>
          <w:color w:val="auto"/>
        </w:rPr>
      </w:pPr>
      <w:r>
        <w:rPr>
          <w:rFonts w:ascii="Courier New" w:cs="Courier New" w:eastAsia="Courier New" w:hAnsi="Courier New"/>
          <w:sz w:val="15"/>
          <w:szCs w:val="15"/>
          <w:color w:val="auto"/>
        </w:rPr>
        <w:t>At December 31, 2001, the Euro borrowings included $747 million of 7 year bonds at 5.25% and $441 million of 10 year bonds at 5.875% issued by a principal subsidiary in France. The aggregate fair market value at December 31, 2001 approximated the stated value.</w:t>
      </w:r>
    </w:p>
    <w:p>
      <w:pPr>
        <w:spacing w:after="0" w:line="68" w:lineRule="exact"/>
        <w:rPr>
          <w:sz w:val="20"/>
          <w:szCs w:val="20"/>
          <w:color w:val="auto"/>
        </w:rPr>
      </w:pPr>
    </w:p>
    <w:p>
      <w:pPr>
        <w:ind w:right="3319"/>
        <w:spacing w:after="0" w:line="273" w:lineRule="auto"/>
        <w:rPr>
          <w:sz w:val="20"/>
          <w:szCs w:val="20"/>
          <w:color w:val="auto"/>
        </w:rPr>
      </w:pPr>
      <w:r>
        <w:rPr>
          <w:rFonts w:ascii="Courier New" w:cs="Courier New" w:eastAsia="Courier New" w:hAnsi="Courier New"/>
          <w:sz w:val="15"/>
          <w:szCs w:val="15"/>
          <w:color w:val="auto"/>
        </w:rPr>
        <w:t>At December 31, 2001, the UK pound borrowings included $362 million of 7 year bonds at 6.25% and $253 million of 31 year bonds at 6.50% issued by a principal subsidiary in the UK. The aggregate fair market value at December 31, 2001 was $642 million.</w:t>
      </w:r>
    </w:p>
    <w:p>
      <w:pPr>
        <w:spacing w:after="0" w:line="6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F-17</w:t>
      </w:r>
    </w:p>
    <w:p>
      <w:pPr>
        <w:sectPr>
          <w:pgSz w:w="11900" w:h="16838" w:orient="portrait"/>
          <w:cols w:equalWidth="0" w:num="1">
            <w:col w:w="10239"/>
          </w:cols>
          <w:pgMar w:left="220" w:top="766" w:right="1440" w:bottom="1440" w:gutter="0" w:footer="0" w:header="0"/>
        </w:sectPr>
      </w:pPr>
    </w:p>
    <w:bookmarkStart w:id="31" w:name="page32"/>
    <w:bookmarkEnd w:id="31"/>
    <w:p>
      <w:pPr>
        <w:ind w:right="3319"/>
        <w:spacing w:after="0" w:line="264" w:lineRule="auto"/>
        <w:rPr>
          <w:sz w:val="20"/>
          <w:szCs w:val="20"/>
          <w:color w:val="auto"/>
        </w:rPr>
      </w:pPr>
      <w:r>
        <w:rPr>
          <w:rFonts w:ascii="Courier New" w:cs="Courier New" w:eastAsia="Courier New" w:hAnsi="Courier New"/>
          <w:sz w:val="15"/>
          <w:szCs w:val="15"/>
          <w:color w:val="auto"/>
        </w:rPr>
        <w:t>The remainder of the long-term debt is at variable interest rates; the weighted-average interest rate of the debt outstanding on December 31, 2001 was 3.19%. Such rates are reset every six months or sooner. The carrying value of long-term debt on December 31, 2001 approximates the aggregate fair market value.</w:t>
      </w:r>
    </w:p>
    <w:p>
      <w:pPr>
        <w:spacing w:after="0" w:line="75" w:lineRule="exact"/>
        <w:rPr>
          <w:sz w:val="20"/>
          <w:szCs w:val="20"/>
          <w:color w:val="auto"/>
        </w:rPr>
      </w:pPr>
    </w:p>
    <w:p>
      <w:pPr>
        <w:ind w:right="3319"/>
        <w:spacing w:after="0" w:line="290" w:lineRule="auto"/>
        <w:rPr>
          <w:sz w:val="20"/>
          <w:szCs w:val="20"/>
          <w:color w:val="auto"/>
        </w:rPr>
      </w:pPr>
      <w:r>
        <w:rPr>
          <w:rFonts w:ascii="Courier New" w:cs="Courier New" w:eastAsia="Courier New" w:hAnsi="Courier New"/>
          <w:sz w:val="15"/>
          <w:szCs w:val="15"/>
          <w:color w:val="auto"/>
        </w:rPr>
        <w:t>Long-term debt on December 31, 2001, is due as follows: $3,129 million in 2003, $571 million in 2004, $485 million in 2005, $138 million in 2006 and $1,893 million thereafter.</w:t>
      </w:r>
    </w:p>
    <w:p>
      <w:pPr>
        <w:spacing w:after="0" w:line="57" w:lineRule="exact"/>
        <w:rPr>
          <w:sz w:val="20"/>
          <w:szCs w:val="20"/>
          <w:color w:val="auto"/>
        </w:rPr>
      </w:pPr>
    </w:p>
    <w:p>
      <w:pPr>
        <w:ind w:right="3679"/>
        <w:spacing w:after="0" w:line="287" w:lineRule="auto"/>
        <w:rPr>
          <w:sz w:val="20"/>
          <w:szCs w:val="20"/>
          <w:color w:val="auto"/>
        </w:rPr>
      </w:pPr>
      <w:r>
        <w:rPr>
          <w:rFonts w:ascii="Courier New" w:cs="Courier New" w:eastAsia="Courier New" w:hAnsi="Courier New"/>
          <w:sz w:val="14"/>
          <w:szCs w:val="14"/>
          <w:color w:val="auto"/>
        </w:rPr>
        <w:t>On December 31, 2001, interest rate swap arrangements outstanding were: pay fixed/receive floating on US dollar debt of $800 million; pay fixed/receive floating on Japanese yen debt of $84 million. These arrangements mature at various dates to December 2009. Interest rate swap arrangements increased consolidated interest expense in 2001 by $16 million.</w:t>
      </w:r>
    </w:p>
    <w:p>
      <w:pPr>
        <w:spacing w:after="0" w:line="6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Lines of Credit</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40" w:lineRule="exact"/>
        <w:rPr>
          <w:sz w:val="20"/>
          <w:szCs w:val="20"/>
          <w:color w:val="auto"/>
        </w:rPr>
      </w:pPr>
    </w:p>
    <w:p>
      <w:pPr>
        <w:ind w:right="3239"/>
        <w:spacing w:after="0" w:line="244" w:lineRule="auto"/>
        <w:rPr>
          <w:sz w:val="20"/>
          <w:szCs w:val="20"/>
          <w:color w:val="auto"/>
        </w:rPr>
      </w:pPr>
      <w:r>
        <w:rPr>
          <w:rFonts w:ascii="Courier New" w:cs="Courier New" w:eastAsia="Courier New" w:hAnsi="Courier New"/>
          <w:sz w:val="15"/>
          <w:szCs w:val="15"/>
          <w:color w:val="auto"/>
        </w:rPr>
        <w:t>On December 31, 2001, wholly owned subsidiaries of Schlumberger had separate lines of credit agreements aggregating $7.7 billion with commercial banks, of which $7.1 billion was committed and $2.5 billion was available and unused. Interest rates and other terms of borrowing under these lines of credit vary from country to country. Commercial paper borrowings are classified as long-term debt to the extent of the available and unused committed facilities maturing in more than one year because of the ability under these credit agreements and the intent to maintain these obligations for longer than one year. In January 2002, Schlumberger and its subsidiaries replaced $2.5 billion of revolving credit agreements and $1.8 billion of term loans with three new revolving credit agreements totaling $4.6 billion, of which $3.6 billion matures in January 2007 and $1 billion matures in January 2003. Schlumberger plans to use these new revolving credit facilities to backup borrowings under its commercial paper programs in the United States and Europe and therefore expects these facilities to remain largely undrawn. At January 31, 2002, $3.7 billion of these new facilities was available unused.</w:t>
      </w:r>
    </w:p>
    <w:p>
      <w:pPr>
        <w:spacing w:after="0" w:line="9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Derivative Instruments and Hedging Activities</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40" w:lineRule="exact"/>
        <w:rPr>
          <w:sz w:val="20"/>
          <w:szCs w:val="20"/>
          <w:color w:val="auto"/>
        </w:rPr>
      </w:pPr>
    </w:p>
    <w:p>
      <w:pPr>
        <w:ind w:right="3319"/>
        <w:spacing w:after="0" w:line="252" w:lineRule="auto"/>
        <w:rPr>
          <w:sz w:val="20"/>
          <w:szCs w:val="20"/>
          <w:color w:val="auto"/>
        </w:rPr>
      </w:pPr>
      <w:r>
        <w:rPr>
          <w:rFonts w:ascii="Courier New" w:cs="Courier New" w:eastAsia="Courier New" w:hAnsi="Courier New"/>
          <w:sz w:val="15"/>
          <w:szCs w:val="15"/>
          <w:color w:val="auto"/>
        </w:rPr>
        <w:t>Commencing January 1, 2001, Schlumberger adopted SFAS 133 (Accounting for Derivative Instruments and Hedging Activities). Schlumberger uses derivative instruments such as interest rate swaps, currency swaps, forward currency contracts and foreign currency options. Forward currency contracts provide a hedge against currency fluctuations on assets/liabilities denominated in other than a functional currency. Options are usually entered into as a hedge against currency variations on firm commitments generally involving the construction of long-lived assets.</w:t>
      </w:r>
    </w:p>
    <w:p>
      <w:pPr>
        <w:spacing w:after="0" w:line="86" w:lineRule="exact"/>
        <w:rPr>
          <w:sz w:val="20"/>
          <w:szCs w:val="20"/>
          <w:color w:val="auto"/>
        </w:rPr>
      </w:pPr>
    </w:p>
    <w:p>
      <w:pPr>
        <w:ind w:right="3239"/>
        <w:spacing w:after="0" w:line="270" w:lineRule="auto"/>
        <w:rPr>
          <w:sz w:val="20"/>
          <w:szCs w:val="20"/>
          <w:color w:val="auto"/>
        </w:rPr>
      </w:pPr>
      <w:r>
        <w:rPr>
          <w:rFonts w:ascii="Courier New" w:cs="Courier New" w:eastAsia="Courier New" w:hAnsi="Courier New"/>
          <w:sz w:val="14"/>
          <w:szCs w:val="14"/>
          <w:color w:val="auto"/>
        </w:rPr>
        <w:t>Schlumberger maintains a foreign-currency risk management strategy that uses derivative instruments to protect its interests from unanticipated fluctuations in earnings and cash flows caused by volatility in currency exchange rates. Movements in foreign currency exchange rates pose a risk to Schlumberger's operations as exchange rate changes may affect profitability and cash flow. Schlumberger uses foreign currency forward exchange contracts, swaps and options. Schlumberger also maintains an interest rate risk management strategy that uses fixed rate debt and derivatives to minimize significant, unanticipated earnings fluctuations caused by interest rate volatility.</w:t>
      </w:r>
    </w:p>
    <w:p>
      <w:pPr>
        <w:spacing w:after="0" w:line="76" w:lineRule="exact"/>
        <w:rPr>
          <w:sz w:val="20"/>
          <w:szCs w:val="20"/>
          <w:color w:val="auto"/>
        </w:rPr>
      </w:pPr>
    </w:p>
    <w:p>
      <w:pPr>
        <w:ind w:right="3399"/>
        <w:spacing w:after="0" w:line="290" w:lineRule="auto"/>
        <w:rPr>
          <w:sz w:val="20"/>
          <w:szCs w:val="20"/>
          <w:color w:val="auto"/>
        </w:rPr>
      </w:pPr>
      <w:r>
        <w:rPr>
          <w:rFonts w:ascii="Courier New" w:cs="Courier New" w:eastAsia="Courier New" w:hAnsi="Courier New"/>
          <w:sz w:val="15"/>
          <w:szCs w:val="15"/>
          <w:color w:val="auto"/>
        </w:rPr>
        <w:t>Schlumberger's specific goals are (1) to manage interest rate sensitivity by modifying the repricing or maturity characteristics of certain of its debt and (2) to lower (where possible) the cost of borrowed funds.</w:t>
      </w:r>
    </w:p>
    <w:p>
      <w:pPr>
        <w:spacing w:after="0" w:line="57" w:lineRule="exact"/>
        <w:rPr>
          <w:sz w:val="20"/>
          <w:szCs w:val="20"/>
          <w:color w:val="auto"/>
        </w:rPr>
      </w:pPr>
    </w:p>
    <w:p>
      <w:pPr>
        <w:ind w:right="3499"/>
        <w:spacing w:after="0" w:line="276" w:lineRule="auto"/>
        <w:rPr>
          <w:sz w:val="20"/>
          <w:szCs w:val="20"/>
          <w:color w:val="auto"/>
        </w:rPr>
      </w:pPr>
      <w:r>
        <w:rPr>
          <w:rFonts w:ascii="Courier New" w:cs="Courier New" w:eastAsia="Courier New" w:hAnsi="Courier New"/>
          <w:sz w:val="14"/>
          <w:szCs w:val="14"/>
          <w:color w:val="auto"/>
        </w:rPr>
        <w:t>By using derivative financial instruments to hedge exposure to changes in exchange rates and interest rates, Schlumberger exposes itself to credit risk and market risk. Schlumberger minimizes the credit risk by entering into transactions with high-quality counterparties, limiting the exposure to each counterparty and monitoring the financial condition of its counterparties. Market risk is managed through the setting and monitoring of parameters that limit the types and degree of market risk which are acceptable.</w:t>
      </w:r>
    </w:p>
    <w:p>
      <w:pPr>
        <w:spacing w:after="0" w:line="23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F-18</w:t>
      </w:r>
    </w:p>
    <w:p>
      <w:pPr>
        <w:sectPr>
          <w:pgSz w:w="11900" w:h="16838" w:orient="portrait"/>
          <w:cols w:equalWidth="0" w:num="1">
            <w:col w:w="10239"/>
          </w:cols>
          <w:pgMar w:left="220" w:top="934" w:right="1440" w:bottom="1440" w:gutter="0" w:footer="0" w:header="0"/>
        </w:sectPr>
      </w:pPr>
    </w:p>
    <w:bookmarkStart w:id="32" w:name="page33"/>
    <w:bookmarkEnd w:id="32"/>
    <w:p>
      <w:pPr>
        <w:ind w:right="3319"/>
        <w:spacing w:after="0" w:line="258" w:lineRule="auto"/>
        <w:rPr>
          <w:sz w:val="20"/>
          <w:szCs w:val="20"/>
          <w:color w:val="auto"/>
        </w:rPr>
      </w:pPr>
      <w:r>
        <w:rPr>
          <w:rFonts w:ascii="Courier New" w:cs="Courier New" w:eastAsia="Courier New" w:hAnsi="Courier New"/>
          <w:sz w:val="15"/>
          <w:szCs w:val="15"/>
          <w:color w:val="auto"/>
        </w:rPr>
        <w:t>At December 31, 2001, Schlumberger recognized a net $49.5 million charge in Stockholders' Equity relating to derivative instruments and hedging activities. This charge was primarily due to the change in the fair market value of Schlumberger's US interest rate swaps as a result of declining interest rates. The effect on Stockholders' Equity as of the date of adoption, January 1, 2001, was not significant.</w:t>
      </w: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Capital Stock</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40" w:lineRule="exact"/>
        <w:rPr>
          <w:sz w:val="20"/>
          <w:szCs w:val="20"/>
          <w:color w:val="auto"/>
        </w:rPr>
      </w:pPr>
    </w:p>
    <w:p>
      <w:pPr>
        <w:ind w:right="3239"/>
        <w:spacing w:after="0" w:line="252" w:lineRule="auto"/>
        <w:rPr>
          <w:sz w:val="20"/>
          <w:szCs w:val="20"/>
          <w:color w:val="auto"/>
        </w:rPr>
      </w:pPr>
      <w:r>
        <w:rPr>
          <w:rFonts w:ascii="Courier New" w:cs="Courier New" w:eastAsia="Courier New" w:hAnsi="Courier New"/>
          <w:sz w:val="15"/>
          <w:szCs w:val="15"/>
          <w:color w:val="auto"/>
        </w:rPr>
        <w:t>Schlumberger is authorized to issue 1,500,000,000 shares of common stock, par value $0.01 per share, of which 575,890,398 and 572,724,694 shares were outstanding on December 31, 2001 and 2000, respectively. Schlumberger is also authorized to issue 200,000,000 shares of cumulative preferred stock, par value $0.01 per share, which may be issued in series with terms and conditions determined by the Board of Directors. No shares of preferred stock have been issued. Holders of common stock and preferred stock are entitled to one vote for each share of stock held.</w:t>
      </w:r>
    </w:p>
    <w:p>
      <w:pPr>
        <w:spacing w:after="0" w:line="86" w:lineRule="exact"/>
        <w:rPr>
          <w:sz w:val="20"/>
          <w:szCs w:val="20"/>
          <w:color w:val="auto"/>
        </w:rPr>
      </w:pPr>
    </w:p>
    <w:p>
      <w:pPr>
        <w:ind w:right="3239"/>
        <w:spacing w:after="0" w:line="287" w:lineRule="auto"/>
        <w:rPr>
          <w:sz w:val="20"/>
          <w:szCs w:val="20"/>
          <w:color w:val="auto"/>
        </w:rPr>
      </w:pPr>
      <w:r>
        <w:rPr>
          <w:rFonts w:ascii="Courier New" w:cs="Courier New" w:eastAsia="Courier New" w:hAnsi="Courier New"/>
          <w:sz w:val="14"/>
          <w:szCs w:val="14"/>
          <w:color w:val="auto"/>
        </w:rPr>
        <w:t>In January 1993, Schlumberger acquired the remaining 50% interest in the Dowell Schlumberger group of companies. The purchase price included a warrant, expiring in 7.5 years and valued at $100 million, to purchase 15,153,018 shares of Schlumberger common stock at an exercise price of $29.672 per share. The warrant was exercised by Dow Chemical on December 16, 1999.</w:t>
      </w:r>
    </w:p>
    <w:p>
      <w:pPr>
        <w:spacing w:after="0" w:line="6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 Compensation Plans</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40" w:lineRule="exact"/>
        <w:rPr>
          <w:sz w:val="20"/>
          <w:szCs w:val="20"/>
          <w:color w:val="auto"/>
        </w:rPr>
      </w:pPr>
    </w:p>
    <w:p>
      <w:pPr>
        <w:ind w:right="3239"/>
        <w:spacing w:after="0" w:line="261" w:lineRule="auto"/>
        <w:rPr>
          <w:sz w:val="20"/>
          <w:szCs w:val="20"/>
          <w:color w:val="auto"/>
        </w:rPr>
      </w:pPr>
      <w:r>
        <w:rPr>
          <w:rFonts w:ascii="Courier New" w:cs="Courier New" w:eastAsia="Courier New" w:hAnsi="Courier New"/>
          <w:sz w:val="14"/>
          <w:szCs w:val="14"/>
          <w:color w:val="auto"/>
        </w:rPr>
        <w:t>As of December 31, 2001, Schlumberger had two types of stock-based compensation plans, which are described below. Schlumberger applies APB Opinion 25 and related Interpretations in accounting for its plans. Accordingly, no compensation cost has been recognized for its stock option plans and its stock purchase plan. Had compensation cost for the stock-based Schlumberger plans been determined based on the fair value at the grant dates for awards under</w:t>
      </w:r>
    </w:p>
    <w:p>
      <w:pPr>
        <w:ind w:right="3239"/>
        <w:spacing w:after="0" w:line="307" w:lineRule="auto"/>
        <w:rPr>
          <w:sz w:val="20"/>
          <w:szCs w:val="20"/>
          <w:color w:val="auto"/>
        </w:rPr>
      </w:pPr>
      <w:r>
        <w:rPr>
          <w:rFonts w:ascii="Courier New" w:cs="Courier New" w:eastAsia="Courier New" w:hAnsi="Courier New"/>
          <w:sz w:val="15"/>
          <w:szCs w:val="15"/>
          <w:color w:val="auto"/>
        </w:rPr>
        <w:t>those plans, consistent with the method of SFAS 123, Schlumberger net income and earnings per share would have been the pro forma amounts indicated below:</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60" w:type="dxa"/>
            <w:vAlign w:val="bottom"/>
            <w:gridSpan w:val="5"/>
          </w:tcPr>
          <w:p>
            <w:pPr>
              <w:jc w:val="right"/>
              <w:ind w:right="7"/>
              <w:spacing w:after="0"/>
              <w:rPr>
                <w:sz w:val="20"/>
                <w:szCs w:val="20"/>
                <w:color w:val="auto"/>
              </w:rPr>
            </w:pPr>
            <w:r>
              <w:rPr>
                <w:rFonts w:ascii="Courier New" w:cs="Courier New" w:eastAsia="Courier New" w:hAnsi="Courier New"/>
                <w:sz w:val="15"/>
                <w:szCs w:val="15"/>
                <w:color w:val="auto"/>
                <w:w w:val="97"/>
              </w:rPr>
              <w:t>(Stated in millions except per share amounts)</w:t>
            </w:r>
          </w:p>
        </w:tc>
        <w:tc>
          <w:tcPr>
            <w:tcW w:w="0" w:type="dxa"/>
            <w:vAlign w:val="bottom"/>
          </w:tcPr>
          <w:p>
            <w:pPr>
              <w:spacing w:after="0"/>
              <w:rPr>
                <w:sz w:val="1"/>
                <w:szCs w:val="1"/>
                <w:color w:val="auto"/>
              </w:rPr>
            </w:pPr>
          </w:p>
        </w:tc>
      </w:tr>
      <w:tr>
        <w:trPr>
          <w:trHeight w:val="168"/>
        </w:trPr>
        <w:tc>
          <w:tcPr>
            <w:tcW w:w="2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4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2001</w:t>
            </w:r>
          </w:p>
        </w:tc>
        <w:tc>
          <w:tcPr>
            <w:tcW w:w="560" w:type="dxa"/>
            <w:vAlign w:val="bottom"/>
          </w:tcPr>
          <w:p>
            <w:pPr>
              <w:spacing w:after="0"/>
              <w:rPr>
                <w:sz w:val="14"/>
                <w:szCs w:val="14"/>
                <w:color w:val="auto"/>
              </w:rPr>
            </w:pPr>
          </w:p>
        </w:tc>
        <w:tc>
          <w:tcPr>
            <w:tcW w:w="118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2000</w:t>
            </w:r>
          </w:p>
        </w:tc>
        <w:tc>
          <w:tcPr>
            <w:tcW w:w="620" w:type="dxa"/>
            <w:vAlign w:val="bottom"/>
          </w:tcPr>
          <w:p>
            <w:pPr>
              <w:spacing w:after="0"/>
              <w:rPr>
                <w:sz w:val="14"/>
                <w:szCs w:val="14"/>
                <w:color w:val="auto"/>
              </w:rPr>
            </w:pPr>
          </w:p>
        </w:tc>
        <w:tc>
          <w:tcPr>
            <w:tcW w:w="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1999</w:t>
            </w:r>
          </w:p>
        </w:tc>
        <w:tc>
          <w:tcPr>
            <w:tcW w:w="0" w:type="dxa"/>
            <w:vAlign w:val="bottom"/>
          </w:tcPr>
          <w:p>
            <w:pPr>
              <w:spacing w:after="0"/>
              <w:rPr>
                <w:sz w:val="1"/>
                <w:szCs w:val="1"/>
                <w:color w:val="auto"/>
              </w:rPr>
            </w:pPr>
          </w:p>
        </w:tc>
      </w:tr>
      <w:tr>
        <w:trPr>
          <w:trHeight w:val="245"/>
        </w:trPr>
        <w:tc>
          <w:tcPr>
            <w:tcW w:w="2500" w:type="dxa"/>
            <w:vAlign w:val="bottom"/>
            <w:vMerge w:val="restart"/>
          </w:tcPr>
          <w:p>
            <w:pPr>
              <w:spacing w:after="0"/>
              <w:rPr>
                <w:sz w:val="20"/>
                <w:szCs w:val="20"/>
                <w:color w:val="auto"/>
              </w:rPr>
            </w:pPr>
            <w:r>
              <w:rPr>
                <w:rFonts w:ascii="Courier New" w:cs="Courier New" w:eastAsia="Courier New" w:hAnsi="Courier New"/>
                <w:sz w:val="15"/>
                <w:szCs w:val="15"/>
                <w:color w:val="auto"/>
              </w:rPr>
              <w:t>Net income</w:t>
            </w:r>
          </w:p>
        </w:tc>
        <w:tc>
          <w:tcPr>
            <w:tcW w:w="158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250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9"/>
        </w:trPr>
        <w:tc>
          <w:tcPr>
            <w:tcW w:w="2500" w:type="dxa"/>
            <w:vAlign w:val="bottom"/>
          </w:tcPr>
          <w:p>
            <w:pPr>
              <w:ind w:left="540"/>
              <w:spacing w:after="0"/>
              <w:rPr>
                <w:sz w:val="20"/>
                <w:szCs w:val="20"/>
                <w:color w:val="auto"/>
              </w:rPr>
            </w:pPr>
            <w:r>
              <w:rPr>
                <w:rFonts w:ascii="Courier New" w:cs="Courier New" w:eastAsia="Courier New" w:hAnsi="Courier New"/>
                <w:sz w:val="15"/>
                <w:szCs w:val="15"/>
                <w:color w:val="auto"/>
              </w:rPr>
              <w:t>As reported</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522</w:t>
            </w:r>
          </w:p>
        </w:tc>
        <w:tc>
          <w:tcPr>
            <w:tcW w:w="5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735</w:t>
            </w:r>
          </w:p>
        </w:tc>
        <w:tc>
          <w:tcPr>
            <w:tcW w:w="6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367</w:t>
            </w:r>
          </w:p>
        </w:tc>
        <w:tc>
          <w:tcPr>
            <w:tcW w:w="0" w:type="dxa"/>
            <w:vAlign w:val="bottom"/>
          </w:tcPr>
          <w:p>
            <w:pPr>
              <w:spacing w:after="0"/>
              <w:rPr>
                <w:sz w:val="1"/>
                <w:szCs w:val="1"/>
                <w:color w:val="auto"/>
              </w:rPr>
            </w:pPr>
          </w:p>
        </w:tc>
      </w:tr>
      <w:tr>
        <w:trPr>
          <w:trHeight w:val="245"/>
        </w:trPr>
        <w:tc>
          <w:tcPr>
            <w:tcW w:w="2500" w:type="dxa"/>
            <w:vAlign w:val="bottom"/>
          </w:tcPr>
          <w:p>
            <w:pPr>
              <w:ind w:left="540"/>
              <w:spacing w:after="0"/>
              <w:rPr>
                <w:sz w:val="20"/>
                <w:szCs w:val="20"/>
                <w:color w:val="auto"/>
              </w:rPr>
            </w:pPr>
            <w:r>
              <w:rPr>
                <w:rFonts w:ascii="Courier New" w:cs="Courier New" w:eastAsia="Courier New" w:hAnsi="Courier New"/>
                <w:sz w:val="15"/>
                <w:szCs w:val="15"/>
                <w:color w:val="auto"/>
              </w:rPr>
              <w:t>Pro forma</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386</w:t>
            </w:r>
          </w:p>
        </w:tc>
        <w:tc>
          <w:tcPr>
            <w:tcW w:w="5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633</w:t>
            </w:r>
          </w:p>
        </w:tc>
        <w:tc>
          <w:tcPr>
            <w:tcW w:w="6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268</w:t>
            </w:r>
          </w:p>
        </w:tc>
        <w:tc>
          <w:tcPr>
            <w:tcW w:w="0" w:type="dxa"/>
            <w:vAlign w:val="bottom"/>
          </w:tcPr>
          <w:p>
            <w:pPr>
              <w:spacing w:after="0"/>
              <w:rPr>
                <w:sz w:val="1"/>
                <w:szCs w:val="1"/>
                <w:color w:val="auto"/>
              </w:rPr>
            </w:pPr>
          </w:p>
        </w:tc>
      </w:tr>
      <w:tr>
        <w:trPr>
          <w:trHeight w:val="259"/>
        </w:trPr>
        <w:tc>
          <w:tcPr>
            <w:tcW w:w="2500" w:type="dxa"/>
            <w:vAlign w:val="bottom"/>
          </w:tcPr>
          <w:p>
            <w:pPr>
              <w:spacing w:after="0"/>
              <w:rPr>
                <w:sz w:val="20"/>
                <w:szCs w:val="20"/>
                <w:color w:val="auto"/>
              </w:rPr>
            </w:pPr>
            <w:r>
              <w:rPr>
                <w:rFonts w:ascii="Courier New" w:cs="Courier New" w:eastAsia="Courier New" w:hAnsi="Courier New"/>
                <w:sz w:val="15"/>
                <w:szCs w:val="15"/>
                <w:color w:val="auto"/>
              </w:rPr>
              <w:t>Basic earnings per share</w:t>
            </w:r>
          </w:p>
        </w:tc>
        <w:tc>
          <w:tcPr>
            <w:tcW w:w="4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vMerge w:val="restart"/>
          </w:tcPr>
          <w:p>
            <w:pPr>
              <w:jc w:val="right"/>
              <w:ind w:right="407"/>
              <w:spacing w:after="0"/>
              <w:rPr>
                <w:sz w:val="20"/>
                <w:szCs w:val="20"/>
                <w:color w:val="auto"/>
              </w:rPr>
            </w:pPr>
            <w:r>
              <w:rPr>
                <w:rFonts w:ascii="Courier New" w:cs="Courier New" w:eastAsia="Courier New" w:hAnsi="Courier New"/>
                <w:sz w:val="15"/>
                <w:szCs w:val="15"/>
                <w:color w:val="auto"/>
              </w:rPr>
              <w:t>0.91</w:t>
            </w:r>
          </w:p>
        </w:tc>
        <w:tc>
          <w:tcPr>
            <w:tcW w:w="56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180" w:type="dxa"/>
            <w:vAlign w:val="bottom"/>
            <w:vMerge w:val="restart"/>
          </w:tcPr>
          <w:p>
            <w:pPr>
              <w:jc w:val="right"/>
              <w:ind w:right="487"/>
              <w:spacing w:after="0"/>
              <w:rPr>
                <w:sz w:val="20"/>
                <w:szCs w:val="20"/>
                <w:color w:val="auto"/>
              </w:rPr>
            </w:pPr>
            <w:r>
              <w:rPr>
                <w:rFonts w:ascii="Courier New" w:cs="Courier New" w:eastAsia="Courier New" w:hAnsi="Courier New"/>
                <w:sz w:val="15"/>
                <w:szCs w:val="15"/>
                <w:color w:val="auto"/>
              </w:rPr>
              <w:t>1.29</w:t>
            </w:r>
          </w:p>
        </w:tc>
        <w:tc>
          <w:tcPr>
            <w:tcW w:w="62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5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0.67</w:t>
            </w:r>
          </w:p>
        </w:tc>
        <w:tc>
          <w:tcPr>
            <w:tcW w:w="0" w:type="dxa"/>
            <w:vAlign w:val="bottom"/>
          </w:tcPr>
          <w:p>
            <w:pPr>
              <w:spacing w:after="0"/>
              <w:rPr>
                <w:sz w:val="1"/>
                <w:szCs w:val="1"/>
                <w:color w:val="auto"/>
              </w:rPr>
            </w:pPr>
          </w:p>
        </w:tc>
      </w:tr>
      <w:tr>
        <w:trPr>
          <w:trHeight w:val="168"/>
        </w:trPr>
        <w:tc>
          <w:tcPr>
            <w:tcW w:w="25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As reported</w:t>
            </w:r>
          </w:p>
        </w:tc>
        <w:tc>
          <w:tcPr>
            <w:tcW w:w="44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2500" w:type="dxa"/>
            <w:vAlign w:val="bottom"/>
          </w:tcPr>
          <w:p>
            <w:pPr>
              <w:ind w:left="540"/>
              <w:spacing w:after="0"/>
              <w:rPr>
                <w:sz w:val="20"/>
                <w:szCs w:val="20"/>
                <w:color w:val="auto"/>
              </w:rPr>
            </w:pPr>
            <w:r>
              <w:rPr>
                <w:rFonts w:ascii="Courier New" w:cs="Courier New" w:eastAsia="Courier New" w:hAnsi="Courier New"/>
                <w:sz w:val="15"/>
                <w:szCs w:val="15"/>
                <w:color w:val="auto"/>
              </w:rPr>
              <w:t>Pro forma</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0.67</w:t>
            </w:r>
          </w:p>
        </w:tc>
        <w:tc>
          <w:tcPr>
            <w:tcW w:w="5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1.11</w:t>
            </w:r>
          </w:p>
        </w:tc>
        <w:tc>
          <w:tcPr>
            <w:tcW w:w="6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0.49</w:t>
            </w:r>
          </w:p>
        </w:tc>
        <w:tc>
          <w:tcPr>
            <w:tcW w:w="0" w:type="dxa"/>
            <w:vAlign w:val="bottom"/>
          </w:tcPr>
          <w:p>
            <w:pPr>
              <w:spacing w:after="0"/>
              <w:rPr>
                <w:sz w:val="1"/>
                <w:szCs w:val="1"/>
                <w:color w:val="auto"/>
              </w:rPr>
            </w:pPr>
          </w:p>
        </w:tc>
      </w:tr>
      <w:tr>
        <w:trPr>
          <w:trHeight w:val="259"/>
        </w:trPr>
        <w:tc>
          <w:tcPr>
            <w:tcW w:w="2500" w:type="dxa"/>
            <w:vAlign w:val="bottom"/>
          </w:tcPr>
          <w:p>
            <w:pPr>
              <w:spacing w:after="0"/>
              <w:rPr>
                <w:sz w:val="20"/>
                <w:szCs w:val="20"/>
                <w:color w:val="auto"/>
              </w:rPr>
            </w:pPr>
            <w:r>
              <w:rPr>
                <w:rFonts w:ascii="Courier New" w:cs="Courier New" w:eastAsia="Courier New" w:hAnsi="Courier New"/>
                <w:sz w:val="15"/>
                <w:szCs w:val="15"/>
                <w:color w:val="auto"/>
              </w:rPr>
              <w:t>Diluted earnings per share</w:t>
            </w:r>
          </w:p>
        </w:tc>
        <w:tc>
          <w:tcPr>
            <w:tcW w:w="4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vMerge w:val="restart"/>
          </w:tcPr>
          <w:p>
            <w:pPr>
              <w:jc w:val="right"/>
              <w:ind w:right="407"/>
              <w:spacing w:after="0"/>
              <w:rPr>
                <w:sz w:val="20"/>
                <w:szCs w:val="20"/>
                <w:color w:val="auto"/>
              </w:rPr>
            </w:pPr>
            <w:r>
              <w:rPr>
                <w:rFonts w:ascii="Courier New" w:cs="Courier New" w:eastAsia="Courier New" w:hAnsi="Courier New"/>
                <w:sz w:val="15"/>
                <w:szCs w:val="15"/>
                <w:color w:val="auto"/>
              </w:rPr>
              <w:t>0.91</w:t>
            </w:r>
          </w:p>
        </w:tc>
        <w:tc>
          <w:tcPr>
            <w:tcW w:w="56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180" w:type="dxa"/>
            <w:vAlign w:val="bottom"/>
            <w:vMerge w:val="restart"/>
          </w:tcPr>
          <w:p>
            <w:pPr>
              <w:jc w:val="right"/>
              <w:ind w:right="487"/>
              <w:spacing w:after="0"/>
              <w:rPr>
                <w:sz w:val="20"/>
                <w:szCs w:val="20"/>
                <w:color w:val="auto"/>
              </w:rPr>
            </w:pPr>
            <w:r>
              <w:rPr>
                <w:rFonts w:ascii="Courier New" w:cs="Courier New" w:eastAsia="Courier New" w:hAnsi="Courier New"/>
                <w:sz w:val="15"/>
                <w:szCs w:val="15"/>
                <w:color w:val="auto"/>
              </w:rPr>
              <w:t>1.27</w:t>
            </w:r>
          </w:p>
        </w:tc>
        <w:tc>
          <w:tcPr>
            <w:tcW w:w="62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5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0.65</w:t>
            </w:r>
          </w:p>
        </w:tc>
        <w:tc>
          <w:tcPr>
            <w:tcW w:w="0" w:type="dxa"/>
            <w:vAlign w:val="bottom"/>
          </w:tcPr>
          <w:p>
            <w:pPr>
              <w:spacing w:after="0"/>
              <w:rPr>
                <w:sz w:val="1"/>
                <w:szCs w:val="1"/>
                <w:color w:val="auto"/>
              </w:rPr>
            </w:pPr>
          </w:p>
        </w:tc>
      </w:tr>
      <w:tr>
        <w:trPr>
          <w:trHeight w:val="168"/>
        </w:trPr>
        <w:tc>
          <w:tcPr>
            <w:tcW w:w="25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As reported</w:t>
            </w:r>
          </w:p>
        </w:tc>
        <w:tc>
          <w:tcPr>
            <w:tcW w:w="44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2500" w:type="dxa"/>
            <w:vAlign w:val="bottom"/>
          </w:tcPr>
          <w:p>
            <w:pPr>
              <w:ind w:left="540"/>
              <w:spacing w:after="0"/>
              <w:rPr>
                <w:sz w:val="20"/>
                <w:szCs w:val="20"/>
                <w:color w:val="auto"/>
              </w:rPr>
            </w:pPr>
            <w:r>
              <w:rPr>
                <w:rFonts w:ascii="Courier New" w:cs="Courier New" w:eastAsia="Courier New" w:hAnsi="Courier New"/>
                <w:sz w:val="15"/>
                <w:szCs w:val="15"/>
                <w:color w:val="auto"/>
              </w:rPr>
              <w:t>Pro forma</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0.67</w:t>
            </w:r>
          </w:p>
        </w:tc>
        <w:tc>
          <w:tcPr>
            <w:tcW w:w="5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1.09</w:t>
            </w:r>
          </w:p>
        </w:tc>
        <w:tc>
          <w:tcPr>
            <w:tcW w:w="6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0.48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 OPTION PLANS</w:t>
      </w:r>
    </w:p>
    <w:p>
      <w:pPr>
        <w:spacing w:after="0" w:line="166" w:lineRule="exact"/>
        <w:rPr>
          <w:sz w:val="20"/>
          <w:szCs w:val="20"/>
          <w:color w:val="auto"/>
        </w:rPr>
      </w:pPr>
    </w:p>
    <w:p>
      <w:pPr>
        <w:ind w:right="3239"/>
        <w:spacing w:after="0" w:line="264" w:lineRule="auto"/>
        <w:rPr>
          <w:sz w:val="20"/>
          <w:szCs w:val="20"/>
          <w:color w:val="auto"/>
        </w:rPr>
      </w:pPr>
      <w:r>
        <w:rPr>
          <w:rFonts w:ascii="Courier New" w:cs="Courier New" w:eastAsia="Courier New" w:hAnsi="Courier New"/>
          <w:sz w:val="15"/>
          <w:szCs w:val="15"/>
          <w:color w:val="auto"/>
        </w:rPr>
        <w:t>During 2001, 2000, 1999 and in prior years, officers and key employees were granted stock options under Schlumberger stock option plans. For all of the stock options granted, the exercise price of each option equals the market price of Schlumberger stock on the date of grant; an option's maximum term is ten years, and options generally vest in 20% increments over five years.</w:t>
      </w:r>
    </w:p>
    <w:p>
      <w:pPr>
        <w:spacing w:after="0" w:line="75" w:lineRule="exact"/>
        <w:rPr>
          <w:sz w:val="20"/>
          <w:szCs w:val="20"/>
          <w:color w:val="auto"/>
        </w:rPr>
      </w:pPr>
    </w:p>
    <w:p>
      <w:pPr>
        <w:ind w:right="3239"/>
        <w:spacing w:after="0" w:line="273" w:lineRule="auto"/>
        <w:rPr>
          <w:sz w:val="20"/>
          <w:szCs w:val="20"/>
          <w:color w:val="auto"/>
        </w:rPr>
      </w:pPr>
      <w:r>
        <w:rPr>
          <w:rFonts w:ascii="Courier New" w:cs="Courier New" w:eastAsia="Courier New" w:hAnsi="Courier New"/>
          <w:sz w:val="15"/>
          <w:szCs w:val="15"/>
          <w:color w:val="auto"/>
        </w:rPr>
        <w:t>As required by SFAS 123, the fair value of each grant is estimated on the date of grant using the multiple option Black-Scholes option-pricing model with the following weighted-average assumptions used for 2001, 2000 and 1999: dividend of $0.75; expected volatility of 32-35% for</w:t>
      </w:r>
    </w:p>
    <w:p>
      <w:pPr>
        <w:spacing w:after="0" w:line="200" w:lineRule="exact"/>
        <w:rPr>
          <w:sz w:val="20"/>
          <w:szCs w:val="20"/>
          <w:color w:val="auto"/>
        </w:rPr>
      </w:pPr>
    </w:p>
    <w:p>
      <w:pPr>
        <w:spacing w:after="0" w:line="204"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F-19</w:t>
      </w:r>
    </w:p>
    <w:p>
      <w:pPr>
        <w:sectPr>
          <w:pgSz w:w="11900" w:h="16838" w:orient="portrait"/>
          <w:cols w:equalWidth="0" w:num="1">
            <w:col w:w="10239"/>
          </w:cols>
          <w:pgMar w:left="220" w:top="766" w:right="1440" w:bottom="1440" w:gutter="0" w:footer="0" w:header="0"/>
        </w:sectPr>
      </w:pPr>
    </w:p>
    <w:bookmarkStart w:id="33" w:name="page34"/>
    <w:bookmarkEnd w:id="33"/>
    <w:p>
      <w:pPr>
        <w:ind w:right="3239"/>
        <w:spacing w:after="0" w:line="249" w:lineRule="auto"/>
        <w:rPr>
          <w:sz w:val="20"/>
          <w:szCs w:val="20"/>
          <w:color w:val="auto"/>
        </w:rPr>
      </w:pPr>
      <w:r>
        <w:rPr>
          <w:rFonts w:ascii="Courier New" w:cs="Courier New" w:eastAsia="Courier New" w:hAnsi="Courier New"/>
          <w:sz w:val="15"/>
          <w:szCs w:val="15"/>
          <w:color w:val="auto"/>
        </w:rPr>
        <w:t>2001 grants, 27-33% for 2000 grants and 25-29% for 1999 grants; risk-free interest rates for the 2001 grants of 4.91% for officers and 3.87%-5.01% for the 2001 grants to all other employees; risk-free interest rates for the 2000 grants of 5.75%-6.84% for officers and 5.69%-6.72% for the 2000 grants to all other employees; risk-free interest rates for the 1999 grants of 4.92%-5.29% for officers and 4.80%-6.25% for the 1999 grants to all other employees; and expected option lives of 5.51 years for officers and 5.02 years for other employees for 2001 grants, expected option lives of 7.16 years for officers and 5.49 years for other employees for 2000 grants, 7.14 years for officers and 5.28 years for other employees for 1999 grants.</w:t>
      </w:r>
    </w:p>
    <w:p>
      <w:pPr>
        <w:spacing w:after="0" w:line="87" w:lineRule="exact"/>
        <w:rPr>
          <w:sz w:val="20"/>
          <w:szCs w:val="20"/>
          <w:color w:val="auto"/>
        </w:rPr>
      </w:pPr>
    </w:p>
    <w:p>
      <w:pPr>
        <w:jc w:val="both"/>
        <w:ind w:right="3399"/>
        <w:spacing w:after="0" w:line="290" w:lineRule="auto"/>
        <w:rPr>
          <w:sz w:val="20"/>
          <w:szCs w:val="20"/>
          <w:color w:val="auto"/>
        </w:rPr>
      </w:pPr>
      <w:r>
        <w:rPr>
          <w:rFonts w:ascii="Courier New" w:cs="Courier New" w:eastAsia="Courier New" w:hAnsi="Courier New"/>
          <w:sz w:val="15"/>
          <w:szCs w:val="15"/>
          <w:color w:val="auto"/>
        </w:rPr>
        <w:t>A summary of the status of the Schlumberger stock option plans as of December 31, 2001, 2000 and 1999, and changes during the years ending on those dates is presented below:</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8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720" w:type="dxa"/>
            <w:vAlign w:val="bottom"/>
          </w:tcPr>
          <w:p>
            <w:pPr>
              <w:jc w:val="right"/>
              <w:ind w:right="1207"/>
              <w:spacing w:after="0"/>
              <w:rPr>
                <w:sz w:val="20"/>
                <w:szCs w:val="20"/>
                <w:color w:val="auto"/>
              </w:rPr>
            </w:pPr>
            <w:r>
              <w:rPr>
                <w:rFonts w:ascii="Courier New" w:cs="Courier New" w:eastAsia="Courier New" w:hAnsi="Courier New"/>
                <w:sz w:val="15"/>
                <w:szCs w:val="15"/>
                <w:color w:val="auto"/>
              </w:rPr>
              <w:t>2001</w:t>
            </w:r>
          </w:p>
        </w:tc>
        <w:tc>
          <w:tcPr>
            <w:tcW w:w="12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2000</w:t>
            </w:r>
          </w:p>
        </w:tc>
        <w:tc>
          <w:tcPr>
            <w:tcW w:w="118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1999/1/</w:t>
            </w: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800" w:type="dxa"/>
            <w:vAlign w:val="bottom"/>
          </w:tcPr>
          <w:p>
            <w:pPr>
              <w:spacing w:after="0"/>
              <w:rPr>
                <w:sz w:val="14"/>
                <w:szCs w:val="14"/>
                <w:color w:val="auto"/>
              </w:rPr>
            </w:pPr>
          </w:p>
        </w:tc>
        <w:tc>
          <w:tcPr>
            <w:tcW w:w="7560" w:type="dxa"/>
            <w:vAlign w:val="bottom"/>
            <w:gridSpan w:val="6"/>
          </w:tcPr>
          <w:p>
            <w:pPr>
              <w:jc w:val="right"/>
              <w:spacing w:after="0" w:line="168" w:lineRule="exact"/>
              <w:rPr>
                <w:sz w:val="20"/>
                <w:szCs w:val="20"/>
                <w:color w:val="auto"/>
              </w:rPr>
            </w:pPr>
            <w:r>
              <w:rPr>
                <w:rFonts w:ascii="Courier New" w:cs="Courier New" w:eastAsia="Courier New" w:hAnsi="Courier New"/>
                <w:sz w:val="15"/>
                <w:szCs w:val="15"/>
                <w:color w:val="auto"/>
              </w:rPr>
              <w:t>------------------------- --------------------------- -------------------------</w:t>
            </w:r>
          </w:p>
        </w:tc>
        <w:tc>
          <w:tcPr>
            <w:tcW w:w="0" w:type="dxa"/>
            <w:vAlign w:val="bottom"/>
          </w:tcPr>
          <w:p>
            <w:pPr>
              <w:spacing w:after="0"/>
              <w:rPr>
                <w:sz w:val="1"/>
                <w:szCs w:val="1"/>
                <w:color w:val="auto"/>
              </w:rPr>
            </w:pPr>
          </w:p>
        </w:tc>
      </w:tr>
      <w:tr>
        <w:trPr>
          <w:trHeight w:val="168"/>
        </w:trPr>
        <w:tc>
          <w:tcPr>
            <w:tcW w:w="18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720" w:type="dxa"/>
            <w:vAlign w:val="bottom"/>
          </w:tcPr>
          <w:p>
            <w:pPr>
              <w:jc w:val="center"/>
              <w:ind w:left="227"/>
              <w:spacing w:after="0" w:line="168" w:lineRule="exact"/>
              <w:rPr>
                <w:sz w:val="20"/>
                <w:szCs w:val="20"/>
                <w:color w:val="auto"/>
              </w:rPr>
            </w:pPr>
            <w:r>
              <w:rPr>
                <w:rFonts w:ascii="Courier New" w:cs="Courier New" w:eastAsia="Courier New" w:hAnsi="Courier New"/>
                <w:sz w:val="15"/>
                <w:szCs w:val="15"/>
                <w:color w:val="auto"/>
                <w:w w:val="96"/>
              </w:rPr>
              <w:t>Weighted-</w:t>
            </w:r>
          </w:p>
        </w:tc>
        <w:tc>
          <w:tcPr>
            <w:tcW w:w="1220" w:type="dxa"/>
            <w:vAlign w:val="bottom"/>
          </w:tcPr>
          <w:p>
            <w:pPr>
              <w:spacing w:after="0"/>
              <w:rPr>
                <w:sz w:val="14"/>
                <w:szCs w:val="14"/>
                <w:color w:val="auto"/>
              </w:rPr>
            </w:pPr>
          </w:p>
        </w:tc>
        <w:tc>
          <w:tcPr>
            <w:tcW w:w="1180" w:type="dxa"/>
            <w:vAlign w:val="bottom"/>
          </w:tcPr>
          <w:p>
            <w:pPr>
              <w:jc w:val="center"/>
              <w:ind w:right="67"/>
              <w:spacing w:after="0" w:line="168" w:lineRule="exact"/>
              <w:rPr>
                <w:sz w:val="20"/>
                <w:szCs w:val="20"/>
                <w:color w:val="auto"/>
              </w:rPr>
            </w:pPr>
            <w:r>
              <w:rPr>
                <w:rFonts w:ascii="Courier New" w:cs="Courier New" w:eastAsia="Courier New" w:hAnsi="Courier New"/>
                <w:sz w:val="15"/>
                <w:szCs w:val="15"/>
                <w:color w:val="auto"/>
                <w:w w:val="98"/>
              </w:rPr>
              <w:t>Weighted-</w:t>
            </w:r>
          </w:p>
        </w:tc>
        <w:tc>
          <w:tcPr>
            <w:tcW w:w="1220" w:type="dxa"/>
            <w:vAlign w:val="bottom"/>
          </w:tcPr>
          <w:p>
            <w:pPr>
              <w:spacing w:after="0"/>
              <w:rPr>
                <w:sz w:val="14"/>
                <w:szCs w:val="14"/>
                <w:color w:val="auto"/>
              </w:rPr>
            </w:pPr>
          </w:p>
        </w:tc>
        <w:tc>
          <w:tcPr>
            <w:tcW w:w="7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Weighted-</w:t>
            </w:r>
          </w:p>
        </w:tc>
        <w:tc>
          <w:tcPr>
            <w:tcW w:w="0" w:type="dxa"/>
            <w:vAlign w:val="bottom"/>
          </w:tcPr>
          <w:p>
            <w:pPr>
              <w:spacing w:after="0"/>
              <w:rPr>
                <w:sz w:val="1"/>
                <w:szCs w:val="1"/>
                <w:color w:val="auto"/>
              </w:rPr>
            </w:pPr>
          </w:p>
        </w:tc>
      </w:tr>
      <w:tr>
        <w:trPr>
          <w:trHeight w:val="168"/>
        </w:trPr>
        <w:tc>
          <w:tcPr>
            <w:tcW w:w="18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720" w:type="dxa"/>
            <w:vAlign w:val="bottom"/>
          </w:tcPr>
          <w:p>
            <w:pPr>
              <w:jc w:val="center"/>
              <w:ind w:left="227"/>
              <w:spacing w:after="0" w:line="168" w:lineRule="exact"/>
              <w:rPr>
                <w:sz w:val="20"/>
                <w:szCs w:val="20"/>
                <w:color w:val="auto"/>
              </w:rPr>
            </w:pPr>
            <w:r>
              <w:rPr>
                <w:rFonts w:ascii="Courier New" w:cs="Courier New" w:eastAsia="Courier New" w:hAnsi="Courier New"/>
                <w:sz w:val="15"/>
                <w:szCs w:val="15"/>
                <w:color w:val="auto"/>
                <w:w w:val="98"/>
              </w:rPr>
              <w:t>average</w:t>
            </w:r>
          </w:p>
        </w:tc>
        <w:tc>
          <w:tcPr>
            <w:tcW w:w="1220" w:type="dxa"/>
            <w:vAlign w:val="bottom"/>
          </w:tcPr>
          <w:p>
            <w:pPr>
              <w:spacing w:after="0"/>
              <w:rPr>
                <w:sz w:val="14"/>
                <w:szCs w:val="14"/>
                <w:color w:val="auto"/>
              </w:rPr>
            </w:pPr>
          </w:p>
        </w:tc>
        <w:tc>
          <w:tcPr>
            <w:tcW w:w="1180" w:type="dxa"/>
            <w:vAlign w:val="bottom"/>
          </w:tcPr>
          <w:p>
            <w:pPr>
              <w:jc w:val="center"/>
              <w:ind w:right="67"/>
              <w:spacing w:after="0" w:line="168" w:lineRule="exact"/>
              <w:rPr>
                <w:sz w:val="20"/>
                <w:szCs w:val="20"/>
                <w:color w:val="auto"/>
              </w:rPr>
            </w:pPr>
            <w:r>
              <w:rPr>
                <w:rFonts w:ascii="Courier New" w:cs="Courier New" w:eastAsia="Courier New" w:hAnsi="Courier New"/>
                <w:sz w:val="15"/>
                <w:szCs w:val="15"/>
                <w:color w:val="auto"/>
                <w:w w:val="95"/>
              </w:rPr>
              <w:t>average</w:t>
            </w:r>
          </w:p>
        </w:tc>
        <w:tc>
          <w:tcPr>
            <w:tcW w:w="1220" w:type="dxa"/>
            <w:vAlign w:val="bottom"/>
          </w:tcPr>
          <w:p>
            <w:pPr>
              <w:spacing w:after="0"/>
              <w:rPr>
                <w:sz w:val="14"/>
                <w:szCs w:val="14"/>
                <w:color w:val="auto"/>
              </w:rPr>
            </w:pPr>
          </w:p>
        </w:tc>
        <w:tc>
          <w:tcPr>
            <w:tcW w:w="7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average</w:t>
            </w:r>
          </w:p>
        </w:tc>
        <w:tc>
          <w:tcPr>
            <w:tcW w:w="0" w:type="dxa"/>
            <w:vAlign w:val="bottom"/>
          </w:tcPr>
          <w:p>
            <w:pPr>
              <w:spacing w:after="0"/>
              <w:rPr>
                <w:sz w:val="1"/>
                <w:szCs w:val="1"/>
                <w:color w:val="auto"/>
              </w:rPr>
            </w:pPr>
          </w:p>
        </w:tc>
      </w:tr>
      <w:tr>
        <w:trPr>
          <w:trHeight w:val="168"/>
        </w:trPr>
        <w:tc>
          <w:tcPr>
            <w:tcW w:w="1800" w:type="dxa"/>
            <w:vAlign w:val="bottom"/>
            <w:vMerge w:val="restart"/>
          </w:tcPr>
          <w:p>
            <w:pPr>
              <w:spacing w:after="0"/>
              <w:rPr>
                <w:sz w:val="20"/>
                <w:szCs w:val="20"/>
                <w:color w:val="auto"/>
              </w:rPr>
            </w:pPr>
            <w:r>
              <w:rPr>
                <w:rFonts w:ascii="Courier New" w:cs="Courier New" w:eastAsia="Courier New" w:hAnsi="Courier New"/>
                <w:sz w:val="15"/>
                <w:szCs w:val="15"/>
                <w:color w:val="auto"/>
              </w:rPr>
              <w:t>Fixed Options</w:t>
            </w:r>
          </w:p>
        </w:tc>
        <w:tc>
          <w:tcPr>
            <w:tcW w:w="1440" w:type="dxa"/>
            <w:vAlign w:val="bottom"/>
            <w:vMerge w:val="restart"/>
          </w:tcPr>
          <w:p>
            <w:pPr>
              <w:ind w:left="840"/>
              <w:spacing w:after="0"/>
              <w:rPr>
                <w:sz w:val="20"/>
                <w:szCs w:val="20"/>
                <w:color w:val="auto"/>
              </w:rPr>
            </w:pPr>
            <w:r>
              <w:rPr>
                <w:rFonts w:ascii="Courier New" w:cs="Courier New" w:eastAsia="Courier New" w:hAnsi="Courier New"/>
                <w:sz w:val="15"/>
                <w:szCs w:val="15"/>
                <w:color w:val="auto"/>
              </w:rPr>
              <w:t>Shares</w:t>
            </w:r>
          </w:p>
        </w:tc>
        <w:tc>
          <w:tcPr>
            <w:tcW w:w="17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exercise</w:t>
            </w:r>
          </w:p>
        </w:tc>
        <w:tc>
          <w:tcPr>
            <w:tcW w:w="122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Shares</w:t>
            </w:r>
          </w:p>
        </w:tc>
        <w:tc>
          <w:tcPr>
            <w:tcW w:w="11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exercise</w:t>
            </w:r>
          </w:p>
        </w:tc>
        <w:tc>
          <w:tcPr>
            <w:tcW w:w="1220" w:type="dxa"/>
            <w:vAlign w:val="bottom"/>
            <w:vMerge w:val="restart"/>
          </w:tcPr>
          <w:p>
            <w:pPr>
              <w:jc w:val="right"/>
              <w:ind w:right="367"/>
              <w:spacing w:after="0"/>
              <w:rPr>
                <w:sz w:val="20"/>
                <w:szCs w:val="20"/>
                <w:color w:val="auto"/>
              </w:rPr>
            </w:pPr>
            <w:r>
              <w:rPr>
                <w:rFonts w:ascii="Courier New" w:cs="Courier New" w:eastAsia="Courier New" w:hAnsi="Courier New"/>
                <w:sz w:val="15"/>
                <w:szCs w:val="15"/>
                <w:color w:val="auto"/>
              </w:rPr>
              <w:t>Shares</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4"/>
              </w:rPr>
              <w:t>exercise</w:t>
            </w:r>
          </w:p>
        </w:tc>
        <w:tc>
          <w:tcPr>
            <w:tcW w:w="0" w:type="dxa"/>
            <w:vAlign w:val="bottom"/>
          </w:tcPr>
          <w:p>
            <w:pPr>
              <w:spacing w:after="0"/>
              <w:rPr>
                <w:sz w:val="1"/>
                <w:szCs w:val="1"/>
                <w:color w:val="auto"/>
              </w:rPr>
            </w:pPr>
          </w:p>
        </w:tc>
      </w:tr>
      <w:tr>
        <w:trPr>
          <w:trHeight w:val="194"/>
        </w:trPr>
        <w:tc>
          <w:tcPr>
            <w:tcW w:w="1800" w:type="dxa"/>
            <w:vAlign w:val="bottom"/>
            <w:vMerge w:val="continue"/>
          </w:tcPr>
          <w:p>
            <w:pPr>
              <w:spacing w:after="0"/>
              <w:rPr>
                <w:sz w:val="16"/>
                <w:szCs w:val="16"/>
                <w:color w:val="auto"/>
              </w:rPr>
            </w:pPr>
          </w:p>
        </w:tc>
        <w:tc>
          <w:tcPr>
            <w:tcW w:w="1440" w:type="dxa"/>
            <w:vAlign w:val="bottom"/>
            <w:vMerge w:val="continue"/>
          </w:tcPr>
          <w:p>
            <w:pPr>
              <w:spacing w:after="0"/>
              <w:rPr>
                <w:sz w:val="16"/>
                <w:szCs w:val="16"/>
                <w:color w:val="auto"/>
              </w:rPr>
            </w:pPr>
          </w:p>
        </w:tc>
        <w:tc>
          <w:tcPr>
            <w:tcW w:w="1720" w:type="dxa"/>
            <w:vAlign w:val="bottom"/>
          </w:tcPr>
          <w:p>
            <w:pPr>
              <w:jc w:val="center"/>
              <w:ind w:left="247"/>
              <w:spacing w:after="0"/>
              <w:rPr>
                <w:sz w:val="20"/>
                <w:szCs w:val="20"/>
                <w:color w:val="auto"/>
              </w:rPr>
            </w:pPr>
            <w:r>
              <w:rPr>
                <w:rFonts w:ascii="Courier New" w:cs="Courier New" w:eastAsia="Courier New" w:hAnsi="Courier New"/>
                <w:sz w:val="15"/>
                <w:szCs w:val="15"/>
                <w:color w:val="auto"/>
                <w:w w:val="97"/>
              </w:rPr>
              <w:t>price</w:t>
            </w:r>
          </w:p>
        </w:tc>
        <w:tc>
          <w:tcPr>
            <w:tcW w:w="1220" w:type="dxa"/>
            <w:vAlign w:val="bottom"/>
            <w:vMerge w:val="continue"/>
          </w:tcPr>
          <w:p>
            <w:pPr>
              <w:spacing w:after="0"/>
              <w:rPr>
                <w:sz w:val="16"/>
                <w:szCs w:val="16"/>
                <w:color w:val="auto"/>
              </w:rPr>
            </w:pPr>
          </w:p>
        </w:tc>
        <w:tc>
          <w:tcPr>
            <w:tcW w:w="1180" w:type="dxa"/>
            <w:vAlign w:val="bottom"/>
          </w:tcPr>
          <w:p>
            <w:pPr>
              <w:jc w:val="center"/>
              <w:ind w:right="67"/>
              <w:spacing w:after="0"/>
              <w:rPr>
                <w:sz w:val="20"/>
                <w:szCs w:val="20"/>
                <w:color w:val="auto"/>
              </w:rPr>
            </w:pPr>
            <w:r>
              <w:rPr>
                <w:rFonts w:ascii="Courier New" w:cs="Courier New" w:eastAsia="Courier New" w:hAnsi="Courier New"/>
                <w:sz w:val="15"/>
                <w:szCs w:val="15"/>
                <w:color w:val="auto"/>
                <w:w w:val="97"/>
              </w:rPr>
              <w:t>price</w:t>
            </w:r>
          </w:p>
        </w:tc>
        <w:tc>
          <w:tcPr>
            <w:tcW w:w="1220" w:type="dxa"/>
            <w:vAlign w:val="bottom"/>
            <w:vMerge w:val="continue"/>
          </w:tcPr>
          <w:p>
            <w:pPr>
              <w:spacing w:after="0"/>
              <w:rPr>
                <w:sz w:val="16"/>
                <w:szCs w:val="16"/>
                <w:color w:val="auto"/>
              </w:rPr>
            </w:pPr>
          </w:p>
        </w:tc>
        <w:tc>
          <w:tcPr>
            <w:tcW w:w="780" w:type="dxa"/>
            <w:vAlign w:val="bottom"/>
          </w:tcPr>
          <w:p>
            <w:pPr>
              <w:jc w:val="center"/>
              <w:spacing w:after="0"/>
              <w:rPr>
                <w:sz w:val="20"/>
                <w:szCs w:val="20"/>
                <w:color w:val="auto"/>
              </w:rPr>
            </w:pPr>
            <w:r>
              <w:rPr>
                <w:rFonts w:ascii="Courier New" w:cs="Courier New" w:eastAsia="Courier New" w:hAnsi="Courier New"/>
                <w:sz w:val="15"/>
                <w:szCs w:val="15"/>
                <w:color w:val="auto"/>
                <w:w w:val="97"/>
              </w:rPr>
              <w:t>price</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420" w:type="dxa"/>
            <w:vAlign w:val="bottom"/>
          </w:tcPr>
          <w:p>
            <w:pPr>
              <w:spacing w:after="0"/>
              <w:rPr>
                <w:sz w:val="20"/>
                <w:szCs w:val="20"/>
                <w:color w:val="auto"/>
              </w:rPr>
            </w:pPr>
            <w:r>
              <w:rPr>
                <w:rFonts w:ascii="Courier New" w:cs="Courier New" w:eastAsia="Courier New" w:hAnsi="Courier New"/>
                <w:sz w:val="15"/>
                <w:szCs w:val="15"/>
                <w:color w:val="auto"/>
              </w:rPr>
              <w:t>Outstanding at</w:t>
            </w:r>
          </w:p>
        </w:tc>
        <w:tc>
          <w:tcPr>
            <w:tcW w:w="1300" w:type="dxa"/>
            <w:vAlign w:val="bottom"/>
            <w:gridSpan w:val="2"/>
            <w:vMerge w:val="restart"/>
          </w:tcPr>
          <w:p>
            <w:pPr>
              <w:jc w:val="right"/>
              <w:ind w:right="227"/>
              <w:spacing w:after="0"/>
              <w:rPr>
                <w:sz w:val="20"/>
                <w:szCs w:val="20"/>
                <w:color w:val="auto"/>
              </w:rPr>
            </w:pPr>
            <w:r>
              <w:rPr>
                <w:rFonts w:ascii="Courier New" w:cs="Courier New" w:eastAsia="Courier New" w:hAnsi="Courier New"/>
                <w:sz w:val="15"/>
                <w:szCs w:val="15"/>
                <w:color w:val="auto"/>
              </w:rPr>
              <w:t>31,208,321</w:t>
            </w:r>
          </w:p>
        </w:tc>
        <w:tc>
          <w:tcPr>
            <w:tcW w:w="92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$ 54.43</w:t>
            </w:r>
          </w:p>
        </w:tc>
        <w:tc>
          <w:tcPr>
            <w:tcW w:w="1580" w:type="dxa"/>
            <w:vAlign w:val="bottom"/>
            <w:gridSpan w:val="2"/>
            <w:vMerge w:val="restart"/>
          </w:tcPr>
          <w:p>
            <w:pPr>
              <w:jc w:val="right"/>
              <w:ind w:right="187"/>
              <w:spacing w:after="0"/>
              <w:rPr>
                <w:sz w:val="20"/>
                <w:szCs w:val="20"/>
                <w:color w:val="auto"/>
              </w:rPr>
            </w:pPr>
            <w:r>
              <w:rPr>
                <w:rFonts w:ascii="Courier New" w:cs="Courier New" w:eastAsia="Courier New" w:hAnsi="Courier New"/>
                <w:sz w:val="15"/>
                <w:szCs w:val="15"/>
                <w:color w:val="auto"/>
              </w:rPr>
              <w:t>31,613,924</w:t>
            </w:r>
          </w:p>
        </w:tc>
        <w:tc>
          <w:tcPr>
            <w:tcW w:w="88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$ 46.25</w:t>
            </w:r>
          </w:p>
        </w:tc>
        <w:tc>
          <w:tcPr>
            <w:tcW w:w="1440" w:type="dxa"/>
            <w:vAlign w:val="bottom"/>
            <w:gridSpan w:val="2"/>
            <w:vMerge w:val="restart"/>
          </w:tcPr>
          <w:p>
            <w:pPr>
              <w:jc w:val="right"/>
              <w:ind w:right="147"/>
              <w:spacing w:after="0"/>
              <w:rPr>
                <w:sz w:val="20"/>
                <w:szCs w:val="20"/>
                <w:color w:val="auto"/>
              </w:rPr>
            </w:pPr>
            <w:r>
              <w:rPr>
                <w:rFonts w:ascii="Courier New" w:cs="Courier New" w:eastAsia="Courier New" w:hAnsi="Courier New"/>
                <w:sz w:val="15"/>
                <w:szCs w:val="15"/>
                <w:color w:val="auto"/>
              </w:rPr>
              <w:t>30,310,579</w:t>
            </w:r>
          </w:p>
        </w:tc>
        <w:tc>
          <w:tcPr>
            <w:tcW w:w="7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$ 42.50</w:t>
            </w:r>
          </w:p>
        </w:tc>
        <w:tc>
          <w:tcPr>
            <w:tcW w:w="0" w:type="dxa"/>
            <w:vAlign w:val="bottom"/>
          </w:tcPr>
          <w:p>
            <w:pPr>
              <w:spacing w:after="0"/>
              <w:rPr>
                <w:sz w:val="1"/>
                <w:szCs w:val="1"/>
                <w:color w:val="auto"/>
              </w:rPr>
            </w:pPr>
          </w:p>
        </w:tc>
      </w:tr>
      <w:tr>
        <w:trPr>
          <w:trHeight w:val="245"/>
        </w:trPr>
        <w:tc>
          <w:tcPr>
            <w:tcW w:w="2420" w:type="dxa"/>
            <w:vAlign w:val="bottom"/>
          </w:tcPr>
          <w:p>
            <w:pPr>
              <w:ind w:left="280"/>
              <w:spacing w:after="0"/>
              <w:rPr>
                <w:sz w:val="20"/>
                <w:szCs w:val="20"/>
                <w:color w:val="auto"/>
              </w:rPr>
            </w:pPr>
            <w:r>
              <w:rPr>
                <w:rFonts w:ascii="Courier New" w:cs="Courier New" w:eastAsia="Courier New" w:hAnsi="Courier New"/>
                <w:sz w:val="15"/>
                <w:szCs w:val="15"/>
                <w:color w:val="auto"/>
              </w:rPr>
              <w:t>beginning of year</w:t>
            </w:r>
          </w:p>
        </w:tc>
        <w:tc>
          <w:tcPr>
            <w:tcW w:w="1300" w:type="dxa"/>
            <w:vAlign w:val="bottom"/>
            <w:gridSpan w:val="2"/>
            <w:vMerge w:val="continue"/>
          </w:tcPr>
          <w:p>
            <w:pPr>
              <w:spacing w:after="0"/>
              <w:rPr>
                <w:sz w:val="21"/>
                <w:szCs w:val="21"/>
                <w:color w:val="auto"/>
              </w:rPr>
            </w:pPr>
          </w:p>
        </w:tc>
        <w:tc>
          <w:tcPr>
            <w:tcW w:w="920" w:type="dxa"/>
            <w:vAlign w:val="bottom"/>
            <w:vMerge w:val="continue"/>
          </w:tcPr>
          <w:p>
            <w:pPr>
              <w:spacing w:after="0"/>
              <w:rPr>
                <w:sz w:val="21"/>
                <w:szCs w:val="21"/>
                <w:color w:val="auto"/>
              </w:rPr>
            </w:pPr>
          </w:p>
        </w:tc>
        <w:tc>
          <w:tcPr>
            <w:tcW w:w="1580" w:type="dxa"/>
            <w:vAlign w:val="bottom"/>
            <w:gridSpan w:val="2"/>
            <w:vMerge w:val="continue"/>
          </w:tcPr>
          <w:p>
            <w:pPr>
              <w:spacing w:after="0"/>
              <w:rPr>
                <w:sz w:val="21"/>
                <w:szCs w:val="21"/>
                <w:color w:val="auto"/>
              </w:rPr>
            </w:pPr>
          </w:p>
        </w:tc>
        <w:tc>
          <w:tcPr>
            <w:tcW w:w="880" w:type="dxa"/>
            <w:vAlign w:val="bottom"/>
            <w:vMerge w:val="continue"/>
          </w:tcPr>
          <w:p>
            <w:pPr>
              <w:spacing w:after="0"/>
              <w:rPr>
                <w:sz w:val="21"/>
                <w:szCs w:val="21"/>
                <w:color w:val="auto"/>
              </w:rPr>
            </w:pPr>
          </w:p>
        </w:tc>
        <w:tc>
          <w:tcPr>
            <w:tcW w:w="1440" w:type="dxa"/>
            <w:vAlign w:val="bottom"/>
            <w:gridSpan w:val="2"/>
            <w:vMerge w:val="continue"/>
          </w:tcPr>
          <w:p>
            <w:pPr>
              <w:spacing w:after="0"/>
              <w:rPr>
                <w:sz w:val="21"/>
                <w:szCs w:val="21"/>
                <w:color w:val="auto"/>
              </w:rPr>
            </w:pPr>
          </w:p>
        </w:tc>
        <w:tc>
          <w:tcPr>
            <w:tcW w:w="7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336"/>
        </w:trPr>
        <w:tc>
          <w:tcPr>
            <w:tcW w:w="2420" w:type="dxa"/>
            <w:vAlign w:val="bottom"/>
          </w:tcPr>
          <w:p>
            <w:pPr>
              <w:spacing w:after="0"/>
              <w:rPr>
                <w:sz w:val="20"/>
                <w:szCs w:val="20"/>
                <w:color w:val="auto"/>
              </w:rPr>
            </w:pPr>
            <w:r>
              <w:rPr>
                <w:rFonts w:ascii="Courier New" w:cs="Courier New" w:eastAsia="Courier New" w:hAnsi="Courier New"/>
                <w:sz w:val="15"/>
                <w:szCs w:val="15"/>
                <w:color w:val="auto"/>
              </w:rPr>
              <w:t>Granted</w:t>
            </w:r>
          </w:p>
        </w:tc>
        <w:tc>
          <w:tcPr>
            <w:tcW w:w="220" w:type="dxa"/>
            <w:vAlign w:val="bottom"/>
          </w:tcPr>
          <w:p>
            <w:pPr>
              <w:spacing w:after="0"/>
              <w:rPr>
                <w:sz w:val="24"/>
                <w:szCs w:val="24"/>
                <w:color w:val="auto"/>
              </w:rPr>
            </w:pPr>
          </w:p>
        </w:tc>
        <w:tc>
          <w:tcPr>
            <w:tcW w:w="108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3"/>
              </w:rPr>
              <w:t>4,110,468</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$ 61.55</w:t>
            </w:r>
          </w:p>
        </w:tc>
        <w:tc>
          <w:tcPr>
            <w:tcW w:w="540" w:type="dxa"/>
            <w:vAlign w:val="bottom"/>
          </w:tcPr>
          <w:p>
            <w:pPr>
              <w:spacing w:after="0"/>
              <w:rPr>
                <w:sz w:val="24"/>
                <w:szCs w:val="24"/>
                <w:color w:val="auto"/>
              </w:rPr>
            </w:pPr>
          </w:p>
        </w:tc>
        <w:tc>
          <w:tcPr>
            <w:tcW w:w="104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3"/>
              </w:rPr>
              <w:t>5,643,500</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$ 79.64</w:t>
            </w:r>
          </w:p>
        </w:tc>
        <w:tc>
          <w:tcPr>
            <w:tcW w:w="440" w:type="dxa"/>
            <w:vAlign w:val="bottom"/>
          </w:tcPr>
          <w:p>
            <w:pPr>
              <w:spacing w:after="0"/>
              <w:rPr>
                <w:sz w:val="24"/>
                <w:szCs w:val="24"/>
                <w:color w:val="auto"/>
              </w:rPr>
            </w:pP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3"/>
              </w:rPr>
              <w:t>6,012,168</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$ 54.04</w:t>
            </w:r>
          </w:p>
        </w:tc>
        <w:tc>
          <w:tcPr>
            <w:tcW w:w="0" w:type="dxa"/>
            <w:vAlign w:val="bottom"/>
          </w:tcPr>
          <w:p>
            <w:pPr>
              <w:spacing w:after="0"/>
              <w:rPr>
                <w:sz w:val="1"/>
                <w:szCs w:val="1"/>
                <w:color w:val="auto"/>
              </w:rPr>
            </w:pPr>
          </w:p>
        </w:tc>
      </w:tr>
      <w:tr>
        <w:trPr>
          <w:trHeight w:val="336"/>
        </w:trPr>
        <w:tc>
          <w:tcPr>
            <w:tcW w:w="2420" w:type="dxa"/>
            <w:vAlign w:val="bottom"/>
          </w:tcPr>
          <w:p>
            <w:pPr>
              <w:spacing w:after="0"/>
              <w:rPr>
                <w:sz w:val="20"/>
                <w:szCs w:val="20"/>
                <w:color w:val="auto"/>
              </w:rPr>
            </w:pPr>
            <w:r>
              <w:rPr>
                <w:rFonts w:ascii="Courier New" w:cs="Courier New" w:eastAsia="Courier New" w:hAnsi="Courier New"/>
                <w:sz w:val="15"/>
                <w:szCs w:val="15"/>
                <w:color w:val="auto"/>
              </w:rPr>
              <w:t>Exercised</w:t>
            </w:r>
          </w:p>
        </w:tc>
        <w:tc>
          <w:tcPr>
            <w:tcW w:w="13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(1,444,588)</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$ 31.88</w:t>
            </w:r>
          </w:p>
        </w:tc>
        <w:tc>
          <w:tcPr>
            <w:tcW w:w="15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(5,447,870)</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$ 30.76</w:t>
            </w:r>
          </w:p>
        </w:tc>
        <w:tc>
          <w:tcPr>
            <w:tcW w:w="144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(3,634,790)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$ 28.68</w:t>
            </w:r>
          </w:p>
        </w:tc>
        <w:tc>
          <w:tcPr>
            <w:tcW w:w="0" w:type="dxa"/>
            <w:vAlign w:val="bottom"/>
          </w:tcPr>
          <w:p>
            <w:pPr>
              <w:spacing w:after="0"/>
              <w:rPr>
                <w:sz w:val="1"/>
                <w:szCs w:val="1"/>
                <w:color w:val="auto"/>
              </w:rPr>
            </w:pPr>
          </w:p>
        </w:tc>
      </w:tr>
      <w:tr>
        <w:trPr>
          <w:trHeight w:val="336"/>
        </w:trPr>
        <w:tc>
          <w:tcPr>
            <w:tcW w:w="2420" w:type="dxa"/>
            <w:vAlign w:val="bottom"/>
          </w:tcPr>
          <w:p>
            <w:pPr>
              <w:spacing w:after="0"/>
              <w:rPr>
                <w:sz w:val="20"/>
                <w:szCs w:val="20"/>
                <w:color w:val="auto"/>
              </w:rPr>
            </w:pPr>
            <w:r>
              <w:rPr>
                <w:rFonts w:ascii="Courier New" w:cs="Courier New" w:eastAsia="Courier New" w:hAnsi="Courier New"/>
                <w:sz w:val="15"/>
                <w:szCs w:val="15"/>
                <w:color w:val="auto"/>
              </w:rPr>
              <w:t>Forfeited</w:t>
            </w:r>
          </w:p>
        </w:tc>
        <w:tc>
          <w:tcPr>
            <w:tcW w:w="13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(1,037,861)</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$ 71.27</w:t>
            </w:r>
          </w:p>
        </w:tc>
        <w:tc>
          <w:tcPr>
            <w:tcW w:w="540" w:type="dxa"/>
            <w:vAlign w:val="bottom"/>
          </w:tcPr>
          <w:p>
            <w:pPr>
              <w:spacing w:after="0"/>
              <w:rPr>
                <w:sz w:val="24"/>
                <w:szCs w:val="24"/>
                <w:color w:val="auto"/>
              </w:rPr>
            </w:pPr>
          </w:p>
        </w:tc>
        <w:tc>
          <w:tcPr>
            <w:tcW w:w="10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(601,233)</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$ 62.03</w:t>
            </w:r>
          </w:p>
        </w:tc>
        <w:tc>
          <w:tcPr>
            <w:tcW w:w="144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(1,074,033)</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$ 52.50</w:t>
            </w:r>
          </w:p>
        </w:tc>
        <w:tc>
          <w:tcPr>
            <w:tcW w:w="0" w:type="dxa"/>
            <w:vAlign w:val="bottom"/>
          </w:tcPr>
          <w:p>
            <w:pPr>
              <w:spacing w:after="0"/>
              <w:rPr>
                <w:sz w:val="1"/>
                <w:szCs w:val="1"/>
                <w:color w:val="auto"/>
              </w:rPr>
            </w:pPr>
          </w:p>
        </w:tc>
      </w:tr>
      <w:tr>
        <w:trPr>
          <w:trHeight w:val="259"/>
        </w:trPr>
        <w:tc>
          <w:tcPr>
            <w:tcW w:w="2420" w:type="dxa"/>
            <w:vAlign w:val="bottom"/>
            <w:vMerge w:val="restart"/>
          </w:tcPr>
          <w:p>
            <w:pPr>
              <w:spacing w:after="0"/>
              <w:rPr>
                <w:sz w:val="20"/>
                <w:szCs w:val="20"/>
                <w:color w:val="auto"/>
              </w:rPr>
            </w:pPr>
            <w:r>
              <w:rPr>
                <w:rFonts w:ascii="Courier New" w:cs="Courier New" w:eastAsia="Courier New" w:hAnsi="Courier New"/>
                <w:sz w:val="15"/>
                <w:szCs w:val="15"/>
                <w:color w:val="auto"/>
              </w:rPr>
              <w:t>Outstanding at year-end</w:t>
            </w:r>
          </w:p>
        </w:tc>
        <w:tc>
          <w:tcPr>
            <w:tcW w:w="1300" w:type="dxa"/>
            <w:vAlign w:val="bottom"/>
            <w:gridSpan w:val="2"/>
            <w:vMerge w:val="restart"/>
          </w:tcPr>
          <w:p>
            <w:pPr>
              <w:jc w:val="right"/>
              <w:ind w:right="147"/>
              <w:spacing w:after="0"/>
              <w:rPr>
                <w:sz w:val="20"/>
                <w:szCs w:val="20"/>
                <w:color w:val="auto"/>
              </w:rPr>
            </w:pPr>
            <w:r>
              <w:rPr>
                <w:rFonts w:ascii="Courier New" w:cs="Courier New" w:eastAsia="Courier New" w:hAnsi="Courier New"/>
                <w:sz w:val="11"/>
                <w:szCs w:val="11"/>
                <w:color w:val="auto"/>
                <w:w w:val="70"/>
              </w:rPr>
              <w:t>------------</w:t>
            </w:r>
            <w:r>
              <w:rPr>
                <w:rFonts w:ascii="Courier New" w:cs="Courier New" w:eastAsia="Courier New" w:hAnsi="Courier New"/>
                <w:sz w:val="18"/>
                <w:szCs w:val="18"/>
                <w:color w:val="auto"/>
                <w:w w:val="70"/>
                <w:vertAlign w:val="subscript"/>
              </w:rPr>
              <w:t>32,836,340</w:t>
            </w:r>
          </w:p>
        </w:tc>
        <w:tc>
          <w:tcPr>
            <w:tcW w:w="92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$ 55.80</w:t>
            </w:r>
          </w:p>
        </w:tc>
        <w:tc>
          <w:tcPr>
            <w:tcW w:w="15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8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$ 54.54</w:t>
            </w:r>
          </w:p>
        </w:tc>
        <w:tc>
          <w:tcPr>
            <w:tcW w:w="144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7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$ 46.25</w:t>
            </w:r>
          </w:p>
        </w:tc>
        <w:tc>
          <w:tcPr>
            <w:tcW w:w="0" w:type="dxa"/>
            <w:vAlign w:val="bottom"/>
          </w:tcPr>
          <w:p>
            <w:pPr>
              <w:spacing w:after="0"/>
              <w:rPr>
                <w:sz w:val="1"/>
                <w:szCs w:val="1"/>
                <w:color w:val="auto"/>
              </w:rPr>
            </w:pPr>
          </w:p>
        </w:tc>
      </w:tr>
      <w:tr>
        <w:trPr>
          <w:trHeight w:val="168"/>
        </w:trPr>
        <w:tc>
          <w:tcPr>
            <w:tcW w:w="2420" w:type="dxa"/>
            <w:vAlign w:val="bottom"/>
            <w:vMerge w:val="continue"/>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15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31,208,321</w:t>
            </w:r>
          </w:p>
        </w:tc>
        <w:tc>
          <w:tcPr>
            <w:tcW w:w="880" w:type="dxa"/>
            <w:vAlign w:val="bottom"/>
            <w:vMerge w:val="continue"/>
          </w:tcPr>
          <w:p>
            <w:pPr>
              <w:spacing w:after="0"/>
              <w:rPr>
                <w:sz w:val="14"/>
                <w:szCs w:val="14"/>
                <w:color w:val="auto"/>
              </w:rPr>
            </w:pPr>
          </w:p>
        </w:tc>
        <w:tc>
          <w:tcPr>
            <w:tcW w:w="14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31,613,924</w:t>
            </w: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2420" w:type="dxa"/>
            <w:vAlign w:val="bottom"/>
          </w:tcPr>
          <w:p>
            <w:pPr>
              <w:spacing w:after="0"/>
              <w:rPr>
                <w:sz w:val="21"/>
                <w:szCs w:val="21"/>
                <w:color w:val="auto"/>
              </w:rPr>
            </w:pPr>
          </w:p>
        </w:tc>
        <w:tc>
          <w:tcPr>
            <w:tcW w:w="13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w w:val="98"/>
              </w:rPr>
              <w:t>============</w:t>
            </w:r>
          </w:p>
        </w:tc>
        <w:tc>
          <w:tcPr>
            <w:tcW w:w="920" w:type="dxa"/>
            <w:vAlign w:val="bottom"/>
          </w:tcPr>
          <w:p>
            <w:pPr>
              <w:spacing w:after="0"/>
              <w:rPr>
                <w:sz w:val="21"/>
                <w:szCs w:val="21"/>
                <w:color w:val="auto"/>
              </w:rPr>
            </w:pPr>
          </w:p>
        </w:tc>
        <w:tc>
          <w:tcPr>
            <w:tcW w:w="15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spacing w:after="0"/>
              <w:rPr>
                <w:sz w:val="21"/>
                <w:szCs w:val="21"/>
                <w:color w:val="auto"/>
              </w:rPr>
            </w:pPr>
          </w:p>
        </w:tc>
        <w:tc>
          <w:tcPr>
            <w:tcW w:w="144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2420" w:type="dxa"/>
            <w:vAlign w:val="bottom"/>
          </w:tcPr>
          <w:p>
            <w:pPr>
              <w:spacing w:after="0"/>
              <w:rPr>
                <w:sz w:val="20"/>
                <w:szCs w:val="20"/>
                <w:color w:val="auto"/>
              </w:rPr>
            </w:pPr>
            <w:r>
              <w:rPr>
                <w:rFonts w:ascii="Courier New" w:cs="Courier New" w:eastAsia="Courier New" w:hAnsi="Courier New"/>
                <w:sz w:val="15"/>
                <w:szCs w:val="15"/>
                <w:color w:val="auto"/>
              </w:rPr>
              <w:t>Options exercisable at</w:t>
            </w:r>
          </w:p>
        </w:tc>
        <w:tc>
          <w:tcPr>
            <w:tcW w:w="1300" w:type="dxa"/>
            <w:vAlign w:val="bottom"/>
            <w:gridSpan w:val="2"/>
            <w:vMerge w:val="restart"/>
          </w:tcPr>
          <w:p>
            <w:pPr>
              <w:jc w:val="right"/>
              <w:ind w:right="227"/>
              <w:spacing w:after="0"/>
              <w:rPr>
                <w:sz w:val="20"/>
                <w:szCs w:val="20"/>
                <w:color w:val="auto"/>
              </w:rPr>
            </w:pPr>
            <w:r>
              <w:rPr>
                <w:rFonts w:ascii="Courier New" w:cs="Courier New" w:eastAsia="Courier New" w:hAnsi="Courier New"/>
                <w:sz w:val="15"/>
                <w:szCs w:val="15"/>
                <w:color w:val="auto"/>
              </w:rPr>
              <w:t>19,724,680</w:t>
            </w:r>
          </w:p>
        </w:tc>
        <w:tc>
          <w:tcPr>
            <w:tcW w:w="920" w:type="dxa"/>
            <w:vAlign w:val="bottom"/>
          </w:tcPr>
          <w:p>
            <w:pPr>
              <w:spacing w:after="0"/>
              <w:rPr>
                <w:sz w:val="22"/>
                <w:szCs w:val="22"/>
                <w:color w:val="auto"/>
              </w:rPr>
            </w:pPr>
          </w:p>
        </w:tc>
        <w:tc>
          <w:tcPr>
            <w:tcW w:w="1580" w:type="dxa"/>
            <w:vAlign w:val="bottom"/>
            <w:gridSpan w:val="2"/>
            <w:vMerge w:val="restart"/>
          </w:tcPr>
          <w:p>
            <w:pPr>
              <w:jc w:val="right"/>
              <w:ind w:right="187"/>
              <w:spacing w:after="0"/>
              <w:rPr>
                <w:sz w:val="20"/>
                <w:szCs w:val="20"/>
                <w:color w:val="auto"/>
              </w:rPr>
            </w:pPr>
            <w:r>
              <w:rPr>
                <w:rFonts w:ascii="Courier New" w:cs="Courier New" w:eastAsia="Courier New" w:hAnsi="Courier New"/>
                <w:sz w:val="15"/>
                <w:szCs w:val="15"/>
                <w:color w:val="auto"/>
              </w:rPr>
              <w:t>16,277,868</w:t>
            </w:r>
          </w:p>
        </w:tc>
        <w:tc>
          <w:tcPr>
            <w:tcW w:w="880" w:type="dxa"/>
            <w:vAlign w:val="bottom"/>
          </w:tcPr>
          <w:p>
            <w:pPr>
              <w:spacing w:after="0"/>
              <w:rPr>
                <w:sz w:val="22"/>
                <w:szCs w:val="22"/>
                <w:color w:val="auto"/>
              </w:rPr>
            </w:pPr>
          </w:p>
        </w:tc>
        <w:tc>
          <w:tcPr>
            <w:tcW w:w="1440" w:type="dxa"/>
            <w:vAlign w:val="bottom"/>
            <w:gridSpan w:val="2"/>
            <w:vMerge w:val="restart"/>
          </w:tcPr>
          <w:p>
            <w:pPr>
              <w:jc w:val="right"/>
              <w:ind w:right="147"/>
              <w:spacing w:after="0"/>
              <w:rPr>
                <w:sz w:val="20"/>
                <w:szCs w:val="20"/>
                <w:color w:val="auto"/>
              </w:rPr>
            </w:pPr>
            <w:r>
              <w:rPr>
                <w:rFonts w:ascii="Courier New" w:cs="Courier New" w:eastAsia="Courier New" w:hAnsi="Courier New"/>
                <w:sz w:val="15"/>
                <w:szCs w:val="15"/>
                <w:color w:val="auto"/>
              </w:rPr>
              <w:t>16,396,821</w:t>
            </w: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4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year-end</w:t>
            </w:r>
          </w:p>
        </w:tc>
        <w:tc>
          <w:tcPr>
            <w:tcW w:w="1300" w:type="dxa"/>
            <w:vAlign w:val="bottom"/>
            <w:gridSpan w:val="2"/>
            <w:vMerge w:val="continue"/>
          </w:tcPr>
          <w:p>
            <w:pPr>
              <w:spacing w:after="0"/>
              <w:rPr>
                <w:sz w:val="14"/>
                <w:szCs w:val="14"/>
                <w:color w:val="auto"/>
              </w:rPr>
            </w:pPr>
          </w:p>
        </w:tc>
        <w:tc>
          <w:tcPr>
            <w:tcW w:w="920" w:type="dxa"/>
            <w:vAlign w:val="bottom"/>
          </w:tcPr>
          <w:p>
            <w:pPr>
              <w:spacing w:after="0"/>
              <w:rPr>
                <w:sz w:val="14"/>
                <w:szCs w:val="14"/>
                <w:color w:val="auto"/>
              </w:rPr>
            </w:pPr>
          </w:p>
        </w:tc>
        <w:tc>
          <w:tcPr>
            <w:tcW w:w="1580" w:type="dxa"/>
            <w:vAlign w:val="bottom"/>
            <w:gridSpan w:val="2"/>
            <w:vMerge w:val="continue"/>
          </w:tcPr>
          <w:p>
            <w:pPr>
              <w:spacing w:after="0"/>
              <w:rPr>
                <w:sz w:val="14"/>
                <w:szCs w:val="14"/>
                <w:color w:val="auto"/>
              </w:rPr>
            </w:pPr>
          </w:p>
        </w:tc>
        <w:tc>
          <w:tcPr>
            <w:tcW w:w="880" w:type="dxa"/>
            <w:vAlign w:val="bottom"/>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420" w:type="dxa"/>
            <w:vAlign w:val="bottom"/>
          </w:tcPr>
          <w:p>
            <w:pPr>
              <w:spacing w:after="0" w:line="168" w:lineRule="exact"/>
              <w:rPr>
                <w:sz w:val="20"/>
                <w:szCs w:val="20"/>
                <w:color w:val="auto"/>
              </w:rPr>
            </w:pPr>
            <w:r>
              <w:rPr>
                <w:rFonts w:ascii="Courier New" w:cs="Courier New" w:eastAsia="Courier New" w:hAnsi="Courier New"/>
                <w:sz w:val="15"/>
                <w:szCs w:val="15"/>
                <w:color w:val="auto"/>
              </w:rPr>
              <w:t>Weighted-average fair</w:t>
            </w: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4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8"/>
              </w:rPr>
              <w:t>value of options granted</w:t>
            </w:r>
          </w:p>
        </w:tc>
        <w:tc>
          <w:tcPr>
            <w:tcW w:w="2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21.51</w:t>
            </w:r>
          </w:p>
        </w:tc>
        <w:tc>
          <w:tcPr>
            <w:tcW w:w="920" w:type="dxa"/>
            <w:vAlign w:val="bottom"/>
          </w:tcPr>
          <w:p>
            <w:pPr>
              <w:spacing w:after="0"/>
              <w:rPr>
                <w:sz w:val="14"/>
                <w:szCs w:val="14"/>
                <w:color w:val="auto"/>
              </w:rPr>
            </w:pPr>
          </w:p>
        </w:tc>
        <w:tc>
          <w:tcPr>
            <w:tcW w:w="5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30.03</w:t>
            </w:r>
          </w:p>
        </w:tc>
        <w:tc>
          <w:tcPr>
            <w:tcW w:w="880" w:type="dxa"/>
            <w:vAlign w:val="bottom"/>
          </w:tcPr>
          <w:p>
            <w:pPr>
              <w:spacing w:after="0"/>
              <w:rPr>
                <w:sz w:val="14"/>
                <w:szCs w:val="14"/>
                <w:color w:val="auto"/>
              </w:rPr>
            </w:pPr>
          </w:p>
        </w:tc>
        <w:tc>
          <w:tcPr>
            <w:tcW w:w="4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17.72</w:t>
            </w: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2420" w:type="dxa"/>
            <w:vAlign w:val="bottom"/>
          </w:tcPr>
          <w:p>
            <w:pPr>
              <w:ind w:left="280"/>
              <w:spacing w:after="0"/>
              <w:rPr>
                <w:sz w:val="20"/>
                <w:szCs w:val="20"/>
                <w:color w:val="auto"/>
              </w:rPr>
            </w:pPr>
            <w:r>
              <w:rPr>
                <w:rFonts w:ascii="Courier New" w:cs="Courier New" w:eastAsia="Courier New" w:hAnsi="Courier New"/>
                <w:sz w:val="15"/>
                <w:szCs w:val="15"/>
                <w:color w:val="auto"/>
              </w:rPr>
              <w:t>during the year</w:t>
            </w:r>
          </w:p>
        </w:tc>
        <w:tc>
          <w:tcPr>
            <w:tcW w:w="220" w:type="dxa"/>
            <w:vAlign w:val="bottom"/>
            <w:vMerge w:val="continue"/>
          </w:tcPr>
          <w:p>
            <w:pPr>
              <w:spacing w:after="0"/>
              <w:rPr>
                <w:sz w:val="21"/>
                <w:szCs w:val="21"/>
                <w:color w:val="auto"/>
              </w:rPr>
            </w:pPr>
          </w:p>
        </w:tc>
        <w:tc>
          <w:tcPr>
            <w:tcW w:w="1080" w:type="dxa"/>
            <w:vAlign w:val="bottom"/>
            <w:vMerge w:val="continue"/>
          </w:tcPr>
          <w:p>
            <w:pPr>
              <w:spacing w:after="0"/>
              <w:rPr>
                <w:sz w:val="21"/>
                <w:szCs w:val="21"/>
                <w:color w:val="auto"/>
              </w:rPr>
            </w:pPr>
          </w:p>
        </w:tc>
        <w:tc>
          <w:tcPr>
            <w:tcW w:w="920" w:type="dxa"/>
            <w:vAlign w:val="bottom"/>
          </w:tcPr>
          <w:p>
            <w:pPr>
              <w:spacing w:after="0"/>
              <w:rPr>
                <w:sz w:val="21"/>
                <w:szCs w:val="21"/>
                <w:color w:val="auto"/>
              </w:rPr>
            </w:pPr>
          </w:p>
        </w:tc>
        <w:tc>
          <w:tcPr>
            <w:tcW w:w="540" w:type="dxa"/>
            <w:vAlign w:val="bottom"/>
            <w:vMerge w:val="continue"/>
          </w:tcPr>
          <w:p>
            <w:pPr>
              <w:spacing w:after="0"/>
              <w:rPr>
                <w:sz w:val="21"/>
                <w:szCs w:val="21"/>
                <w:color w:val="auto"/>
              </w:rPr>
            </w:pPr>
          </w:p>
        </w:tc>
        <w:tc>
          <w:tcPr>
            <w:tcW w:w="1040" w:type="dxa"/>
            <w:vAlign w:val="bottom"/>
            <w:vMerge w:val="continue"/>
          </w:tcPr>
          <w:p>
            <w:pPr>
              <w:spacing w:after="0"/>
              <w:rPr>
                <w:sz w:val="21"/>
                <w:szCs w:val="21"/>
                <w:color w:val="auto"/>
              </w:rPr>
            </w:pPr>
          </w:p>
        </w:tc>
        <w:tc>
          <w:tcPr>
            <w:tcW w:w="880" w:type="dxa"/>
            <w:vAlign w:val="bottom"/>
          </w:tcPr>
          <w:p>
            <w:pPr>
              <w:spacing w:after="0"/>
              <w:rPr>
                <w:sz w:val="21"/>
                <w:szCs w:val="21"/>
                <w:color w:val="auto"/>
              </w:rPr>
            </w:pPr>
          </w:p>
        </w:tc>
        <w:tc>
          <w:tcPr>
            <w:tcW w:w="440" w:type="dxa"/>
            <w:vAlign w:val="bottom"/>
            <w:vMerge w:val="continue"/>
          </w:tcPr>
          <w:p>
            <w:pPr>
              <w:spacing w:after="0"/>
              <w:rPr>
                <w:sz w:val="21"/>
                <w:szCs w:val="21"/>
                <w:color w:val="auto"/>
              </w:rPr>
            </w:pPr>
          </w:p>
        </w:tc>
        <w:tc>
          <w:tcPr>
            <w:tcW w:w="1000" w:type="dxa"/>
            <w:vAlign w:val="bottom"/>
            <w:vMerge w:val="continue"/>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91" w:lineRule="exact"/>
        <w:rPr>
          <w:sz w:val="20"/>
          <w:szCs w:val="20"/>
          <w:color w:val="auto"/>
        </w:rPr>
      </w:pPr>
    </w:p>
    <w:p>
      <w:pPr>
        <w:jc w:val="both"/>
        <w:ind w:left="440" w:right="1039" w:hanging="439"/>
        <w:spacing w:after="0" w:line="290" w:lineRule="auto"/>
        <w:tabs>
          <w:tab w:leader="none" w:pos="420" w:val="left"/>
        </w:tabs>
        <w:rPr>
          <w:sz w:val="20"/>
          <w:szCs w:val="20"/>
          <w:color w:val="auto"/>
        </w:rPr>
      </w:pPr>
      <w:r>
        <w:rPr>
          <w:rFonts w:ascii="Courier New" w:cs="Courier New" w:eastAsia="Courier New" w:hAnsi="Courier New"/>
          <w:sz w:val="15"/>
          <w:szCs w:val="15"/>
          <w:color w:val="auto"/>
        </w:rPr>
        <w:t>/1/</w:t>
        <w:tab/>
        <w:t>Shares and exercise price have been restated to reflect adjustments made as a result of the spin-off of Sedco Forex, in accordance with EITF Issue 90-9, Changes to Fixed Employee Stock Option Plans as Result of Equity Restructuring.</w:t>
      </w:r>
    </w:p>
    <w:p>
      <w:pPr>
        <w:spacing w:after="0" w:line="225" w:lineRule="exact"/>
        <w:rPr>
          <w:sz w:val="20"/>
          <w:szCs w:val="20"/>
          <w:color w:val="auto"/>
        </w:rPr>
      </w:pPr>
    </w:p>
    <w:p>
      <w:pPr>
        <w:ind w:right="3319"/>
        <w:spacing w:after="0" w:line="385" w:lineRule="auto"/>
        <w:rPr>
          <w:sz w:val="20"/>
          <w:szCs w:val="20"/>
          <w:color w:val="auto"/>
        </w:rPr>
      </w:pPr>
      <w:r>
        <w:rPr>
          <w:rFonts w:ascii="Courier New" w:cs="Courier New" w:eastAsia="Courier New" w:hAnsi="Courier New"/>
          <w:sz w:val="14"/>
          <w:szCs w:val="14"/>
          <w:color w:val="auto"/>
        </w:rPr>
        <w:t>The following table summarizes information concerning currently outstanding and exercisable options by five ranges of exercise prices on December 31, 2001:</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7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8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5"/>
              </w:rPr>
              <w:t>Options Outstanding</w:t>
            </w:r>
          </w:p>
        </w:tc>
        <w:tc>
          <w:tcPr>
            <w:tcW w:w="1040" w:type="dxa"/>
            <w:vAlign w:val="bottom"/>
          </w:tcPr>
          <w:p>
            <w:pPr>
              <w:spacing w:after="0"/>
              <w:rPr>
                <w:sz w:val="14"/>
                <w:szCs w:val="14"/>
                <w:color w:val="auto"/>
              </w:rPr>
            </w:pPr>
          </w:p>
        </w:tc>
        <w:tc>
          <w:tcPr>
            <w:tcW w:w="2900" w:type="dxa"/>
            <w:vAlign w:val="bottom"/>
            <w:gridSpan w:val="2"/>
          </w:tcPr>
          <w:p>
            <w:pPr>
              <w:ind w:left="620"/>
              <w:spacing w:after="0"/>
              <w:rPr>
                <w:sz w:val="20"/>
                <w:szCs w:val="20"/>
                <w:color w:val="auto"/>
              </w:rPr>
            </w:pPr>
            <w:r>
              <w:rPr>
                <w:rFonts w:ascii="Courier New" w:cs="Courier New" w:eastAsia="Courier New" w:hAnsi="Courier New"/>
                <w:sz w:val="15"/>
                <w:szCs w:val="15"/>
                <w:color w:val="auto"/>
              </w:rPr>
              <w:t>Options Exercisable</w:t>
            </w:r>
          </w:p>
        </w:tc>
        <w:tc>
          <w:tcPr>
            <w:tcW w:w="0" w:type="dxa"/>
            <w:vAlign w:val="bottom"/>
          </w:tcPr>
          <w:p>
            <w:pPr>
              <w:spacing w:after="0"/>
              <w:rPr>
                <w:sz w:val="1"/>
                <w:szCs w:val="1"/>
                <w:color w:val="auto"/>
              </w:rPr>
            </w:pPr>
          </w:p>
        </w:tc>
      </w:tr>
      <w:tr>
        <w:trPr>
          <w:trHeight w:val="168"/>
        </w:trPr>
        <w:tc>
          <w:tcPr>
            <w:tcW w:w="172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Courier New" w:cs="Courier New" w:eastAsia="Courier New" w:hAnsi="Courier New"/>
                <w:sz w:val="8"/>
                <w:szCs w:val="8"/>
                <w:color w:val="auto"/>
                <w:w w:val="74"/>
              </w:rPr>
              <w:t>-----------------------------------------------</w:t>
            </w:r>
          </w:p>
        </w:tc>
        <w:tc>
          <w:tcPr>
            <w:tcW w:w="1840" w:type="dxa"/>
            <w:vAlign w:val="bottom"/>
            <w:vMerge w:val="restart"/>
          </w:tcPr>
          <w:p>
            <w:pPr>
              <w:jc w:val="center"/>
              <w:spacing w:after="0"/>
              <w:rPr>
                <w:sz w:val="20"/>
                <w:szCs w:val="20"/>
                <w:color w:val="auto"/>
              </w:rPr>
            </w:pPr>
            <w:r>
              <w:rPr>
                <w:rFonts w:ascii="Courier New" w:cs="Courier New" w:eastAsia="Courier New" w:hAnsi="Courier New"/>
                <w:sz w:val="15"/>
                <w:szCs w:val="15"/>
                <w:color w:val="auto"/>
                <w:w w:val="98"/>
              </w:rPr>
              <w:t>Weighted-</w:t>
            </w:r>
          </w:p>
        </w:tc>
        <w:tc>
          <w:tcPr>
            <w:tcW w:w="1040" w:type="dxa"/>
            <w:vAlign w:val="bottom"/>
            <w:vMerge w:val="restart"/>
          </w:tcPr>
          <w:p>
            <w:pPr>
              <w:jc w:val="center"/>
              <w:ind w:left="27"/>
              <w:spacing w:after="0"/>
              <w:rPr>
                <w:sz w:val="20"/>
                <w:szCs w:val="20"/>
                <w:color w:val="auto"/>
              </w:rPr>
            </w:pPr>
            <w:r>
              <w:rPr>
                <w:rFonts w:ascii="Courier New" w:cs="Courier New" w:eastAsia="Courier New" w:hAnsi="Courier New"/>
                <w:sz w:val="15"/>
                <w:szCs w:val="15"/>
                <w:color w:val="auto"/>
                <w:w w:val="96"/>
              </w:rPr>
              <w:t>Weighted-</w:t>
            </w:r>
          </w:p>
        </w:tc>
        <w:tc>
          <w:tcPr>
            <w:tcW w:w="29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168"/>
        </w:trPr>
        <w:tc>
          <w:tcPr>
            <w:tcW w:w="1720" w:type="dxa"/>
            <w:vAlign w:val="bottom"/>
          </w:tcPr>
          <w:p>
            <w:pPr>
              <w:spacing w:after="0"/>
              <w:rPr>
                <w:sz w:val="14"/>
                <w:szCs w:val="14"/>
                <w:color w:val="auto"/>
              </w:rPr>
            </w:pPr>
          </w:p>
        </w:tc>
        <w:tc>
          <w:tcPr>
            <w:tcW w:w="1700" w:type="dxa"/>
            <w:vAlign w:val="bottom"/>
            <w:vMerge w:val="restart"/>
          </w:tcPr>
          <w:p>
            <w:pPr>
              <w:jc w:val="right"/>
              <w:ind w:right="375"/>
              <w:spacing w:after="0"/>
              <w:rPr>
                <w:sz w:val="20"/>
                <w:szCs w:val="20"/>
                <w:color w:val="auto"/>
              </w:rPr>
            </w:pPr>
            <w:r>
              <w:rPr>
                <w:rFonts w:ascii="Courier New" w:cs="Courier New" w:eastAsia="Courier New" w:hAnsi="Courier New"/>
                <w:sz w:val="15"/>
                <w:szCs w:val="15"/>
                <w:color w:val="auto"/>
              </w:rPr>
              <w:t>Number</w:t>
            </w:r>
          </w:p>
        </w:tc>
        <w:tc>
          <w:tcPr>
            <w:tcW w:w="184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1940" w:type="dxa"/>
            <w:vAlign w:val="bottom"/>
            <w:vMerge w:val="restart"/>
          </w:tcPr>
          <w:p>
            <w:pPr>
              <w:ind w:left="880"/>
              <w:spacing w:after="0"/>
              <w:rPr>
                <w:sz w:val="20"/>
                <w:szCs w:val="20"/>
                <w:color w:val="auto"/>
              </w:rPr>
            </w:pPr>
            <w:r>
              <w:rPr>
                <w:rFonts w:ascii="Courier New" w:cs="Courier New" w:eastAsia="Courier New" w:hAnsi="Courier New"/>
                <w:sz w:val="15"/>
                <w:szCs w:val="15"/>
                <w:color w:val="auto"/>
              </w:rPr>
              <w:t>Number</w:t>
            </w:r>
          </w:p>
        </w:tc>
        <w:tc>
          <w:tcPr>
            <w:tcW w:w="960" w:type="dxa"/>
            <w:vAlign w:val="bottom"/>
          </w:tcPr>
          <w:p>
            <w:pPr>
              <w:jc w:val="center"/>
              <w:ind w:left="87"/>
              <w:spacing w:after="0" w:line="168" w:lineRule="exact"/>
              <w:rPr>
                <w:sz w:val="20"/>
                <w:szCs w:val="20"/>
                <w:color w:val="auto"/>
              </w:rPr>
            </w:pPr>
            <w:r>
              <w:rPr>
                <w:rFonts w:ascii="Courier New" w:cs="Courier New" w:eastAsia="Courier New" w:hAnsi="Courier New"/>
                <w:sz w:val="15"/>
                <w:szCs w:val="15"/>
                <w:color w:val="auto"/>
                <w:w w:val="98"/>
              </w:rPr>
              <w:t>Weighted-</w:t>
            </w:r>
          </w:p>
        </w:tc>
        <w:tc>
          <w:tcPr>
            <w:tcW w:w="0" w:type="dxa"/>
            <w:vAlign w:val="bottom"/>
          </w:tcPr>
          <w:p>
            <w:pPr>
              <w:spacing w:after="0"/>
              <w:rPr>
                <w:sz w:val="1"/>
                <w:szCs w:val="1"/>
                <w:color w:val="auto"/>
              </w:rPr>
            </w:pPr>
          </w:p>
        </w:tc>
      </w:tr>
      <w:tr>
        <w:trPr>
          <w:trHeight w:val="168"/>
        </w:trPr>
        <w:tc>
          <w:tcPr>
            <w:tcW w:w="1720" w:type="dxa"/>
            <w:vAlign w:val="bottom"/>
            <w:vMerge w:val="restart"/>
          </w:tcPr>
          <w:p>
            <w:pPr>
              <w:spacing w:after="0"/>
              <w:rPr>
                <w:sz w:val="20"/>
                <w:szCs w:val="20"/>
                <w:color w:val="auto"/>
              </w:rPr>
            </w:pPr>
            <w:r>
              <w:rPr>
                <w:rFonts w:ascii="Courier New" w:cs="Courier New" w:eastAsia="Courier New" w:hAnsi="Courier New"/>
                <w:sz w:val="15"/>
                <w:szCs w:val="15"/>
                <w:color w:val="auto"/>
              </w:rPr>
              <w:t>Range of</w:t>
            </w:r>
          </w:p>
        </w:tc>
        <w:tc>
          <w:tcPr>
            <w:tcW w:w="1700" w:type="dxa"/>
            <w:vAlign w:val="bottom"/>
            <w:vMerge w:val="continue"/>
          </w:tcPr>
          <w:p>
            <w:pPr>
              <w:spacing w:after="0"/>
              <w:rPr>
                <w:sz w:val="14"/>
                <w:szCs w:val="14"/>
                <w:color w:val="auto"/>
              </w:rPr>
            </w:pPr>
          </w:p>
        </w:tc>
        <w:tc>
          <w:tcPr>
            <w:tcW w:w="18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5"/>
              </w:rPr>
              <w:t>average</w:t>
            </w:r>
          </w:p>
        </w:tc>
        <w:tc>
          <w:tcPr>
            <w:tcW w:w="104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8"/>
              </w:rPr>
              <w:t>average</w:t>
            </w:r>
          </w:p>
        </w:tc>
        <w:tc>
          <w:tcPr>
            <w:tcW w:w="1940" w:type="dxa"/>
            <w:vAlign w:val="bottom"/>
            <w:vMerge w:val="continue"/>
          </w:tcPr>
          <w:p>
            <w:pPr>
              <w:spacing w:after="0"/>
              <w:rPr>
                <w:sz w:val="14"/>
                <w:szCs w:val="14"/>
                <w:color w:val="auto"/>
              </w:rPr>
            </w:pPr>
          </w:p>
        </w:tc>
        <w:tc>
          <w:tcPr>
            <w:tcW w:w="960" w:type="dxa"/>
            <w:vAlign w:val="bottom"/>
          </w:tcPr>
          <w:p>
            <w:pPr>
              <w:jc w:val="center"/>
              <w:ind w:left="87"/>
              <w:spacing w:after="0" w:line="168" w:lineRule="exact"/>
              <w:rPr>
                <w:sz w:val="20"/>
                <w:szCs w:val="20"/>
                <w:color w:val="auto"/>
              </w:rPr>
            </w:pPr>
            <w:r>
              <w:rPr>
                <w:rFonts w:ascii="Courier New" w:cs="Courier New" w:eastAsia="Courier New" w:hAnsi="Courier New"/>
                <w:sz w:val="15"/>
                <w:szCs w:val="15"/>
                <w:color w:val="auto"/>
                <w:w w:val="95"/>
              </w:rPr>
              <w:t>average</w:t>
            </w:r>
          </w:p>
        </w:tc>
        <w:tc>
          <w:tcPr>
            <w:tcW w:w="0" w:type="dxa"/>
            <w:vAlign w:val="bottom"/>
          </w:tcPr>
          <w:p>
            <w:pPr>
              <w:spacing w:after="0"/>
              <w:rPr>
                <w:sz w:val="1"/>
                <w:szCs w:val="1"/>
                <w:color w:val="auto"/>
              </w:rPr>
            </w:pPr>
          </w:p>
        </w:tc>
      </w:tr>
      <w:tr>
        <w:trPr>
          <w:trHeight w:val="168"/>
        </w:trPr>
        <w:tc>
          <w:tcPr>
            <w:tcW w:w="1720" w:type="dxa"/>
            <w:vAlign w:val="bottom"/>
            <w:vMerge w:val="continue"/>
          </w:tcPr>
          <w:p>
            <w:pPr>
              <w:spacing w:after="0"/>
              <w:rPr>
                <w:sz w:val="14"/>
                <w:szCs w:val="14"/>
                <w:color w:val="auto"/>
              </w:rPr>
            </w:pPr>
          </w:p>
        </w:tc>
        <w:tc>
          <w:tcPr>
            <w:tcW w:w="1700" w:type="dxa"/>
            <w:vAlign w:val="bottom"/>
          </w:tcPr>
          <w:p>
            <w:pPr>
              <w:jc w:val="right"/>
              <w:ind w:right="115"/>
              <w:spacing w:after="0" w:line="168" w:lineRule="exact"/>
              <w:rPr>
                <w:sz w:val="20"/>
                <w:szCs w:val="20"/>
                <w:color w:val="auto"/>
              </w:rPr>
            </w:pPr>
            <w:r>
              <w:rPr>
                <w:rFonts w:ascii="Courier New" w:cs="Courier New" w:eastAsia="Courier New" w:hAnsi="Courier New"/>
                <w:sz w:val="15"/>
                <w:szCs w:val="15"/>
                <w:color w:val="auto"/>
              </w:rPr>
              <w:t>outstanding</w:t>
            </w:r>
          </w:p>
        </w:tc>
        <w:tc>
          <w:tcPr>
            <w:tcW w:w="18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remaining</w:t>
            </w:r>
          </w:p>
        </w:tc>
        <w:tc>
          <w:tcPr>
            <w:tcW w:w="1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exercise</w:t>
            </w:r>
          </w:p>
        </w:tc>
        <w:tc>
          <w:tcPr>
            <w:tcW w:w="19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exercisable</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exercise</w:t>
            </w:r>
          </w:p>
        </w:tc>
        <w:tc>
          <w:tcPr>
            <w:tcW w:w="0" w:type="dxa"/>
            <w:vAlign w:val="bottom"/>
          </w:tcPr>
          <w:p>
            <w:pPr>
              <w:spacing w:after="0"/>
              <w:rPr>
                <w:sz w:val="1"/>
                <w:szCs w:val="1"/>
                <w:color w:val="auto"/>
              </w:rPr>
            </w:pPr>
          </w:p>
        </w:tc>
      </w:tr>
      <w:tr>
        <w:trPr>
          <w:trHeight w:val="194"/>
        </w:trPr>
        <w:tc>
          <w:tcPr>
            <w:tcW w:w="1720" w:type="dxa"/>
            <w:vAlign w:val="bottom"/>
          </w:tcPr>
          <w:p>
            <w:pPr>
              <w:spacing w:after="0"/>
              <w:rPr>
                <w:sz w:val="20"/>
                <w:szCs w:val="20"/>
                <w:color w:val="auto"/>
              </w:rPr>
            </w:pPr>
            <w:r>
              <w:rPr>
                <w:rFonts w:ascii="Courier New" w:cs="Courier New" w:eastAsia="Courier New" w:hAnsi="Courier New"/>
                <w:sz w:val="15"/>
                <w:szCs w:val="15"/>
                <w:color w:val="auto"/>
              </w:rPr>
              <w:t>exercise prices</w:t>
            </w:r>
          </w:p>
        </w:tc>
        <w:tc>
          <w:tcPr>
            <w:tcW w:w="1700" w:type="dxa"/>
            <w:vAlign w:val="bottom"/>
          </w:tcPr>
          <w:p>
            <w:pPr>
              <w:jc w:val="right"/>
              <w:spacing w:after="0"/>
              <w:rPr>
                <w:sz w:val="20"/>
                <w:szCs w:val="20"/>
                <w:color w:val="auto"/>
              </w:rPr>
            </w:pPr>
            <w:r>
              <w:rPr>
                <w:rFonts w:ascii="Courier New" w:cs="Courier New" w:eastAsia="Courier New" w:hAnsi="Courier New"/>
                <w:sz w:val="15"/>
                <w:szCs w:val="15"/>
                <w:color w:val="auto"/>
              </w:rPr>
              <w:t>as of 12/31/01</w:t>
            </w:r>
          </w:p>
        </w:tc>
        <w:tc>
          <w:tcPr>
            <w:tcW w:w="1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contractual life</w:t>
            </w:r>
          </w:p>
        </w:tc>
        <w:tc>
          <w:tcPr>
            <w:tcW w:w="1040" w:type="dxa"/>
            <w:vAlign w:val="bottom"/>
          </w:tcPr>
          <w:p>
            <w:pPr>
              <w:jc w:val="center"/>
              <w:ind w:left="7"/>
              <w:spacing w:after="0"/>
              <w:rPr>
                <w:sz w:val="20"/>
                <w:szCs w:val="20"/>
                <w:color w:val="auto"/>
              </w:rPr>
            </w:pPr>
            <w:r>
              <w:rPr>
                <w:rFonts w:ascii="Courier New" w:cs="Courier New" w:eastAsia="Courier New" w:hAnsi="Courier New"/>
                <w:sz w:val="15"/>
                <w:szCs w:val="15"/>
                <w:color w:val="auto"/>
                <w:w w:val="97"/>
              </w:rPr>
              <w:t>price</w:t>
            </w:r>
          </w:p>
        </w:tc>
        <w:tc>
          <w:tcPr>
            <w:tcW w:w="1940" w:type="dxa"/>
            <w:vAlign w:val="bottom"/>
          </w:tcPr>
          <w:p>
            <w:pPr>
              <w:ind w:left="540"/>
              <w:spacing w:after="0"/>
              <w:rPr>
                <w:sz w:val="20"/>
                <w:szCs w:val="20"/>
                <w:color w:val="auto"/>
              </w:rPr>
            </w:pPr>
            <w:r>
              <w:rPr>
                <w:rFonts w:ascii="Courier New" w:cs="Courier New" w:eastAsia="Courier New" w:hAnsi="Courier New"/>
                <w:sz w:val="15"/>
                <w:szCs w:val="15"/>
                <w:color w:val="auto"/>
              </w:rPr>
              <w:t>as of 12/31/01</w:t>
            </w:r>
          </w:p>
        </w:tc>
        <w:tc>
          <w:tcPr>
            <w:tcW w:w="960" w:type="dxa"/>
            <w:vAlign w:val="bottom"/>
          </w:tcPr>
          <w:p>
            <w:pPr>
              <w:jc w:val="center"/>
              <w:ind w:left="87"/>
              <w:spacing w:after="0"/>
              <w:rPr>
                <w:sz w:val="20"/>
                <w:szCs w:val="20"/>
                <w:color w:val="auto"/>
              </w:rPr>
            </w:pPr>
            <w:r>
              <w:rPr>
                <w:rFonts w:ascii="Courier New" w:cs="Courier New" w:eastAsia="Courier New" w:hAnsi="Courier New"/>
                <w:sz w:val="15"/>
                <w:szCs w:val="15"/>
                <w:color w:val="auto"/>
                <w:w w:val="97"/>
              </w:rPr>
              <w:t>price</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940" w:type="dxa"/>
            <w:vAlign w:val="bottom"/>
            <w:gridSpan w:val="2"/>
          </w:tcPr>
          <w:p>
            <w:pPr>
              <w:spacing w:after="0"/>
              <w:rPr>
                <w:sz w:val="20"/>
                <w:szCs w:val="20"/>
                <w:color w:val="auto"/>
              </w:rPr>
            </w:pPr>
            <w:r>
              <w:rPr>
                <w:rFonts w:ascii="Courier New" w:cs="Courier New" w:eastAsia="Courier New" w:hAnsi="Courier New"/>
                <w:sz w:val="15"/>
                <w:szCs w:val="15"/>
                <w:color w:val="auto"/>
              </w:rPr>
              <w:t>$  3.831 - $22.073</w:t>
            </w:r>
          </w:p>
        </w:tc>
        <w:tc>
          <w:tcPr>
            <w:tcW w:w="1920" w:type="dxa"/>
            <w:vAlign w:val="bottom"/>
          </w:tcPr>
          <w:p>
            <w:pPr>
              <w:jc w:val="right"/>
              <w:ind w:right="188"/>
              <w:spacing w:after="0"/>
              <w:rPr>
                <w:sz w:val="20"/>
                <w:szCs w:val="20"/>
                <w:color w:val="auto"/>
              </w:rPr>
            </w:pPr>
            <w:r>
              <w:rPr>
                <w:rFonts w:ascii="Courier New" w:cs="Courier New" w:eastAsia="Courier New" w:hAnsi="Courier New"/>
                <w:sz w:val="15"/>
                <w:szCs w:val="15"/>
                <w:color w:val="auto"/>
              </w:rPr>
              <w:t>162,795</w:t>
            </w:r>
          </w:p>
        </w:tc>
        <w:tc>
          <w:tcPr>
            <w:tcW w:w="11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3.62</w:t>
            </w:r>
          </w:p>
        </w:tc>
        <w:tc>
          <w:tcPr>
            <w:tcW w:w="14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$18.573</w:t>
            </w:r>
          </w:p>
        </w:tc>
        <w:tc>
          <w:tcPr>
            <w:tcW w:w="18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162,795</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$18.573</w:t>
            </w:r>
          </w:p>
        </w:tc>
        <w:tc>
          <w:tcPr>
            <w:tcW w:w="0" w:type="dxa"/>
            <w:vAlign w:val="bottom"/>
          </w:tcPr>
          <w:p>
            <w:pPr>
              <w:spacing w:after="0"/>
              <w:rPr>
                <w:sz w:val="1"/>
                <w:szCs w:val="1"/>
                <w:color w:val="auto"/>
              </w:rPr>
            </w:pPr>
          </w:p>
        </w:tc>
      </w:tr>
      <w:tr>
        <w:trPr>
          <w:trHeight w:val="259"/>
        </w:trPr>
        <w:tc>
          <w:tcPr>
            <w:tcW w:w="660" w:type="dxa"/>
            <w:vAlign w:val="bottom"/>
          </w:tcPr>
          <w:p>
            <w:pPr>
              <w:spacing w:after="0"/>
              <w:rPr>
                <w:sz w:val="20"/>
                <w:szCs w:val="20"/>
                <w:color w:val="auto"/>
              </w:rPr>
            </w:pPr>
            <w:r>
              <w:rPr>
                <w:rFonts w:ascii="Courier New" w:cs="Courier New" w:eastAsia="Courier New" w:hAnsi="Courier New"/>
                <w:sz w:val="15"/>
                <w:szCs w:val="15"/>
                <w:color w:val="auto"/>
              </w:rPr>
              <w:t>$24.142</w:t>
            </w:r>
          </w:p>
        </w:tc>
        <w:tc>
          <w:tcPr>
            <w:tcW w:w="12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 $30.710</w:t>
            </w:r>
          </w:p>
        </w:tc>
        <w:tc>
          <w:tcPr>
            <w:tcW w:w="1920" w:type="dxa"/>
            <w:vAlign w:val="bottom"/>
          </w:tcPr>
          <w:p>
            <w:pPr>
              <w:jc w:val="right"/>
              <w:ind w:right="188"/>
              <w:spacing w:after="0"/>
              <w:rPr>
                <w:sz w:val="20"/>
                <w:szCs w:val="20"/>
                <w:color w:val="auto"/>
              </w:rPr>
            </w:pPr>
            <w:r>
              <w:rPr>
                <w:rFonts w:ascii="Courier New" w:cs="Courier New" w:eastAsia="Courier New" w:hAnsi="Courier New"/>
                <w:sz w:val="15"/>
                <w:szCs w:val="15"/>
                <w:color w:val="auto"/>
              </w:rPr>
              <w:t>7,270,886</w:t>
            </w:r>
          </w:p>
        </w:tc>
        <w:tc>
          <w:tcPr>
            <w:tcW w:w="11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2.64</w:t>
            </w:r>
          </w:p>
        </w:tc>
        <w:tc>
          <w:tcPr>
            <w:tcW w:w="14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$27.808</w:t>
            </w:r>
          </w:p>
        </w:tc>
        <w:tc>
          <w:tcPr>
            <w:tcW w:w="18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7,270,886</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$27.808</w:t>
            </w:r>
          </w:p>
        </w:tc>
        <w:tc>
          <w:tcPr>
            <w:tcW w:w="0" w:type="dxa"/>
            <w:vAlign w:val="bottom"/>
          </w:tcPr>
          <w:p>
            <w:pPr>
              <w:spacing w:after="0"/>
              <w:rPr>
                <w:sz w:val="1"/>
                <w:szCs w:val="1"/>
                <w:color w:val="auto"/>
              </w:rPr>
            </w:pPr>
          </w:p>
        </w:tc>
      </w:tr>
      <w:tr>
        <w:trPr>
          <w:trHeight w:val="168"/>
        </w:trPr>
        <w:tc>
          <w:tcPr>
            <w:tcW w:w="660" w:type="dxa"/>
            <w:vAlign w:val="bottom"/>
          </w:tcPr>
          <w:p>
            <w:pPr>
              <w:spacing w:after="0" w:line="168" w:lineRule="exact"/>
              <w:rPr>
                <w:sz w:val="20"/>
                <w:szCs w:val="20"/>
                <w:color w:val="auto"/>
              </w:rPr>
            </w:pPr>
            <w:r>
              <w:rPr>
                <w:rFonts w:ascii="Courier New" w:cs="Courier New" w:eastAsia="Courier New" w:hAnsi="Courier New"/>
                <w:sz w:val="15"/>
                <w:szCs w:val="15"/>
                <w:color w:val="auto"/>
              </w:rPr>
              <w:t>$30.795</w:t>
            </w:r>
          </w:p>
        </w:tc>
        <w:tc>
          <w:tcPr>
            <w:tcW w:w="12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 $44.843</w:t>
            </w:r>
          </w:p>
        </w:tc>
        <w:tc>
          <w:tcPr>
            <w:tcW w:w="1920" w:type="dxa"/>
            <w:vAlign w:val="bottom"/>
          </w:tcPr>
          <w:p>
            <w:pPr>
              <w:jc w:val="right"/>
              <w:ind w:right="188"/>
              <w:spacing w:after="0" w:line="168" w:lineRule="exact"/>
              <w:rPr>
                <w:sz w:val="20"/>
                <w:szCs w:val="20"/>
                <w:color w:val="auto"/>
              </w:rPr>
            </w:pPr>
            <w:r>
              <w:rPr>
                <w:rFonts w:ascii="Courier New" w:cs="Courier New" w:eastAsia="Courier New" w:hAnsi="Courier New"/>
                <w:sz w:val="15"/>
                <w:szCs w:val="15"/>
                <w:color w:val="auto"/>
              </w:rPr>
              <w:t>4,465,540</w:t>
            </w:r>
          </w:p>
        </w:tc>
        <w:tc>
          <w:tcPr>
            <w:tcW w:w="11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4.71</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$39.253</w:t>
            </w:r>
          </w:p>
        </w:tc>
        <w:tc>
          <w:tcPr>
            <w:tcW w:w="18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4,114,998</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$38.778</w:t>
            </w:r>
          </w:p>
        </w:tc>
        <w:tc>
          <w:tcPr>
            <w:tcW w:w="0" w:type="dxa"/>
            <w:vAlign w:val="bottom"/>
          </w:tcPr>
          <w:p>
            <w:pPr>
              <w:spacing w:after="0"/>
              <w:rPr>
                <w:sz w:val="1"/>
                <w:szCs w:val="1"/>
                <w:color w:val="auto"/>
              </w:rPr>
            </w:pPr>
          </w:p>
        </w:tc>
      </w:tr>
      <w:tr>
        <w:trPr>
          <w:trHeight w:val="168"/>
        </w:trPr>
        <w:tc>
          <w:tcPr>
            <w:tcW w:w="660" w:type="dxa"/>
            <w:vAlign w:val="bottom"/>
          </w:tcPr>
          <w:p>
            <w:pPr>
              <w:spacing w:after="0" w:line="168" w:lineRule="exact"/>
              <w:rPr>
                <w:sz w:val="20"/>
                <w:szCs w:val="20"/>
                <w:color w:val="auto"/>
              </w:rPr>
            </w:pPr>
            <w:r>
              <w:rPr>
                <w:rFonts w:ascii="Courier New" w:cs="Courier New" w:eastAsia="Courier New" w:hAnsi="Courier New"/>
                <w:sz w:val="15"/>
                <w:szCs w:val="15"/>
                <w:color w:val="auto"/>
              </w:rPr>
              <w:t>$46.075</w:t>
            </w:r>
          </w:p>
        </w:tc>
        <w:tc>
          <w:tcPr>
            <w:tcW w:w="12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 $65.330</w:t>
            </w:r>
          </w:p>
        </w:tc>
        <w:tc>
          <w:tcPr>
            <w:tcW w:w="1920" w:type="dxa"/>
            <w:vAlign w:val="bottom"/>
          </w:tcPr>
          <w:p>
            <w:pPr>
              <w:jc w:val="right"/>
              <w:ind w:right="188"/>
              <w:spacing w:after="0" w:line="168" w:lineRule="exact"/>
              <w:rPr>
                <w:sz w:val="20"/>
                <w:szCs w:val="20"/>
                <w:color w:val="auto"/>
              </w:rPr>
            </w:pPr>
            <w:r>
              <w:rPr>
                <w:rFonts w:ascii="Courier New" w:cs="Courier New" w:eastAsia="Courier New" w:hAnsi="Courier New"/>
                <w:sz w:val="15"/>
                <w:szCs w:val="15"/>
                <w:color w:val="auto"/>
              </w:rPr>
              <w:t>9,917,581</w:t>
            </w:r>
          </w:p>
        </w:tc>
        <w:tc>
          <w:tcPr>
            <w:tcW w:w="11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7.95</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$56.857</w:t>
            </w:r>
          </w:p>
        </w:tc>
        <w:tc>
          <w:tcPr>
            <w:tcW w:w="18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2,744,519</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$53.966</w:t>
            </w:r>
          </w:p>
        </w:tc>
        <w:tc>
          <w:tcPr>
            <w:tcW w:w="0" w:type="dxa"/>
            <w:vAlign w:val="bottom"/>
          </w:tcPr>
          <w:p>
            <w:pPr>
              <w:spacing w:after="0"/>
              <w:rPr>
                <w:sz w:val="1"/>
                <w:szCs w:val="1"/>
                <w:color w:val="auto"/>
              </w:rPr>
            </w:pPr>
          </w:p>
        </w:tc>
      </w:tr>
      <w:tr>
        <w:trPr>
          <w:trHeight w:val="168"/>
        </w:trPr>
        <w:tc>
          <w:tcPr>
            <w:tcW w:w="660" w:type="dxa"/>
            <w:vAlign w:val="bottom"/>
          </w:tcPr>
          <w:p>
            <w:pPr>
              <w:spacing w:after="0" w:line="168" w:lineRule="exact"/>
              <w:rPr>
                <w:sz w:val="20"/>
                <w:szCs w:val="20"/>
                <w:color w:val="auto"/>
              </w:rPr>
            </w:pPr>
            <w:r>
              <w:rPr>
                <w:rFonts w:ascii="Courier New" w:cs="Courier New" w:eastAsia="Courier New" w:hAnsi="Courier New"/>
                <w:sz w:val="15"/>
                <w:szCs w:val="15"/>
                <w:color w:val="auto"/>
              </w:rPr>
              <w:t>$71.315</w:t>
            </w:r>
          </w:p>
        </w:tc>
        <w:tc>
          <w:tcPr>
            <w:tcW w:w="12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 $82.348</w:t>
            </w:r>
          </w:p>
        </w:tc>
        <w:tc>
          <w:tcPr>
            <w:tcW w:w="1920" w:type="dxa"/>
            <w:vAlign w:val="bottom"/>
          </w:tcPr>
          <w:p>
            <w:pPr>
              <w:jc w:val="right"/>
              <w:ind w:right="188"/>
              <w:spacing w:after="0" w:line="168" w:lineRule="exact"/>
              <w:rPr>
                <w:sz w:val="20"/>
                <w:szCs w:val="20"/>
                <w:color w:val="auto"/>
              </w:rPr>
            </w:pPr>
            <w:r>
              <w:rPr>
                <w:rFonts w:ascii="Courier New" w:cs="Courier New" w:eastAsia="Courier New" w:hAnsi="Courier New"/>
                <w:sz w:val="15"/>
                <w:szCs w:val="15"/>
                <w:color w:val="auto"/>
              </w:rPr>
              <w:t>11,019,538</w:t>
            </w:r>
          </w:p>
        </w:tc>
        <w:tc>
          <w:tcPr>
            <w:tcW w:w="11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7.26</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$80.582</w:t>
            </w:r>
          </w:p>
        </w:tc>
        <w:tc>
          <w:tcPr>
            <w:tcW w:w="18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5,431,482</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$80.974</w:t>
            </w:r>
          </w:p>
        </w:tc>
        <w:tc>
          <w:tcPr>
            <w:tcW w:w="0" w:type="dxa"/>
            <w:vAlign w:val="bottom"/>
          </w:tcPr>
          <w:p>
            <w:pPr>
              <w:spacing w:after="0"/>
              <w:rPr>
                <w:sz w:val="1"/>
                <w:szCs w:val="1"/>
                <w:color w:val="auto"/>
              </w:rPr>
            </w:pPr>
          </w:p>
        </w:tc>
      </w:tr>
      <w:tr>
        <w:trPr>
          <w:trHeight w:val="168"/>
        </w:trPr>
        <w:tc>
          <w:tcPr>
            <w:tcW w:w="6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92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w w:val="70"/>
              </w:rPr>
              <w:t>---------------</w:t>
            </w:r>
            <w:r>
              <w:rPr>
                <w:rFonts w:ascii="Courier New" w:cs="Courier New" w:eastAsia="Courier New" w:hAnsi="Courier New"/>
                <w:sz w:val="27"/>
                <w:szCs w:val="27"/>
                <w:color w:val="auto"/>
                <w:w w:val="70"/>
                <w:vertAlign w:val="subscript"/>
              </w:rPr>
              <w:t>32,836,340</w:t>
            </w:r>
          </w:p>
        </w:tc>
        <w:tc>
          <w:tcPr>
            <w:tcW w:w="1140" w:type="dxa"/>
            <w:vAlign w:val="bottom"/>
            <w:vMerge w:val="restart"/>
          </w:tcPr>
          <w:p>
            <w:pPr>
              <w:jc w:val="right"/>
              <w:ind w:right="447"/>
              <w:spacing w:after="0"/>
              <w:rPr>
                <w:sz w:val="20"/>
                <w:szCs w:val="20"/>
                <w:color w:val="auto"/>
              </w:rPr>
            </w:pPr>
            <w:r>
              <w:rPr>
                <w:rFonts w:ascii="Courier New" w:cs="Courier New" w:eastAsia="Courier New" w:hAnsi="Courier New"/>
                <w:sz w:val="15"/>
                <w:szCs w:val="15"/>
                <w:color w:val="auto"/>
              </w:rPr>
              <w:t>6.08</w:t>
            </w:r>
          </w:p>
        </w:tc>
        <w:tc>
          <w:tcPr>
            <w:tcW w:w="140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$55.803</w:t>
            </w:r>
          </w:p>
        </w:tc>
        <w:tc>
          <w:tcPr>
            <w:tcW w:w="18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$48.300</w:t>
            </w:r>
          </w:p>
        </w:tc>
        <w:tc>
          <w:tcPr>
            <w:tcW w:w="0" w:type="dxa"/>
            <w:vAlign w:val="bottom"/>
          </w:tcPr>
          <w:p>
            <w:pPr>
              <w:spacing w:after="0"/>
              <w:rPr>
                <w:sz w:val="1"/>
                <w:szCs w:val="1"/>
                <w:color w:val="auto"/>
              </w:rPr>
            </w:pPr>
          </w:p>
        </w:tc>
      </w:tr>
      <w:tr>
        <w:trPr>
          <w:trHeight w:val="168"/>
        </w:trPr>
        <w:tc>
          <w:tcPr>
            <w:tcW w:w="6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92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1400" w:type="dxa"/>
            <w:vAlign w:val="bottom"/>
            <w:vMerge w:val="continue"/>
          </w:tcPr>
          <w:p>
            <w:pPr>
              <w:spacing w:after="0"/>
              <w:rPr>
                <w:sz w:val="14"/>
                <w:szCs w:val="14"/>
                <w:color w:val="auto"/>
              </w:rPr>
            </w:pPr>
          </w:p>
        </w:tc>
        <w:tc>
          <w:tcPr>
            <w:tcW w:w="18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19,724,680</w:t>
            </w: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6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920" w:type="dxa"/>
            <w:vAlign w:val="bottom"/>
          </w:tcPr>
          <w:p>
            <w:pPr>
              <w:jc w:val="right"/>
              <w:ind w:right="188"/>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8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EMPLOYEE STOCK PURCHASE PLAN</w:t>
      </w:r>
    </w:p>
    <w:p>
      <w:pPr>
        <w:spacing w:after="0" w:line="166" w:lineRule="exact"/>
        <w:rPr>
          <w:sz w:val="20"/>
          <w:szCs w:val="20"/>
          <w:color w:val="auto"/>
        </w:rPr>
      </w:pPr>
    </w:p>
    <w:p>
      <w:pPr>
        <w:ind w:right="3499"/>
        <w:spacing w:after="0" w:line="290" w:lineRule="auto"/>
        <w:rPr>
          <w:sz w:val="20"/>
          <w:szCs w:val="20"/>
          <w:color w:val="auto"/>
        </w:rPr>
      </w:pPr>
      <w:r>
        <w:rPr>
          <w:rFonts w:ascii="Courier New" w:cs="Courier New" w:eastAsia="Courier New" w:hAnsi="Courier New"/>
          <w:sz w:val="15"/>
          <w:szCs w:val="15"/>
          <w:color w:val="auto"/>
        </w:rPr>
        <w:t>Under the Schlumberger Discounted Stock Purchase Plan, Schlumberger is authorized to issue up to 22,012,245 shares of common stock to its employees. Under the terms of the Plan,</w:t>
      </w:r>
    </w:p>
    <w:p>
      <w:pPr>
        <w:spacing w:after="0" w:line="5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F-20</w:t>
      </w:r>
    </w:p>
    <w:p>
      <w:pPr>
        <w:sectPr>
          <w:pgSz w:w="11900" w:h="16838" w:orient="portrait"/>
          <w:cols w:equalWidth="0" w:num="1">
            <w:col w:w="10239"/>
          </w:cols>
          <w:pgMar w:left="220" w:top="598" w:right="1440" w:bottom="1440" w:gutter="0" w:footer="0" w:header="0"/>
        </w:sectPr>
      </w:pPr>
    </w:p>
    <w:bookmarkStart w:id="34" w:name="page35"/>
    <w:bookmarkEnd w:id="34"/>
    <w:p>
      <w:pPr>
        <w:ind w:right="3239"/>
        <w:spacing w:after="0" w:line="247" w:lineRule="auto"/>
        <w:rPr>
          <w:sz w:val="20"/>
          <w:szCs w:val="20"/>
          <w:color w:val="auto"/>
        </w:rPr>
      </w:pPr>
      <w:r>
        <w:rPr>
          <w:rFonts w:ascii="Courier New" w:cs="Courier New" w:eastAsia="Courier New" w:hAnsi="Courier New"/>
          <w:sz w:val="15"/>
          <w:szCs w:val="15"/>
          <w:color w:val="auto"/>
        </w:rPr>
        <w:t>employees can choose each year to have up to 10% of their annual earnings withheld to purchase Schlumberger common stock. The purchase price of the stock is 85% of the lower of its beginning or end of the Plan year market price. Under the Plan, Schlumberger sold 1,752,833, 1,431,309 and 1,324,848 shares to employees in 2001, 2000 and 1999, respectively. Compensation cost has been computed for the fair value of the employees' purchase rights, which was estimated using the Black-Scholes model with the following assumptions for 2001, 2000 and 1999: Dividend of $0.75; expected life of one year; expected volatility of 36% for 2001, 38% for 2000 and 40% for 1999; and risk-free interest rates of 3.03% for 2001, 5.71% for 2000 and 5.33% for 1999. The weighted-average fair value of those purchase rights granted in 2001, 2000 and 1999, was $15.540, $23.141 and $19.829, respectively.</w:t>
      </w:r>
    </w:p>
    <w:p>
      <w:pPr>
        <w:spacing w:after="0" w:line="8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Income Tax Expense</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40" w:lineRule="exact"/>
        <w:rPr>
          <w:sz w:val="20"/>
          <w:szCs w:val="20"/>
          <w:color w:val="auto"/>
        </w:rPr>
      </w:pPr>
    </w:p>
    <w:p>
      <w:pPr>
        <w:ind w:right="3319"/>
        <w:spacing w:after="0" w:line="344" w:lineRule="auto"/>
        <w:rPr>
          <w:sz w:val="20"/>
          <w:szCs w:val="20"/>
          <w:color w:val="auto"/>
        </w:rPr>
      </w:pPr>
      <w:r>
        <w:rPr>
          <w:rFonts w:ascii="Courier New" w:cs="Courier New" w:eastAsia="Courier New" w:hAnsi="Courier New"/>
          <w:sz w:val="15"/>
          <w:szCs w:val="15"/>
          <w:color w:val="auto"/>
        </w:rPr>
        <w:t>Schlumberger and its subsidiaries operate in more than 100 taxing jurisdictions where statutory tax rates generally vary from 0% to 50%.</w:t>
      </w:r>
    </w:p>
    <w:p>
      <w:pPr>
        <w:spacing w:after="0" w:line="17" w:lineRule="exact"/>
        <w:rPr>
          <w:sz w:val="20"/>
          <w:szCs w:val="20"/>
          <w:color w:val="auto"/>
        </w:rPr>
      </w:pPr>
    </w:p>
    <w:p>
      <w:pPr>
        <w:ind w:right="3239"/>
        <w:spacing w:after="0" w:line="287" w:lineRule="auto"/>
        <w:rPr>
          <w:sz w:val="20"/>
          <w:szCs w:val="20"/>
          <w:color w:val="auto"/>
        </w:rPr>
      </w:pPr>
      <w:r>
        <w:rPr>
          <w:rFonts w:ascii="Courier New" w:cs="Courier New" w:eastAsia="Courier New" w:hAnsi="Courier New"/>
          <w:sz w:val="14"/>
          <w:szCs w:val="14"/>
          <w:color w:val="auto"/>
        </w:rPr>
        <w:t>In 2001, pretax book income in the US included gains from business divestitures aggregating approximately $360 million; outside the US, pretax book income includes losses on business divestitures of approximately $300 million. Pretax book income from continuing operations subject to US and non-US income taxes for each of the three years ended December 31, was as follows: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320" w:type="dxa"/>
            <w:vAlign w:val="bottom"/>
          </w:tcPr>
          <w:p>
            <w:pPr>
              <w:spacing w:after="0"/>
              <w:rPr>
                <w:sz w:val="14"/>
                <w:szCs w:val="14"/>
                <w:color w:val="auto"/>
              </w:rPr>
            </w:pPr>
          </w:p>
        </w:tc>
        <w:tc>
          <w:tcPr>
            <w:tcW w:w="1540" w:type="dxa"/>
            <w:vAlign w:val="bottom"/>
            <w:vMerge w:val="restart"/>
          </w:tcPr>
          <w:p>
            <w:pPr>
              <w:jc w:val="right"/>
              <w:ind w:right="447"/>
              <w:spacing w:after="0"/>
              <w:rPr>
                <w:sz w:val="20"/>
                <w:szCs w:val="20"/>
                <w:color w:val="auto"/>
              </w:rPr>
            </w:pPr>
            <w:r>
              <w:rPr>
                <w:rFonts w:ascii="Courier New" w:cs="Courier New" w:eastAsia="Courier New" w:hAnsi="Courier New"/>
                <w:sz w:val="15"/>
                <w:szCs w:val="15"/>
                <w:color w:val="auto"/>
              </w:rPr>
              <w:t>2001</w:t>
            </w:r>
          </w:p>
        </w:tc>
        <w:tc>
          <w:tcPr>
            <w:tcW w:w="24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(Stated in millions)</w:t>
            </w:r>
          </w:p>
        </w:tc>
        <w:tc>
          <w:tcPr>
            <w:tcW w:w="0" w:type="dxa"/>
            <w:vAlign w:val="bottom"/>
          </w:tcPr>
          <w:p>
            <w:pPr>
              <w:spacing w:after="0"/>
              <w:rPr>
                <w:sz w:val="1"/>
                <w:szCs w:val="1"/>
                <w:color w:val="auto"/>
              </w:rPr>
            </w:pPr>
          </w:p>
        </w:tc>
      </w:tr>
      <w:tr>
        <w:trPr>
          <w:trHeight w:val="168"/>
        </w:trPr>
        <w:tc>
          <w:tcPr>
            <w:tcW w:w="2320" w:type="dxa"/>
            <w:vAlign w:val="bottom"/>
          </w:tcPr>
          <w:p>
            <w:pPr>
              <w:spacing w:after="0"/>
              <w:rPr>
                <w:sz w:val="14"/>
                <w:szCs w:val="14"/>
                <w:color w:val="auto"/>
              </w:rPr>
            </w:pPr>
          </w:p>
        </w:tc>
        <w:tc>
          <w:tcPr>
            <w:tcW w:w="1540" w:type="dxa"/>
            <w:vAlign w:val="bottom"/>
            <w:vMerge w:val="continue"/>
          </w:tcPr>
          <w:p>
            <w:pPr>
              <w:spacing w:after="0"/>
              <w:rPr>
                <w:sz w:val="14"/>
                <w:szCs w:val="14"/>
                <w:color w:val="auto"/>
              </w:rPr>
            </w:pPr>
          </w:p>
        </w:tc>
        <w:tc>
          <w:tcPr>
            <w:tcW w:w="136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2000</w:t>
            </w:r>
          </w:p>
        </w:tc>
        <w:tc>
          <w:tcPr>
            <w:tcW w:w="10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1999</w:t>
            </w:r>
          </w:p>
        </w:tc>
        <w:tc>
          <w:tcPr>
            <w:tcW w:w="0" w:type="dxa"/>
            <w:vAlign w:val="bottom"/>
          </w:tcPr>
          <w:p>
            <w:pPr>
              <w:spacing w:after="0"/>
              <w:rPr>
                <w:sz w:val="1"/>
                <w:szCs w:val="1"/>
                <w:color w:val="auto"/>
              </w:rPr>
            </w:pPr>
          </w:p>
        </w:tc>
      </w:tr>
      <w:tr>
        <w:trPr>
          <w:trHeight w:val="245"/>
        </w:trPr>
        <w:tc>
          <w:tcPr>
            <w:tcW w:w="2320" w:type="dxa"/>
            <w:vAlign w:val="bottom"/>
          </w:tcPr>
          <w:p>
            <w:pPr>
              <w:spacing w:after="0"/>
              <w:rPr>
                <w:sz w:val="21"/>
                <w:szCs w:val="21"/>
                <w:color w:val="auto"/>
              </w:rPr>
            </w:pPr>
          </w:p>
        </w:tc>
        <w:tc>
          <w:tcPr>
            <w:tcW w:w="1540" w:type="dxa"/>
            <w:vAlign w:val="bottom"/>
          </w:tcPr>
          <w:p>
            <w:pPr>
              <w:jc w:val="center"/>
              <w:ind w:left="147"/>
              <w:spacing w:after="0"/>
              <w:rPr>
                <w:sz w:val="20"/>
                <w:szCs w:val="20"/>
                <w:color w:val="auto"/>
              </w:rPr>
            </w:pPr>
            <w:r>
              <w:rPr>
                <w:rFonts w:ascii="Courier New" w:cs="Courier New" w:eastAsia="Courier New" w:hAnsi="Courier New"/>
                <w:sz w:val="15"/>
                <w:szCs w:val="15"/>
                <w:color w:val="auto"/>
                <w:w w:val="98"/>
              </w:rPr>
              <w:t>---------</w:t>
            </w:r>
          </w:p>
        </w:tc>
        <w:tc>
          <w:tcPr>
            <w:tcW w:w="13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2320" w:type="dxa"/>
            <w:vAlign w:val="bottom"/>
          </w:tcPr>
          <w:p>
            <w:pPr>
              <w:spacing w:after="0"/>
              <w:rPr>
                <w:sz w:val="20"/>
                <w:szCs w:val="20"/>
                <w:color w:val="auto"/>
              </w:rPr>
            </w:pPr>
            <w:r>
              <w:rPr>
                <w:rFonts w:ascii="Courier New" w:cs="Courier New" w:eastAsia="Courier New" w:hAnsi="Courier New"/>
                <w:sz w:val="15"/>
                <w:szCs w:val="15"/>
                <w:color w:val="auto"/>
              </w:rPr>
              <w:t>United States</w:t>
            </w:r>
          </w:p>
        </w:tc>
        <w:tc>
          <w:tcPr>
            <w:tcW w:w="1540" w:type="dxa"/>
            <w:vAlign w:val="bottom"/>
          </w:tcPr>
          <w:p>
            <w:pPr>
              <w:jc w:val="center"/>
              <w:ind w:left="147"/>
              <w:spacing w:after="0"/>
              <w:rPr>
                <w:sz w:val="20"/>
                <w:szCs w:val="20"/>
                <w:color w:val="auto"/>
              </w:rPr>
            </w:pPr>
            <w:r>
              <w:rPr>
                <w:rFonts w:ascii="Courier New" w:cs="Courier New" w:eastAsia="Courier New" w:hAnsi="Courier New"/>
                <w:sz w:val="15"/>
                <w:szCs w:val="15"/>
                <w:color w:val="auto"/>
                <w:w w:val="95"/>
              </w:rPr>
              <w:t>$   714</w:t>
            </w:r>
          </w:p>
        </w:tc>
        <w:tc>
          <w:tcPr>
            <w:tcW w:w="13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  51</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$(172)</w:t>
            </w:r>
          </w:p>
        </w:tc>
        <w:tc>
          <w:tcPr>
            <w:tcW w:w="0" w:type="dxa"/>
            <w:vAlign w:val="bottom"/>
          </w:tcPr>
          <w:p>
            <w:pPr>
              <w:spacing w:after="0"/>
              <w:rPr>
                <w:sz w:val="1"/>
                <w:szCs w:val="1"/>
                <w:color w:val="auto"/>
              </w:rPr>
            </w:pPr>
          </w:p>
        </w:tc>
      </w:tr>
      <w:tr>
        <w:trPr>
          <w:trHeight w:val="245"/>
        </w:trPr>
        <w:tc>
          <w:tcPr>
            <w:tcW w:w="2320" w:type="dxa"/>
            <w:vAlign w:val="bottom"/>
          </w:tcPr>
          <w:p>
            <w:pPr>
              <w:spacing w:after="0"/>
              <w:rPr>
                <w:sz w:val="20"/>
                <w:szCs w:val="20"/>
                <w:color w:val="auto"/>
              </w:rPr>
            </w:pPr>
            <w:r>
              <w:rPr>
                <w:rFonts w:ascii="Courier New" w:cs="Courier New" w:eastAsia="Courier New" w:hAnsi="Courier New"/>
                <w:sz w:val="15"/>
                <w:szCs w:val="15"/>
                <w:color w:val="auto"/>
              </w:rPr>
              <w:t>Outside United States</w:t>
            </w:r>
          </w:p>
        </w:tc>
        <w:tc>
          <w:tcPr>
            <w:tcW w:w="15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412</w:t>
            </w:r>
          </w:p>
        </w:tc>
        <w:tc>
          <w:tcPr>
            <w:tcW w:w="13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910</w:t>
            </w:r>
          </w:p>
        </w:tc>
        <w:tc>
          <w:tcPr>
            <w:tcW w:w="1080" w:type="dxa"/>
            <w:vAlign w:val="bottom"/>
          </w:tcPr>
          <w:p>
            <w:pPr>
              <w:jc w:val="right"/>
              <w:ind w:right="7"/>
              <w:spacing w:after="0"/>
              <w:rPr>
                <w:sz w:val="20"/>
                <w:szCs w:val="20"/>
                <w:color w:val="auto"/>
              </w:rPr>
            </w:pPr>
            <w:r>
              <w:rPr>
                <w:rFonts w:ascii="Courier New" w:cs="Courier New" w:eastAsia="Courier New" w:hAnsi="Courier New"/>
                <w:sz w:val="15"/>
                <w:szCs w:val="15"/>
                <w:color w:val="auto"/>
              </w:rPr>
              <w:t>653</w:t>
            </w:r>
          </w:p>
        </w:tc>
        <w:tc>
          <w:tcPr>
            <w:tcW w:w="0" w:type="dxa"/>
            <w:vAlign w:val="bottom"/>
          </w:tcPr>
          <w:p>
            <w:pPr>
              <w:spacing w:after="0"/>
              <w:rPr>
                <w:sz w:val="1"/>
                <w:szCs w:val="1"/>
                <w:color w:val="auto"/>
              </w:rPr>
            </w:pPr>
          </w:p>
        </w:tc>
      </w:tr>
      <w:tr>
        <w:trPr>
          <w:trHeight w:val="259"/>
        </w:trPr>
        <w:tc>
          <w:tcPr>
            <w:tcW w:w="2320" w:type="dxa"/>
            <w:vAlign w:val="bottom"/>
            <w:vMerge w:val="restart"/>
          </w:tcPr>
          <w:p>
            <w:pPr>
              <w:spacing w:after="0"/>
              <w:rPr>
                <w:sz w:val="20"/>
                <w:szCs w:val="20"/>
                <w:color w:val="auto"/>
              </w:rPr>
            </w:pPr>
            <w:r>
              <w:rPr>
                <w:rFonts w:ascii="Courier New" w:cs="Courier New" w:eastAsia="Courier New" w:hAnsi="Courier New"/>
                <w:sz w:val="15"/>
                <w:szCs w:val="15"/>
                <w:color w:val="auto"/>
              </w:rPr>
              <w:t>Pretax income</w:t>
            </w:r>
          </w:p>
        </w:tc>
        <w:tc>
          <w:tcPr>
            <w:tcW w:w="1540" w:type="dxa"/>
            <w:vAlign w:val="bottom"/>
          </w:tcPr>
          <w:p>
            <w:pPr>
              <w:jc w:val="center"/>
              <w:ind w:left="147"/>
              <w:spacing w:after="0"/>
              <w:rPr>
                <w:sz w:val="20"/>
                <w:szCs w:val="20"/>
                <w:color w:val="auto"/>
              </w:rPr>
            </w:pPr>
            <w:r>
              <w:rPr>
                <w:rFonts w:ascii="Courier New" w:cs="Courier New" w:eastAsia="Courier New" w:hAnsi="Courier New"/>
                <w:sz w:val="15"/>
                <w:szCs w:val="15"/>
                <w:color w:val="auto"/>
                <w:w w:val="98"/>
              </w:rPr>
              <w:t>---------</w:t>
            </w:r>
          </w:p>
        </w:tc>
        <w:tc>
          <w:tcPr>
            <w:tcW w:w="13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2320" w:type="dxa"/>
            <w:vAlign w:val="bottom"/>
            <w:vMerge w:val="continue"/>
          </w:tcPr>
          <w:p>
            <w:pPr>
              <w:spacing w:after="0"/>
              <w:rPr>
                <w:sz w:val="14"/>
                <w:szCs w:val="14"/>
                <w:color w:val="auto"/>
              </w:rPr>
            </w:pPr>
          </w:p>
        </w:tc>
        <w:tc>
          <w:tcPr>
            <w:tcW w:w="1540" w:type="dxa"/>
            <w:vAlign w:val="bottom"/>
          </w:tcPr>
          <w:p>
            <w:pPr>
              <w:jc w:val="center"/>
              <w:ind w:left="147"/>
              <w:spacing w:after="0" w:line="168" w:lineRule="exact"/>
              <w:rPr>
                <w:sz w:val="20"/>
                <w:szCs w:val="20"/>
                <w:color w:val="auto"/>
              </w:rPr>
            </w:pPr>
            <w:r>
              <w:rPr>
                <w:rFonts w:ascii="Courier New" w:cs="Courier New" w:eastAsia="Courier New" w:hAnsi="Courier New"/>
                <w:sz w:val="15"/>
                <w:szCs w:val="15"/>
                <w:color w:val="auto"/>
                <w:w w:val="95"/>
              </w:rPr>
              <w:t>$ 1,126</w:t>
            </w:r>
          </w:p>
        </w:tc>
        <w:tc>
          <w:tcPr>
            <w:tcW w:w="13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$ 961</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$ 481</w:t>
            </w:r>
          </w:p>
        </w:tc>
        <w:tc>
          <w:tcPr>
            <w:tcW w:w="0" w:type="dxa"/>
            <w:vAlign w:val="bottom"/>
          </w:tcPr>
          <w:p>
            <w:pPr>
              <w:spacing w:after="0"/>
              <w:rPr>
                <w:sz w:val="1"/>
                <w:szCs w:val="1"/>
                <w:color w:val="auto"/>
              </w:rPr>
            </w:pPr>
          </w:p>
        </w:tc>
      </w:tr>
      <w:tr>
        <w:trPr>
          <w:trHeight w:val="245"/>
        </w:trPr>
        <w:tc>
          <w:tcPr>
            <w:tcW w:w="2320" w:type="dxa"/>
            <w:vAlign w:val="bottom"/>
          </w:tcPr>
          <w:p>
            <w:pPr>
              <w:spacing w:after="0"/>
              <w:rPr>
                <w:sz w:val="21"/>
                <w:szCs w:val="21"/>
                <w:color w:val="auto"/>
              </w:rPr>
            </w:pPr>
          </w:p>
        </w:tc>
        <w:tc>
          <w:tcPr>
            <w:tcW w:w="1540" w:type="dxa"/>
            <w:vAlign w:val="bottom"/>
          </w:tcPr>
          <w:p>
            <w:pPr>
              <w:jc w:val="center"/>
              <w:ind w:left="147"/>
              <w:spacing w:after="0"/>
              <w:rPr>
                <w:sz w:val="20"/>
                <w:szCs w:val="20"/>
                <w:color w:val="auto"/>
              </w:rPr>
            </w:pPr>
            <w:r>
              <w:rPr>
                <w:rFonts w:ascii="Courier New" w:cs="Courier New" w:eastAsia="Courier New" w:hAnsi="Courier New"/>
                <w:sz w:val="15"/>
                <w:szCs w:val="15"/>
                <w:color w:val="auto"/>
                <w:w w:val="98"/>
              </w:rPr>
              <w:t>=========</w:t>
            </w:r>
          </w:p>
        </w:tc>
        <w:tc>
          <w:tcPr>
            <w:tcW w:w="13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91" w:lineRule="exact"/>
        <w:rPr>
          <w:sz w:val="20"/>
          <w:szCs w:val="20"/>
          <w:color w:val="auto"/>
        </w:rPr>
      </w:pPr>
    </w:p>
    <w:p>
      <w:pPr>
        <w:jc w:val="both"/>
        <w:ind w:right="3939"/>
        <w:spacing w:after="0" w:line="287" w:lineRule="auto"/>
        <w:rPr>
          <w:sz w:val="20"/>
          <w:szCs w:val="20"/>
          <w:color w:val="auto"/>
        </w:rPr>
      </w:pPr>
      <w:r>
        <w:rPr>
          <w:rFonts w:ascii="Courier New" w:cs="Courier New" w:eastAsia="Courier New" w:hAnsi="Courier New"/>
          <w:sz w:val="14"/>
          <w:szCs w:val="14"/>
          <w:color w:val="auto"/>
        </w:rPr>
        <w:t>Schlumberger had net deductible temporary differences of $1.0 billion on December 31, 2001, $1.0 billion on December 31, 2000 and $1.1 billion on December 31, 1999. Temporary differences at December 31, 2001 pertain to postretirement medical benefits ($0.5 billion), employee benefits ($0.2 billion), and fixed assets, inventory and other ($0.3 billion).</w:t>
      </w:r>
    </w:p>
    <w:p>
      <w:pPr>
        <w:spacing w:after="0" w:line="61" w:lineRule="exact"/>
        <w:rPr>
          <w:sz w:val="20"/>
          <w:szCs w:val="20"/>
          <w:color w:val="auto"/>
        </w:rPr>
      </w:pPr>
    </w:p>
    <w:p>
      <w:pPr>
        <w:ind w:right="3579"/>
        <w:spacing w:after="0" w:line="344" w:lineRule="auto"/>
        <w:rPr>
          <w:sz w:val="20"/>
          <w:szCs w:val="20"/>
          <w:color w:val="auto"/>
        </w:rPr>
      </w:pPr>
      <w:r>
        <w:rPr>
          <w:rFonts w:ascii="Courier New" w:cs="Courier New" w:eastAsia="Courier New" w:hAnsi="Courier New"/>
          <w:sz w:val="15"/>
          <w:szCs w:val="15"/>
          <w:color w:val="auto"/>
        </w:rPr>
        <w:t>The components of consolidated income tax expense from continuing operations were as follows: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54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2001</w:t>
            </w:r>
          </w:p>
        </w:tc>
        <w:tc>
          <w:tcPr>
            <w:tcW w:w="62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2000</w:t>
            </w:r>
          </w:p>
        </w:tc>
        <w:tc>
          <w:tcPr>
            <w:tcW w:w="1920" w:type="dxa"/>
            <w:vAlign w:val="bottom"/>
            <w:gridSpan w:val="3"/>
          </w:tcPr>
          <w:p>
            <w:pPr>
              <w:jc w:val="right"/>
              <w:ind w:right="27"/>
              <w:spacing w:after="0"/>
              <w:rPr>
                <w:sz w:val="20"/>
                <w:szCs w:val="20"/>
                <w:color w:val="auto"/>
              </w:rPr>
            </w:pPr>
            <w:r>
              <w:rPr>
                <w:rFonts w:ascii="Courier New" w:cs="Courier New" w:eastAsia="Courier New" w:hAnsi="Courier New"/>
                <w:sz w:val="15"/>
                <w:szCs w:val="15"/>
                <w:color w:val="auto"/>
                <w:w w:val="99"/>
              </w:rPr>
              <w:t>(Stated in millions)</w:t>
            </w:r>
          </w:p>
        </w:tc>
        <w:tc>
          <w:tcPr>
            <w:tcW w:w="0" w:type="dxa"/>
            <w:vAlign w:val="bottom"/>
          </w:tcPr>
          <w:p>
            <w:pPr>
              <w:spacing w:after="0"/>
              <w:rPr>
                <w:sz w:val="1"/>
                <w:szCs w:val="1"/>
                <w:color w:val="auto"/>
              </w:rPr>
            </w:pPr>
          </w:p>
        </w:tc>
      </w:tr>
      <w:tr>
        <w:trPr>
          <w:trHeight w:val="168"/>
        </w:trPr>
        <w:tc>
          <w:tcPr>
            <w:tcW w:w="254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1999</w:t>
            </w: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2540" w:type="dxa"/>
            <w:vAlign w:val="bottom"/>
            <w:vMerge w:val="restart"/>
          </w:tcPr>
          <w:p>
            <w:pPr>
              <w:spacing w:after="0"/>
              <w:rPr>
                <w:sz w:val="20"/>
                <w:szCs w:val="20"/>
                <w:color w:val="auto"/>
              </w:rPr>
            </w:pPr>
            <w:r>
              <w:rPr>
                <w:rFonts w:ascii="Courier New" w:cs="Courier New" w:eastAsia="Courier New" w:hAnsi="Courier New"/>
                <w:sz w:val="15"/>
                <w:szCs w:val="15"/>
                <w:color w:val="auto"/>
              </w:rPr>
              <w:t>Current:</w:t>
            </w:r>
          </w:p>
        </w:tc>
        <w:tc>
          <w:tcPr>
            <w:tcW w:w="13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6"/>
              </w:rPr>
              <w:t>-----------</w:t>
            </w:r>
          </w:p>
        </w:tc>
        <w:tc>
          <w:tcPr>
            <w:tcW w:w="1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1"/>
        </w:trPr>
        <w:tc>
          <w:tcPr>
            <w:tcW w:w="2540" w:type="dxa"/>
            <w:vAlign w:val="bottom"/>
            <w:vMerge w:val="continue"/>
          </w:tcPr>
          <w:p>
            <w:pPr>
              <w:spacing w:after="0"/>
              <w:rPr>
                <w:sz w:val="7"/>
                <w:szCs w:val="7"/>
                <w:color w:val="auto"/>
              </w:rPr>
            </w:pPr>
          </w:p>
        </w:tc>
        <w:tc>
          <w:tcPr>
            <w:tcW w:w="1320" w:type="dxa"/>
            <w:vAlign w:val="bottom"/>
            <w:gridSpan w:val="2"/>
            <w:vMerge w:val="restart"/>
          </w:tcPr>
          <w:p>
            <w:pPr>
              <w:jc w:val="right"/>
              <w:ind w:right="287"/>
              <w:spacing w:after="0"/>
              <w:rPr>
                <w:sz w:val="20"/>
                <w:szCs w:val="20"/>
                <w:color w:val="auto"/>
              </w:rPr>
            </w:pPr>
            <w:r>
              <w:rPr>
                <w:rFonts w:ascii="Courier New" w:cs="Courier New" w:eastAsia="Courier New" w:hAnsi="Courier New"/>
                <w:sz w:val="15"/>
                <w:szCs w:val="15"/>
                <w:color w:val="auto"/>
              </w:rPr>
              <w:t>$ 337</w:t>
            </w:r>
          </w:p>
        </w:tc>
        <w:tc>
          <w:tcPr>
            <w:tcW w:w="880" w:type="dxa"/>
            <w:vAlign w:val="bottom"/>
            <w:vMerge w:val="restart"/>
          </w:tcPr>
          <w:p>
            <w:pPr>
              <w:jc w:val="center"/>
              <w:ind w:left="527"/>
              <w:spacing w:after="0"/>
              <w:rPr>
                <w:sz w:val="20"/>
                <w:szCs w:val="20"/>
                <w:color w:val="auto"/>
              </w:rPr>
            </w:pPr>
            <w:r>
              <w:rPr>
                <w:rFonts w:ascii="Courier New" w:cs="Courier New" w:eastAsia="Courier New" w:hAnsi="Courier New"/>
                <w:sz w:val="15"/>
                <w:szCs w:val="15"/>
                <w:color w:val="auto"/>
                <w:w w:val="88"/>
              </w:rPr>
              <w:t>$</w:t>
            </w:r>
          </w:p>
        </w:tc>
        <w:tc>
          <w:tcPr>
            <w:tcW w:w="640" w:type="dxa"/>
            <w:vAlign w:val="bottom"/>
            <w:vMerge w:val="restart"/>
          </w:tcPr>
          <w:p>
            <w:pPr>
              <w:jc w:val="right"/>
              <w:ind w:right="307"/>
              <w:spacing w:after="0"/>
              <w:rPr>
                <w:sz w:val="20"/>
                <w:szCs w:val="20"/>
                <w:color w:val="auto"/>
              </w:rPr>
            </w:pPr>
            <w:r>
              <w:rPr>
                <w:rFonts w:ascii="Courier New" w:cs="Courier New" w:eastAsia="Courier New" w:hAnsi="Courier New"/>
                <w:sz w:val="15"/>
                <w:szCs w:val="15"/>
                <w:color w:val="auto"/>
              </w:rPr>
              <w:t>21</w:t>
            </w:r>
          </w:p>
        </w:tc>
        <w:tc>
          <w:tcPr>
            <w:tcW w:w="1280" w:type="dxa"/>
            <w:vAlign w:val="bottom"/>
            <w:gridSpan w:val="2"/>
            <w:vMerge w:val="restart"/>
          </w:tcPr>
          <w:p>
            <w:pPr>
              <w:jc w:val="right"/>
              <w:spacing w:after="0"/>
              <w:rPr>
                <w:sz w:val="20"/>
                <w:szCs w:val="20"/>
                <w:color w:val="auto"/>
              </w:rPr>
            </w:pPr>
            <w:r>
              <w:rPr>
                <w:rFonts w:ascii="Courier New" w:cs="Courier New" w:eastAsia="Courier New" w:hAnsi="Courier New"/>
                <w:sz w:val="15"/>
                <w:szCs w:val="15"/>
                <w:color w:val="auto"/>
              </w:rPr>
              <w:t>$ (74)</w:t>
            </w:r>
          </w:p>
        </w:tc>
        <w:tc>
          <w:tcPr>
            <w:tcW w:w="0" w:type="dxa"/>
            <w:vAlign w:val="bottom"/>
          </w:tcPr>
          <w:p>
            <w:pPr>
              <w:spacing w:after="0"/>
              <w:rPr>
                <w:sz w:val="1"/>
                <w:szCs w:val="1"/>
                <w:color w:val="auto"/>
              </w:rPr>
            </w:pPr>
          </w:p>
        </w:tc>
      </w:tr>
      <w:tr>
        <w:trPr>
          <w:trHeight w:val="168"/>
        </w:trPr>
        <w:tc>
          <w:tcPr>
            <w:tcW w:w="25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United States - Federal</w:t>
            </w:r>
          </w:p>
        </w:tc>
        <w:tc>
          <w:tcPr>
            <w:tcW w:w="1320" w:type="dxa"/>
            <w:vAlign w:val="bottom"/>
            <w:gridSpan w:val="2"/>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5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United States - State</w:t>
            </w:r>
          </w:p>
        </w:tc>
        <w:tc>
          <w:tcPr>
            <w:tcW w:w="700" w:type="dxa"/>
            <w:vAlign w:val="bottom"/>
          </w:tcPr>
          <w:p>
            <w:pPr>
              <w:spacing w:after="0"/>
              <w:rPr>
                <w:sz w:val="14"/>
                <w:szCs w:val="14"/>
                <w:color w:val="auto"/>
              </w:rPr>
            </w:pPr>
          </w:p>
        </w:tc>
        <w:tc>
          <w:tcPr>
            <w:tcW w:w="6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44</w:t>
            </w:r>
          </w:p>
        </w:tc>
        <w:tc>
          <w:tcPr>
            <w:tcW w:w="880" w:type="dxa"/>
            <w:vAlign w:val="bottom"/>
          </w:tcPr>
          <w:p>
            <w:pPr>
              <w:spacing w:after="0"/>
              <w:rPr>
                <w:sz w:val="14"/>
                <w:szCs w:val="14"/>
                <w:color w:val="auto"/>
              </w:rPr>
            </w:pPr>
          </w:p>
        </w:tc>
        <w:tc>
          <w:tcPr>
            <w:tcW w:w="6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4</w:t>
            </w:r>
          </w:p>
        </w:tc>
        <w:tc>
          <w:tcPr>
            <w:tcW w:w="920" w:type="dxa"/>
            <w:vAlign w:val="bottom"/>
          </w:tcPr>
          <w:p>
            <w:pPr>
              <w:spacing w:after="0"/>
              <w:rPr>
                <w:sz w:val="14"/>
                <w:szCs w:val="14"/>
                <w:color w:val="auto"/>
              </w:rPr>
            </w:pP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w:t>
            </w:r>
          </w:p>
        </w:tc>
        <w:tc>
          <w:tcPr>
            <w:tcW w:w="0" w:type="dxa"/>
            <w:vAlign w:val="bottom"/>
          </w:tcPr>
          <w:p>
            <w:pPr>
              <w:spacing w:after="0"/>
              <w:rPr>
                <w:sz w:val="1"/>
                <w:szCs w:val="1"/>
                <w:color w:val="auto"/>
              </w:rPr>
            </w:pPr>
          </w:p>
        </w:tc>
      </w:tr>
      <w:tr>
        <w:trPr>
          <w:trHeight w:val="245"/>
        </w:trPr>
        <w:tc>
          <w:tcPr>
            <w:tcW w:w="2540" w:type="dxa"/>
            <w:vAlign w:val="bottom"/>
          </w:tcPr>
          <w:p>
            <w:pPr>
              <w:ind w:left="280"/>
              <w:spacing w:after="0"/>
              <w:rPr>
                <w:sz w:val="20"/>
                <w:szCs w:val="20"/>
                <w:color w:val="auto"/>
              </w:rPr>
            </w:pPr>
            <w:r>
              <w:rPr>
                <w:rFonts w:ascii="Courier New" w:cs="Courier New" w:eastAsia="Courier New" w:hAnsi="Courier New"/>
                <w:sz w:val="15"/>
                <w:szCs w:val="15"/>
                <w:color w:val="auto"/>
              </w:rPr>
              <w:t>Outside United States</w:t>
            </w:r>
          </w:p>
        </w:tc>
        <w:tc>
          <w:tcPr>
            <w:tcW w:w="700" w:type="dxa"/>
            <w:vAlign w:val="bottom"/>
          </w:tcPr>
          <w:p>
            <w:pPr>
              <w:spacing w:after="0"/>
              <w:rPr>
                <w:sz w:val="21"/>
                <w:szCs w:val="21"/>
                <w:color w:val="auto"/>
              </w:rPr>
            </w:pPr>
          </w:p>
        </w:tc>
        <w:tc>
          <w:tcPr>
            <w:tcW w:w="62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88"/>
              </w:rPr>
              <w:t>193</w:t>
            </w:r>
          </w:p>
        </w:tc>
        <w:tc>
          <w:tcPr>
            <w:tcW w:w="880" w:type="dxa"/>
            <w:vAlign w:val="bottom"/>
          </w:tcPr>
          <w:p>
            <w:pPr>
              <w:spacing w:after="0"/>
              <w:rPr>
                <w:sz w:val="21"/>
                <w:szCs w:val="21"/>
                <w:color w:val="auto"/>
              </w:rPr>
            </w:pPr>
          </w:p>
        </w:tc>
        <w:tc>
          <w:tcPr>
            <w:tcW w:w="640" w:type="dxa"/>
            <w:vAlign w:val="bottom"/>
          </w:tcPr>
          <w:p>
            <w:pPr>
              <w:jc w:val="right"/>
              <w:ind w:right="307"/>
              <w:spacing w:after="0"/>
              <w:rPr>
                <w:sz w:val="20"/>
                <w:szCs w:val="20"/>
                <w:color w:val="auto"/>
              </w:rPr>
            </w:pPr>
            <w:r>
              <w:rPr>
                <w:rFonts w:ascii="Courier New" w:cs="Courier New" w:eastAsia="Courier New" w:hAnsi="Courier New"/>
                <w:sz w:val="15"/>
                <w:szCs w:val="15"/>
                <w:color w:val="auto"/>
                <w:w w:val="88"/>
              </w:rPr>
              <w:t>194</w:t>
            </w:r>
          </w:p>
        </w:tc>
        <w:tc>
          <w:tcPr>
            <w:tcW w:w="920" w:type="dxa"/>
            <w:vAlign w:val="bottom"/>
          </w:tcPr>
          <w:p>
            <w:pPr>
              <w:spacing w:after="0"/>
              <w:rPr>
                <w:sz w:val="21"/>
                <w:szCs w:val="21"/>
                <w:color w:val="auto"/>
              </w:rPr>
            </w:pPr>
          </w:p>
        </w:tc>
        <w:tc>
          <w:tcPr>
            <w:tcW w:w="360" w:type="dxa"/>
            <w:vAlign w:val="bottom"/>
          </w:tcPr>
          <w:p>
            <w:pPr>
              <w:jc w:val="right"/>
              <w:ind w:right="27"/>
              <w:spacing w:after="0"/>
              <w:rPr>
                <w:sz w:val="20"/>
                <w:szCs w:val="20"/>
                <w:color w:val="auto"/>
              </w:rPr>
            </w:pPr>
            <w:r>
              <w:rPr>
                <w:rFonts w:ascii="Courier New" w:cs="Courier New" w:eastAsia="Courier New" w:hAnsi="Courier New"/>
                <w:sz w:val="15"/>
                <w:szCs w:val="15"/>
                <w:color w:val="auto"/>
                <w:w w:val="88"/>
              </w:rPr>
              <w:t>206</w:t>
            </w:r>
          </w:p>
        </w:tc>
        <w:tc>
          <w:tcPr>
            <w:tcW w:w="0" w:type="dxa"/>
            <w:vAlign w:val="bottom"/>
          </w:tcPr>
          <w:p>
            <w:pPr>
              <w:spacing w:after="0"/>
              <w:rPr>
                <w:sz w:val="1"/>
                <w:szCs w:val="1"/>
                <w:color w:val="auto"/>
              </w:rPr>
            </w:pPr>
          </w:p>
        </w:tc>
      </w:tr>
      <w:tr>
        <w:trPr>
          <w:trHeight w:val="259"/>
        </w:trPr>
        <w:tc>
          <w:tcPr>
            <w:tcW w:w="2540" w:type="dxa"/>
            <w:vAlign w:val="bottom"/>
          </w:tcPr>
          <w:p>
            <w:pPr>
              <w:spacing w:after="0"/>
              <w:rPr>
                <w:sz w:val="22"/>
                <w:szCs w:val="22"/>
                <w:color w:val="auto"/>
              </w:rPr>
            </w:pPr>
          </w:p>
        </w:tc>
        <w:tc>
          <w:tcPr>
            <w:tcW w:w="13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6"/>
              </w:rPr>
              <w:t>-----------</w:t>
            </w:r>
          </w:p>
        </w:tc>
        <w:tc>
          <w:tcPr>
            <w:tcW w:w="1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2540" w:type="dxa"/>
            <w:vAlign w:val="bottom"/>
          </w:tcPr>
          <w:p>
            <w:pPr>
              <w:spacing w:after="0"/>
              <w:rPr>
                <w:sz w:val="14"/>
                <w:szCs w:val="14"/>
                <w:color w:val="auto"/>
              </w:rPr>
            </w:pPr>
          </w:p>
        </w:tc>
        <w:tc>
          <w:tcPr>
            <w:tcW w:w="132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$ 574</w:t>
            </w:r>
          </w:p>
        </w:tc>
        <w:tc>
          <w:tcPr>
            <w:tcW w:w="152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$ 219</w:t>
            </w:r>
          </w:p>
        </w:tc>
        <w:tc>
          <w:tcPr>
            <w:tcW w:w="12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$ 125</w:t>
            </w:r>
          </w:p>
        </w:tc>
        <w:tc>
          <w:tcPr>
            <w:tcW w:w="0" w:type="dxa"/>
            <w:vAlign w:val="bottom"/>
          </w:tcPr>
          <w:p>
            <w:pPr>
              <w:spacing w:after="0"/>
              <w:rPr>
                <w:sz w:val="1"/>
                <w:szCs w:val="1"/>
                <w:color w:val="auto"/>
              </w:rPr>
            </w:pPr>
          </w:p>
        </w:tc>
      </w:tr>
      <w:tr>
        <w:trPr>
          <w:trHeight w:val="245"/>
        </w:trPr>
        <w:tc>
          <w:tcPr>
            <w:tcW w:w="2540" w:type="dxa"/>
            <w:vAlign w:val="bottom"/>
            <w:vMerge w:val="restart"/>
          </w:tcPr>
          <w:p>
            <w:pPr>
              <w:spacing w:after="0"/>
              <w:rPr>
                <w:sz w:val="20"/>
                <w:szCs w:val="20"/>
                <w:color w:val="auto"/>
              </w:rPr>
            </w:pPr>
            <w:r>
              <w:rPr>
                <w:rFonts w:ascii="Courier New" w:cs="Courier New" w:eastAsia="Courier New" w:hAnsi="Courier New"/>
                <w:sz w:val="15"/>
                <w:szCs w:val="15"/>
                <w:color w:val="auto"/>
              </w:rPr>
              <w:t>Deferred:</w:t>
            </w:r>
          </w:p>
        </w:tc>
        <w:tc>
          <w:tcPr>
            <w:tcW w:w="13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6"/>
              </w:rPr>
              <w:t>-----------</w:t>
            </w:r>
          </w:p>
        </w:tc>
        <w:tc>
          <w:tcPr>
            <w:tcW w:w="1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1"/>
        </w:trPr>
        <w:tc>
          <w:tcPr>
            <w:tcW w:w="2540" w:type="dxa"/>
            <w:vAlign w:val="bottom"/>
            <w:vMerge w:val="continue"/>
          </w:tcPr>
          <w:p>
            <w:pPr>
              <w:spacing w:after="0"/>
              <w:rPr>
                <w:sz w:val="7"/>
                <w:szCs w:val="7"/>
                <w:color w:val="auto"/>
              </w:rPr>
            </w:pPr>
          </w:p>
        </w:tc>
        <w:tc>
          <w:tcPr>
            <w:tcW w:w="70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w:t>
            </w:r>
          </w:p>
        </w:tc>
        <w:tc>
          <w:tcPr>
            <w:tcW w:w="62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rPr>
              <w:t>5</w:t>
            </w:r>
          </w:p>
        </w:tc>
        <w:tc>
          <w:tcPr>
            <w:tcW w:w="880" w:type="dxa"/>
            <w:vAlign w:val="bottom"/>
            <w:vMerge w:val="restart"/>
          </w:tcPr>
          <w:p>
            <w:pPr>
              <w:jc w:val="center"/>
              <w:ind w:left="527"/>
              <w:spacing w:after="0"/>
              <w:rPr>
                <w:sz w:val="20"/>
                <w:szCs w:val="20"/>
                <w:color w:val="auto"/>
              </w:rPr>
            </w:pPr>
            <w:r>
              <w:rPr>
                <w:rFonts w:ascii="Courier New" w:cs="Courier New" w:eastAsia="Courier New" w:hAnsi="Courier New"/>
                <w:sz w:val="15"/>
                <w:szCs w:val="15"/>
                <w:color w:val="auto"/>
                <w:w w:val="88"/>
              </w:rPr>
              <w:t>$</w:t>
            </w:r>
          </w:p>
        </w:tc>
        <w:tc>
          <w:tcPr>
            <w:tcW w:w="64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(3)</w:t>
            </w:r>
          </w:p>
        </w:tc>
        <w:tc>
          <w:tcPr>
            <w:tcW w:w="92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w:t>
            </w:r>
          </w:p>
        </w:tc>
        <w:tc>
          <w:tcPr>
            <w:tcW w:w="36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14</w:t>
            </w:r>
          </w:p>
        </w:tc>
        <w:tc>
          <w:tcPr>
            <w:tcW w:w="0" w:type="dxa"/>
            <w:vAlign w:val="bottom"/>
          </w:tcPr>
          <w:p>
            <w:pPr>
              <w:spacing w:after="0"/>
              <w:rPr>
                <w:sz w:val="1"/>
                <w:szCs w:val="1"/>
                <w:color w:val="auto"/>
              </w:rPr>
            </w:pPr>
          </w:p>
        </w:tc>
      </w:tr>
      <w:tr>
        <w:trPr>
          <w:trHeight w:val="168"/>
        </w:trPr>
        <w:tc>
          <w:tcPr>
            <w:tcW w:w="25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United States - Federal</w:t>
            </w:r>
          </w:p>
        </w:tc>
        <w:tc>
          <w:tcPr>
            <w:tcW w:w="70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5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United States - State</w:t>
            </w:r>
          </w:p>
        </w:tc>
        <w:tc>
          <w:tcPr>
            <w:tcW w:w="700" w:type="dxa"/>
            <w:vAlign w:val="bottom"/>
          </w:tcPr>
          <w:p>
            <w:pPr>
              <w:spacing w:after="0"/>
              <w:rPr>
                <w:sz w:val="14"/>
                <w:szCs w:val="14"/>
                <w:color w:val="auto"/>
              </w:rPr>
            </w:pPr>
          </w:p>
        </w:tc>
        <w:tc>
          <w:tcPr>
            <w:tcW w:w="6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w:t>
            </w:r>
          </w:p>
        </w:tc>
        <w:tc>
          <w:tcPr>
            <w:tcW w:w="880" w:type="dxa"/>
            <w:vAlign w:val="bottom"/>
          </w:tcPr>
          <w:p>
            <w:pPr>
              <w:spacing w:after="0"/>
              <w:rPr>
                <w:sz w:val="14"/>
                <w:szCs w:val="14"/>
                <w:color w:val="auto"/>
              </w:rPr>
            </w:pPr>
          </w:p>
        </w:tc>
        <w:tc>
          <w:tcPr>
            <w:tcW w:w="6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w:t>
            </w:r>
          </w:p>
        </w:tc>
        <w:tc>
          <w:tcPr>
            <w:tcW w:w="920" w:type="dxa"/>
            <w:vAlign w:val="bottom"/>
          </w:tcPr>
          <w:p>
            <w:pPr>
              <w:spacing w:after="0"/>
              <w:rPr>
                <w:sz w:val="14"/>
                <w:szCs w:val="14"/>
                <w:color w:val="auto"/>
              </w:rPr>
            </w:pPr>
          </w:p>
        </w:tc>
        <w:tc>
          <w:tcPr>
            <w:tcW w:w="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w:t>
            </w:r>
          </w:p>
        </w:tc>
        <w:tc>
          <w:tcPr>
            <w:tcW w:w="0" w:type="dxa"/>
            <w:vAlign w:val="bottom"/>
          </w:tcPr>
          <w:p>
            <w:pPr>
              <w:spacing w:after="0"/>
              <w:rPr>
                <w:sz w:val="1"/>
                <w:szCs w:val="1"/>
                <w:color w:val="auto"/>
              </w:rPr>
            </w:pPr>
          </w:p>
        </w:tc>
      </w:tr>
      <w:tr>
        <w:trPr>
          <w:trHeight w:val="245"/>
        </w:trPr>
        <w:tc>
          <w:tcPr>
            <w:tcW w:w="2540" w:type="dxa"/>
            <w:vAlign w:val="bottom"/>
          </w:tcPr>
          <w:p>
            <w:pPr>
              <w:ind w:left="280"/>
              <w:spacing w:after="0"/>
              <w:rPr>
                <w:sz w:val="20"/>
                <w:szCs w:val="20"/>
                <w:color w:val="auto"/>
              </w:rPr>
            </w:pPr>
            <w:r>
              <w:rPr>
                <w:rFonts w:ascii="Courier New" w:cs="Courier New" w:eastAsia="Courier New" w:hAnsi="Courier New"/>
                <w:sz w:val="15"/>
                <w:szCs w:val="15"/>
                <w:color w:val="auto"/>
              </w:rPr>
              <w:t>Outside United States</w:t>
            </w:r>
          </w:p>
        </w:tc>
        <w:tc>
          <w:tcPr>
            <w:tcW w:w="700" w:type="dxa"/>
            <w:vAlign w:val="bottom"/>
          </w:tcPr>
          <w:p>
            <w:pPr>
              <w:spacing w:after="0"/>
              <w:rPr>
                <w:sz w:val="21"/>
                <w:szCs w:val="21"/>
                <w:color w:val="auto"/>
              </w:rPr>
            </w:pPr>
          </w:p>
        </w:tc>
        <w:tc>
          <w:tcPr>
            <w:tcW w:w="6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w:t>
            </w:r>
          </w:p>
        </w:tc>
        <w:tc>
          <w:tcPr>
            <w:tcW w:w="880" w:type="dxa"/>
            <w:vAlign w:val="bottom"/>
          </w:tcPr>
          <w:p>
            <w:pPr>
              <w:spacing w:after="0"/>
              <w:rPr>
                <w:sz w:val="21"/>
                <w:szCs w:val="21"/>
                <w:color w:val="auto"/>
              </w:rPr>
            </w:pPr>
          </w:p>
        </w:tc>
        <w:tc>
          <w:tcPr>
            <w:tcW w:w="64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14</w:t>
            </w:r>
          </w:p>
        </w:tc>
        <w:tc>
          <w:tcPr>
            <w:tcW w:w="920" w:type="dxa"/>
            <w:vAlign w:val="bottom"/>
          </w:tcPr>
          <w:p>
            <w:pPr>
              <w:spacing w:after="0"/>
              <w:rPr>
                <w:sz w:val="21"/>
                <w:szCs w:val="21"/>
                <w:color w:val="auto"/>
              </w:rPr>
            </w:pPr>
          </w:p>
        </w:tc>
        <w:tc>
          <w:tcPr>
            <w:tcW w:w="3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w:t>
            </w:r>
          </w:p>
        </w:tc>
        <w:tc>
          <w:tcPr>
            <w:tcW w:w="0" w:type="dxa"/>
            <w:vAlign w:val="bottom"/>
          </w:tcPr>
          <w:p>
            <w:pPr>
              <w:spacing w:after="0"/>
              <w:rPr>
                <w:sz w:val="1"/>
                <w:szCs w:val="1"/>
                <w:color w:val="auto"/>
              </w:rPr>
            </w:pPr>
          </w:p>
        </w:tc>
      </w:tr>
      <w:tr>
        <w:trPr>
          <w:trHeight w:val="259"/>
        </w:trPr>
        <w:tc>
          <w:tcPr>
            <w:tcW w:w="2540" w:type="dxa"/>
            <w:vAlign w:val="bottom"/>
          </w:tcPr>
          <w:p>
            <w:pPr>
              <w:spacing w:after="0"/>
              <w:rPr>
                <w:sz w:val="22"/>
                <w:szCs w:val="22"/>
                <w:color w:val="auto"/>
              </w:rPr>
            </w:pPr>
          </w:p>
        </w:tc>
        <w:tc>
          <w:tcPr>
            <w:tcW w:w="13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6"/>
              </w:rPr>
              <w:t>-----------</w:t>
            </w:r>
          </w:p>
        </w:tc>
        <w:tc>
          <w:tcPr>
            <w:tcW w:w="1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254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w:t>
            </w:r>
          </w:p>
        </w:tc>
        <w:tc>
          <w:tcPr>
            <w:tcW w:w="880" w:type="dxa"/>
            <w:vAlign w:val="bottom"/>
          </w:tcPr>
          <w:p>
            <w:pPr>
              <w:jc w:val="center"/>
              <w:ind w:left="527"/>
              <w:spacing w:after="0" w:line="168" w:lineRule="exact"/>
              <w:rPr>
                <w:sz w:val="20"/>
                <w:szCs w:val="20"/>
                <w:color w:val="auto"/>
              </w:rPr>
            </w:pPr>
            <w:r>
              <w:rPr>
                <w:rFonts w:ascii="Courier New" w:cs="Courier New" w:eastAsia="Courier New" w:hAnsi="Courier New"/>
                <w:sz w:val="15"/>
                <w:szCs w:val="15"/>
                <w:color w:val="auto"/>
                <w:w w:val="88"/>
              </w:rPr>
              <w:t>$</w:t>
            </w:r>
          </w:p>
        </w:tc>
        <w:tc>
          <w:tcPr>
            <w:tcW w:w="6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9</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16</w:t>
            </w:r>
          </w:p>
        </w:tc>
        <w:tc>
          <w:tcPr>
            <w:tcW w:w="0" w:type="dxa"/>
            <w:vAlign w:val="bottom"/>
          </w:tcPr>
          <w:p>
            <w:pPr>
              <w:spacing w:after="0"/>
              <w:rPr>
                <w:sz w:val="1"/>
                <w:szCs w:val="1"/>
                <w:color w:val="auto"/>
              </w:rPr>
            </w:pPr>
          </w:p>
        </w:tc>
      </w:tr>
      <w:tr>
        <w:trPr>
          <w:trHeight w:val="245"/>
        </w:trPr>
        <w:tc>
          <w:tcPr>
            <w:tcW w:w="2540" w:type="dxa"/>
            <w:vAlign w:val="bottom"/>
          </w:tcPr>
          <w:p>
            <w:pPr>
              <w:spacing w:after="0"/>
              <w:rPr>
                <w:sz w:val="21"/>
                <w:szCs w:val="21"/>
                <w:color w:val="auto"/>
              </w:rPr>
            </w:pPr>
          </w:p>
        </w:tc>
        <w:tc>
          <w:tcPr>
            <w:tcW w:w="13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6"/>
              </w:rPr>
              <w:t>-----------</w:t>
            </w:r>
          </w:p>
        </w:tc>
        <w:tc>
          <w:tcPr>
            <w:tcW w:w="1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2540" w:type="dxa"/>
            <w:vAlign w:val="bottom"/>
          </w:tcPr>
          <w:p>
            <w:pPr>
              <w:spacing w:after="0"/>
              <w:rPr>
                <w:sz w:val="20"/>
                <w:szCs w:val="20"/>
                <w:color w:val="auto"/>
              </w:rPr>
            </w:pPr>
            <w:r>
              <w:rPr>
                <w:rFonts w:ascii="Courier New" w:cs="Courier New" w:eastAsia="Courier New" w:hAnsi="Courier New"/>
                <w:sz w:val="15"/>
                <w:szCs w:val="15"/>
                <w:color w:val="auto"/>
                <w:w w:val="99"/>
              </w:rPr>
              <w:t>Consolidated taxes on income</w:t>
            </w:r>
          </w:p>
        </w:tc>
        <w:tc>
          <w:tcPr>
            <w:tcW w:w="132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$ 575</w:t>
            </w:r>
          </w:p>
        </w:tc>
        <w:tc>
          <w:tcPr>
            <w:tcW w:w="1520" w:type="dxa"/>
            <w:vAlign w:val="bottom"/>
            <w:gridSpan w:val="2"/>
          </w:tcPr>
          <w:p>
            <w:pPr>
              <w:jc w:val="right"/>
              <w:ind w:right="307"/>
              <w:spacing w:after="0"/>
              <w:rPr>
                <w:sz w:val="20"/>
                <w:szCs w:val="20"/>
                <w:color w:val="auto"/>
              </w:rPr>
            </w:pPr>
            <w:r>
              <w:rPr>
                <w:rFonts w:ascii="Courier New" w:cs="Courier New" w:eastAsia="Courier New" w:hAnsi="Courier New"/>
                <w:sz w:val="15"/>
                <w:szCs w:val="15"/>
                <w:color w:val="auto"/>
              </w:rPr>
              <w:t>$ 228</w:t>
            </w:r>
          </w:p>
        </w:tc>
        <w:tc>
          <w:tcPr>
            <w:tcW w:w="12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$ 141</w:t>
            </w:r>
          </w:p>
        </w:tc>
        <w:tc>
          <w:tcPr>
            <w:tcW w:w="0" w:type="dxa"/>
            <w:vAlign w:val="bottom"/>
          </w:tcPr>
          <w:p>
            <w:pPr>
              <w:spacing w:after="0"/>
              <w:rPr>
                <w:sz w:val="1"/>
                <w:szCs w:val="1"/>
                <w:color w:val="auto"/>
              </w:rPr>
            </w:pPr>
          </w:p>
        </w:tc>
      </w:tr>
      <w:tr>
        <w:trPr>
          <w:trHeight w:val="245"/>
        </w:trPr>
        <w:tc>
          <w:tcPr>
            <w:tcW w:w="2540" w:type="dxa"/>
            <w:vAlign w:val="bottom"/>
          </w:tcPr>
          <w:p>
            <w:pPr>
              <w:spacing w:after="0"/>
              <w:rPr>
                <w:sz w:val="21"/>
                <w:szCs w:val="21"/>
                <w:color w:val="auto"/>
              </w:rPr>
            </w:pPr>
          </w:p>
        </w:tc>
        <w:tc>
          <w:tcPr>
            <w:tcW w:w="13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6"/>
              </w:rPr>
              <w:t>===========</w:t>
            </w:r>
          </w:p>
        </w:tc>
        <w:tc>
          <w:tcPr>
            <w:tcW w:w="1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2540" w:type="dxa"/>
            <w:vAlign w:val="bottom"/>
          </w:tcPr>
          <w:p>
            <w:pPr>
              <w:spacing w:after="0"/>
              <w:rPr>
                <w:sz w:val="20"/>
                <w:szCs w:val="20"/>
                <w:color w:val="auto"/>
              </w:rPr>
            </w:pPr>
            <w:r>
              <w:rPr>
                <w:rFonts w:ascii="Courier New" w:cs="Courier New" w:eastAsia="Courier New" w:hAnsi="Courier New"/>
                <w:sz w:val="15"/>
                <w:szCs w:val="15"/>
                <w:color w:val="auto"/>
              </w:rPr>
              <w:t>Effective tax rate</w:t>
            </w:r>
          </w:p>
        </w:tc>
        <w:tc>
          <w:tcPr>
            <w:tcW w:w="700" w:type="dxa"/>
            <w:vAlign w:val="bottom"/>
          </w:tcPr>
          <w:p>
            <w:pPr>
              <w:spacing w:after="0"/>
              <w:rPr>
                <w:sz w:val="22"/>
                <w:szCs w:val="22"/>
                <w:color w:val="auto"/>
              </w:rPr>
            </w:pPr>
          </w:p>
        </w:tc>
        <w:tc>
          <w:tcPr>
            <w:tcW w:w="62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88"/>
              </w:rPr>
              <w:t>51%</w:t>
            </w:r>
          </w:p>
        </w:tc>
        <w:tc>
          <w:tcPr>
            <w:tcW w:w="880" w:type="dxa"/>
            <w:vAlign w:val="bottom"/>
          </w:tcPr>
          <w:p>
            <w:pPr>
              <w:spacing w:after="0"/>
              <w:rPr>
                <w:sz w:val="22"/>
                <w:szCs w:val="22"/>
                <w:color w:val="auto"/>
              </w:rPr>
            </w:pPr>
          </w:p>
        </w:tc>
        <w:tc>
          <w:tcPr>
            <w:tcW w:w="640" w:type="dxa"/>
            <w:vAlign w:val="bottom"/>
          </w:tcPr>
          <w:p>
            <w:pPr>
              <w:jc w:val="right"/>
              <w:ind w:right="307"/>
              <w:spacing w:after="0"/>
              <w:rPr>
                <w:sz w:val="20"/>
                <w:szCs w:val="20"/>
                <w:color w:val="auto"/>
              </w:rPr>
            </w:pPr>
            <w:r>
              <w:rPr>
                <w:rFonts w:ascii="Courier New" w:cs="Courier New" w:eastAsia="Courier New" w:hAnsi="Courier New"/>
                <w:sz w:val="15"/>
                <w:szCs w:val="15"/>
                <w:color w:val="auto"/>
                <w:w w:val="88"/>
              </w:rPr>
              <w:t>24%</w:t>
            </w:r>
          </w:p>
        </w:tc>
        <w:tc>
          <w:tcPr>
            <w:tcW w:w="920" w:type="dxa"/>
            <w:vAlign w:val="bottom"/>
          </w:tcPr>
          <w:p>
            <w:pPr>
              <w:spacing w:after="0"/>
              <w:rPr>
                <w:sz w:val="22"/>
                <w:szCs w:val="22"/>
                <w:color w:val="auto"/>
              </w:rPr>
            </w:pPr>
          </w:p>
        </w:tc>
        <w:tc>
          <w:tcPr>
            <w:tcW w:w="360" w:type="dxa"/>
            <w:vAlign w:val="bottom"/>
          </w:tcPr>
          <w:p>
            <w:pPr>
              <w:jc w:val="right"/>
              <w:ind w:right="27"/>
              <w:spacing w:after="0"/>
              <w:rPr>
                <w:sz w:val="20"/>
                <w:szCs w:val="20"/>
                <w:color w:val="auto"/>
              </w:rPr>
            </w:pPr>
            <w:r>
              <w:rPr>
                <w:rFonts w:ascii="Courier New" w:cs="Courier New" w:eastAsia="Courier New" w:hAnsi="Courier New"/>
                <w:sz w:val="15"/>
                <w:szCs w:val="15"/>
                <w:color w:val="auto"/>
                <w:w w:val="88"/>
              </w:rPr>
              <w:t>30%</w:t>
            </w:r>
          </w:p>
        </w:tc>
        <w:tc>
          <w:tcPr>
            <w:tcW w:w="0" w:type="dxa"/>
            <w:vAlign w:val="bottom"/>
          </w:tcPr>
          <w:p>
            <w:pPr>
              <w:spacing w:after="0"/>
              <w:rPr>
                <w:sz w:val="1"/>
                <w:szCs w:val="1"/>
                <w:color w:val="auto"/>
              </w:rPr>
            </w:pPr>
          </w:p>
        </w:tc>
      </w:tr>
      <w:tr>
        <w:trPr>
          <w:trHeight w:val="245"/>
        </w:trPr>
        <w:tc>
          <w:tcPr>
            <w:tcW w:w="2540" w:type="dxa"/>
            <w:vAlign w:val="bottom"/>
          </w:tcPr>
          <w:p>
            <w:pPr>
              <w:spacing w:after="0"/>
              <w:rPr>
                <w:sz w:val="21"/>
                <w:szCs w:val="21"/>
                <w:color w:val="auto"/>
              </w:rPr>
            </w:pPr>
          </w:p>
        </w:tc>
        <w:tc>
          <w:tcPr>
            <w:tcW w:w="13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6"/>
              </w:rPr>
              <w:t>===========</w:t>
            </w:r>
          </w:p>
        </w:tc>
        <w:tc>
          <w:tcPr>
            <w:tcW w:w="1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59" w:lineRule="exact"/>
        <w:rPr>
          <w:sz w:val="20"/>
          <w:szCs w:val="20"/>
          <w:color w:val="auto"/>
        </w:rPr>
      </w:pPr>
    </w:p>
    <w:p>
      <w:pPr>
        <w:ind w:right="3399"/>
        <w:spacing w:after="0" w:line="258" w:lineRule="auto"/>
        <w:rPr>
          <w:sz w:val="20"/>
          <w:szCs w:val="20"/>
          <w:color w:val="auto"/>
        </w:rPr>
      </w:pPr>
      <w:r>
        <w:rPr>
          <w:rFonts w:ascii="Courier New" w:cs="Courier New" w:eastAsia="Courier New" w:hAnsi="Courier New"/>
          <w:sz w:val="15"/>
          <w:szCs w:val="15"/>
          <w:color w:val="auto"/>
        </w:rPr>
        <w:t>During 2001, Schlumberger recorded several charges/credits in continuing operations as more fully described on page F-11. Excluding these charges/credits, the consolidated effective tax rate would have been 32%. Excluding the charges/credits and amortization of goodwill/intangibles, the consolidated effective tax rate would have been 27%. The variation from the US statutory federal</w:t>
      </w:r>
    </w:p>
    <w:p>
      <w:pPr>
        <w:spacing w:after="0" w:line="8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F-21</w:t>
      </w:r>
    </w:p>
    <w:p>
      <w:pPr>
        <w:sectPr>
          <w:pgSz w:w="11900" w:h="16838" w:orient="portrait"/>
          <w:cols w:equalWidth="0" w:num="1">
            <w:col w:w="10239"/>
          </w:cols>
          <w:pgMar w:left="220" w:top="598" w:right="1440" w:bottom="1440" w:gutter="0" w:footer="0" w:header="0"/>
        </w:sectPr>
      </w:pPr>
    </w:p>
    <w:bookmarkStart w:id="35" w:name="page36"/>
    <w:bookmarkEnd w:id="35"/>
    <w:p>
      <w:pPr>
        <w:ind w:right="3839"/>
        <w:spacing w:after="0" w:line="381" w:lineRule="auto"/>
        <w:rPr>
          <w:sz w:val="20"/>
          <w:szCs w:val="20"/>
          <w:color w:val="auto"/>
        </w:rPr>
      </w:pPr>
      <w:r>
        <w:rPr>
          <w:rFonts w:ascii="Courier New" w:cs="Courier New" w:eastAsia="Courier New" w:hAnsi="Courier New"/>
          <w:sz w:val="14"/>
          <w:szCs w:val="14"/>
          <w:color w:val="auto"/>
        </w:rPr>
        <w:t>tax rate (35%) and 27% was due primarily to a substantial proportion of operations in countries where taxation on income is lower than in the US.</w:t>
      </w:r>
    </w:p>
    <w:p>
      <w:pPr>
        <w:spacing w:after="0" w:line="1" w:lineRule="exact"/>
        <w:rPr>
          <w:sz w:val="20"/>
          <w:szCs w:val="20"/>
          <w:color w:val="auto"/>
        </w:rPr>
      </w:pPr>
    </w:p>
    <w:p>
      <w:pPr>
        <w:ind w:right="3399"/>
        <w:spacing w:after="0" w:line="264" w:lineRule="auto"/>
        <w:rPr>
          <w:sz w:val="20"/>
          <w:szCs w:val="20"/>
          <w:color w:val="auto"/>
        </w:rPr>
      </w:pPr>
      <w:r>
        <w:rPr>
          <w:rFonts w:ascii="Courier New" w:cs="Courier New" w:eastAsia="Courier New" w:hAnsi="Courier New"/>
          <w:sz w:val="15"/>
          <w:szCs w:val="15"/>
          <w:color w:val="auto"/>
        </w:rPr>
        <w:t>For 2000 and 1999, the variations from the US statutory federal tax rate (35%) and Schlumberger effective tax rates were due to several factors, including a substantial proportion of operations in countries where taxation on income is lower than in the US partially offset by the effect of permanent book/tax differences in the US, such as goodwill amortization.</w:t>
      </w:r>
    </w:p>
    <w:p>
      <w:pPr>
        <w:spacing w:after="0" w:line="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Leases and Lease Commitments</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40"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5"/>
          <w:szCs w:val="15"/>
          <w:color w:val="auto"/>
        </w:rPr>
        <w:t>Total rental expense was $390 million in 2001, $287 million in 2000 and $303 million in 1999. Future minimum rental commitments under noncancelable leases for years ending December 31 are: $173 million in 2002; $152 million in 2003; $141 million in 2004; $108 million in 2005; and $108 million in 2006. For the ensuing three five-year periods, these commitments decrease from $300 million to $76 million. The minimum rentals over the remaining terms of the leases aggregate to $32 million.</w:t>
      </w: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Contingencies</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40" w:lineRule="exact"/>
        <w:rPr>
          <w:sz w:val="20"/>
          <w:szCs w:val="20"/>
          <w:color w:val="auto"/>
        </w:rPr>
      </w:pPr>
    </w:p>
    <w:p>
      <w:pPr>
        <w:ind w:right="3239"/>
        <w:spacing w:after="0" w:line="249" w:lineRule="auto"/>
        <w:rPr>
          <w:sz w:val="20"/>
          <w:szCs w:val="20"/>
          <w:color w:val="auto"/>
        </w:rPr>
      </w:pPr>
      <w:r>
        <w:rPr>
          <w:rFonts w:ascii="Courier New" w:cs="Courier New" w:eastAsia="Courier New" w:hAnsi="Courier New"/>
          <w:sz w:val="15"/>
          <w:szCs w:val="15"/>
          <w:color w:val="auto"/>
        </w:rPr>
        <w:t>The Consolidated Balance Sheet includes accruals for the estimated future costs associated with certain environmental remediation activities related to the past use or disposal of hazardous materials. Substantially all such costs relate to divested operations and to facilities or locations that are no longer in operation. Due to a number of uncertainties, including uncertainty of timing, the scope of remediation, future technology, regulatory changes and other factors, it is possible that the ultimate remediation costs may exceed the amounts estimated. However, in the opinion of management, such additional costs are not expected to be material relative to consolidated liquidity, financial position or future results of operations.</w:t>
      </w:r>
    </w:p>
    <w:p>
      <w:pPr>
        <w:spacing w:after="0" w:line="87" w:lineRule="exact"/>
        <w:rPr>
          <w:sz w:val="20"/>
          <w:szCs w:val="20"/>
          <w:color w:val="auto"/>
        </w:rPr>
      </w:pPr>
    </w:p>
    <w:p>
      <w:pPr>
        <w:ind w:right="3239"/>
        <w:spacing w:after="0" w:line="264" w:lineRule="auto"/>
        <w:rPr>
          <w:sz w:val="20"/>
          <w:szCs w:val="20"/>
          <w:color w:val="auto"/>
        </w:rPr>
      </w:pPr>
      <w:r>
        <w:rPr>
          <w:rFonts w:ascii="Courier New" w:cs="Courier New" w:eastAsia="Courier New" w:hAnsi="Courier New"/>
          <w:sz w:val="15"/>
          <w:szCs w:val="15"/>
          <w:color w:val="auto"/>
        </w:rPr>
        <w:t>In addition, Schlumberger and its subsidiaries are party to various other legal proceedings. Although the ultimate disposition of these proceedings is not presently determinable, in the opinion of Schlumberger any liability that might ensue would not be material in relation to the consolidated liquidity, financial position or future results of operations.</w:t>
      </w:r>
    </w:p>
    <w:p>
      <w:pPr>
        <w:spacing w:after="0" w:line="75"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5"/>
          <w:szCs w:val="15"/>
          <w:color w:val="auto"/>
        </w:rPr>
        <w:t>Schlumberger's financial instruments that are exposed to concentrations of credit risk consist primarily of cash and cash equivalents and receivables from clients. Schlumberger places its cash and cash equivalents with financial institutions and corporations, and limits the amount of credit exposure with any one of them. Schlumberger actively evaluates the creditworthiness of the issuers in which it invests. The receivables from clients are concentrated within a few significant industries and geographies.</w:t>
      </w: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Segment Information</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40" w:lineRule="exact"/>
        <w:rPr>
          <w:sz w:val="20"/>
          <w:szCs w:val="20"/>
          <w:color w:val="auto"/>
        </w:rPr>
      </w:pPr>
    </w:p>
    <w:p>
      <w:pPr>
        <w:ind w:right="3759"/>
        <w:spacing w:after="0" w:line="344" w:lineRule="auto"/>
        <w:rPr>
          <w:sz w:val="20"/>
          <w:szCs w:val="20"/>
          <w:color w:val="auto"/>
        </w:rPr>
      </w:pPr>
      <w:r>
        <w:rPr>
          <w:rFonts w:ascii="Courier New" w:cs="Courier New" w:eastAsia="Courier New" w:hAnsi="Courier New"/>
          <w:sz w:val="15"/>
          <w:szCs w:val="15"/>
          <w:color w:val="auto"/>
        </w:rPr>
        <w:t>Schlumberger operates two reportable segments: Oilfield Services (OFS) and SchlumbergerSema (SLSEMA).</w:t>
      </w:r>
    </w:p>
    <w:p>
      <w:pPr>
        <w:spacing w:after="0" w:line="17" w:lineRule="exact"/>
        <w:rPr>
          <w:sz w:val="20"/>
          <w:szCs w:val="20"/>
          <w:color w:val="auto"/>
        </w:rPr>
      </w:pPr>
    </w:p>
    <w:p>
      <w:pPr>
        <w:ind w:right="3239"/>
        <w:spacing w:after="0" w:line="266" w:lineRule="auto"/>
        <w:rPr>
          <w:sz w:val="20"/>
          <w:szCs w:val="20"/>
          <w:color w:val="auto"/>
        </w:rPr>
      </w:pPr>
      <w:r>
        <w:rPr>
          <w:rFonts w:ascii="Courier New" w:cs="Courier New" w:eastAsia="Courier New" w:hAnsi="Courier New"/>
          <w:sz w:val="14"/>
          <w:szCs w:val="14"/>
          <w:color w:val="auto"/>
        </w:rPr>
        <w:t>The Oilfield Services segment falls into four clearly defined economic and geographical areas and is evaluated on the following basis: First, North America (NAM) is a major self-contained market. Second, Latin America (LAM) comprises regional markets that share a common dependence on the United States. Third, Europe (ECA) is another major self-contained market that includes the CIS and West Africa, whose economy is increasingly linked to that of Europe. Fourth, Other Eastern includes the remainder of the Eastern Hemisphere, which consists of many countries at different stages of economic development that share a common dependence on the oil and gas industry. The Oilfield Services segment provides virtually all exploration and production services required during the life of an oil and gas reservoir. Schlumberger believes that all the products/services are interrelated and expects similar performance from each.</w:t>
      </w:r>
    </w:p>
    <w:p>
      <w:pPr>
        <w:spacing w:after="0" w:line="77" w:lineRule="exact"/>
        <w:rPr>
          <w:sz w:val="20"/>
          <w:szCs w:val="20"/>
          <w:color w:val="auto"/>
        </w:rPr>
      </w:pPr>
    </w:p>
    <w:p>
      <w:pPr>
        <w:ind w:right="3319"/>
        <w:spacing w:after="0" w:line="273" w:lineRule="auto"/>
        <w:rPr>
          <w:sz w:val="20"/>
          <w:szCs w:val="20"/>
          <w:color w:val="auto"/>
        </w:rPr>
      </w:pPr>
      <w:r>
        <w:rPr>
          <w:rFonts w:ascii="Courier New" w:cs="Courier New" w:eastAsia="Courier New" w:hAnsi="Courier New"/>
          <w:sz w:val="15"/>
          <w:szCs w:val="15"/>
          <w:color w:val="auto"/>
        </w:rPr>
        <w:t>The SchlumbergerSema segment is a leading information technology services company providing domain expertise and global capabilities delivered on a local basis. The company has proven capabilities delivering consulting, systems integration, managed services and products serving the</w:t>
      </w:r>
    </w:p>
    <w:p>
      <w:pPr>
        <w:spacing w:after="0" w:line="6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F-22</w:t>
      </w:r>
    </w:p>
    <w:p>
      <w:pPr>
        <w:sectPr>
          <w:pgSz w:w="11900" w:h="16838" w:orient="portrait"/>
          <w:cols w:equalWidth="0" w:num="1">
            <w:col w:w="10239"/>
          </w:cols>
          <w:pgMar w:left="220" w:top="766" w:right="1440" w:bottom="1440" w:gutter="0" w:footer="0" w:header="0"/>
        </w:sectPr>
      </w:pPr>
    </w:p>
    <w:bookmarkStart w:id="36" w:name="page37"/>
    <w:bookmarkEnd w:id="36"/>
    <w:p>
      <w:pPr>
        <w:ind w:right="4200"/>
        <w:spacing w:after="0" w:line="344" w:lineRule="auto"/>
        <w:rPr>
          <w:sz w:val="20"/>
          <w:szCs w:val="20"/>
          <w:color w:val="auto"/>
        </w:rPr>
      </w:pPr>
      <w:r>
        <w:rPr>
          <w:rFonts w:ascii="Courier New" w:cs="Courier New" w:eastAsia="Courier New" w:hAnsi="Courier New"/>
          <w:sz w:val="15"/>
          <w:szCs w:val="15"/>
          <w:color w:val="auto"/>
        </w:rPr>
        <w:t>telecommunications, energy &amp; utilities, finance, transport, public sector markets and oil and gas markets.</w:t>
      </w:r>
    </w:p>
    <w:p>
      <w:pPr>
        <w:spacing w:after="0" w:line="17" w:lineRule="exact"/>
        <w:rPr>
          <w:sz w:val="20"/>
          <w:szCs w:val="20"/>
          <w:color w:val="auto"/>
        </w:rPr>
      </w:pPr>
    </w:p>
    <w:p>
      <w:pPr>
        <w:ind w:right="3760"/>
        <w:spacing w:after="0" w:line="344" w:lineRule="auto"/>
        <w:rPr>
          <w:sz w:val="20"/>
          <w:szCs w:val="20"/>
          <w:color w:val="auto"/>
        </w:rPr>
      </w:pPr>
      <w:r>
        <w:rPr>
          <w:rFonts w:ascii="Courier New" w:cs="Courier New" w:eastAsia="Courier New" w:hAnsi="Courier New"/>
          <w:sz w:val="15"/>
          <w:szCs w:val="15"/>
          <w:color w:val="auto"/>
        </w:rPr>
        <w:t>Financial information for the years ended December 31, 2001, 2000 and 1999, by segment, is as follows: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40" w:type="dxa"/>
            <w:vAlign w:val="bottom"/>
          </w:tcPr>
          <w:p>
            <w:pPr>
              <w:spacing w:after="0"/>
              <w:rPr>
                <w:sz w:val="14"/>
                <w:szCs w:val="14"/>
                <w:color w:val="auto"/>
              </w:rPr>
            </w:pPr>
          </w:p>
        </w:tc>
        <w:tc>
          <w:tcPr>
            <w:tcW w:w="7740" w:type="dxa"/>
            <w:vAlign w:val="bottom"/>
            <w:gridSpan w:val="10"/>
          </w:tcPr>
          <w:p>
            <w:pPr>
              <w:jc w:val="right"/>
              <w:ind w:right="187"/>
              <w:spacing w:after="0"/>
              <w:rPr>
                <w:sz w:val="20"/>
                <w:szCs w:val="20"/>
                <w:color w:val="auto"/>
              </w:rPr>
            </w:pPr>
            <w:r>
              <w:rPr>
                <w:rFonts w:ascii="Courier New" w:cs="Courier New" w:eastAsia="Courier New" w:hAnsi="Courier New"/>
                <w:sz w:val="15"/>
                <w:szCs w:val="15"/>
                <w:color w:val="auto"/>
                <w:w w:val="97"/>
              </w:rPr>
              <w:t>-------------------------------------------------------------------------------------</w:t>
            </w:r>
          </w:p>
        </w:tc>
        <w:tc>
          <w:tcPr>
            <w:tcW w:w="0" w:type="dxa"/>
            <w:vAlign w:val="bottom"/>
          </w:tcPr>
          <w:p>
            <w:pPr>
              <w:spacing w:after="0"/>
              <w:rPr>
                <w:sz w:val="1"/>
                <w:szCs w:val="1"/>
                <w:color w:val="auto"/>
              </w:rPr>
            </w:pPr>
          </w:p>
        </w:tc>
      </w:tr>
      <w:tr>
        <w:trPr>
          <w:trHeight w:val="168"/>
        </w:trPr>
        <w:tc>
          <w:tcPr>
            <w:tcW w:w="2240" w:type="dxa"/>
            <w:vAlign w:val="bottom"/>
            <w:vMerge w:val="restart"/>
          </w:tcPr>
          <w:p>
            <w:pPr>
              <w:spacing w:after="0"/>
              <w:rPr>
                <w:sz w:val="20"/>
                <w:szCs w:val="20"/>
                <w:color w:val="auto"/>
              </w:rPr>
            </w:pPr>
            <w:r>
              <w:rPr>
                <w:rFonts w:ascii="Courier New" w:cs="Courier New" w:eastAsia="Courier New" w:hAnsi="Courier New"/>
                <w:sz w:val="15"/>
                <w:szCs w:val="15"/>
                <w:color w:val="auto"/>
              </w:rPr>
              <w:t>2001</w:t>
            </w:r>
          </w:p>
        </w:tc>
        <w:tc>
          <w:tcPr>
            <w:tcW w:w="70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NAM</w:t>
            </w:r>
          </w:p>
        </w:tc>
        <w:tc>
          <w:tcPr>
            <w:tcW w:w="78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LAM</w:t>
            </w:r>
          </w:p>
        </w:tc>
        <w:tc>
          <w:tcPr>
            <w:tcW w:w="70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ECA</w:t>
            </w:r>
          </w:p>
        </w:tc>
        <w:tc>
          <w:tcPr>
            <w:tcW w:w="7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Other</w:t>
            </w:r>
          </w:p>
        </w:tc>
        <w:tc>
          <w:tcPr>
            <w:tcW w:w="80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Elims</w:t>
            </w:r>
          </w:p>
        </w:tc>
        <w:tc>
          <w:tcPr>
            <w:tcW w:w="7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Total</w:t>
            </w:r>
          </w:p>
        </w:tc>
        <w:tc>
          <w:tcPr>
            <w:tcW w:w="74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w w:val="99"/>
              </w:rPr>
              <w:t>SLSEMA</w:t>
            </w:r>
          </w:p>
        </w:tc>
        <w:tc>
          <w:tcPr>
            <w:tcW w:w="80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2"/>
              </w:rPr>
              <w:t>Elims/</w:t>
            </w:r>
          </w:p>
        </w:tc>
        <w:tc>
          <w:tcPr>
            <w:tcW w:w="10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w w:val="94"/>
              </w:rPr>
              <w:t>Consolidated</w:t>
            </w:r>
          </w:p>
        </w:tc>
        <w:tc>
          <w:tcPr>
            <w:tcW w:w="0" w:type="dxa"/>
            <w:vAlign w:val="bottom"/>
          </w:tcPr>
          <w:p>
            <w:pPr>
              <w:spacing w:after="0"/>
              <w:rPr>
                <w:sz w:val="1"/>
                <w:szCs w:val="1"/>
                <w:color w:val="auto"/>
              </w:rPr>
            </w:pPr>
          </w:p>
        </w:tc>
      </w:tr>
      <w:tr>
        <w:trPr>
          <w:trHeight w:val="168"/>
        </w:trPr>
        <w:tc>
          <w:tcPr>
            <w:tcW w:w="224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Eastern</w:t>
            </w:r>
          </w:p>
        </w:tc>
        <w:tc>
          <w:tcPr>
            <w:tcW w:w="800" w:type="dxa"/>
            <w:vAlign w:val="bottom"/>
            <w:vMerge w:val="continue"/>
          </w:tcPr>
          <w:p>
            <w:pPr>
              <w:spacing w:after="0"/>
              <w:rPr>
                <w:sz w:val="14"/>
                <w:szCs w:val="14"/>
                <w:color w:val="auto"/>
              </w:rPr>
            </w:pPr>
          </w:p>
        </w:tc>
        <w:tc>
          <w:tcPr>
            <w:tcW w:w="7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OFS</w:t>
            </w:r>
          </w:p>
        </w:tc>
        <w:tc>
          <w:tcPr>
            <w:tcW w:w="740" w:type="dxa"/>
            <w:vAlign w:val="bottom"/>
            <w:vMerge w:val="continue"/>
          </w:tcPr>
          <w:p>
            <w:pPr>
              <w:spacing w:after="0"/>
              <w:rPr>
                <w:sz w:val="14"/>
                <w:szCs w:val="14"/>
                <w:color w:val="auto"/>
              </w:rPr>
            </w:pPr>
          </w:p>
        </w:tc>
        <w:tc>
          <w:tcPr>
            <w:tcW w:w="15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Other (1) Other</w:t>
            </w:r>
          </w:p>
        </w:tc>
        <w:tc>
          <w:tcPr>
            <w:tcW w:w="1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2240" w:type="dxa"/>
            <w:vAlign w:val="bottom"/>
          </w:tcPr>
          <w:p>
            <w:pPr>
              <w:spacing w:after="0"/>
              <w:rPr>
                <w:sz w:val="21"/>
                <w:szCs w:val="21"/>
                <w:color w:val="auto"/>
              </w:rPr>
            </w:pPr>
          </w:p>
        </w:tc>
        <w:tc>
          <w:tcPr>
            <w:tcW w:w="7740" w:type="dxa"/>
            <w:vAlign w:val="bottom"/>
            <w:gridSpan w:val="10"/>
          </w:tcPr>
          <w:p>
            <w:pPr>
              <w:jc w:val="right"/>
              <w:ind w:right="187"/>
              <w:spacing w:after="0"/>
              <w:rPr>
                <w:sz w:val="20"/>
                <w:szCs w:val="20"/>
                <w:color w:val="auto"/>
              </w:rPr>
            </w:pPr>
            <w:r>
              <w:rPr>
                <w:rFonts w:ascii="Courier New" w:cs="Courier New" w:eastAsia="Courier New" w:hAnsi="Courier New"/>
                <w:sz w:val="15"/>
                <w:szCs w:val="15"/>
                <w:color w:val="auto"/>
                <w:w w:val="97"/>
              </w:rPr>
              <w:t>-------------------------------------------------------------------------------------</w:t>
            </w:r>
          </w:p>
        </w:tc>
        <w:tc>
          <w:tcPr>
            <w:tcW w:w="0" w:type="dxa"/>
            <w:vAlign w:val="bottom"/>
          </w:tcPr>
          <w:p>
            <w:pPr>
              <w:spacing w:after="0"/>
              <w:rPr>
                <w:sz w:val="1"/>
                <w:szCs w:val="1"/>
                <w:color w:val="auto"/>
              </w:rPr>
            </w:pPr>
          </w:p>
        </w:tc>
      </w:tr>
      <w:tr>
        <w:trPr>
          <w:trHeight w:val="427"/>
        </w:trPr>
        <w:tc>
          <w:tcPr>
            <w:tcW w:w="224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$3,655</w:t>
            </w:r>
          </w:p>
        </w:tc>
        <w:tc>
          <w:tcPr>
            <w:tcW w:w="7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$ 1,479</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$ 2,139</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$ 2,105</w:t>
            </w: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$ 395</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$ 9,773</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$3,045</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$ 997</w:t>
            </w:r>
          </w:p>
        </w:tc>
        <w:tc>
          <w:tcPr>
            <w:tcW w:w="174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 (69)$ 13,746</w:t>
            </w:r>
          </w:p>
        </w:tc>
        <w:tc>
          <w:tcPr>
            <w:tcW w:w="0" w:type="dxa"/>
            <w:vAlign w:val="bottom"/>
          </w:tcPr>
          <w:p>
            <w:pPr>
              <w:spacing w:after="0"/>
              <w:rPr>
                <w:sz w:val="1"/>
                <w:szCs w:val="1"/>
                <w:color w:val="auto"/>
              </w:rPr>
            </w:pPr>
          </w:p>
        </w:tc>
      </w:tr>
      <w:tr>
        <w:trPr>
          <w:trHeight w:val="168"/>
        </w:trPr>
        <w:tc>
          <w:tcPr>
            <w:tcW w:w="2240" w:type="dxa"/>
            <w:vAlign w:val="bottom"/>
            <w:vMerge w:val="restart"/>
          </w:tcPr>
          <w:p>
            <w:pPr>
              <w:spacing w:after="0"/>
              <w:rPr>
                <w:sz w:val="20"/>
                <w:szCs w:val="20"/>
                <w:color w:val="auto"/>
              </w:rPr>
            </w:pPr>
            <w:r>
              <w:rPr>
                <w:rFonts w:ascii="Courier New" w:cs="Courier New" w:eastAsia="Courier New" w:hAnsi="Courier New"/>
                <w:sz w:val="15"/>
                <w:szCs w:val="15"/>
                <w:color w:val="auto"/>
              </w:rPr>
              <w:t>Segment Income</w:t>
            </w:r>
          </w:p>
        </w:tc>
        <w:tc>
          <w:tcPr>
            <w:tcW w:w="7740" w:type="dxa"/>
            <w:vAlign w:val="bottom"/>
            <w:gridSpan w:val="10"/>
          </w:tcPr>
          <w:p>
            <w:pPr>
              <w:jc w:val="right"/>
              <w:ind w:right="187"/>
              <w:spacing w:after="0" w:line="168" w:lineRule="exact"/>
              <w:rPr>
                <w:sz w:val="20"/>
                <w:szCs w:val="20"/>
                <w:color w:val="auto"/>
              </w:rPr>
            </w:pPr>
            <w:r>
              <w:rPr>
                <w:rFonts w:ascii="Courier New" w:cs="Courier New" w:eastAsia="Courier New" w:hAnsi="Courier New"/>
                <w:sz w:val="15"/>
                <w:szCs w:val="15"/>
                <w:color w:val="auto"/>
                <w:w w:val="97"/>
              </w:rPr>
              <w:t>=====================================================================================</w:t>
            </w:r>
          </w:p>
        </w:tc>
        <w:tc>
          <w:tcPr>
            <w:tcW w:w="0" w:type="dxa"/>
            <w:vAlign w:val="bottom"/>
          </w:tcPr>
          <w:p>
            <w:pPr>
              <w:spacing w:after="0"/>
              <w:rPr>
                <w:sz w:val="1"/>
                <w:szCs w:val="1"/>
                <w:color w:val="auto"/>
              </w:rPr>
            </w:pPr>
          </w:p>
        </w:tc>
      </w:tr>
      <w:tr>
        <w:trPr>
          <w:trHeight w:val="168"/>
        </w:trPr>
        <w:tc>
          <w:tcPr>
            <w:tcW w:w="2240" w:type="dxa"/>
            <w:vAlign w:val="bottom"/>
            <w:vMerge w:val="continue"/>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$ 551</w:t>
            </w: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$ 163</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$ 266</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$ 392</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(84)</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$ 1,288</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$ 30</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$ 30</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(303)</w:t>
            </w: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$ 1,045</w:t>
            </w:r>
          </w:p>
        </w:tc>
        <w:tc>
          <w:tcPr>
            <w:tcW w:w="0" w:type="dxa"/>
            <w:vAlign w:val="bottom"/>
          </w:tcPr>
          <w:p>
            <w:pPr>
              <w:spacing w:after="0"/>
              <w:rPr>
                <w:sz w:val="1"/>
                <w:szCs w:val="1"/>
                <w:color w:val="auto"/>
              </w:rPr>
            </w:pPr>
          </w:p>
        </w:tc>
      </w:tr>
      <w:tr>
        <w:trPr>
          <w:trHeight w:val="168"/>
        </w:trPr>
        <w:tc>
          <w:tcPr>
            <w:tcW w:w="2240" w:type="dxa"/>
            <w:vAlign w:val="bottom"/>
          </w:tcPr>
          <w:p>
            <w:pPr>
              <w:spacing w:after="0" w:line="168" w:lineRule="exact"/>
              <w:rPr>
                <w:sz w:val="20"/>
                <w:szCs w:val="20"/>
                <w:color w:val="auto"/>
              </w:rPr>
            </w:pPr>
            <w:r>
              <w:rPr>
                <w:rFonts w:ascii="Courier New" w:cs="Courier New" w:eastAsia="Courier New" w:hAnsi="Courier New"/>
                <w:sz w:val="15"/>
                <w:szCs w:val="15"/>
                <w:color w:val="auto"/>
              </w:rPr>
              <w:t>Minority Interest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35</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w:t>
            </w: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38</w:t>
            </w:r>
          </w:p>
        </w:tc>
        <w:tc>
          <w:tcPr>
            <w:tcW w:w="0" w:type="dxa"/>
            <w:vAlign w:val="bottom"/>
          </w:tcPr>
          <w:p>
            <w:pPr>
              <w:spacing w:after="0"/>
              <w:rPr>
                <w:sz w:val="1"/>
                <w:szCs w:val="1"/>
                <w:color w:val="auto"/>
              </w:rPr>
            </w:pPr>
          </w:p>
        </w:tc>
      </w:tr>
      <w:tr>
        <w:trPr>
          <w:trHeight w:val="168"/>
        </w:trPr>
        <w:tc>
          <w:tcPr>
            <w:tcW w:w="224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Tax Expense (2)</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329</w:t>
            </w: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42</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83</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69</w:t>
            </w: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13</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536</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(114)</w:t>
            </w: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412</w:t>
            </w:r>
          </w:p>
        </w:tc>
        <w:tc>
          <w:tcPr>
            <w:tcW w:w="0" w:type="dxa"/>
            <w:vAlign w:val="bottom"/>
          </w:tcPr>
          <w:p>
            <w:pPr>
              <w:spacing w:after="0"/>
              <w:rPr>
                <w:sz w:val="1"/>
                <w:szCs w:val="1"/>
                <w:color w:val="auto"/>
              </w:rPr>
            </w:pPr>
          </w:p>
        </w:tc>
      </w:tr>
      <w:tr>
        <w:trPr>
          <w:trHeight w:val="245"/>
        </w:trPr>
        <w:tc>
          <w:tcPr>
            <w:tcW w:w="2240" w:type="dxa"/>
            <w:vAlign w:val="bottom"/>
            <w:vMerge w:val="restart"/>
          </w:tcPr>
          <w:p>
            <w:pPr>
              <w:spacing w:after="0"/>
              <w:rPr>
                <w:sz w:val="20"/>
                <w:szCs w:val="20"/>
                <w:color w:val="auto"/>
              </w:rPr>
            </w:pPr>
            <w:r>
              <w:rPr>
                <w:rFonts w:ascii="Courier New" w:cs="Courier New" w:eastAsia="Courier New" w:hAnsi="Courier New"/>
                <w:sz w:val="15"/>
                <w:szCs w:val="15"/>
                <w:color w:val="auto"/>
                <w:w w:val="98"/>
              </w:rPr>
              <w:t>Segment Income before tax</w:t>
            </w:r>
          </w:p>
        </w:tc>
        <w:tc>
          <w:tcPr>
            <w:tcW w:w="7740" w:type="dxa"/>
            <w:vAlign w:val="bottom"/>
            <w:gridSpan w:val="10"/>
          </w:tcPr>
          <w:p>
            <w:pPr>
              <w:jc w:val="right"/>
              <w:ind w:right="187"/>
              <w:spacing w:after="0"/>
              <w:rPr>
                <w:sz w:val="20"/>
                <w:szCs w:val="20"/>
                <w:color w:val="auto"/>
              </w:rPr>
            </w:pPr>
            <w:r>
              <w:rPr>
                <w:rFonts w:ascii="Courier New" w:cs="Courier New" w:eastAsia="Courier New" w:hAnsi="Courier New"/>
                <w:sz w:val="15"/>
                <w:szCs w:val="15"/>
                <w:color w:val="auto"/>
                <w:w w:val="97"/>
              </w:rPr>
              <w:t>-------------------------------------------------------------------------------------</w:t>
            </w:r>
          </w:p>
        </w:tc>
        <w:tc>
          <w:tcPr>
            <w:tcW w:w="0" w:type="dxa"/>
            <w:vAlign w:val="bottom"/>
          </w:tcPr>
          <w:p>
            <w:pPr>
              <w:spacing w:after="0"/>
              <w:rPr>
                <w:sz w:val="1"/>
                <w:szCs w:val="1"/>
                <w:color w:val="auto"/>
              </w:rPr>
            </w:pPr>
          </w:p>
        </w:tc>
      </w:tr>
      <w:tr>
        <w:trPr>
          <w:trHeight w:val="91"/>
        </w:trPr>
        <w:tc>
          <w:tcPr>
            <w:tcW w:w="2240" w:type="dxa"/>
            <w:vAlign w:val="bottom"/>
            <w:vMerge w:val="continue"/>
          </w:tcPr>
          <w:p>
            <w:pPr>
              <w:spacing w:after="0"/>
              <w:rPr>
                <w:sz w:val="7"/>
                <w:szCs w:val="7"/>
                <w:color w:val="auto"/>
              </w:rPr>
            </w:pPr>
          </w:p>
        </w:tc>
        <w:tc>
          <w:tcPr>
            <w:tcW w:w="7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$ 880</w:t>
            </w:r>
          </w:p>
        </w:tc>
        <w:tc>
          <w:tcPr>
            <w:tcW w:w="78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$ 205</w:t>
            </w:r>
          </w:p>
        </w:tc>
        <w:tc>
          <w:tcPr>
            <w:tcW w:w="7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$ 349</w:t>
            </w:r>
          </w:p>
        </w:tc>
        <w:tc>
          <w:tcPr>
            <w:tcW w:w="7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$ 461</w:t>
            </w:r>
          </w:p>
        </w:tc>
        <w:tc>
          <w:tcPr>
            <w:tcW w:w="8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 (36)</w:t>
            </w:r>
          </w:p>
        </w:tc>
        <w:tc>
          <w:tcPr>
            <w:tcW w:w="7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$ 1,859</w:t>
            </w:r>
          </w:p>
        </w:tc>
        <w:tc>
          <w:tcPr>
            <w:tcW w:w="74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$ 28</w:t>
            </w:r>
          </w:p>
        </w:tc>
        <w:tc>
          <w:tcPr>
            <w:tcW w:w="80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$ 28</w:t>
            </w:r>
          </w:p>
        </w:tc>
        <w:tc>
          <w:tcPr>
            <w:tcW w:w="7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 (420)</w:t>
            </w:r>
          </w:p>
        </w:tc>
        <w:tc>
          <w:tcPr>
            <w:tcW w:w="1040" w:type="dxa"/>
            <w:vAlign w:val="bottom"/>
            <w:vMerge w:val="restart"/>
          </w:tcPr>
          <w:p>
            <w:pPr>
              <w:jc w:val="right"/>
              <w:ind w:right="267"/>
              <w:spacing w:after="0"/>
              <w:rPr>
                <w:sz w:val="20"/>
                <w:szCs w:val="20"/>
                <w:color w:val="auto"/>
              </w:rPr>
            </w:pPr>
            <w:r>
              <w:rPr>
                <w:rFonts w:ascii="Courier New" w:cs="Courier New" w:eastAsia="Courier New" w:hAnsi="Courier New"/>
                <w:sz w:val="15"/>
                <w:szCs w:val="15"/>
                <w:color w:val="auto"/>
              </w:rPr>
              <w:t>$ 1,495</w:t>
            </w:r>
          </w:p>
        </w:tc>
        <w:tc>
          <w:tcPr>
            <w:tcW w:w="0" w:type="dxa"/>
            <w:vAlign w:val="bottom"/>
          </w:tcPr>
          <w:p>
            <w:pPr>
              <w:spacing w:after="0"/>
              <w:rPr>
                <w:sz w:val="1"/>
                <w:szCs w:val="1"/>
                <w:color w:val="auto"/>
              </w:rPr>
            </w:pPr>
          </w:p>
        </w:tc>
      </w:tr>
      <w:tr>
        <w:trPr>
          <w:trHeight w:val="168"/>
        </w:trPr>
        <w:tc>
          <w:tcPr>
            <w:tcW w:w="2240" w:type="dxa"/>
            <w:vAlign w:val="bottom"/>
          </w:tcPr>
          <w:p>
            <w:pPr>
              <w:spacing w:after="0" w:line="168" w:lineRule="exact"/>
              <w:rPr>
                <w:sz w:val="20"/>
                <w:szCs w:val="20"/>
                <w:color w:val="auto"/>
              </w:rPr>
            </w:pPr>
            <w:r>
              <w:rPr>
                <w:rFonts w:ascii="Courier New" w:cs="Courier New" w:eastAsia="Courier New" w:hAnsi="Courier New"/>
                <w:sz w:val="15"/>
                <w:szCs w:val="15"/>
                <w:color w:val="auto"/>
              </w:rPr>
              <w:t>and MI</w:t>
            </w:r>
          </w:p>
        </w:tc>
        <w:tc>
          <w:tcPr>
            <w:tcW w:w="70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240" w:type="dxa"/>
            <w:vAlign w:val="bottom"/>
            <w:vMerge w:val="restart"/>
          </w:tcPr>
          <w:p>
            <w:pPr>
              <w:spacing w:after="0"/>
              <w:rPr>
                <w:sz w:val="20"/>
                <w:szCs w:val="20"/>
                <w:color w:val="auto"/>
              </w:rPr>
            </w:pPr>
            <w:r>
              <w:rPr>
                <w:rFonts w:ascii="Courier New" w:cs="Courier New" w:eastAsia="Courier New" w:hAnsi="Courier New"/>
                <w:sz w:val="15"/>
                <w:szCs w:val="15"/>
                <w:color w:val="auto"/>
              </w:rPr>
              <w:t>Interest Income</w:t>
            </w:r>
          </w:p>
        </w:tc>
        <w:tc>
          <w:tcPr>
            <w:tcW w:w="7740" w:type="dxa"/>
            <w:vAlign w:val="bottom"/>
            <w:gridSpan w:val="10"/>
          </w:tcPr>
          <w:p>
            <w:pPr>
              <w:jc w:val="right"/>
              <w:ind w:right="887"/>
              <w:spacing w:after="0" w:line="168" w:lineRule="exact"/>
              <w:rPr>
                <w:sz w:val="20"/>
                <w:szCs w:val="20"/>
                <w:color w:val="auto"/>
              </w:rPr>
            </w:pPr>
            <w:r>
              <w:rPr>
                <w:rFonts w:ascii="Courier New" w:cs="Courier New" w:eastAsia="Courier New" w:hAnsi="Courier New"/>
                <w:sz w:val="15"/>
                <w:szCs w:val="15"/>
                <w:color w:val="auto"/>
                <w:w w:val="97"/>
              </w:rPr>
              <w:t>=============================================================================</w:t>
            </w:r>
          </w:p>
        </w:tc>
        <w:tc>
          <w:tcPr>
            <w:tcW w:w="0" w:type="dxa"/>
            <w:vAlign w:val="bottom"/>
          </w:tcPr>
          <w:p>
            <w:pPr>
              <w:spacing w:after="0"/>
              <w:rPr>
                <w:sz w:val="1"/>
                <w:szCs w:val="1"/>
                <w:color w:val="auto"/>
              </w:rPr>
            </w:pPr>
          </w:p>
        </w:tc>
      </w:tr>
      <w:tr>
        <w:trPr>
          <w:trHeight w:val="168"/>
        </w:trPr>
        <w:tc>
          <w:tcPr>
            <w:tcW w:w="224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$ 5</w:t>
            </w: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154</w:t>
            </w:r>
          </w:p>
        </w:tc>
        <w:tc>
          <w:tcPr>
            <w:tcW w:w="0" w:type="dxa"/>
            <w:vAlign w:val="bottom"/>
          </w:tcPr>
          <w:p>
            <w:pPr>
              <w:spacing w:after="0"/>
              <w:rPr>
                <w:sz w:val="1"/>
                <w:szCs w:val="1"/>
                <w:color w:val="auto"/>
              </w:rPr>
            </w:pPr>
          </w:p>
        </w:tc>
      </w:tr>
      <w:tr>
        <w:trPr>
          <w:trHeight w:val="168"/>
        </w:trPr>
        <w:tc>
          <w:tcPr>
            <w:tcW w:w="2240" w:type="dxa"/>
            <w:vAlign w:val="bottom"/>
            <w:vMerge w:val="restart"/>
          </w:tcPr>
          <w:p>
            <w:pPr>
              <w:spacing w:after="0"/>
              <w:rPr>
                <w:sz w:val="20"/>
                <w:szCs w:val="20"/>
                <w:color w:val="auto"/>
              </w:rPr>
            </w:pPr>
            <w:r>
              <w:rPr>
                <w:rFonts w:ascii="Courier New" w:cs="Courier New" w:eastAsia="Courier New" w:hAnsi="Courier New"/>
                <w:sz w:val="15"/>
                <w:szCs w:val="15"/>
                <w:color w:val="auto"/>
              </w:rPr>
              <w:t>Interest Expense</w:t>
            </w:r>
          </w:p>
        </w:tc>
        <w:tc>
          <w:tcPr>
            <w:tcW w:w="70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4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(380)</w:t>
            </w:r>
          </w:p>
        </w:tc>
        <w:tc>
          <w:tcPr>
            <w:tcW w:w="0" w:type="dxa"/>
            <w:vAlign w:val="bottom"/>
          </w:tcPr>
          <w:p>
            <w:pPr>
              <w:spacing w:after="0"/>
              <w:rPr>
                <w:sz w:val="1"/>
                <w:szCs w:val="1"/>
                <w:color w:val="auto"/>
              </w:rPr>
            </w:pPr>
          </w:p>
        </w:tc>
      </w:tr>
      <w:tr>
        <w:trPr>
          <w:trHeight w:val="168"/>
        </w:trPr>
        <w:tc>
          <w:tcPr>
            <w:tcW w:w="224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(5)</w:t>
            </w: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2240" w:type="dxa"/>
            <w:vAlign w:val="bottom"/>
            <w:vMerge w:val="restart"/>
          </w:tcPr>
          <w:p>
            <w:pPr>
              <w:spacing w:after="0"/>
              <w:rPr>
                <w:sz w:val="20"/>
                <w:szCs w:val="20"/>
                <w:color w:val="auto"/>
              </w:rPr>
            </w:pPr>
            <w:r>
              <w:rPr>
                <w:rFonts w:ascii="Courier New" w:cs="Courier New" w:eastAsia="Courier New" w:hAnsi="Courier New"/>
                <w:sz w:val="15"/>
                <w:szCs w:val="15"/>
                <w:color w:val="auto"/>
              </w:rPr>
              <w:t>Charges</w:t>
            </w:r>
          </w:p>
        </w:tc>
        <w:tc>
          <w:tcPr>
            <w:tcW w:w="7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w w:val="99"/>
              </w:rPr>
              <w:t>========</w:t>
            </w:r>
          </w:p>
        </w:tc>
        <w:tc>
          <w:tcPr>
            <w:tcW w:w="7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4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(143)</w:t>
            </w:r>
          </w:p>
        </w:tc>
        <w:tc>
          <w:tcPr>
            <w:tcW w:w="0" w:type="dxa"/>
            <w:vAlign w:val="bottom"/>
          </w:tcPr>
          <w:p>
            <w:pPr>
              <w:spacing w:after="0"/>
              <w:rPr>
                <w:sz w:val="1"/>
                <w:szCs w:val="1"/>
                <w:color w:val="auto"/>
              </w:rPr>
            </w:pPr>
          </w:p>
        </w:tc>
      </w:tr>
      <w:tr>
        <w:trPr>
          <w:trHeight w:val="91"/>
        </w:trPr>
        <w:tc>
          <w:tcPr>
            <w:tcW w:w="2240" w:type="dxa"/>
            <w:vAlign w:val="bottom"/>
            <w:vMerge w:val="continue"/>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2240" w:type="dxa"/>
            <w:vAlign w:val="bottom"/>
            <w:vMerge w:val="restart"/>
          </w:tcPr>
          <w:p>
            <w:pPr>
              <w:spacing w:after="0"/>
              <w:rPr>
                <w:sz w:val="20"/>
                <w:szCs w:val="20"/>
                <w:color w:val="auto"/>
              </w:rPr>
            </w:pPr>
            <w:r>
              <w:rPr>
                <w:rFonts w:ascii="Courier New" w:cs="Courier New" w:eastAsia="Courier New" w:hAnsi="Courier New"/>
                <w:sz w:val="15"/>
                <w:szCs w:val="15"/>
                <w:color w:val="auto"/>
              </w:rPr>
              <w:t>Pretax Income</w:t>
            </w: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3"/>
              </w:rPr>
              <w:t>---------</w:t>
            </w:r>
          </w:p>
        </w:tc>
        <w:tc>
          <w:tcPr>
            <w:tcW w:w="0" w:type="dxa"/>
            <w:vAlign w:val="bottom"/>
          </w:tcPr>
          <w:p>
            <w:pPr>
              <w:spacing w:after="0"/>
              <w:rPr>
                <w:sz w:val="1"/>
                <w:szCs w:val="1"/>
                <w:color w:val="auto"/>
              </w:rPr>
            </w:pPr>
          </w:p>
        </w:tc>
      </w:tr>
      <w:tr>
        <w:trPr>
          <w:trHeight w:val="168"/>
        </w:trPr>
        <w:tc>
          <w:tcPr>
            <w:tcW w:w="224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$ 1,126</w:t>
            </w:r>
          </w:p>
        </w:tc>
        <w:tc>
          <w:tcPr>
            <w:tcW w:w="0" w:type="dxa"/>
            <w:vAlign w:val="bottom"/>
          </w:tcPr>
          <w:p>
            <w:pPr>
              <w:spacing w:after="0"/>
              <w:rPr>
                <w:sz w:val="1"/>
                <w:szCs w:val="1"/>
                <w:color w:val="auto"/>
              </w:rPr>
            </w:pPr>
          </w:p>
        </w:tc>
      </w:tr>
      <w:tr>
        <w:trPr>
          <w:trHeight w:val="168"/>
        </w:trPr>
        <w:tc>
          <w:tcPr>
            <w:tcW w:w="2240" w:type="dxa"/>
            <w:vAlign w:val="bottom"/>
            <w:vMerge w:val="restart"/>
          </w:tcPr>
          <w:p>
            <w:pPr>
              <w:spacing w:after="0"/>
              <w:rPr>
                <w:sz w:val="20"/>
                <w:szCs w:val="20"/>
                <w:color w:val="auto"/>
              </w:rPr>
            </w:pPr>
            <w:r>
              <w:rPr>
                <w:rFonts w:ascii="Courier New" w:cs="Courier New" w:eastAsia="Courier New" w:hAnsi="Courier New"/>
                <w:sz w:val="15"/>
                <w:szCs w:val="15"/>
                <w:color w:val="auto"/>
              </w:rPr>
              <w:t>Segment Assets</w:t>
            </w:r>
          </w:p>
        </w:tc>
        <w:tc>
          <w:tcPr>
            <w:tcW w:w="7740" w:type="dxa"/>
            <w:vAlign w:val="bottom"/>
            <w:gridSpan w:val="10"/>
          </w:tcPr>
          <w:p>
            <w:pPr>
              <w:jc w:val="right"/>
              <w:ind w:right="187"/>
              <w:spacing w:after="0" w:line="168" w:lineRule="exact"/>
              <w:rPr>
                <w:sz w:val="20"/>
                <w:szCs w:val="20"/>
                <w:color w:val="auto"/>
              </w:rPr>
            </w:pPr>
            <w:r>
              <w:rPr>
                <w:rFonts w:ascii="Courier New" w:cs="Courier New" w:eastAsia="Courier New" w:hAnsi="Courier New"/>
                <w:sz w:val="15"/>
                <w:szCs w:val="15"/>
                <w:color w:val="auto"/>
                <w:w w:val="97"/>
              </w:rPr>
              <w:t>=====================================================================================</w:t>
            </w:r>
          </w:p>
        </w:tc>
        <w:tc>
          <w:tcPr>
            <w:tcW w:w="0" w:type="dxa"/>
            <w:vAlign w:val="bottom"/>
          </w:tcPr>
          <w:p>
            <w:pPr>
              <w:spacing w:after="0"/>
              <w:rPr>
                <w:sz w:val="1"/>
                <w:szCs w:val="1"/>
                <w:color w:val="auto"/>
              </w:rPr>
            </w:pPr>
          </w:p>
        </w:tc>
      </w:tr>
      <w:tr>
        <w:trPr>
          <w:trHeight w:val="168"/>
        </w:trPr>
        <w:tc>
          <w:tcPr>
            <w:tcW w:w="2240" w:type="dxa"/>
            <w:vAlign w:val="bottom"/>
            <w:vMerge w:val="continue"/>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$3,086</w:t>
            </w: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$ 1,606</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$2,206</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$ 1,751</w:t>
            </w: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$ 2,691</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$ 11,340</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$8,254</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$ 367</w:t>
            </w:r>
          </w:p>
        </w:tc>
        <w:tc>
          <w:tcPr>
            <w:tcW w:w="174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 - $ 19,961</w:t>
            </w:r>
          </w:p>
        </w:tc>
        <w:tc>
          <w:tcPr>
            <w:tcW w:w="0" w:type="dxa"/>
            <w:vAlign w:val="bottom"/>
          </w:tcPr>
          <w:p>
            <w:pPr>
              <w:spacing w:after="0"/>
              <w:rPr>
                <w:sz w:val="1"/>
                <w:szCs w:val="1"/>
                <w:color w:val="auto"/>
              </w:rPr>
            </w:pPr>
          </w:p>
        </w:tc>
      </w:tr>
      <w:tr>
        <w:trPr>
          <w:trHeight w:val="168"/>
        </w:trPr>
        <w:tc>
          <w:tcPr>
            <w:tcW w:w="2240" w:type="dxa"/>
            <w:vAlign w:val="bottom"/>
          </w:tcPr>
          <w:p>
            <w:pPr>
              <w:spacing w:after="0" w:line="168" w:lineRule="exact"/>
              <w:rPr>
                <w:sz w:val="20"/>
                <w:szCs w:val="20"/>
                <w:color w:val="auto"/>
              </w:rPr>
            </w:pPr>
            <w:r>
              <w:rPr>
                <w:rFonts w:ascii="Courier New" w:cs="Courier New" w:eastAsia="Courier New" w:hAnsi="Courier New"/>
                <w:sz w:val="15"/>
                <w:szCs w:val="15"/>
                <w:color w:val="auto"/>
              </w:rPr>
              <w:t>Corporate Assets</w:t>
            </w: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2,365</w:t>
            </w:r>
          </w:p>
        </w:tc>
        <w:tc>
          <w:tcPr>
            <w:tcW w:w="0" w:type="dxa"/>
            <w:vAlign w:val="bottom"/>
          </w:tcPr>
          <w:p>
            <w:pPr>
              <w:spacing w:after="0"/>
              <w:rPr>
                <w:sz w:val="1"/>
                <w:szCs w:val="1"/>
                <w:color w:val="auto"/>
              </w:rPr>
            </w:pPr>
          </w:p>
        </w:tc>
      </w:tr>
      <w:tr>
        <w:trPr>
          <w:trHeight w:val="168"/>
        </w:trPr>
        <w:tc>
          <w:tcPr>
            <w:tcW w:w="2240" w:type="dxa"/>
            <w:vAlign w:val="bottom"/>
            <w:vMerge w:val="restart"/>
          </w:tcPr>
          <w:p>
            <w:pPr>
              <w:spacing w:after="0"/>
              <w:rPr>
                <w:sz w:val="20"/>
                <w:szCs w:val="20"/>
                <w:color w:val="auto"/>
              </w:rPr>
            </w:pPr>
            <w:r>
              <w:rPr>
                <w:rFonts w:ascii="Courier New" w:cs="Courier New" w:eastAsia="Courier New" w:hAnsi="Courier New"/>
                <w:sz w:val="15"/>
                <w:szCs w:val="15"/>
                <w:color w:val="auto"/>
              </w:rPr>
              <w:t>Total Assets</w:t>
            </w: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3"/>
              </w:rPr>
              <w:t>---------</w:t>
            </w:r>
          </w:p>
        </w:tc>
        <w:tc>
          <w:tcPr>
            <w:tcW w:w="0" w:type="dxa"/>
            <w:vAlign w:val="bottom"/>
          </w:tcPr>
          <w:p>
            <w:pPr>
              <w:spacing w:after="0"/>
              <w:rPr>
                <w:sz w:val="1"/>
                <w:szCs w:val="1"/>
                <w:color w:val="auto"/>
              </w:rPr>
            </w:pPr>
          </w:p>
        </w:tc>
      </w:tr>
      <w:tr>
        <w:trPr>
          <w:trHeight w:val="168"/>
        </w:trPr>
        <w:tc>
          <w:tcPr>
            <w:tcW w:w="224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4"/>
              </w:rPr>
              <w:t>$ 22,326</w:t>
            </w:r>
          </w:p>
        </w:tc>
        <w:tc>
          <w:tcPr>
            <w:tcW w:w="0" w:type="dxa"/>
            <w:vAlign w:val="bottom"/>
          </w:tcPr>
          <w:p>
            <w:pPr>
              <w:spacing w:after="0"/>
              <w:rPr>
                <w:sz w:val="1"/>
                <w:szCs w:val="1"/>
                <w:color w:val="auto"/>
              </w:rPr>
            </w:pPr>
          </w:p>
        </w:tc>
      </w:tr>
      <w:tr>
        <w:trPr>
          <w:trHeight w:val="168"/>
        </w:trPr>
        <w:tc>
          <w:tcPr>
            <w:tcW w:w="2240" w:type="dxa"/>
            <w:vAlign w:val="bottom"/>
          </w:tcPr>
          <w:p>
            <w:pPr>
              <w:spacing w:after="0"/>
              <w:rPr>
                <w:sz w:val="14"/>
                <w:szCs w:val="14"/>
                <w:color w:val="auto"/>
              </w:rPr>
            </w:pPr>
          </w:p>
        </w:tc>
        <w:tc>
          <w:tcPr>
            <w:tcW w:w="7740" w:type="dxa"/>
            <w:vAlign w:val="bottom"/>
            <w:gridSpan w:val="10"/>
          </w:tcPr>
          <w:p>
            <w:pPr>
              <w:jc w:val="right"/>
              <w:ind w:right="187"/>
              <w:spacing w:after="0" w:line="168" w:lineRule="exact"/>
              <w:rPr>
                <w:sz w:val="20"/>
                <w:szCs w:val="20"/>
                <w:color w:val="auto"/>
              </w:rPr>
            </w:pPr>
            <w:r>
              <w:rPr>
                <w:rFonts w:ascii="Courier New" w:cs="Courier New" w:eastAsia="Courier New" w:hAnsi="Courier New"/>
                <w:sz w:val="15"/>
                <w:szCs w:val="15"/>
                <w:color w:val="auto"/>
                <w:w w:val="97"/>
              </w:rPr>
              <w:t>=====================================================================================</w:t>
            </w:r>
          </w:p>
        </w:tc>
        <w:tc>
          <w:tcPr>
            <w:tcW w:w="0" w:type="dxa"/>
            <w:vAlign w:val="bottom"/>
          </w:tcPr>
          <w:p>
            <w:pPr>
              <w:spacing w:after="0"/>
              <w:rPr>
                <w:sz w:val="1"/>
                <w:szCs w:val="1"/>
                <w:color w:val="auto"/>
              </w:rPr>
            </w:pPr>
          </w:p>
        </w:tc>
      </w:tr>
      <w:tr>
        <w:trPr>
          <w:trHeight w:val="168"/>
        </w:trPr>
        <w:tc>
          <w:tcPr>
            <w:tcW w:w="29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6"/>
              </w:rPr>
              <w:t>Depreciation/Amortization(3)$ 610</w:t>
            </w: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$ 164</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$ 278</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$ 260</w:t>
            </w: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$ 42</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$ 1,354</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$ 131</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$ 56</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$ 355</w:t>
            </w: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$ 1,896</w:t>
            </w:r>
          </w:p>
        </w:tc>
        <w:tc>
          <w:tcPr>
            <w:tcW w:w="0" w:type="dxa"/>
            <w:vAlign w:val="bottom"/>
          </w:tcPr>
          <w:p>
            <w:pPr>
              <w:spacing w:after="0"/>
              <w:rPr>
                <w:sz w:val="1"/>
                <w:szCs w:val="1"/>
                <w:color w:val="auto"/>
              </w:rPr>
            </w:pPr>
          </w:p>
        </w:tc>
      </w:tr>
      <w:tr>
        <w:trPr>
          <w:trHeight w:val="168"/>
        </w:trPr>
        <w:tc>
          <w:tcPr>
            <w:tcW w:w="2240" w:type="dxa"/>
            <w:vAlign w:val="bottom"/>
            <w:vMerge w:val="restart"/>
          </w:tcPr>
          <w:p>
            <w:pPr>
              <w:spacing w:after="0"/>
              <w:rPr>
                <w:sz w:val="20"/>
                <w:szCs w:val="20"/>
                <w:color w:val="auto"/>
              </w:rPr>
            </w:pPr>
            <w:r>
              <w:rPr>
                <w:rFonts w:ascii="Courier New" w:cs="Courier New" w:eastAsia="Courier New" w:hAnsi="Courier New"/>
                <w:sz w:val="15"/>
                <w:szCs w:val="15"/>
                <w:color w:val="auto"/>
              </w:rPr>
              <w:t>Capital Expenditures (3)</w:t>
            </w:r>
          </w:p>
        </w:tc>
        <w:tc>
          <w:tcPr>
            <w:tcW w:w="7740" w:type="dxa"/>
            <w:vAlign w:val="bottom"/>
            <w:gridSpan w:val="10"/>
          </w:tcPr>
          <w:p>
            <w:pPr>
              <w:jc w:val="right"/>
              <w:ind w:right="187"/>
              <w:spacing w:after="0" w:line="168" w:lineRule="exact"/>
              <w:rPr>
                <w:sz w:val="20"/>
                <w:szCs w:val="20"/>
                <w:color w:val="auto"/>
              </w:rPr>
            </w:pPr>
            <w:r>
              <w:rPr>
                <w:rFonts w:ascii="Courier New" w:cs="Courier New" w:eastAsia="Courier New" w:hAnsi="Courier New"/>
                <w:sz w:val="15"/>
                <w:szCs w:val="15"/>
                <w:color w:val="auto"/>
                <w:w w:val="97"/>
              </w:rPr>
              <w:t>=====================================================================================</w:t>
            </w:r>
          </w:p>
        </w:tc>
        <w:tc>
          <w:tcPr>
            <w:tcW w:w="0" w:type="dxa"/>
            <w:vAlign w:val="bottom"/>
          </w:tcPr>
          <w:p>
            <w:pPr>
              <w:spacing w:after="0"/>
              <w:rPr>
                <w:sz w:val="1"/>
                <w:szCs w:val="1"/>
                <w:color w:val="auto"/>
              </w:rPr>
            </w:pPr>
          </w:p>
        </w:tc>
      </w:tr>
      <w:tr>
        <w:trPr>
          <w:trHeight w:val="168"/>
        </w:trPr>
        <w:tc>
          <w:tcPr>
            <w:tcW w:w="2240" w:type="dxa"/>
            <w:vAlign w:val="bottom"/>
            <w:vMerge w:val="continue"/>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$ 999</w:t>
            </w: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$ 238</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$ 317</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$ 395</w:t>
            </w: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$ 211</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$ 2,160</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$ 231</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$ 49</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$ 29</w:t>
            </w: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$ 2,469</w:t>
            </w:r>
          </w:p>
        </w:tc>
        <w:tc>
          <w:tcPr>
            <w:tcW w:w="0" w:type="dxa"/>
            <w:vAlign w:val="bottom"/>
          </w:tcPr>
          <w:p>
            <w:pPr>
              <w:spacing w:after="0"/>
              <w:rPr>
                <w:sz w:val="1"/>
                <w:szCs w:val="1"/>
                <w:color w:val="auto"/>
              </w:rPr>
            </w:pPr>
          </w:p>
        </w:tc>
      </w:tr>
      <w:tr>
        <w:trPr>
          <w:trHeight w:val="245"/>
        </w:trPr>
        <w:tc>
          <w:tcPr>
            <w:tcW w:w="2240" w:type="dxa"/>
            <w:vAlign w:val="bottom"/>
          </w:tcPr>
          <w:p>
            <w:pPr>
              <w:spacing w:after="0"/>
              <w:rPr>
                <w:sz w:val="21"/>
                <w:szCs w:val="21"/>
                <w:color w:val="auto"/>
              </w:rPr>
            </w:pPr>
          </w:p>
        </w:tc>
        <w:tc>
          <w:tcPr>
            <w:tcW w:w="7740" w:type="dxa"/>
            <w:vAlign w:val="bottom"/>
            <w:gridSpan w:val="10"/>
          </w:tcPr>
          <w:p>
            <w:pPr>
              <w:jc w:val="right"/>
              <w:ind w:right="187"/>
              <w:spacing w:after="0"/>
              <w:rPr>
                <w:sz w:val="20"/>
                <w:szCs w:val="20"/>
                <w:color w:val="auto"/>
              </w:rPr>
            </w:pPr>
            <w:r>
              <w:rPr>
                <w:rFonts w:ascii="Courier New" w:cs="Courier New" w:eastAsia="Courier New" w:hAnsi="Courier New"/>
                <w:sz w:val="15"/>
                <w:szCs w:val="15"/>
                <w:color w:val="auto"/>
                <w:w w:val="97"/>
              </w:rPr>
              <w:t>-------------------------------------------------------------------------------------</w:t>
            </w:r>
          </w:p>
        </w:tc>
        <w:tc>
          <w:tcPr>
            <w:tcW w:w="0" w:type="dxa"/>
            <w:vAlign w:val="bottom"/>
          </w:tcPr>
          <w:p>
            <w:pPr>
              <w:spacing w:after="0"/>
              <w:rPr>
                <w:sz w:val="1"/>
                <w:szCs w:val="1"/>
                <w:color w:val="auto"/>
              </w:rPr>
            </w:pPr>
          </w:p>
        </w:tc>
      </w:tr>
    </w:tbl>
    <w:p>
      <w:pPr>
        <w:spacing w:after="0" w:line="91" w:lineRule="exact"/>
        <w:rPr>
          <w:sz w:val="20"/>
          <w:szCs w:val="20"/>
          <w:color w:val="auto"/>
        </w:rPr>
      </w:pPr>
    </w:p>
    <w:p>
      <w:pPr>
        <w:ind w:left="2720" w:hanging="436"/>
        <w:spacing w:after="0"/>
        <w:tabs>
          <w:tab w:leader="none" w:pos="2720" w:val="left"/>
        </w:tabs>
        <w:numPr>
          <w:ilvl w:val="0"/>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Semiconductor Solutions and the divested Resource Management Services businesses.</w:t>
      </w:r>
    </w:p>
    <w:p>
      <w:pPr>
        <w:spacing w:after="0" w:line="35" w:lineRule="exact"/>
        <w:rPr>
          <w:rFonts w:ascii="Courier New" w:cs="Courier New" w:eastAsia="Courier New" w:hAnsi="Courier New"/>
          <w:sz w:val="14"/>
          <w:szCs w:val="14"/>
          <w:color w:val="auto"/>
        </w:rPr>
      </w:pPr>
    </w:p>
    <w:p>
      <w:pPr>
        <w:ind w:left="2720" w:hanging="436"/>
        <w:spacing w:after="0" w:line="237" w:lineRule="auto"/>
        <w:tabs>
          <w:tab w:leader="none" w:pos="2720"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2001 income tax expense excludes $163 million related to the Charges.</w:t>
      </w:r>
    </w:p>
    <w:p>
      <w:pPr>
        <w:ind w:left="2720" w:hanging="436"/>
        <w:spacing w:after="0"/>
        <w:tabs>
          <w:tab w:leader="none" w:pos="2720"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multiclient seismic data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100" w:type="dxa"/>
            <w:vAlign w:val="bottom"/>
          </w:tcPr>
          <w:p>
            <w:pPr>
              <w:spacing w:after="0"/>
              <w:rPr>
                <w:sz w:val="14"/>
                <w:szCs w:val="14"/>
                <w:color w:val="auto"/>
              </w:rPr>
            </w:pPr>
          </w:p>
        </w:tc>
        <w:tc>
          <w:tcPr>
            <w:tcW w:w="7880" w:type="dxa"/>
            <w:vAlign w:val="bottom"/>
            <w:gridSpan w:val="10"/>
          </w:tcPr>
          <w:p>
            <w:pPr>
              <w:jc w:val="right"/>
              <w:ind w:right="367"/>
              <w:spacing w:after="0"/>
              <w:rPr>
                <w:sz w:val="20"/>
                <w:szCs w:val="20"/>
                <w:color w:val="auto"/>
              </w:rPr>
            </w:pPr>
            <w:r>
              <w:rPr>
                <w:rFonts w:ascii="Courier New" w:cs="Courier New" w:eastAsia="Courier New" w:hAnsi="Courier New"/>
                <w:sz w:val="15"/>
                <w:szCs w:val="15"/>
                <w:color w:val="auto"/>
                <w:w w:val="96"/>
              </w:rPr>
              <w:t>-------------------------------------------------------------------------------------</w:t>
            </w:r>
          </w:p>
        </w:tc>
        <w:tc>
          <w:tcPr>
            <w:tcW w:w="0" w:type="dxa"/>
            <w:vAlign w:val="bottom"/>
          </w:tcPr>
          <w:p>
            <w:pPr>
              <w:spacing w:after="0"/>
              <w:rPr>
                <w:sz w:val="1"/>
                <w:szCs w:val="1"/>
                <w:color w:val="auto"/>
              </w:rPr>
            </w:pPr>
          </w:p>
        </w:tc>
      </w:tr>
      <w:tr>
        <w:trPr>
          <w:trHeight w:val="168"/>
        </w:trPr>
        <w:tc>
          <w:tcPr>
            <w:tcW w:w="2100" w:type="dxa"/>
            <w:vAlign w:val="bottom"/>
            <w:vMerge w:val="restart"/>
          </w:tcPr>
          <w:p>
            <w:pPr>
              <w:spacing w:after="0"/>
              <w:rPr>
                <w:sz w:val="20"/>
                <w:szCs w:val="20"/>
                <w:color w:val="auto"/>
              </w:rPr>
            </w:pPr>
            <w:r>
              <w:rPr>
                <w:rFonts w:ascii="Courier New" w:cs="Courier New" w:eastAsia="Courier New" w:hAnsi="Courier New"/>
                <w:sz w:val="15"/>
                <w:szCs w:val="15"/>
                <w:color w:val="auto"/>
              </w:rPr>
              <w:t>2000</w:t>
            </w:r>
          </w:p>
        </w:tc>
        <w:tc>
          <w:tcPr>
            <w:tcW w:w="84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NAM</w:t>
            </w:r>
          </w:p>
        </w:tc>
        <w:tc>
          <w:tcPr>
            <w:tcW w:w="78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LAM</w:t>
            </w:r>
          </w:p>
        </w:tc>
        <w:tc>
          <w:tcPr>
            <w:tcW w:w="70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ECA</w:t>
            </w:r>
          </w:p>
        </w:tc>
        <w:tc>
          <w:tcPr>
            <w:tcW w:w="7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Other</w:t>
            </w:r>
          </w:p>
        </w:tc>
        <w:tc>
          <w:tcPr>
            <w:tcW w:w="84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Elims</w:t>
            </w: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Total</w:t>
            </w:r>
          </w:p>
        </w:tc>
        <w:tc>
          <w:tcPr>
            <w:tcW w:w="70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w w:val="92"/>
              </w:rPr>
              <w:t>SLSEMA</w:t>
            </w:r>
          </w:p>
        </w:tc>
        <w:tc>
          <w:tcPr>
            <w:tcW w:w="740" w:type="dxa"/>
            <w:vAlign w:val="bottom"/>
          </w:tcPr>
          <w:p>
            <w:pPr>
              <w:spacing w:after="0"/>
              <w:rPr>
                <w:sz w:val="14"/>
                <w:szCs w:val="14"/>
                <w:color w:val="auto"/>
              </w:rPr>
            </w:pPr>
          </w:p>
        </w:tc>
        <w:tc>
          <w:tcPr>
            <w:tcW w:w="7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Elims/</w:t>
            </w:r>
          </w:p>
        </w:tc>
        <w:tc>
          <w:tcPr>
            <w:tcW w:w="10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w w:val="94"/>
              </w:rPr>
              <w:t>Consolidated</w:t>
            </w:r>
          </w:p>
        </w:tc>
        <w:tc>
          <w:tcPr>
            <w:tcW w:w="0" w:type="dxa"/>
            <w:vAlign w:val="bottom"/>
          </w:tcPr>
          <w:p>
            <w:pPr>
              <w:spacing w:after="0"/>
              <w:rPr>
                <w:sz w:val="1"/>
                <w:szCs w:val="1"/>
                <w:color w:val="auto"/>
              </w:rPr>
            </w:pPr>
          </w:p>
        </w:tc>
      </w:tr>
      <w:tr>
        <w:trPr>
          <w:trHeight w:val="168"/>
        </w:trPr>
        <w:tc>
          <w:tcPr>
            <w:tcW w:w="210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Eastern</w:t>
            </w:r>
          </w:p>
        </w:tc>
        <w:tc>
          <w:tcPr>
            <w:tcW w:w="840" w:type="dxa"/>
            <w:vAlign w:val="bottom"/>
            <w:vMerge w:val="continue"/>
          </w:tcPr>
          <w:p>
            <w:pPr>
              <w:spacing w:after="0"/>
              <w:rPr>
                <w:sz w:val="14"/>
                <w:szCs w:val="14"/>
                <w:color w:val="auto"/>
              </w:rPr>
            </w:pPr>
          </w:p>
        </w:tc>
        <w:tc>
          <w:tcPr>
            <w:tcW w:w="7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OFS</w:t>
            </w:r>
          </w:p>
        </w:tc>
        <w:tc>
          <w:tcPr>
            <w:tcW w:w="700" w:type="dxa"/>
            <w:vAlign w:val="bottom"/>
            <w:vMerge w:val="continue"/>
          </w:tcPr>
          <w:p>
            <w:pPr>
              <w:spacing w:after="0"/>
              <w:rPr>
                <w:sz w:val="14"/>
                <w:szCs w:val="14"/>
                <w:color w:val="auto"/>
              </w:rPr>
            </w:pPr>
          </w:p>
        </w:tc>
        <w:tc>
          <w:tcPr>
            <w:tcW w:w="15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Other (1) Other</w:t>
            </w:r>
          </w:p>
        </w:tc>
        <w:tc>
          <w:tcPr>
            <w:tcW w:w="1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2100" w:type="dxa"/>
            <w:vAlign w:val="bottom"/>
          </w:tcPr>
          <w:p>
            <w:pPr>
              <w:spacing w:after="0"/>
              <w:rPr>
                <w:sz w:val="21"/>
                <w:szCs w:val="21"/>
                <w:color w:val="auto"/>
              </w:rPr>
            </w:pPr>
          </w:p>
        </w:tc>
        <w:tc>
          <w:tcPr>
            <w:tcW w:w="7880" w:type="dxa"/>
            <w:vAlign w:val="bottom"/>
            <w:gridSpan w:val="10"/>
          </w:tcPr>
          <w:p>
            <w:pPr>
              <w:jc w:val="right"/>
              <w:ind w:right="187"/>
              <w:spacing w:after="0"/>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259"/>
        </w:trPr>
        <w:tc>
          <w:tcPr>
            <w:tcW w:w="210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$ 2,413</w:t>
            </w:r>
          </w:p>
        </w:tc>
        <w:tc>
          <w:tcPr>
            <w:tcW w:w="7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$ 1,151</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$ 1,603</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$ 1,646</w:t>
            </w: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$ 333</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$ 7,146</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5"/>
              </w:rPr>
              <w:t>$ 1,049</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$ 1,475</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 (59)</w:t>
            </w:r>
          </w:p>
        </w:tc>
        <w:tc>
          <w:tcPr>
            <w:tcW w:w="10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$ 9,611</w:t>
            </w:r>
          </w:p>
        </w:tc>
        <w:tc>
          <w:tcPr>
            <w:tcW w:w="0" w:type="dxa"/>
            <w:vAlign w:val="bottom"/>
          </w:tcPr>
          <w:p>
            <w:pPr>
              <w:spacing w:after="0"/>
              <w:rPr>
                <w:sz w:val="1"/>
                <w:szCs w:val="1"/>
                <w:color w:val="auto"/>
              </w:rPr>
            </w:pPr>
          </w:p>
        </w:tc>
      </w:tr>
      <w:tr>
        <w:trPr>
          <w:trHeight w:val="168"/>
        </w:trPr>
        <w:tc>
          <w:tcPr>
            <w:tcW w:w="2100" w:type="dxa"/>
            <w:vAlign w:val="bottom"/>
            <w:vMerge w:val="restart"/>
          </w:tcPr>
          <w:p>
            <w:pPr>
              <w:spacing w:after="0"/>
              <w:rPr>
                <w:sz w:val="20"/>
                <w:szCs w:val="20"/>
                <w:color w:val="auto"/>
              </w:rPr>
            </w:pPr>
            <w:r>
              <w:rPr>
                <w:rFonts w:ascii="Courier New" w:cs="Courier New" w:eastAsia="Courier New" w:hAnsi="Courier New"/>
                <w:sz w:val="15"/>
                <w:szCs w:val="15"/>
                <w:color w:val="auto"/>
              </w:rPr>
              <w:t>Segment Income</w:t>
            </w:r>
          </w:p>
        </w:tc>
        <w:tc>
          <w:tcPr>
            <w:tcW w:w="7880" w:type="dxa"/>
            <w:vAlign w:val="bottom"/>
            <w:gridSpan w:val="10"/>
          </w:tcPr>
          <w:p>
            <w:pPr>
              <w:jc w:val="right"/>
              <w:ind w:right="187"/>
              <w:spacing w:after="0" w:line="168" w:lineRule="exact"/>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168"/>
        </w:trPr>
        <w:tc>
          <w:tcPr>
            <w:tcW w:w="2100" w:type="dxa"/>
            <w:vAlign w:val="bottom"/>
            <w:vMerge w:val="continue"/>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$ 235</w:t>
            </w: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$ 64</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$ 153</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$ 281</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$ 36</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$ 769</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$ 28</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$ 51</w:t>
            </w: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(133)</w:t>
            </w: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$ 715</w:t>
            </w:r>
          </w:p>
        </w:tc>
        <w:tc>
          <w:tcPr>
            <w:tcW w:w="0" w:type="dxa"/>
            <w:vAlign w:val="bottom"/>
          </w:tcPr>
          <w:p>
            <w:pPr>
              <w:spacing w:after="0"/>
              <w:rPr>
                <w:sz w:val="1"/>
                <w:szCs w:val="1"/>
                <w:color w:val="auto"/>
              </w:rPr>
            </w:pPr>
          </w:p>
        </w:tc>
      </w:tr>
      <w:tr>
        <w:trPr>
          <w:trHeight w:val="168"/>
        </w:trPr>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Minority Interest</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w:t>
            </w: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6</w:t>
            </w:r>
          </w:p>
        </w:tc>
        <w:tc>
          <w:tcPr>
            <w:tcW w:w="0" w:type="dxa"/>
            <w:vAlign w:val="bottom"/>
          </w:tcPr>
          <w:p>
            <w:pPr>
              <w:spacing w:after="0"/>
              <w:rPr>
                <w:sz w:val="1"/>
                <w:szCs w:val="1"/>
                <w:color w:val="auto"/>
              </w:rPr>
            </w:pPr>
          </w:p>
        </w:tc>
      </w:tr>
      <w:tr>
        <w:trPr>
          <w:trHeight w:val="168"/>
        </w:trPr>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Tax Expense (2)</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145</w:t>
            </w: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22</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56</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42</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294</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w:t>
            </w: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(63)</w:t>
            </w: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218</w:t>
            </w:r>
          </w:p>
        </w:tc>
        <w:tc>
          <w:tcPr>
            <w:tcW w:w="0" w:type="dxa"/>
            <w:vAlign w:val="bottom"/>
          </w:tcPr>
          <w:p>
            <w:pPr>
              <w:spacing w:after="0"/>
              <w:rPr>
                <w:sz w:val="1"/>
                <w:szCs w:val="1"/>
                <w:color w:val="auto"/>
              </w:rPr>
            </w:pPr>
          </w:p>
        </w:tc>
      </w:tr>
      <w:tr>
        <w:trPr>
          <w:trHeight w:val="168"/>
        </w:trPr>
        <w:tc>
          <w:tcPr>
            <w:tcW w:w="2100" w:type="dxa"/>
            <w:vAlign w:val="bottom"/>
          </w:tcPr>
          <w:p>
            <w:pPr>
              <w:spacing w:after="0"/>
              <w:rPr>
                <w:sz w:val="14"/>
                <w:szCs w:val="14"/>
                <w:color w:val="auto"/>
              </w:rPr>
            </w:pPr>
          </w:p>
        </w:tc>
        <w:tc>
          <w:tcPr>
            <w:tcW w:w="7880" w:type="dxa"/>
            <w:vAlign w:val="bottom"/>
            <w:gridSpan w:val="10"/>
          </w:tcPr>
          <w:p>
            <w:pPr>
              <w:jc w:val="right"/>
              <w:ind w:right="187"/>
              <w:spacing w:after="0" w:line="168" w:lineRule="exact"/>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168"/>
        </w:trPr>
        <w:tc>
          <w:tcPr>
            <w:tcW w:w="29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Segment Income before tax</w:t>
            </w:r>
          </w:p>
        </w:tc>
        <w:tc>
          <w:tcPr>
            <w:tcW w:w="78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$ 86</w:t>
            </w:r>
          </w:p>
        </w:tc>
        <w:tc>
          <w:tcPr>
            <w:tcW w:w="7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$ 209</w:t>
            </w:r>
          </w:p>
        </w:tc>
        <w:tc>
          <w:tcPr>
            <w:tcW w:w="7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$ 310</w:t>
            </w:r>
          </w:p>
        </w:tc>
        <w:tc>
          <w:tcPr>
            <w:tcW w:w="84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$ 77</w:t>
            </w:r>
          </w:p>
        </w:tc>
        <w:tc>
          <w:tcPr>
            <w:tcW w:w="78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$ 1,062</w:t>
            </w:r>
          </w:p>
        </w:tc>
        <w:tc>
          <w:tcPr>
            <w:tcW w:w="70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$ 12</w:t>
            </w:r>
          </w:p>
        </w:tc>
        <w:tc>
          <w:tcPr>
            <w:tcW w:w="7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$ 61</w:t>
            </w:r>
          </w:p>
        </w:tc>
        <w:tc>
          <w:tcPr>
            <w:tcW w:w="7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 (196)</w:t>
            </w:r>
          </w:p>
        </w:tc>
        <w:tc>
          <w:tcPr>
            <w:tcW w:w="1040" w:type="dxa"/>
            <w:vAlign w:val="bottom"/>
            <w:vMerge w:val="restart"/>
          </w:tcPr>
          <w:p>
            <w:pPr>
              <w:jc w:val="right"/>
              <w:ind w:right="267"/>
              <w:spacing w:after="0"/>
              <w:rPr>
                <w:sz w:val="20"/>
                <w:szCs w:val="20"/>
                <w:color w:val="auto"/>
              </w:rPr>
            </w:pPr>
            <w:r>
              <w:rPr>
                <w:rFonts w:ascii="Courier New" w:cs="Courier New" w:eastAsia="Courier New" w:hAnsi="Courier New"/>
                <w:sz w:val="15"/>
                <w:szCs w:val="15"/>
                <w:color w:val="auto"/>
              </w:rPr>
              <w:t>$ 939</w:t>
            </w:r>
          </w:p>
        </w:tc>
        <w:tc>
          <w:tcPr>
            <w:tcW w:w="0" w:type="dxa"/>
            <w:vAlign w:val="bottom"/>
          </w:tcPr>
          <w:p>
            <w:pPr>
              <w:spacing w:after="0"/>
              <w:rPr>
                <w:sz w:val="1"/>
                <w:szCs w:val="1"/>
                <w:color w:val="auto"/>
              </w:rPr>
            </w:pPr>
          </w:p>
        </w:tc>
      </w:tr>
      <w:tr>
        <w:trPr>
          <w:trHeight w:val="168"/>
        </w:trPr>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and MI</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$ 380</w:t>
            </w:r>
          </w:p>
        </w:tc>
        <w:tc>
          <w:tcPr>
            <w:tcW w:w="78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100" w:type="dxa"/>
            <w:vAlign w:val="bottom"/>
            <w:vMerge w:val="restart"/>
          </w:tcPr>
          <w:p>
            <w:pPr>
              <w:spacing w:after="0"/>
              <w:rPr>
                <w:sz w:val="20"/>
                <w:szCs w:val="20"/>
                <w:color w:val="auto"/>
              </w:rPr>
            </w:pPr>
            <w:r>
              <w:rPr>
                <w:rFonts w:ascii="Courier New" w:cs="Courier New" w:eastAsia="Courier New" w:hAnsi="Courier New"/>
                <w:sz w:val="15"/>
                <w:szCs w:val="15"/>
                <w:color w:val="auto"/>
              </w:rPr>
              <w:t>Interest Income</w:t>
            </w:r>
          </w:p>
        </w:tc>
        <w:tc>
          <w:tcPr>
            <w:tcW w:w="7880" w:type="dxa"/>
            <w:vAlign w:val="bottom"/>
            <w:gridSpan w:val="10"/>
          </w:tcPr>
          <w:p>
            <w:pPr>
              <w:jc w:val="right"/>
              <w:ind w:right="807"/>
              <w:spacing w:after="0" w:line="168" w:lineRule="exact"/>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168"/>
        </w:trPr>
        <w:tc>
          <w:tcPr>
            <w:tcW w:w="2100" w:type="dxa"/>
            <w:vAlign w:val="bottom"/>
            <w:vMerge w:val="continue"/>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$ 5</w:t>
            </w: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297</w:t>
            </w:r>
          </w:p>
        </w:tc>
        <w:tc>
          <w:tcPr>
            <w:tcW w:w="0" w:type="dxa"/>
            <w:vAlign w:val="bottom"/>
          </w:tcPr>
          <w:p>
            <w:pPr>
              <w:spacing w:after="0"/>
              <w:rPr>
                <w:sz w:val="1"/>
                <w:szCs w:val="1"/>
                <w:color w:val="auto"/>
              </w:rPr>
            </w:pPr>
          </w:p>
        </w:tc>
      </w:tr>
      <w:tr>
        <w:trPr>
          <w:trHeight w:val="168"/>
        </w:trPr>
        <w:tc>
          <w:tcPr>
            <w:tcW w:w="2100" w:type="dxa"/>
            <w:vAlign w:val="bottom"/>
            <w:vMerge w:val="restart"/>
          </w:tcPr>
          <w:p>
            <w:pPr>
              <w:spacing w:after="0"/>
              <w:rPr>
                <w:sz w:val="20"/>
                <w:szCs w:val="20"/>
                <w:color w:val="auto"/>
              </w:rPr>
            </w:pPr>
            <w:r>
              <w:rPr>
                <w:rFonts w:ascii="Courier New" w:cs="Courier New" w:eastAsia="Courier New" w:hAnsi="Courier New"/>
                <w:sz w:val="15"/>
                <w:szCs w:val="15"/>
                <w:color w:val="auto"/>
              </w:rPr>
              <w:t>Interest Expense</w:t>
            </w:r>
          </w:p>
        </w:tc>
        <w:tc>
          <w:tcPr>
            <w:tcW w:w="84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4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(273)</w:t>
            </w:r>
          </w:p>
        </w:tc>
        <w:tc>
          <w:tcPr>
            <w:tcW w:w="0" w:type="dxa"/>
            <w:vAlign w:val="bottom"/>
          </w:tcPr>
          <w:p>
            <w:pPr>
              <w:spacing w:after="0"/>
              <w:rPr>
                <w:sz w:val="1"/>
                <w:szCs w:val="1"/>
                <w:color w:val="auto"/>
              </w:rPr>
            </w:pPr>
          </w:p>
        </w:tc>
      </w:tr>
      <w:tr>
        <w:trPr>
          <w:trHeight w:val="168"/>
        </w:trPr>
        <w:tc>
          <w:tcPr>
            <w:tcW w:w="2100" w:type="dxa"/>
            <w:vAlign w:val="bottom"/>
            <w:vMerge w:val="continue"/>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(3)</w:t>
            </w: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2100" w:type="dxa"/>
            <w:vAlign w:val="bottom"/>
            <w:vMerge w:val="restart"/>
          </w:tcPr>
          <w:p>
            <w:pPr>
              <w:spacing w:after="0"/>
              <w:rPr>
                <w:sz w:val="20"/>
                <w:szCs w:val="20"/>
                <w:color w:val="auto"/>
              </w:rPr>
            </w:pPr>
            <w:r>
              <w:rPr>
                <w:rFonts w:ascii="Courier New" w:cs="Courier New" w:eastAsia="Courier New" w:hAnsi="Courier New"/>
                <w:sz w:val="15"/>
                <w:szCs w:val="15"/>
                <w:color w:val="auto"/>
              </w:rPr>
              <w:t>Charges</w:t>
            </w:r>
          </w:p>
        </w:tc>
        <w:tc>
          <w:tcPr>
            <w:tcW w:w="8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w w:val="99"/>
              </w:rPr>
              <w:t>========</w:t>
            </w:r>
          </w:p>
        </w:tc>
        <w:tc>
          <w:tcPr>
            <w:tcW w:w="7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4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(2)</w:t>
            </w:r>
          </w:p>
        </w:tc>
        <w:tc>
          <w:tcPr>
            <w:tcW w:w="0" w:type="dxa"/>
            <w:vAlign w:val="bottom"/>
          </w:tcPr>
          <w:p>
            <w:pPr>
              <w:spacing w:after="0"/>
              <w:rPr>
                <w:sz w:val="1"/>
                <w:szCs w:val="1"/>
                <w:color w:val="auto"/>
              </w:rPr>
            </w:pPr>
          </w:p>
        </w:tc>
      </w:tr>
      <w:tr>
        <w:trPr>
          <w:trHeight w:val="91"/>
        </w:trPr>
        <w:tc>
          <w:tcPr>
            <w:tcW w:w="2100" w:type="dxa"/>
            <w:vAlign w:val="bottom"/>
            <w:vMerge w:val="continue"/>
          </w:tcPr>
          <w:p>
            <w:pPr>
              <w:spacing w:after="0"/>
              <w:rPr>
                <w:sz w:val="7"/>
                <w:szCs w:val="7"/>
                <w:color w:val="auto"/>
              </w:rPr>
            </w:pPr>
          </w:p>
        </w:tc>
        <w:tc>
          <w:tcPr>
            <w:tcW w:w="8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00" w:type="dxa"/>
            <w:vAlign w:val="bottom"/>
          </w:tcPr>
          <w:p>
            <w:pPr>
              <w:spacing w:after="0"/>
              <w:rPr>
                <w:sz w:val="7"/>
                <w:szCs w:val="7"/>
                <w:color w:val="auto"/>
              </w:rPr>
            </w:pPr>
          </w:p>
        </w:tc>
        <w:tc>
          <w:tcPr>
            <w:tcW w:w="8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2100" w:type="dxa"/>
            <w:vAlign w:val="bottom"/>
            <w:vMerge w:val="restart"/>
          </w:tcPr>
          <w:p>
            <w:pPr>
              <w:spacing w:after="0"/>
              <w:rPr>
                <w:sz w:val="20"/>
                <w:szCs w:val="20"/>
                <w:color w:val="auto"/>
              </w:rPr>
            </w:pPr>
            <w:r>
              <w:rPr>
                <w:rFonts w:ascii="Courier New" w:cs="Courier New" w:eastAsia="Courier New" w:hAnsi="Courier New"/>
                <w:sz w:val="15"/>
                <w:szCs w:val="15"/>
                <w:color w:val="auto"/>
              </w:rPr>
              <w:t>Pretax Income</w:t>
            </w: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2100" w:type="dxa"/>
            <w:vAlign w:val="bottom"/>
            <w:vMerge w:val="continue"/>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$ 961</w:t>
            </w:r>
          </w:p>
        </w:tc>
        <w:tc>
          <w:tcPr>
            <w:tcW w:w="0" w:type="dxa"/>
            <w:vAlign w:val="bottom"/>
          </w:tcPr>
          <w:p>
            <w:pPr>
              <w:spacing w:after="0"/>
              <w:rPr>
                <w:sz w:val="1"/>
                <w:szCs w:val="1"/>
                <w:color w:val="auto"/>
              </w:rPr>
            </w:pPr>
          </w:p>
        </w:tc>
      </w:tr>
      <w:tr>
        <w:trPr>
          <w:trHeight w:val="168"/>
        </w:trPr>
        <w:tc>
          <w:tcPr>
            <w:tcW w:w="2100" w:type="dxa"/>
            <w:vAlign w:val="bottom"/>
            <w:vMerge w:val="restart"/>
          </w:tcPr>
          <w:p>
            <w:pPr>
              <w:spacing w:after="0"/>
              <w:rPr>
                <w:sz w:val="20"/>
                <w:szCs w:val="20"/>
                <w:color w:val="auto"/>
              </w:rPr>
            </w:pPr>
            <w:r>
              <w:rPr>
                <w:rFonts w:ascii="Courier New" w:cs="Courier New" w:eastAsia="Courier New" w:hAnsi="Courier New"/>
                <w:sz w:val="15"/>
                <w:szCs w:val="15"/>
                <w:color w:val="auto"/>
              </w:rPr>
              <w:t>Segment Assets</w:t>
            </w:r>
          </w:p>
        </w:tc>
        <w:tc>
          <w:tcPr>
            <w:tcW w:w="7880" w:type="dxa"/>
            <w:vAlign w:val="bottom"/>
            <w:gridSpan w:val="10"/>
          </w:tcPr>
          <w:p>
            <w:pPr>
              <w:jc w:val="right"/>
              <w:ind w:right="187"/>
              <w:spacing w:after="0" w:line="168" w:lineRule="exact"/>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168"/>
        </w:trPr>
        <w:tc>
          <w:tcPr>
            <w:tcW w:w="2100" w:type="dxa"/>
            <w:vAlign w:val="bottom"/>
            <w:vMerge w:val="continue"/>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$2,984</w:t>
            </w: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$ 1,305</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$ 1,689</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$ 1,475</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$ 1,884</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$ 9,337</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$ 1,339</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$ 1,170</w:t>
            </w:r>
          </w:p>
        </w:tc>
        <w:tc>
          <w:tcPr>
            <w:tcW w:w="180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 - $ 11,846</w:t>
            </w:r>
          </w:p>
        </w:tc>
        <w:tc>
          <w:tcPr>
            <w:tcW w:w="0" w:type="dxa"/>
            <w:vAlign w:val="bottom"/>
          </w:tcPr>
          <w:p>
            <w:pPr>
              <w:spacing w:after="0"/>
              <w:rPr>
                <w:sz w:val="1"/>
                <w:szCs w:val="1"/>
                <w:color w:val="auto"/>
              </w:rPr>
            </w:pPr>
          </w:p>
        </w:tc>
      </w:tr>
      <w:tr>
        <w:trPr>
          <w:trHeight w:val="168"/>
        </w:trPr>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Corporate Assets</w:t>
            </w: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5,327</w:t>
            </w:r>
          </w:p>
        </w:tc>
        <w:tc>
          <w:tcPr>
            <w:tcW w:w="0" w:type="dxa"/>
            <w:vAlign w:val="bottom"/>
          </w:tcPr>
          <w:p>
            <w:pPr>
              <w:spacing w:after="0"/>
              <w:rPr>
                <w:sz w:val="1"/>
                <w:szCs w:val="1"/>
                <w:color w:val="auto"/>
              </w:rPr>
            </w:pPr>
          </w:p>
        </w:tc>
      </w:tr>
      <w:tr>
        <w:trPr>
          <w:trHeight w:val="168"/>
        </w:trPr>
        <w:tc>
          <w:tcPr>
            <w:tcW w:w="2100" w:type="dxa"/>
            <w:vAlign w:val="bottom"/>
            <w:vMerge w:val="restart"/>
          </w:tcPr>
          <w:p>
            <w:pPr>
              <w:spacing w:after="0"/>
              <w:rPr>
                <w:sz w:val="20"/>
                <w:szCs w:val="20"/>
                <w:color w:val="auto"/>
              </w:rPr>
            </w:pPr>
            <w:r>
              <w:rPr>
                <w:rFonts w:ascii="Courier New" w:cs="Courier New" w:eastAsia="Courier New" w:hAnsi="Courier New"/>
                <w:sz w:val="15"/>
                <w:szCs w:val="15"/>
                <w:color w:val="auto"/>
              </w:rPr>
              <w:t>Total Assets</w:t>
            </w: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3"/>
              </w:rPr>
              <w:t>---------</w:t>
            </w:r>
          </w:p>
        </w:tc>
        <w:tc>
          <w:tcPr>
            <w:tcW w:w="0" w:type="dxa"/>
            <w:vAlign w:val="bottom"/>
          </w:tcPr>
          <w:p>
            <w:pPr>
              <w:spacing w:after="0"/>
              <w:rPr>
                <w:sz w:val="1"/>
                <w:szCs w:val="1"/>
                <w:color w:val="auto"/>
              </w:rPr>
            </w:pPr>
          </w:p>
        </w:tc>
      </w:tr>
      <w:tr>
        <w:trPr>
          <w:trHeight w:val="168"/>
        </w:trPr>
        <w:tc>
          <w:tcPr>
            <w:tcW w:w="2100" w:type="dxa"/>
            <w:vAlign w:val="bottom"/>
            <w:vMerge w:val="continue"/>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4"/>
              </w:rPr>
              <w:t>$ 17,173</w:t>
            </w:r>
          </w:p>
        </w:tc>
        <w:tc>
          <w:tcPr>
            <w:tcW w:w="0" w:type="dxa"/>
            <w:vAlign w:val="bottom"/>
          </w:tcPr>
          <w:p>
            <w:pPr>
              <w:spacing w:after="0"/>
              <w:rPr>
                <w:sz w:val="1"/>
                <w:szCs w:val="1"/>
                <w:color w:val="auto"/>
              </w:rPr>
            </w:pPr>
          </w:p>
        </w:tc>
      </w:tr>
      <w:tr>
        <w:trPr>
          <w:trHeight w:val="245"/>
        </w:trPr>
        <w:tc>
          <w:tcPr>
            <w:tcW w:w="2100" w:type="dxa"/>
            <w:vAlign w:val="bottom"/>
            <w:vMerge w:val="restart"/>
          </w:tcPr>
          <w:p>
            <w:pPr>
              <w:spacing w:after="0"/>
              <w:rPr>
                <w:sz w:val="20"/>
                <w:szCs w:val="20"/>
                <w:color w:val="auto"/>
              </w:rPr>
            </w:pPr>
            <w:r>
              <w:rPr>
                <w:rFonts w:ascii="Courier New" w:cs="Courier New" w:eastAsia="Courier New" w:hAnsi="Courier New"/>
                <w:sz w:val="15"/>
                <w:szCs w:val="15"/>
                <w:color w:val="auto"/>
              </w:rPr>
              <w:t>Depreciation/</w:t>
            </w:r>
          </w:p>
        </w:tc>
        <w:tc>
          <w:tcPr>
            <w:tcW w:w="7880" w:type="dxa"/>
            <w:vAlign w:val="bottom"/>
            <w:gridSpan w:val="10"/>
          </w:tcPr>
          <w:p>
            <w:pPr>
              <w:jc w:val="right"/>
              <w:ind w:right="187"/>
              <w:spacing w:after="0"/>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91"/>
        </w:trPr>
        <w:tc>
          <w:tcPr>
            <w:tcW w:w="2100" w:type="dxa"/>
            <w:vAlign w:val="bottom"/>
            <w:vMerge w:val="continue"/>
          </w:tcPr>
          <w:p>
            <w:pPr>
              <w:spacing w:after="0"/>
              <w:rPr>
                <w:sz w:val="7"/>
                <w:szCs w:val="7"/>
                <w:color w:val="auto"/>
              </w:rPr>
            </w:pPr>
          </w:p>
        </w:tc>
        <w:tc>
          <w:tcPr>
            <w:tcW w:w="8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$ 403</w:t>
            </w:r>
          </w:p>
        </w:tc>
        <w:tc>
          <w:tcPr>
            <w:tcW w:w="78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$ 187</w:t>
            </w:r>
          </w:p>
        </w:tc>
        <w:tc>
          <w:tcPr>
            <w:tcW w:w="7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$ 221</w:t>
            </w:r>
          </w:p>
        </w:tc>
        <w:tc>
          <w:tcPr>
            <w:tcW w:w="7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$ 229</w:t>
            </w:r>
          </w:p>
        </w:tc>
        <w:tc>
          <w:tcPr>
            <w:tcW w:w="84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$ 12</w:t>
            </w:r>
          </w:p>
        </w:tc>
        <w:tc>
          <w:tcPr>
            <w:tcW w:w="78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$ 1,052</w:t>
            </w:r>
          </w:p>
        </w:tc>
        <w:tc>
          <w:tcPr>
            <w:tcW w:w="70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$ 28</w:t>
            </w:r>
          </w:p>
        </w:tc>
        <w:tc>
          <w:tcPr>
            <w:tcW w:w="7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$ 78</w:t>
            </w:r>
          </w:p>
        </w:tc>
        <w:tc>
          <w:tcPr>
            <w:tcW w:w="76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$ 113</w:t>
            </w:r>
          </w:p>
        </w:tc>
        <w:tc>
          <w:tcPr>
            <w:tcW w:w="1040" w:type="dxa"/>
            <w:vAlign w:val="bottom"/>
            <w:vMerge w:val="restart"/>
          </w:tcPr>
          <w:p>
            <w:pPr>
              <w:jc w:val="right"/>
              <w:ind w:right="267"/>
              <w:spacing w:after="0"/>
              <w:rPr>
                <w:sz w:val="20"/>
                <w:szCs w:val="20"/>
                <w:color w:val="auto"/>
              </w:rPr>
            </w:pPr>
            <w:r>
              <w:rPr>
                <w:rFonts w:ascii="Courier New" w:cs="Courier New" w:eastAsia="Courier New" w:hAnsi="Courier New"/>
                <w:sz w:val="15"/>
                <w:szCs w:val="15"/>
                <w:color w:val="auto"/>
              </w:rPr>
              <w:t>$ 1,271</w:t>
            </w:r>
          </w:p>
        </w:tc>
        <w:tc>
          <w:tcPr>
            <w:tcW w:w="0" w:type="dxa"/>
            <w:vAlign w:val="bottom"/>
          </w:tcPr>
          <w:p>
            <w:pPr>
              <w:spacing w:after="0"/>
              <w:rPr>
                <w:sz w:val="1"/>
                <w:szCs w:val="1"/>
                <w:color w:val="auto"/>
              </w:rPr>
            </w:pPr>
          </w:p>
        </w:tc>
      </w:tr>
      <w:tr>
        <w:trPr>
          <w:trHeight w:val="168"/>
        </w:trPr>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Amortization(3)</w:t>
            </w:r>
          </w:p>
        </w:tc>
        <w:tc>
          <w:tcPr>
            <w:tcW w:w="84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100" w:type="dxa"/>
            <w:vAlign w:val="bottom"/>
            <w:vMerge w:val="restart"/>
          </w:tcPr>
          <w:p>
            <w:pPr>
              <w:spacing w:after="0"/>
              <w:rPr>
                <w:sz w:val="20"/>
                <w:szCs w:val="20"/>
                <w:color w:val="auto"/>
              </w:rPr>
            </w:pPr>
            <w:r>
              <w:rPr>
                <w:rFonts w:ascii="Courier New" w:cs="Courier New" w:eastAsia="Courier New" w:hAnsi="Courier New"/>
                <w:sz w:val="15"/>
                <w:szCs w:val="15"/>
                <w:color w:val="auto"/>
                <w:w w:val="96"/>
              </w:rPr>
              <w:t>Capital Expenditures (3)</w:t>
            </w:r>
          </w:p>
        </w:tc>
        <w:tc>
          <w:tcPr>
            <w:tcW w:w="7880" w:type="dxa"/>
            <w:vAlign w:val="bottom"/>
            <w:gridSpan w:val="10"/>
          </w:tcPr>
          <w:p>
            <w:pPr>
              <w:jc w:val="right"/>
              <w:ind w:right="187"/>
              <w:spacing w:after="0" w:line="168" w:lineRule="exact"/>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168"/>
        </w:trPr>
        <w:tc>
          <w:tcPr>
            <w:tcW w:w="2100" w:type="dxa"/>
            <w:vAlign w:val="bottom"/>
            <w:vMerge w:val="continue"/>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$ 608</w:t>
            </w: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$ 212</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$ 259</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$ 261</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$ 23</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$ 1,363</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$ 42</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$ 133</w:t>
            </w: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$ 8</w:t>
            </w: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$ 1,546</w:t>
            </w:r>
          </w:p>
        </w:tc>
        <w:tc>
          <w:tcPr>
            <w:tcW w:w="0" w:type="dxa"/>
            <w:vAlign w:val="bottom"/>
          </w:tcPr>
          <w:p>
            <w:pPr>
              <w:spacing w:after="0"/>
              <w:rPr>
                <w:sz w:val="1"/>
                <w:szCs w:val="1"/>
                <w:color w:val="auto"/>
              </w:rPr>
            </w:pPr>
          </w:p>
        </w:tc>
      </w:tr>
      <w:tr>
        <w:trPr>
          <w:trHeight w:val="194"/>
        </w:trPr>
        <w:tc>
          <w:tcPr>
            <w:tcW w:w="2100" w:type="dxa"/>
            <w:vAlign w:val="bottom"/>
          </w:tcPr>
          <w:p>
            <w:pPr>
              <w:spacing w:after="0"/>
              <w:rPr>
                <w:sz w:val="16"/>
                <w:szCs w:val="16"/>
                <w:color w:val="auto"/>
              </w:rPr>
            </w:pPr>
          </w:p>
        </w:tc>
        <w:tc>
          <w:tcPr>
            <w:tcW w:w="7880" w:type="dxa"/>
            <w:vAlign w:val="bottom"/>
            <w:gridSpan w:val="10"/>
          </w:tcPr>
          <w:p>
            <w:pPr>
              <w:jc w:val="right"/>
              <w:ind w:right="187"/>
              <w:spacing w:after="0"/>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bl>
    <w:p>
      <w:pPr>
        <w:ind w:left="2720" w:hanging="436"/>
        <w:spacing w:after="0"/>
        <w:tabs>
          <w:tab w:leader="none" w:pos="2720"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Semiconductor Solutions and the divested Resource Management Services businesses.</w:t>
      </w:r>
    </w:p>
    <w:p>
      <w:pPr>
        <w:spacing w:after="0" w:line="9" w:lineRule="exact"/>
        <w:rPr>
          <w:rFonts w:ascii="Courier New" w:cs="Courier New" w:eastAsia="Courier New" w:hAnsi="Courier New"/>
          <w:sz w:val="14"/>
          <w:szCs w:val="14"/>
          <w:color w:val="auto"/>
        </w:rPr>
      </w:pPr>
    </w:p>
    <w:p>
      <w:pPr>
        <w:ind w:left="2720" w:hanging="436"/>
        <w:spacing w:after="0" w:line="237" w:lineRule="auto"/>
        <w:tabs>
          <w:tab w:leader="none" w:pos="2720"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2000 income tax expense excludes $10 million related to the Charges.</w:t>
      </w:r>
    </w:p>
    <w:p>
      <w:pPr>
        <w:ind w:left="2720" w:hanging="436"/>
        <w:spacing w:after="0"/>
        <w:tabs>
          <w:tab w:leader="none" w:pos="2720"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multiclient seismic data costs.</w:t>
      </w:r>
    </w:p>
    <w:p>
      <w:pPr>
        <w:spacing w:after="0" w:line="200" w:lineRule="exact"/>
        <w:rPr>
          <w:sz w:val="20"/>
          <w:szCs w:val="20"/>
          <w:color w:val="auto"/>
        </w:rPr>
      </w:pPr>
    </w:p>
    <w:p>
      <w:pPr>
        <w:spacing w:after="0" w:line="27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F-23</w:t>
      </w:r>
    </w:p>
    <w:p>
      <w:pPr>
        <w:sectPr>
          <w:pgSz w:w="11900" w:h="16838" w:orient="portrait"/>
          <w:cols w:equalWidth="0" w:num="1">
            <w:col w:w="10600"/>
          </w:cols>
          <w:pgMar w:left="220" w:top="598" w:right="1079" w:bottom="873" w:gutter="0" w:footer="0" w:header="0"/>
        </w:sectPr>
      </w:pPr>
    </w:p>
    <w:bookmarkStart w:id="37" w:name="page38"/>
    <w:bookmarkEnd w:id="37"/>
    <w:p>
      <w:pPr>
        <w:ind w:left="264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860" w:type="dxa"/>
            <w:vAlign w:val="bottom"/>
            <w:vMerge w:val="restart"/>
          </w:tcPr>
          <w:p>
            <w:pPr>
              <w:spacing w:after="0"/>
              <w:rPr>
                <w:sz w:val="20"/>
                <w:szCs w:val="20"/>
                <w:color w:val="auto"/>
              </w:rPr>
            </w:pPr>
            <w:r>
              <w:rPr>
                <w:rFonts w:ascii="Courier New" w:cs="Courier New" w:eastAsia="Courier New" w:hAnsi="Courier New"/>
                <w:sz w:val="15"/>
                <w:szCs w:val="15"/>
                <w:color w:val="auto"/>
              </w:rPr>
              <w:t>1999</w:t>
            </w:r>
          </w:p>
        </w:tc>
        <w:tc>
          <w:tcPr>
            <w:tcW w:w="60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NAM</w:t>
            </w:r>
          </w:p>
        </w:tc>
        <w:tc>
          <w:tcPr>
            <w:tcW w:w="960" w:type="dxa"/>
            <w:vAlign w:val="bottom"/>
            <w:vMerge w:val="restart"/>
          </w:tcPr>
          <w:p>
            <w:pPr>
              <w:jc w:val="right"/>
              <w:ind w:right="307"/>
              <w:spacing w:after="0"/>
              <w:rPr>
                <w:sz w:val="20"/>
                <w:szCs w:val="20"/>
                <w:color w:val="auto"/>
              </w:rPr>
            </w:pPr>
            <w:r>
              <w:rPr>
                <w:rFonts w:ascii="Courier New" w:cs="Courier New" w:eastAsia="Courier New" w:hAnsi="Courier New"/>
                <w:sz w:val="15"/>
                <w:szCs w:val="15"/>
                <w:color w:val="auto"/>
              </w:rPr>
              <w:t>LAM</w:t>
            </w:r>
          </w:p>
        </w:tc>
        <w:tc>
          <w:tcPr>
            <w:tcW w:w="80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ECA</w:t>
            </w:r>
          </w:p>
        </w:tc>
        <w:tc>
          <w:tcPr>
            <w:tcW w:w="8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Other</w:t>
            </w:r>
          </w:p>
        </w:tc>
        <w:tc>
          <w:tcPr>
            <w:tcW w:w="84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Elims</w:t>
            </w:r>
          </w:p>
        </w:tc>
        <w:tc>
          <w:tcPr>
            <w:tcW w:w="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Total</w:t>
            </w:r>
          </w:p>
        </w:tc>
        <w:tc>
          <w:tcPr>
            <w:tcW w:w="84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SLSEMA</w:t>
            </w:r>
          </w:p>
        </w:tc>
        <w:tc>
          <w:tcPr>
            <w:tcW w:w="960" w:type="dxa"/>
            <w:vAlign w:val="bottom"/>
            <w:vMerge w:val="restart"/>
          </w:tcPr>
          <w:p>
            <w:pPr>
              <w:ind w:left="40"/>
              <w:spacing w:after="0"/>
              <w:rPr>
                <w:sz w:val="20"/>
                <w:szCs w:val="20"/>
                <w:color w:val="auto"/>
              </w:rPr>
            </w:pPr>
            <w:r>
              <w:rPr>
                <w:rFonts w:ascii="Courier New" w:cs="Courier New" w:eastAsia="Courier New" w:hAnsi="Courier New"/>
                <w:sz w:val="15"/>
                <w:szCs w:val="15"/>
                <w:color w:val="auto"/>
              </w:rPr>
              <w:t>Other (1)</w:t>
            </w:r>
          </w:p>
        </w:tc>
        <w:tc>
          <w:tcPr>
            <w:tcW w:w="740" w:type="dxa"/>
            <w:vAlign w:val="bottom"/>
          </w:tcPr>
          <w:p>
            <w:pPr>
              <w:ind w:left="40"/>
              <w:spacing w:after="0"/>
              <w:rPr>
                <w:sz w:val="20"/>
                <w:szCs w:val="20"/>
                <w:color w:val="auto"/>
              </w:rPr>
            </w:pPr>
            <w:r>
              <w:rPr>
                <w:rFonts w:ascii="Courier New" w:cs="Courier New" w:eastAsia="Courier New" w:hAnsi="Courier New"/>
                <w:sz w:val="15"/>
                <w:szCs w:val="15"/>
                <w:color w:val="auto"/>
              </w:rPr>
              <w:t>Elims/</w:t>
            </w:r>
          </w:p>
        </w:tc>
        <w:tc>
          <w:tcPr>
            <w:tcW w:w="10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w w:val="96"/>
              </w:rPr>
              <w:t>Consolidated</w:t>
            </w:r>
          </w:p>
        </w:tc>
        <w:tc>
          <w:tcPr>
            <w:tcW w:w="0" w:type="dxa"/>
            <w:vAlign w:val="bottom"/>
          </w:tcPr>
          <w:p>
            <w:pPr>
              <w:spacing w:after="0"/>
              <w:rPr>
                <w:sz w:val="1"/>
                <w:szCs w:val="1"/>
                <w:color w:val="auto"/>
              </w:rPr>
            </w:pPr>
          </w:p>
        </w:tc>
      </w:tr>
      <w:tr>
        <w:trPr>
          <w:trHeight w:val="168"/>
        </w:trPr>
        <w:tc>
          <w:tcPr>
            <w:tcW w:w="286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8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8"/>
              </w:rPr>
              <w:t>Eastern</w:t>
            </w:r>
          </w:p>
        </w:tc>
        <w:tc>
          <w:tcPr>
            <w:tcW w:w="840" w:type="dxa"/>
            <w:vAlign w:val="bottom"/>
            <w:vMerge w:val="continue"/>
          </w:tcPr>
          <w:p>
            <w:pPr>
              <w:spacing w:after="0"/>
              <w:rPr>
                <w:sz w:val="14"/>
                <w:szCs w:val="14"/>
                <w:color w:val="auto"/>
              </w:rPr>
            </w:pPr>
          </w:p>
        </w:tc>
        <w:tc>
          <w:tcPr>
            <w:tcW w:w="7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OFS</w:t>
            </w:r>
          </w:p>
        </w:tc>
        <w:tc>
          <w:tcPr>
            <w:tcW w:w="84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7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Other</w:t>
            </w: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11300" w:type="dxa"/>
            <w:vAlign w:val="bottom"/>
            <w:gridSpan w:val="11"/>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427"/>
        </w:trPr>
        <w:tc>
          <w:tcPr>
            <w:tcW w:w="286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w w:val="99"/>
              </w:rPr>
              <w:t>$1,649</w:t>
            </w:r>
          </w:p>
        </w:tc>
        <w:tc>
          <w:tcPr>
            <w:tcW w:w="9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$ 947</w:t>
            </w: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$ 1,514</w:t>
            </w:r>
          </w:p>
        </w:tc>
        <w:tc>
          <w:tcPr>
            <w:tcW w:w="8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$ 1,561</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$ 265</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$ 5,936</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$ 851</w:t>
            </w:r>
          </w:p>
        </w:tc>
        <w:tc>
          <w:tcPr>
            <w:tcW w:w="9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$1,640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 (32)</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$ 8,395</w:t>
            </w:r>
          </w:p>
        </w:tc>
        <w:tc>
          <w:tcPr>
            <w:tcW w:w="0" w:type="dxa"/>
            <w:vAlign w:val="bottom"/>
          </w:tcPr>
          <w:p>
            <w:pPr>
              <w:spacing w:after="0"/>
              <w:rPr>
                <w:sz w:val="1"/>
                <w:szCs w:val="1"/>
                <w:color w:val="auto"/>
              </w:rPr>
            </w:pPr>
          </w:p>
        </w:tc>
      </w:tr>
      <w:tr>
        <w:trPr>
          <w:trHeight w:val="168"/>
        </w:trPr>
        <w:tc>
          <w:tcPr>
            <w:tcW w:w="11300" w:type="dxa"/>
            <w:vAlign w:val="bottom"/>
            <w:gridSpan w:val="11"/>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2860" w:type="dxa"/>
            <w:vAlign w:val="bottom"/>
          </w:tcPr>
          <w:p>
            <w:pPr>
              <w:spacing w:after="0" w:line="168" w:lineRule="exact"/>
              <w:rPr>
                <w:sz w:val="20"/>
                <w:szCs w:val="20"/>
                <w:color w:val="auto"/>
              </w:rPr>
            </w:pPr>
            <w:r>
              <w:rPr>
                <w:rFonts w:ascii="Courier New" w:cs="Courier New" w:eastAsia="Courier New" w:hAnsi="Courier New"/>
                <w:sz w:val="15"/>
                <w:szCs w:val="15"/>
                <w:color w:val="auto"/>
              </w:rPr>
              <w:t>Segment Income</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$ 84</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 -</w:t>
            </w: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$ 83</w:t>
            </w:r>
          </w:p>
        </w:tc>
        <w:tc>
          <w:tcPr>
            <w:tcW w:w="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$ 237</w:t>
            </w: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$ 39</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$ 442</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$ 41</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$ 48</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(117)</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$ 414</w:t>
            </w:r>
          </w:p>
        </w:tc>
        <w:tc>
          <w:tcPr>
            <w:tcW w:w="0" w:type="dxa"/>
            <w:vAlign w:val="bottom"/>
          </w:tcPr>
          <w:p>
            <w:pPr>
              <w:spacing w:after="0"/>
              <w:rPr>
                <w:sz w:val="1"/>
                <w:szCs w:val="1"/>
                <w:color w:val="auto"/>
              </w:rPr>
            </w:pPr>
          </w:p>
        </w:tc>
      </w:tr>
      <w:tr>
        <w:trPr>
          <w:trHeight w:val="168"/>
        </w:trPr>
        <w:tc>
          <w:tcPr>
            <w:tcW w:w="2860" w:type="dxa"/>
            <w:vAlign w:val="bottom"/>
          </w:tcPr>
          <w:p>
            <w:pPr>
              <w:spacing w:after="0" w:line="168" w:lineRule="exact"/>
              <w:rPr>
                <w:sz w:val="20"/>
                <w:szCs w:val="20"/>
                <w:color w:val="auto"/>
              </w:rPr>
            </w:pPr>
            <w:r>
              <w:rPr>
                <w:rFonts w:ascii="Courier New" w:cs="Courier New" w:eastAsia="Courier New" w:hAnsi="Courier New"/>
                <w:sz w:val="15"/>
                <w:szCs w:val="15"/>
                <w:color w:val="auto"/>
              </w:rPr>
              <w:t>Minority Interest</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w:t>
            </w:r>
          </w:p>
        </w:tc>
        <w:tc>
          <w:tcPr>
            <w:tcW w:w="0" w:type="dxa"/>
            <w:vAlign w:val="bottom"/>
          </w:tcPr>
          <w:p>
            <w:pPr>
              <w:spacing w:after="0"/>
              <w:rPr>
                <w:sz w:val="1"/>
                <w:szCs w:val="1"/>
                <w:color w:val="auto"/>
              </w:rPr>
            </w:pPr>
          </w:p>
        </w:tc>
      </w:tr>
      <w:tr>
        <w:trPr>
          <w:trHeight w:val="168"/>
        </w:trPr>
        <w:tc>
          <w:tcPr>
            <w:tcW w:w="286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Tax Expense (2)</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40</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20</w:t>
            </w: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42</w:t>
            </w:r>
          </w:p>
        </w:tc>
        <w:tc>
          <w:tcPr>
            <w:tcW w:w="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56</w:t>
            </w: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174</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(47)</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132</w:t>
            </w:r>
          </w:p>
        </w:tc>
        <w:tc>
          <w:tcPr>
            <w:tcW w:w="0" w:type="dxa"/>
            <w:vAlign w:val="bottom"/>
          </w:tcPr>
          <w:p>
            <w:pPr>
              <w:spacing w:after="0"/>
              <w:rPr>
                <w:sz w:val="1"/>
                <w:szCs w:val="1"/>
                <w:color w:val="auto"/>
              </w:rPr>
            </w:pPr>
          </w:p>
        </w:tc>
      </w:tr>
      <w:tr>
        <w:trPr>
          <w:trHeight w:val="168"/>
        </w:trPr>
        <w:tc>
          <w:tcPr>
            <w:tcW w:w="11300" w:type="dxa"/>
            <w:vAlign w:val="bottom"/>
            <w:gridSpan w:val="11"/>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28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Segment Income before tax and MI</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$ 124</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$ 20</w:t>
            </w: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$ 125</w:t>
            </w:r>
          </w:p>
        </w:tc>
        <w:tc>
          <w:tcPr>
            <w:tcW w:w="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$ 293</w:t>
            </w: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$ 54</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$ 616</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$ 63</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$ 42</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(164)</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$ 557</w:t>
            </w:r>
          </w:p>
        </w:tc>
        <w:tc>
          <w:tcPr>
            <w:tcW w:w="0" w:type="dxa"/>
            <w:vAlign w:val="bottom"/>
          </w:tcPr>
          <w:p>
            <w:pPr>
              <w:spacing w:after="0"/>
              <w:rPr>
                <w:sz w:val="1"/>
                <w:szCs w:val="1"/>
                <w:color w:val="auto"/>
              </w:rPr>
            </w:pPr>
          </w:p>
        </w:tc>
      </w:tr>
      <w:tr>
        <w:trPr>
          <w:trHeight w:val="168"/>
        </w:trPr>
        <w:tc>
          <w:tcPr>
            <w:tcW w:w="10240" w:type="dxa"/>
            <w:vAlign w:val="bottom"/>
            <w:gridSpan w:val="10"/>
          </w:tcPr>
          <w:p>
            <w:pPr>
              <w:ind w:left="2640"/>
              <w:spacing w:after="0" w:line="168" w:lineRule="exact"/>
              <w:rPr>
                <w:sz w:val="20"/>
                <w:szCs w:val="20"/>
                <w:color w:val="auto"/>
              </w:rPr>
            </w:pPr>
            <w:r>
              <w:rPr>
                <w:rFonts w:ascii="Courier New" w:cs="Courier New" w:eastAsia="Courier New" w:hAnsi="Courier New"/>
                <w:sz w:val="15"/>
                <w:szCs w:val="15"/>
                <w:color w:val="auto"/>
                <w:w w:val="96"/>
              </w:rPr>
              <w:t>=======================================================================================</w:t>
            </w:r>
          </w:p>
        </w:tc>
        <w:tc>
          <w:tcPr>
            <w:tcW w:w="106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228</w:t>
            </w:r>
          </w:p>
        </w:tc>
        <w:tc>
          <w:tcPr>
            <w:tcW w:w="0" w:type="dxa"/>
            <w:vAlign w:val="bottom"/>
          </w:tcPr>
          <w:p>
            <w:pPr>
              <w:spacing w:after="0"/>
              <w:rPr>
                <w:sz w:val="1"/>
                <w:szCs w:val="1"/>
                <w:color w:val="auto"/>
              </w:rPr>
            </w:pPr>
          </w:p>
        </w:tc>
      </w:tr>
      <w:tr>
        <w:trPr>
          <w:trHeight w:val="168"/>
        </w:trPr>
        <w:tc>
          <w:tcPr>
            <w:tcW w:w="286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Income</w:t>
            </w:r>
          </w:p>
        </w:tc>
        <w:tc>
          <w:tcPr>
            <w:tcW w:w="600" w:type="dxa"/>
            <w:vAlign w:val="bottom"/>
          </w:tcPr>
          <w:p>
            <w:pPr>
              <w:spacing w:after="0"/>
              <w:rPr>
                <w:sz w:val="14"/>
                <w:szCs w:val="14"/>
                <w:color w:val="auto"/>
              </w:rPr>
            </w:pP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$ 7</w:t>
            </w:r>
          </w:p>
        </w:tc>
        <w:tc>
          <w:tcPr>
            <w:tcW w:w="8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860" w:type="dxa"/>
            <w:vAlign w:val="bottom"/>
            <w:vMerge w:val="restart"/>
          </w:tcPr>
          <w:p>
            <w:pPr>
              <w:spacing w:after="0"/>
              <w:rPr>
                <w:sz w:val="20"/>
                <w:szCs w:val="20"/>
                <w:color w:val="auto"/>
              </w:rPr>
            </w:pPr>
            <w:r>
              <w:rPr>
                <w:rFonts w:ascii="Courier New" w:cs="Courier New" w:eastAsia="Courier New" w:hAnsi="Courier New"/>
                <w:sz w:val="15"/>
                <w:szCs w:val="15"/>
                <w:color w:val="auto"/>
              </w:rPr>
              <w:t>Interest Expense</w:t>
            </w:r>
          </w:p>
        </w:tc>
        <w:tc>
          <w:tcPr>
            <w:tcW w:w="600" w:type="dxa"/>
            <w:vAlign w:val="bottom"/>
          </w:tcPr>
          <w:p>
            <w:pPr>
              <w:spacing w:after="0"/>
              <w:rPr>
                <w:sz w:val="14"/>
                <w:szCs w:val="14"/>
                <w:color w:val="auto"/>
              </w:rPr>
            </w:pPr>
          </w:p>
        </w:tc>
        <w:tc>
          <w:tcPr>
            <w:tcW w:w="9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9"/>
              </w:rPr>
              <w:t>==========</w:t>
            </w:r>
          </w:p>
        </w:tc>
        <w:tc>
          <w:tcPr>
            <w:tcW w:w="8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 (1)</w:t>
            </w:r>
          </w:p>
        </w:tc>
        <w:tc>
          <w:tcPr>
            <w:tcW w:w="8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 (2)</w:t>
            </w:r>
          </w:p>
        </w:tc>
        <w:tc>
          <w:tcPr>
            <w:tcW w:w="740" w:type="dxa"/>
            <w:vAlign w:val="bottom"/>
          </w:tcPr>
          <w:p>
            <w:pPr>
              <w:spacing w:after="0"/>
              <w:rPr>
                <w:sz w:val="14"/>
                <w:szCs w:val="14"/>
                <w:color w:val="auto"/>
              </w:rPr>
            </w:pPr>
          </w:p>
        </w:tc>
        <w:tc>
          <w:tcPr>
            <w:tcW w:w="106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(184)</w:t>
            </w:r>
          </w:p>
        </w:tc>
        <w:tc>
          <w:tcPr>
            <w:tcW w:w="0" w:type="dxa"/>
            <w:vAlign w:val="bottom"/>
          </w:tcPr>
          <w:p>
            <w:pPr>
              <w:spacing w:after="0"/>
              <w:rPr>
                <w:sz w:val="1"/>
                <w:szCs w:val="1"/>
                <w:color w:val="auto"/>
              </w:rPr>
            </w:pPr>
          </w:p>
        </w:tc>
      </w:tr>
      <w:tr>
        <w:trPr>
          <w:trHeight w:val="168"/>
        </w:trPr>
        <w:tc>
          <w:tcPr>
            <w:tcW w:w="2860" w:type="dxa"/>
            <w:vAlign w:val="bottom"/>
            <w:vMerge w:val="continue"/>
          </w:tcPr>
          <w:p>
            <w:pPr>
              <w:spacing w:after="0"/>
              <w:rPr>
                <w:sz w:val="14"/>
                <w:szCs w:val="14"/>
                <w:color w:val="auto"/>
              </w:rPr>
            </w:pPr>
          </w:p>
        </w:tc>
        <w:tc>
          <w:tcPr>
            <w:tcW w:w="60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(6)</w:t>
            </w:r>
          </w:p>
        </w:tc>
        <w:tc>
          <w:tcPr>
            <w:tcW w:w="800" w:type="dxa"/>
            <w:vAlign w:val="bottom"/>
            <w:vMerge w:val="continue"/>
          </w:tcPr>
          <w:p>
            <w:pPr>
              <w:spacing w:after="0"/>
              <w:rPr>
                <w:sz w:val="14"/>
                <w:szCs w:val="14"/>
                <w:color w:val="auto"/>
              </w:rPr>
            </w:pPr>
          </w:p>
        </w:tc>
        <w:tc>
          <w:tcPr>
            <w:tcW w:w="8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74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2860" w:type="dxa"/>
            <w:vAlign w:val="bottom"/>
            <w:vMerge w:val="restart"/>
          </w:tcPr>
          <w:p>
            <w:pPr>
              <w:spacing w:after="0"/>
              <w:rPr>
                <w:sz w:val="20"/>
                <w:szCs w:val="20"/>
                <w:color w:val="auto"/>
              </w:rPr>
            </w:pPr>
            <w:r>
              <w:rPr>
                <w:rFonts w:ascii="Courier New" w:cs="Courier New" w:eastAsia="Courier New" w:hAnsi="Courier New"/>
                <w:sz w:val="15"/>
                <w:szCs w:val="15"/>
                <w:color w:val="auto"/>
              </w:rPr>
              <w:t>Charges</w:t>
            </w:r>
          </w:p>
        </w:tc>
        <w:tc>
          <w:tcPr>
            <w:tcW w:w="600" w:type="dxa"/>
            <w:vAlign w:val="bottom"/>
          </w:tcPr>
          <w:p>
            <w:pPr>
              <w:spacing w:after="0"/>
              <w:rPr>
                <w:sz w:val="21"/>
                <w:szCs w:val="21"/>
                <w:color w:val="auto"/>
              </w:rPr>
            </w:pPr>
          </w:p>
        </w:tc>
        <w:tc>
          <w:tcPr>
            <w:tcW w:w="176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9"/>
              </w:rPr>
              <w:t>===================</w:t>
            </w:r>
          </w:p>
        </w:tc>
        <w:tc>
          <w:tcPr>
            <w:tcW w:w="8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960" w:type="dxa"/>
            <w:vAlign w:val="bottom"/>
          </w:tcPr>
          <w:p>
            <w:pPr>
              <w:ind w:left="40"/>
              <w:spacing w:after="0"/>
              <w:rPr>
                <w:sz w:val="20"/>
                <w:szCs w:val="20"/>
                <w:color w:val="auto"/>
              </w:rPr>
            </w:pPr>
            <w:r>
              <w:rPr>
                <w:rFonts w:ascii="Courier New" w:cs="Courier New" w:eastAsia="Courier New" w:hAnsi="Courier New"/>
                <w:sz w:val="15"/>
                <w:szCs w:val="15"/>
                <w:color w:val="auto"/>
                <w:w w:val="99"/>
              </w:rPr>
              <w:t>==========</w:t>
            </w:r>
          </w:p>
        </w:tc>
        <w:tc>
          <w:tcPr>
            <w:tcW w:w="740" w:type="dxa"/>
            <w:vAlign w:val="bottom"/>
          </w:tcPr>
          <w:p>
            <w:pPr>
              <w:spacing w:after="0"/>
              <w:rPr>
                <w:sz w:val="21"/>
                <w:szCs w:val="21"/>
                <w:color w:val="auto"/>
              </w:rPr>
            </w:pPr>
          </w:p>
        </w:tc>
        <w:tc>
          <w:tcPr>
            <w:tcW w:w="106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(120)</w:t>
            </w:r>
          </w:p>
        </w:tc>
        <w:tc>
          <w:tcPr>
            <w:tcW w:w="0" w:type="dxa"/>
            <w:vAlign w:val="bottom"/>
          </w:tcPr>
          <w:p>
            <w:pPr>
              <w:spacing w:after="0"/>
              <w:rPr>
                <w:sz w:val="1"/>
                <w:szCs w:val="1"/>
                <w:color w:val="auto"/>
              </w:rPr>
            </w:pPr>
          </w:p>
        </w:tc>
      </w:tr>
      <w:tr>
        <w:trPr>
          <w:trHeight w:val="91"/>
        </w:trPr>
        <w:tc>
          <w:tcPr>
            <w:tcW w:w="286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960" w:type="dxa"/>
            <w:vAlign w:val="bottom"/>
          </w:tcPr>
          <w:p>
            <w:pPr>
              <w:spacing w:after="0"/>
              <w:rPr>
                <w:sz w:val="7"/>
                <w:szCs w:val="7"/>
                <w:color w:val="auto"/>
              </w:rPr>
            </w:pPr>
          </w:p>
        </w:tc>
        <w:tc>
          <w:tcPr>
            <w:tcW w:w="800" w:type="dxa"/>
            <w:vAlign w:val="bottom"/>
          </w:tcPr>
          <w:p>
            <w:pPr>
              <w:spacing w:after="0"/>
              <w:rPr>
                <w:sz w:val="7"/>
                <w:szCs w:val="7"/>
                <w:color w:val="auto"/>
              </w:rPr>
            </w:pPr>
          </w:p>
        </w:tc>
        <w:tc>
          <w:tcPr>
            <w:tcW w:w="860" w:type="dxa"/>
            <w:vAlign w:val="bottom"/>
          </w:tcPr>
          <w:p>
            <w:pPr>
              <w:spacing w:after="0"/>
              <w:rPr>
                <w:sz w:val="7"/>
                <w:szCs w:val="7"/>
                <w:color w:val="auto"/>
              </w:rPr>
            </w:pPr>
          </w:p>
        </w:tc>
        <w:tc>
          <w:tcPr>
            <w:tcW w:w="840" w:type="dxa"/>
            <w:vAlign w:val="bottom"/>
          </w:tcPr>
          <w:p>
            <w:pPr>
              <w:spacing w:after="0"/>
              <w:rPr>
                <w:sz w:val="7"/>
                <w:szCs w:val="7"/>
                <w:color w:val="auto"/>
              </w:rPr>
            </w:pPr>
          </w:p>
        </w:tc>
        <w:tc>
          <w:tcPr>
            <w:tcW w:w="780" w:type="dxa"/>
            <w:vAlign w:val="bottom"/>
          </w:tcPr>
          <w:p>
            <w:pPr>
              <w:spacing w:after="0"/>
              <w:rPr>
                <w:sz w:val="7"/>
                <w:szCs w:val="7"/>
                <w:color w:val="auto"/>
              </w:rPr>
            </w:pPr>
          </w:p>
        </w:tc>
        <w:tc>
          <w:tcPr>
            <w:tcW w:w="84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2860" w:type="dxa"/>
            <w:vAlign w:val="bottom"/>
            <w:vMerge w:val="restart"/>
          </w:tcPr>
          <w:p>
            <w:pPr>
              <w:spacing w:after="0"/>
              <w:rPr>
                <w:sz w:val="20"/>
                <w:szCs w:val="20"/>
                <w:color w:val="auto"/>
              </w:rPr>
            </w:pPr>
            <w:r>
              <w:rPr>
                <w:rFonts w:ascii="Courier New" w:cs="Courier New" w:eastAsia="Courier New" w:hAnsi="Courier New"/>
                <w:sz w:val="15"/>
                <w:szCs w:val="15"/>
                <w:color w:val="auto"/>
              </w:rPr>
              <w:t>Pretax Income</w:t>
            </w:r>
          </w:p>
        </w:tc>
        <w:tc>
          <w:tcPr>
            <w:tcW w:w="6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4"/>
              </w:rPr>
              <w:t>=----------</w:t>
            </w:r>
          </w:p>
        </w:tc>
        <w:tc>
          <w:tcPr>
            <w:tcW w:w="0" w:type="dxa"/>
            <w:vAlign w:val="bottom"/>
          </w:tcPr>
          <w:p>
            <w:pPr>
              <w:spacing w:after="0"/>
              <w:rPr>
                <w:sz w:val="1"/>
                <w:szCs w:val="1"/>
                <w:color w:val="auto"/>
              </w:rPr>
            </w:pPr>
          </w:p>
        </w:tc>
      </w:tr>
      <w:tr>
        <w:trPr>
          <w:trHeight w:val="168"/>
        </w:trPr>
        <w:tc>
          <w:tcPr>
            <w:tcW w:w="2860" w:type="dxa"/>
            <w:vAlign w:val="bottom"/>
            <w:vMerge w:val="continue"/>
          </w:tcPr>
          <w:p>
            <w:pPr>
              <w:spacing w:after="0"/>
              <w:rPr>
                <w:sz w:val="14"/>
                <w:szCs w:val="14"/>
                <w:color w:val="auto"/>
              </w:rPr>
            </w:pPr>
          </w:p>
        </w:tc>
        <w:tc>
          <w:tcPr>
            <w:tcW w:w="6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$ 481</w:t>
            </w:r>
          </w:p>
        </w:tc>
        <w:tc>
          <w:tcPr>
            <w:tcW w:w="0" w:type="dxa"/>
            <w:vAlign w:val="bottom"/>
          </w:tcPr>
          <w:p>
            <w:pPr>
              <w:spacing w:after="0"/>
              <w:rPr>
                <w:sz w:val="1"/>
                <w:szCs w:val="1"/>
                <w:color w:val="auto"/>
              </w:rPr>
            </w:pPr>
          </w:p>
        </w:tc>
      </w:tr>
      <w:tr>
        <w:trPr>
          <w:trHeight w:val="168"/>
        </w:trPr>
        <w:tc>
          <w:tcPr>
            <w:tcW w:w="11300" w:type="dxa"/>
            <w:vAlign w:val="bottom"/>
            <w:gridSpan w:val="11"/>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2860" w:type="dxa"/>
            <w:vAlign w:val="bottom"/>
          </w:tcPr>
          <w:p>
            <w:pPr>
              <w:spacing w:after="0" w:line="168" w:lineRule="exact"/>
              <w:rPr>
                <w:sz w:val="20"/>
                <w:szCs w:val="20"/>
                <w:color w:val="auto"/>
              </w:rPr>
            </w:pPr>
            <w:r>
              <w:rPr>
                <w:rFonts w:ascii="Courier New" w:cs="Courier New" w:eastAsia="Courier New" w:hAnsi="Courier New"/>
                <w:sz w:val="15"/>
                <w:szCs w:val="15"/>
                <w:color w:val="auto"/>
              </w:rPr>
              <w:t>Segment Assets</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$1,787</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$ 992</w:t>
            </w: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$ 1,414</w:t>
            </w:r>
          </w:p>
        </w:tc>
        <w:tc>
          <w:tcPr>
            <w:tcW w:w="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$1,299</w:t>
            </w: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$1,954</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$ 7,446</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$ 655</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$1,298</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$ 9,399</w:t>
            </w:r>
          </w:p>
        </w:tc>
        <w:tc>
          <w:tcPr>
            <w:tcW w:w="0" w:type="dxa"/>
            <w:vAlign w:val="bottom"/>
          </w:tcPr>
          <w:p>
            <w:pPr>
              <w:spacing w:after="0"/>
              <w:rPr>
                <w:sz w:val="1"/>
                <w:szCs w:val="1"/>
                <w:color w:val="auto"/>
              </w:rPr>
            </w:pPr>
          </w:p>
        </w:tc>
      </w:tr>
      <w:tr>
        <w:trPr>
          <w:trHeight w:val="168"/>
        </w:trPr>
        <w:tc>
          <w:tcPr>
            <w:tcW w:w="2860" w:type="dxa"/>
            <w:vAlign w:val="bottom"/>
          </w:tcPr>
          <w:p>
            <w:pPr>
              <w:spacing w:after="0" w:line="168" w:lineRule="exact"/>
              <w:rPr>
                <w:sz w:val="20"/>
                <w:szCs w:val="20"/>
                <w:color w:val="auto"/>
              </w:rPr>
            </w:pPr>
            <w:r>
              <w:rPr>
                <w:rFonts w:ascii="Courier New" w:cs="Courier New" w:eastAsia="Courier New" w:hAnsi="Courier New"/>
                <w:sz w:val="15"/>
                <w:szCs w:val="15"/>
                <w:color w:val="auto"/>
              </w:rPr>
              <w:t>Corporate Assets</w:t>
            </w:r>
          </w:p>
        </w:tc>
        <w:tc>
          <w:tcPr>
            <w:tcW w:w="6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5,682</w:t>
            </w:r>
          </w:p>
        </w:tc>
        <w:tc>
          <w:tcPr>
            <w:tcW w:w="0" w:type="dxa"/>
            <w:vAlign w:val="bottom"/>
          </w:tcPr>
          <w:p>
            <w:pPr>
              <w:spacing w:after="0"/>
              <w:rPr>
                <w:sz w:val="1"/>
                <w:szCs w:val="1"/>
                <w:color w:val="auto"/>
              </w:rPr>
            </w:pPr>
          </w:p>
        </w:tc>
      </w:tr>
      <w:tr>
        <w:trPr>
          <w:trHeight w:val="168"/>
        </w:trPr>
        <w:tc>
          <w:tcPr>
            <w:tcW w:w="2860" w:type="dxa"/>
            <w:vAlign w:val="bottom"/>
            <w:vMerge w:val="restart"/>
          </w:tcPr>
          <w:p>
            <w:pPr>
              <w:spacing w:after="0"/>
              <w:rPr>
                <w:sz w:val="20"/>
                <w:szCs w:val="20"/>
                <w:color w:val="auto"/>
              </w:rPr>
            </w:pPr>
            <w:r>
              <w:rPr>
                <w:rFonts w:ascii="Courier New" w:cs="Courier New" w:eastAsia="Courier New" w:hAnsi="Courier New"/>
                <w:sz w:val="15"/>
                <w:szCs w:val="15"/>
                <w:color w:val="auto"/>
              </w:rPr>
              <w:t>Total Assets</w:t>
            </w:r>
          </w:p>
        </w:tc>
        <w:tc>
          <w:tcPr>
            <w:tcW w:w="6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4"/>
              </w:rPr>
              <w:t>-----------</w:t>
            </w:r>
          </w:p>
        </w:tc>
        <w:tc>
          <w:tcPr>
            <w:tcW w:w="0" w:type="dxa"/>
            <w:vAlign w:val="bottom"/>
          </w:tcPr>
          <w:p>
            <w:pPr>
              <w:spacing w:after="0"/>
              <w:rPr>
                <w:sz w:val="1"/>
                <w:szCs w:val="1"/>
                <w:color w:val="auto"/>
              </w:rPr>
            </w:pPr>
          </w:p>
        </w:tc>
      </w:tr>
      <w:tr>
        <w:trPr>
          <w:trHeight w:val="168"/>
        </w:trPr>
        <w:tc>
          <w:tcPr>
            <w:tcW w:w="2860" w:type="dxa"/>
            <w:vAlign w:val="bottom"/>
            <w:vMerge w:val="continue"/>
          </w:tcPr>
          <w:p>
            <w:pPr>
              <w:spacing w:after="0"/>
              <w:rPr>
                <w:sz w:val="14"/>
                <w:szCs w:val="14"/>
                <w:color w:val="auto"/>
              </w:rPr>
            </w:pPr>
          </w:p>
        </w:tc>
        <w:tc>
          <w:tcPr>
            <w:tcW w:w="6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$ 15,081</w:t>
            </w:r>
          </w:p>
        </w:tc>
        <w:tc>
          <w:tcPr>
            <w:tcW w:w="0" w:type="dxa"/>
            <w:vAlign w:val="bottom"/>
          </w:tcPr>
          <w:p>
            <w:pPr>
              <w:spacing w:after="0"/>
              <w:rPr>
                <w:sz w:val="1"/>
                <w:szCs w:val="1"/>
                <w:color w:val="auto"/>
              </w:rPr>
            </w:pPr>
          </w:p>
        </w:tc>
      </w:tr>
      <w:tr>
        <w:trPr>
          <w:trHeight w:val="168"/>
        </w:trPr>
        <w:tc>
          <w:tcPr>
            <w:tcW w:w="11300" w:type="dxa"/>
            <w:vAlign w:val="bottom"/>
            <w:gridSpan w:val="11"/>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2860" w:type="dxa"/>
            <w:vAlign w:val="bottom"/>
          </w:tcPr>
          <w:p>
            <w:pPr>
              <w:spacing w:after="0" w:line="168" w:lineRule="exact"/>
              <w:rPr>
                <w:sz w:val="20"/>
                <w:szCs w:val="20"/>
                <w:color w:val="auto"/>
              </w:rPr>
            </w:pPr>
            <w:r>
              <w:rPr>
                <w:rFonts w:ascii="Courier New" w:cs="Courier New" w:eastAsia="Courier New" w:hAnsi="Courier New"/>
                <w:sz w:val="15"/>
                <w:szCs w:val="15"/>
                <w:color w:val="auto"/>
              </w:rPr>
              <w:t>Depreciation/Amortization (3)</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$ 316</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$ 156</w:t>
            </w: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$ 226</w:t>
            </w:r>
          </w:p>
        </w:tc>
        <w:tc>
          <w:tcPr>
            <w:tcW w:w="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$ 236</w:t>
            </w: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$ 16</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$ 950</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$ 35</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$ 68</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$ 97</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$ 1,150</w:t>
            </w:r>
          </w:p>
        </w:tc>
        <w:tc>
          <w:tcPr>
            <w:tcW w:w="0" w:type="dxa"/>
            <w:vAlign w:val="bottom"/>
          </w:tcPr>
          <w:p>
            <w:pPr>
              <w:spacing w:after="0"/>
              <w:rPr>
                <w:sz w:val="1"/>
                <w:szCs w:val="1"/>
                <w:color w:val="auto"/>
              </w:rPr>
            </w:pPr>
          </w:p>
        </w:tc>
      </w:tr>
      <w:tr>
        <w:trPr>
          <w:trHeight w:val="168"/>
        </w:trPr>
        <w:tc>
          <w:tcPr>
            <w:tcW w:w="11300" w:type="dxa"/>
            <w:vAlign w:val="bottom"/>
            <w:gridSpan w:val="11"/>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11300" w:type="dxa"/>
            <w:vAlign w:val="bottom"/>
            <w:gridSpan w:val="11"/>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94"/>
        </w:trPr>
        <w:tc>
          <w:tcPr>
            <w:tcW w:w="2860" w:type="dxa"/>
            <w:vAlign w:val="bottom"/>
          </w:tcPr>
          <w:p>
            <w:pPr>
              <w:spacing w:after="0"/>
              <w:rPr>
                <w:sz w:val="20"/>
                <w:szCs w:val="20"/>
                <w:color w:val="auto"/>
              </w:rPr>
            </w:pPr>
            <w:r>
              <w:rPr>
                <w:rFonts w:ascii="Courier New" w:cs="Courier New" w:eastAsia="Courier New" w:hAnsi="Courier New"/>
                <w:sz w:val="15"/>
                <w:szCs w:val="15"/>
                <w:color w:val="auto"/>
              </w:rPr>
              <w:t>Capital Expenditures (3)</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$ 322</w:t>
            </w:r>
          </w:p>
        </w:tc>
        <w:tc>
          <w:tcPr>
            <w:tcW w:w="9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$ 189</w:t>
            </w: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$ 161</w:t>
            </w:r>
          </w:p>
        </w:tc>
        <w:tc>
          <w:tcPr>
            <w:tcW w:w="8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$ 183</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$ 68</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$ 923</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$ 29</w:t>
            </w:r>
          </w:p>
        </w:tc>
        <w:tc>
          <w:tcPr>
            <w:tcW w:w="9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$ 57</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$ 10</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$ 1,019</w:t>
            </w:r>
          </w:p>
        </w:tc>
        <w:tc>
          <w:tcPr>
            <w:tcW w:w="0" w:type="dxa"/>
            <w:vAlign w:val="bottom"/>
          </w:tcPr>
          <w:p>
            <w:pPr>
              <w:spacing w:after="0"/>
              <w:rPr>
                <w:sz w:val="1"/>
                <w:szCs w:val="1"/>
                <w:color w:val="auto"/>
              </w:rPr>
            </w:pPr>
          </w:p>
        </w:tc>
      </w:tr>
    </w:tbl>
    <w:p>
      <w:pPr>
        <w:ind w:left="2640"/>
        <w:spacing w:after="0"/>
        <w:rPr>
          <w:sz w:val="20"/>
          <w:szCs w:val="20"/>
          <w:color w:val="auto"/>
        </w:rPr>
      </w:pPr>
      <w:r>
        <w:rPr>
          <w:rFonts w:ascii="Courier New" w:cs="Courier New" w:eastAsia="Courier New" w:hAnsi="Courier New"/>
          <w:sz w:val="14"/>
          <w:szCs w:val="14"/>
          <w:color w:val="auto"/>
        </w:rPr>
        <w:t>--------------------------------------------------------------------------------------------------</w:t>
      </w:r>
    </w:p>
    <w:p>
      <w:pPr>
        <w:spacing w:after="0" w:line="152" w:lineRule="exact"/>
        <w:rPr>
          <w:sz w:val="20"/>
          <w:szCs w:val="20"/>
          <w:color w:val="auto"/>
        </w:rPr>
      </w:pPr>
    </w:p>
    <w:p>
      <w:pPr>
        <w:ind w:left="3080" w:hanging="446"/>
        <w:spacing w:after="0"/>
        <w:tabs>
          <w:tab w:leader="none" w:pos="3080"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Semiconductor Solutions and the divested Resource Management Services businesses.</w:t>
      </w:r>
    </w:p>
    <w:p>
      <w:pPr>
        <w:spacing w:after="0" w:line="24" w:lineRule="exact"/>
        <w:rPr>
          <w:rFonts w:ascii="Courier New" w:cs="Courier New" w:eastAsia="Courier New" w:hAnsi="Courier New"/>
          <w:sz w:val="15"/>
          <w:szCs w:val="15"/>
          <w:color w:val="auto"/>
        </w:rPr>
      </w:pPr>
    </w:p>
    <w:p>
      <w:pPr>
        <w:ind w:left="3080" w:hanging="446"/>
        <w:spacing w:after="0" w:line="237" w:lineRule="auto"/>
        <w:tabs>
          <w:tab w:leader="none" w:pos="3080"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1999 income tax expense excludes $8 million related to the Charges.</w:t>
      </w:r>
    </w:p>
    <w:p>
      <w:pPr>
        <w:ind w:left="3080" w:hanging="446"/>
        <w:spacing w:after="0"/>
        <w:tabs>
          <w:tab w:leader="none" w:pos="3080"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multiclient seismic data costs.</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Corporate assets largely comprise short-term and long-term investments.</w:t>
      </w:r>
    </w:p>
    <w:p>
      <w:pPr>
        <w:spacing w:after="0" w:line="166" w:lineRule="exact"/>
        <w:rPr>
          <w:sz w:val="20"/>
          <w:szCs w:val="20"/>
          <w:color w:val="auto"/>
        </w:rPr>
      </w:pPr>
    </w:p>
    <w:p>
      <w:pPr>
        <w:ind w:right="4380"/>
        <w:spacing w:after="0" w:line="344" w:lineRule="auto"/>
        <w:rPr>
          <w:sz w:val="20"/>
          <w:szCs w:val="20"/>
          <w:color w:val="auto"/>
        </w:rPr>
      </w:pPr>
      <w:r>
        <w:rPr>
          <w:rFonts w:ascii="Courier New" w:cs="Courier New" w:eastAsia="Courier New" w:hAnsi="Courier New"/>
          <w:sz w:val="15"/>
          <w:szCs w:val="15"/>
          <w:color w:val="auto"/>
        </w:rPr>
        <w:t>During the three years ended December 31, 2001, no single customer exceeded 10% of consolidated revenue.</w:t>
      </w:r>
    </w:p>
    <w:p>
      <w:pPr>
        <w:spacing w:after="0" w:line="17" w:lineRule="exact"/>
        <w:rPr>
          <w:sz w:val="20"/>
          <w:szCs w:val="20"/>
          <w:color w:val="auto"/>
        </w:rPr>
      </w:pPr>
    </w:p>
    <w:p>
      <w:pPr>
        <w:ind w:right="4820"/>
        <w:spacing w:after="0" w:line="344" w:lineRule="auto"/>
        <w:rPr>
          <w:sz w:val="20"/>
          <w:szCs w:val="20"/>
          <w:color w:val="auto"/>
        </w:rPr>
      </w:pPr>
      <w:r>
        <w:rPr>
          <w:rFonts w:ascii="Courier New" w:cs="Courier New" w:eastAsia="Courier New" w:hAnsi="Courier New"/>
          <w:sz w:val="15"/>
          <w:szCs w:val="15"/>
          <w:color w:val="auto"/>
        </w:rPr>
        <w:t>The accounting policies of the segments are the same as those described in Summary of Accounting Policies.</w:t>
      </w:r>
    </w:p>
    <w:p>
      <w:pPr>
        <w:spacing w:after="0" w:line="17" w:lineRule="exact"/>
        <w:rPr>
          <w:sz w:val="20"/>
          <w:szCs w:val="20"/>
          <w:color w:val="auto"/>
        </w:rPr>
      </w:pPr>
    </w:p>
    <w:p>
      <w:pPr>
        <w:ind w:right="4460"/>
        <w:spacing w:after="0" w:line="264" w:lineRule="auto"/>
        <w:rPr>
          <w:sz w:val="20"/>
          <w:szCs w:val="20"/>
          <w:color w:val="auto"/>
        </w:rPr>
      </w:pPr>
      <w:r>
        <w:rPr>
          <w:rFonts w:ascii="Courier New" w:cs="Courier New" w:eastAsia="Courier New" w:hAnsi="Courier New"/>
          <w:sz w:val="15"/>
          <w:szCs w:val="15"/>
          <w:color w:val="auto"/>
        </w:rPr>
        <w:t>Oilfield Services' net income eliminations include: certain headquarters administrative costs which are not allocated geographically, manufacturing and certain other operations, and costs maintained at the Oilfield Services level. In 2001, eliminations includes WesternGeco minority interest expense of $35 million.</w:t>
      </w:r>
    </w:p>
    <w:p>
      <w:pPr>
        <w:spacing w:after="0" w:line="75" w:lineRule="exact"/>
        <w:rPr>
          <w:sz w:val="20"/>
          <w:szCs w:val="20"/>
          <w:color w:val="auto"/>
        </w:rPr>
      </w:pPr>
    </w:p>
    <w:p>
      <w:pPr>
        <w:ind w:right="4300"/>
        <w:spacing w:after="0" w:line="273" w:lineRule="auto"/>
        <w:rPr>
          <w:sz w:val="20"/>
          <w:szCs w:val="20"/>
          <w:color w:val="auto"/>
        </w:rPr>
      </w:pPr>
      <w:r>
        <w:rPr>
          <w:rFonts w:ascii="Courier New" w:cs="Courier New" w:eastAsia="Courier New" w:hAnsi="Courier New"/>
          <w:sz w:val="15"/>
          <w:szCs w:val="15"/>
          <w:color w:val="auto"/>
        </w:rPr>
        <w:t>Elims/Other principally comprises the amortization of goodwill and other intangibles ($347 million in 2001), as well as nonoperating expenses, such as certain intersegment charges and interest expense (except as shown above), which are not included in segment operating income.</w:t>
      </w:r>
    </w:p>
    <w:p>
      <w:pPr>
        <w:spacing w:after="0" w:line="68" w:lineRule="exact"/>
        <w:rPr>
          <w:sz w:val="20"/>
          <w:szCs w:val="20"/>
          <w:color w:val="auto"/>
        </w:rPr>
      </w:pPr>
    </w:p>
    <w:p>
      <w:pPr>
        <w:jc w:val="both"/>
        <w:ind w:right="4380"/>
        <w:spacing w:after="0" w:line="298" w:lineRule="auto"/>
        <w:rPr>
          <w:sz w:val="20"/>
          <w:szCs w:val="20"/>
          <w:color w:val="auto"/>
        </w:rPr>
      </w:pPr>
      <w:r>
        <w:rPr>
          <w:rFonts w:ascii="Courier New" w:cs="Courier New" w:eastAsia="Courier New" w:hAnsi="Courier New"/>
          <w:sz w:val="14"/>
          <w:szCs w:val="14"/>
          <w:color w:val="auto"/>
        </w:rPr>
        <w:t>Schlumberger did not have revenue from third-party customers in its country of domicile during the last three years. In each of the three years, only revenue in the US exceeded 10% of consolidated revenue. Revenue in the US in 2001, 2000 and 1999 was $5.1 billion, $3.5 billion and $2.5 billion, respectively.</w:t>
      </w:r>
    </w:p>
    <w:p>
      <w:pPr>
        <w:spacing w:after="0" w:line="22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F-24</w:t>
      </w:r>
    </w:p>
    <w:p>
      <w:pPr>
        <w:sectPr>
          <w:pgSz w:w="11900" w:h="16838" w:orient="portrait"/>
          <w:cols w:equalWidth="0" w:num="1">
            <w:col w:w="11300"/>
          </w:cols>
          <w:pgMar w:left="220" w:top="1270" w:right="379" w:bottom="1440" w:gutter="0" w:footer="0" w:header="0"/>
        </w:sectPr>
      </w:pPr>
    </w:p>
    <w:bookmarkStart w:id="38" w:name="page39"/>
    <w:bookmarkEnd w:id="38"/>
    <w:p>
      <w:pPr>
        <w:spacing w:after="0"/>
        <w:rPr>
          <w:sz w:val="20"/>
          <w:szCs w:val="20"/>
          <w:color w:val="auto"/>
        </w:rPr>
      </w:pPr>
      <w:r>
        <w:rPr>
          <w:rFonts w:ascii="Courier New" w:cs="Courier New" w:eastAsia="Courier New" w:hAnsi="Courier New"/>
          <w:sz w:val="15"/>
          <w:szCs w:val="15"/>
          <w:color w:val="auto"/>
        </w:rPr>
        <w:t>Pension and Other Benefit Plans</w:t>
      </w:r>
    </w:p>
    <w:p>
      <w:pPr>
        <w:spacing w:after="0" w:line="24" w:lineRule="exact"/>
        <w:rPr>
          <w:sz w:val="20"/>
          <w:szCs w:val="20"/>
          <w:color w:val="auto"/>
        </w:rPr>
      </w:pPr>
    </w:p>
    <w:p>
      <w:pPr>
        <w:ind w:left="180" w:hanging="170"/>
        <w:spacing w:after="0"/>
        <w:tabs>
          <w:tab w:leader="none" w:pos="180"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40"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US PENSION PLANS</w:t>
      </w:r>
    </w:p>
    <w:p>
      <w:pPr>
        <w:spacing w:after="0" w:line="166" w:lineRule="exact"/>
        <w:rPr>
          <w:sz w:val="20"/>
          <w:szCs w:val="20"/>
          <w:color w:val="auto"/>
        </w:rPr>
      </w:pPr>
    </w:p>
    <w:p>
      <w:pPr>
        <w:ind w:right="3239"/>
        <w:spacing w:after="0" w:line="252" w:lineRule="auto"/>
        <w:rPr>
          <w:sz w:val="20"/>
          <w:szCs w:val="20"/>
          <w:color w:val="auto"/>
        </w:rPr>
      </w:pPr>
      <w:r>
        <w:rPr>
          <w:rFonts w:ascii="Courier New" w:cs="Courier New" w:eastAsia="Courier New" w:hAnsi="Courier New"/>
          <w:sz w:val="15"/>
          <w:szCs w:val="15"/>
          <w:color w:val="auto"/>
        </w:rPr>
        <w:t>Schlumberger and its US subsidiary sponsor several defined benefit pension plans that cover substantially all employees. The benefits are based on years of service and compensation on a career-average pay basis. These plans are fully funded with a trustee in respect to past and current service. Charges to expense are based upon costs computed by independent actuaries. The funding policy is to annually contribute amounts that are allowable for federal income tax purposes. These contributions are intended to provide for benefits earned to date and those expected to be earned in the future.</w:t>
      </w:r>
    </w:p>
    <w:p>
      <w:pPr>
        <w:spacing w:after="0" w:line="86" w:lineRule="exact"/>
        <w:rPr>
          <w:sz w:val="20"/>
          <w:szCs w:val="20"/>
          <w:color w:val="auto"/>
        </w:rPr>
      </w:pPr>
    </w:p>
    <w:p>
      <w:pPr>
        <w:ind w:right="3239"/>
        <w:spacing w:after="0" w:line="273" w:lineRule="auto"/>
        <w:rPr>
          <w:sz w:val="20"/>
          <w:szCs w:val="20"/>
          <w:color w:val="auto"/>
        </w:rPr>
      </w:pPr>
      <w:r>
        <w:rPr>
          <w:rFonts w:ascii="Courier New" w:cs="Courier New" w:eastAsia="Courier New" w:hAnsi="Courier New"/>
          <w:sz w:val="15"/>
          <w:szCs w:val="15"/>
          <w:color w:val="auto"/>
        </w:rPr>
        <w:t>The assumed discount rate, compensation increases and return on plan assets used to determine pension expense in 2001 were 7.5%, 4.5% and 9%, respectively. In 2000, the assumptions were 7.75%, 4.5% and 9%, respectively. In 1999, the assumptions were 7%, 4.5% and 9%, respectively.</w:t>
      </w:r>
    </w:p>
    <w:p>
      <w:pPr>
        <w:spacing w:after="0" w:line="68" w:lineRule="exact"/>
        <w:rPr>
          <w:sz w:val="20"/>
          <w:szCs w:val="20"/>
          <w:color w:val="auto"/>
        </w:rPr>
      </w:pPr>
    </w:p>
    <w:p>
      <w:pPr>
        <w:ind w:right="3759"/>
        <w:spacing w:after="0" w:line="344" w:lineRule="auto"/>
        <w:rPr>
          <w:sz w:val="20"/>
          <w:szCs w:val="20"/>
          <w:color w:val="auto"/>
        </w:rPr>
      </w:pPr>
      <w:r>
        <w:rPr>
          <w:rFonts w:ascii="Courier New" w:cs="Courier New" w:eastAsia="Courier New" w:hAnsi="Courier New"/>
          <w:sz w:val="15"/>
          <w:szCs w:val="15"/>
          <w:color w:val="auto"/>
        </w:rPr>
        <w:t>Net pension cost in the US for 2001, 2000 and 1999, included the following components: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20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2100" w:type="dxa"/>
            <w:vAlign w:val="bottom"/>
          </w:tcPr>
          <w:p>
            <w:pPr>
              <w:jc w:val="right"/>
              <w:spacing w:after="0"/>
              <w:rPr>
                <w:sz w:val="20"/>
                <w:szCs w:val="20"/>
                <w:color w:val="auto"/>
              </w:rPr>
            </w:pPr>
            <w:r>
              <w:rPr>
                <w:rFonts w:ascii="Courier New" w:cs="Courier New" w:eastAsia="Courier New" w:hAnsi="Courier New"/>
                <w:sz w:val="15"/>
                <w:szCs w:val="15"/>
                <w:color w:val="auto"/>
              </w:rPr>
              <w:t>(Stated in millions)</w:t>
            </w: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27"/>
        </w:trPr>
        <w:tc>
          <w:tcPr>
            <w:tcW w:w="3200" w:type="dxa"/>
            <w:vAlign w:val="bottom"/>
          </w:tcPr>
          <w:p>
            <w:pPr>
              <w:spacing w:after="0"/>
              <w:rPr>
                <w:sz w:val="24"/>
                <w:szCs w:val="24"/>
                <w:color w:val="auto"/>
              </w:rPr>
            </w:pPr>
          </w:p>
        </w:tc>
        <w:tc>
          <w:tcPr>
            <w:tcW w:w="176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2001</w:t>
            </w:r>
          </w:p>
        </w:tc>
        <w:tc>
          <w:tcPr>
            <w:tcW w:w="2100" w:type="dxa"/>
            <w:vAlign w:val="bottom"/>
          </w:tcPr>
          <w:p>
            <w:pPr>
              <w:jc w:val="right"/>
              <w:ind w:right="1027"/>
              <w:spacing w:after="0"/>
              <w:rPr>
                <w:sz w:val="20"/>
                <w:szCs w:val="20"/>
                <w:color w:val="auto"/>
              </w:rPr>
            </w:pPr>
            <w:r>
              <w:rPr>
                <w:rFonts w:ascii="Courier New" w:cs="Courier New" w:eastAsia="Courier New" w:hAnsi="Courier New"/>
                <w:sz w:val="15"/>
                <w:szCs w:val="15"/>
                <w:color w:val="auto"/>
              </w:rPr>
              <w:t>2000</w:t>
            </w:r>
          </w:p>
        </w:tc>
        <w:tc>
          <w:tcPr>
            <w:tcW w:w="10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1999</w:t>
            </w:r>
          </w:p>
        </w:tc>
        <w:tc>
          <w:tcPr>
            <w:tcW w:w="0" w:type="dxa"/>
            <w:vAlign w:val="bottom"/>
          </w:tcPr>
          <w:p>
            <w:pPr>
              <w:spacing w:after="0"/>
              <w:rPr>
                <w:sz w:val="1"/>
                <w:szCs w:val="1"/>
                <w:color w:val="auto"/>
              </w:rPr>
            </w:pPr>
          </w:p>
        </w:tc>
      </w:tr>
      <w:tr>
        <w:trPr>
          <w:trHeight w:val="245"/>
        </w:trPr>
        <w:tc>
          <w:tcPr>
            <w:tcW w:w="3200" w:type="dxa"/>
            <w:vAlign w:val="bottom"/>
          </w:tcPr>
          <w:p>
            <w:pPr>
              <w:spacing w:after="0"/>
              <w:rPr>
                <w:sz w:val="21"/>
                <w:szCs w:val="21"/>
                <w:color w:val="auto"/>
              </w:rPr>
            </w:pPr>
          </w:p>
        </w:tc>
        <w:tc>
          <w:tcPr>
            <w:tcW w:w="17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210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w w:val="98"/>
              </w:rPr>
              <w:t>------------</w:t>
            </w:r>
          </w:p>
        </w:tc>
        <w:tc>
          <w:tcPr>
            <w:tcW w:w="0" w:type="dxa"/>
            <w:vAlign w:val="bottom"/>
          </w:tcPr>
          <w:p>
            <w:pPr>
              <w:spacing w:after="0"/>
              <w:rPr>
                <w:sz w:val="1"/>
                <w:szCs w:val="1"/>
                <w:color w:val="auto"/>
              </w:rPr>
            </w:pPr>
          </w:p>
        </w:tc>
      </w:tr>
      <w:tr>
        <w:trPr>
          <w:trHeight w:val="259"/>
        </w:trPr>
        <w:tc>
          <w:tcPr>
            <w:tcW w:w="3200" w:type="dxa"/>
            <w:vAlign w:val="bottom"/>
          </w:tcPr>
          <w:p>
            <w:pPr>
              <w:spacing w:after="0"/>
              <w:rPr>
                <w:sz w:val="20"/>
                <w:szCs w:val="20"/>
                <w:color w:val="auto"/>
              </w:rPr>
            </w:pPr>
            <w:r>
              <w:rPr>
                <w:rFonts w:ascii="Courier New" w:cs="Courier New" w:eastAsia="Courier New" w:hAnsi="Courier New"/>
                <w:sz w:val="15"/>
                <w:szCs w:val="15"/>
                <w:color w:val="auto"/>
              </w:rPr>
              <w:t>Service cost-benefits earned</w:t>
            </w:r>
          </w:p>
        </w:tc>
        <w:tc>
          <w:tcPr>
            <w:tcW w:w="176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$ 38</w:t>
            </w:r>
          </w:p>
        </w:tc>
        <w:tc>
          <w:tcPr>
            <w:tcW w:w="2100" w:type="dxa"/>
            <w:vAlign w:val="bottom"/>
            <w:vMerge w:val="restart"/>
          </w:tcPr>
          <w:p>
            <w:pPr>
              <w:jc w:val="right"/>
              <w:ind w:right="687"/>
              <w:spacing w:after="0"/>
              <w:rPr>
                <w:sz w:val="20"/>
                <w:szCs w:val="20"/>
                <w:color w:val="auto"/>
              </w:rPr>
            </w:pPr>
            <w:r>
              <w:rPr>
                <w:rFonts w:ascii="Courier New" w:cs="Courier New" w:eastAsia="Courier New" w:hAnsi="Courier New"/>
                <w:sz w:val="15"/>
                <w:szCs w:val="15"/>
                <w:color w:val="auto"/>
              </w:rPr>
              <w:t>$ 32</w:t>
            </w:r>
          </w:p>
        </w:tc>
        <w:tc>
          <w:tcPr>
            <w:tcW w:w="108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$ 45</w:t>
            </w:r>
          </w:p>
        </w:tc>
        <w:tc>
          <w:tcPr>
            <w:tcW w:w="0" w:type="dxa"/>
            <w:vAlign w:val="bottom"/>
          </w:tcPr>
          <w:p>
            <w:pPr>
              <w:spacing w:after="0"/>
              <w:rPr>
                <w:sz w:val="1"/>
                <w:szCs w:val="1"/>
                <w:color w:val="auto"/>
              </w:rPr>
            </w:pPr>
          </w:p>
        </w:tc>
      </w:tr>
      <w:tr>
        <w:trPr>
          <w:trHeight w:val="168"/>
        </w:trPr>
        <w:tc>
          <w:tcPr>
            <w:tcW w:w="32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during the period</w:t>
            </w:r>
          </w:p>
        </w:tc>
        <w:tc>
          <w:tcPr>
            <w:tcW w:w="1760" w:type="dxa"/>
            <w:vAlign w:val="bottom"/>
            <w:vMerge w:val="continue"/>
          </w:tcPr>
          <w:p>
            <w:pPr>
              <w:spacing w:after="0"/>
              <w:rPr>
                <w:sz w:val="14"/>
                <w:szCs w:val="14"/>
                <w:color w:val="auto"/>
              </w:rPr>
            </w:pPr>
          </w:p>
        </w:tc>
        <w:tc>
          <w:tcPr>
            <w:tcW w:w="210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cost on projected</w:t>
            </w:r>
          </w:p>
        </w:tc>
        <w:tc>
          <w:tcPr>
            <w:tcW w:w="176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84</w:t>
            </w:r>
          </w:p>
        </w:tc>
        <w:tc>
          <w:tcPr>
            <w:tcW w:w="2100" w:type="dxa"/>
            <w:vAlign w:val="bottom"/>
            <w:vMerge w:val="restart"/>
          </w:tcPr>
          <w:p>
            <w:pPr>
              <w:jc w:val="right"/>
              <w:ind w:right="687"/>
              <w:spacing w:after="0"/>
              <w:rPr>
                <w:sz w:val="20"/>
                <w:szCs w:val="20"/>
                <w:color w:val="auto"/>
              </w:rPr>
            </w:pPr>
            <w:r>
              <w:rPr>
                <w:rFonts w:ascii="Courier New" w:cs="Courier New" w:eastAsia="Courier New" w:hAnsi="Courier New"/>
                <w:sz w:val="15"/>
                <w:szCs w:val="15"/>
                <w:color w:val="auto"/>
              </w:rPr>
              <w:t>76</w:t>
            </w:r>
          </w:p>
        </w:tc>
        <w:tc>
          <w:tcPr>
            <w:tcW w:w="108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73</w:t>
            </w:r>
          </w:p>
        </w:tc>
        <w:tc>
          <w:tcPr>
            <w:tcW w:w="0" w:type="dxa"/>
            <w:vAlign w:val="bottom"/>
          </w:tcPr>
          <w:p>
            <w:pPr>
              <w:spacing w:after="0"/>
              <w:rPr>
                <w:sz w:val="1"/>
                <w:szCs w:val="1"/>
                <w:color w:val="auto"/>
              </w:rPr>
            </w:pPr>
          </w:p>
        </w:tc>
      </w:tr>
      <w:tr>
        <w:trPr>
          <w:trHeight w:val="168"/>
        </w:trPr>
        <w:tc>
          <w:tcPr>
            <w:tcW w:w="32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benefit obligation</w:t>
            </w:r>
          </w:p>
        </w:tc>
        <w:tc>
          <w:tcPr>
            <w:tcW w:w="1760" w:type="dxa"/>
            <w:vAlign w:val="bottom"/>
            <w:vMerge w:val="continue"/>
          </w:tcPr>
          <w:p>
            <w:pPr>
              <w:spacing w:after="0"/>
              <w:rPr>
                <w:sz w:val="14"/>
                <w:szCs w:val="14"/>
                <w:color w:val="auto"/>
              </w:rPr>
            </w:pPr>
          </w:p>
        </w:tc>
        <w:tc>
          <w:tcPr>
            <w:tcW w:w="210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Expected return on plan assets</w:t>
            </w:r>
          </w:p>
        </w:tc>
        <w:tc>
          <w:tcPr>
            <w:tcW w:w="17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2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(actual return: 2001 - $(70);</w:t>
            </w:r>
          </w:p>
        </w:tc>
        <w:tc>
          <w:tcPr>
            <w:tcW w:w="1760" w:type="dxa"/>
            <w:vAlign w:val="bottom"/>
            <w:vMerge w:val="restart"/>
          </w:tcPr>
          <w:p>
            <w:pPr>
              <w:jc w:val="right"/>
              <w:ind w:right="247"/>
              <w:spacing w:after="0"/>
              <w:rPr>
                <w:sz w:val="20"/>
                <w:szCs w:val="20"/>
                <w:color w:val="auto"/>
              </w:rPr>
            </w:pPr>
            <w:r>
              <w:rPr>
                <w:rFonts w:ascii="Courier New" w:cs="Courier New" w:eastAsia="Courier New" w:hAnsi="Courier New"/>
                <w:sz w:val="15"/>
                <w:szCs w:val="15"/>
                <w:color w:val="auto"/>
              </w:rPr>
              <w:t>(101)</w:t>
            </w:r>
          </w:p>
        </w:tc>
        <w:tc>
          <w:tcPr>
            <w:tcW w:w="2100" w:type="dxa"/>
            <w:vAlign w:val="bottom"/>
            <w:vMerge w:val="restart"/>
          </w:tcPr>
          <w:p>
            <w:pPr>
              <w:jc w:val="right"/>
              <w:ind w:right="587"/>
              <w:spacing w:after="0"/>
              <w:rPr>
                <w:sz w:val="20"/>
                <w:szCs w:val="20"/>
                <w:color w:val="auto"/>
              </w:rPr>
            </w:pPr>
            <w:r>
              <w:rPr>
                <w:rFonts w:ascii="Courier New" w:cs="Courier New" w:eastAsia="Courier New" w:hAnsi="Courier New"/>
                <w:sz w:val="15"/>
                <w:szCs w:val="15"/>
                <w:color w:val="auto"/>
              </w:rPr>
              <w:t>(97)</w:t>
            </w:r>
          </w:p>
        </w:tc>
        <w:tc>
          <w:tcPr>
            <w:tcW w:w="10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(86)</w:t>
            </w:r>
          </w:p>
        </w:tc>
        <w:tc>
          <w:tcPr>
            <w:tcW w:w="0" w:type="dxa"/>
            <w:vAlign w:val="bottom"/>
          </w:tcPr>
          <w:p>
            <w:pPr>
              <w:spacing w:after="0"/>
              <w:rPr>
                <w:sz w:val="1"/>
                <w:szCs w:val="1"/>
                <w:color w:val="auto"/>
              </w:rPr>
            </w:pPr>
          </w:p>
        </w:tc>
      </w:tr>
      <w:tr>
        <w:trPr>
          <w:trHeight w:val="168"/>
        </w:trPr>
        <w:tc>
          <w:tcPr>
            <w:tcW w:w="32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2000 - $(2); 1999 - $211)</w:t>
            </w:r>
          </w:p>
        </w:tc>
        <w:tc>
          <w:tcPr>
            <w:tcW w:w="1760" w:type="dxa"/>
            <w:vAlign w:val="bottom"/>
            <w:vMerge w:val="continue"/>
          </w:tcPr>
          <w:p>
            <w:pPr>
              <w:spacing w:after="0"/>
              <w:rPr>
                <w:sz w:val="14"/>
                <w:szCs w:val="14"/>
                <w:color w:val="auto"/>
              </w:rPr>
            </w:pPr>
          </w:p>
        </w:tc>
        <w:tc>
          <w:tcPr>
            <w:tcW w:w="210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Amortization of transition</w:t>
            </w:r>
          </w:p>
        </w:tc>
        <w:tc>
          <w:tcPr>
            <w:tcW w:w="1760" w:type="dxa"/>
            <w:vAlign w:val="bottom"/>
            <w:vMerge w:val="restart"/>
          </w:tcPr>
          <w:p>
            <w:pPr>
              <w:jc w:val="right"/>
              <w:ind w:right="247"/>
              <w:spacing w:after="0"/>
              <w:rPr>
                <w:sz w:val="20"/>
                <w:szCs w:val="20"/>
                <w:color w:val="auto"/>
              </w:rPr>
            </w:pPr>
            <w:r>
              <w:rPr>
                <w:rFonts w:ascii="Courier New" w:cs="Courier New" w:eastAsia="Courier New" w:hAnsi="Courier New"/>
                <w:sz w:val="15"/>
                <w:szCs w:val="15"/>
                <w:color w:val="auto"/>
              </w:rPr>
              <w:t>(1)</w:t>
            </w:r>
          </w:p>
        </w:tc>
        <w:tc>
          <w:tcPr>
            <w:tcW w:w="2100" w:type="dxa"/>
            <w:vAlign w:val="bottom"/>
            <w:vMerge w:val="restart"/>
          </w:tcPr>
          <w:p>
            <w:pPr>
              <w:jc w:val="right"/>
              <w:ind w:right="587"/>
              <w:spacing w:after="0"/>
              <w:rPr>
                <w:sz w:val="20"/>
                <w:szCs w:val="20"/>
                <w:color w:val="auto"/>
              </w:rPr>
            </w:pPr>
            <w:r>
              <w:rPr>
                <w:rFonts w:ascii="Courier New" w:cs="Courier New" w:eastAsia="Courier New" w:hAnsi="Courier New"/>
                <w:sz w:val="15"/>
                <w:szCs w:val="15"/>
                <w:color w:val="auto"/>
              </w:rPr>
              <w:t>(1)</w:t>
            </w:r>
          </w:p>
        </w:tc>
        <w:tc>
          <w:tcPr>
            <w:tcW w:w="10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w:t>
            </w:r>
          </w:p>
        </w:tc>
        <w:tc>
          <w:tcPr>
            <w:tcW w:w="0" w:type="dxa"/>
            <w:vAlign w:val="bottom"/>
          </w:tcPr>
          <w:p>
            <w:pPr>
              <w:spacing w:after="0"/>
              <w:rPr>
                <w:sz w:val="1"/>
                <w:szCs w:val="1"/>
                <w:color w:val="auto"/>
              </w:rPr>
            </w:pPr>
          </w:p>
        </w:tc>
      </w:tr>
      <w:tr>
        <w:trPr>
          <w:trHeight w:val="168"/>
        </w:trPr>
        <w:tc>
          <w:tcPr>
            <w:tcW w:w="32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assets</w:t>
            </w:r>
          </w:p>
        </w:tc>
        <w:tc>
          <w:tcPr>
            <w:tcW w:w="1760" w:type="dxa"/>
            <w:vAlign w:val="bottom"/>
            <w:vMerge w:val="continue"/>
          </w:tcPr>
          <w:p>
            <w:pPr>
              <w:spacing w:after="0"/>
              <w:rPr>
                <w:sz w:val="14"/>
                <w:szCs w:val="14"/>
                <w:color w:val="auto"/>
              </w:rPr>
            </w:pPr>
          </w:p>
        </w:tc>
        <w:tc>
          <w:tcPr>
            <w:tcW w:w="210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Amortization of prior service</w:t>
            </w:r>
          </w:p>
        </w:tc>
        <w:tc>
          <w:tcPr>
            <w:tcW w:w="176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7</w:t>
            </w:r>
          </w:p>
        </w:tc>
        <w:tc>
          <w:tcPr>
            <w:tcW w:w="2100" w:type="dxa"/>
            <w:vAlign w:val="bottom"/>
            <w:vMerge w:val="restart"/>
          </w:tcPr>
          <w:p>
            <w:pPr>
              <w:jc w:val="right"/>
              <w:ind w:right="687"/>
              <w:spacing w:after="0"/>
              <w:rPr>
                <w:sz w:val="20"/>
                <w:szCs w:val="20"/>
                <w:color w:val="auto"/>
              </w:rPr>
            </w:pPr>
            <w:r>
              <w:rPr>
                <w:rFonts w:ascii="Courier New" w:cs="Courier New" w:eastAsia="Courier New" w:hAnsi="Courier New"/>
                <w:sz w:val="15"/>
                <w:szCs w:val="15"/>
                <w:color w:val="auto"/>
              </w:rPr>
              <w:t>5</w:t>
            </w:r>
          </w:p>
        </w:tc>
        <w:tc>
          <w:tcPr>
            <w:tcW w:w="108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6</w:t>
            </w:r>
          </w:p>
        </w:tc>
        <w:tc>
          <w:tcPr>
            <w:tcW w:w="0" w:type="dxa"/>
            <w:vAlign w:val="bottom"/>
          </w:tcPr>
          <w:p>
            <w:pPr>
              <w:spacing w:after="0"/>
              <w:rPr>
                <w:sz w:val="1"/>
                <w:szCs w:val="1"/>
                <w:color w:val="auto"/>
              </w:rPr>
            </w:pPr>
          </w:p>
        </w:tc>
      </w:tr>
      <w:tr>
        <w:trPr>
          <w:trHeight w:val="168"/>
        </w:trPr>
        <w:tc>
          <w:tcPr>
            <w:tcW w:w="32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cost/other</w:t>
            </w:r>
          </w:p>
        </w:tc>
        <w:tc>
          <w:tcPr>
            <w:tcW w:w="1760" w:type="dxa"/>
            <w:vAlign w:val="bottom"/>
            <w:vMerge w:val="continue"/>
          </w:tcPr>
          <w:p>
            <w:pPr>
              <w:spacing w:after="0"/>
              <w:rPr>
                <w:sz w:val="14"/>
                <w:szCs w:val="14"/>
                <w:color w:val="auto"/>
              </w:rPr>
            </w:pPr>
          </w:p>
        </w:tc>
        <w:tc>
          <w:tcPr>
            <w:tcW w:w="210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Amortization of unrecognized</w:t>
            </w:r>
          </w:p>
        </w:tc>
        <w:tc>
          <w:tcPr>
            <w:tcW w:w="1760" w:type="dxa"/>
            <w:vAlign w:val="bottom"/>
            <w:vMerge w:val="restart"/>
          </w:tcPr>
          <w:p>
            <w:pPr>
              <w:jc w:val="right"/>
              <w:ind w:right="247"/>
              <w:spacing w:after="0"/>
              <w:rPr>
                <w:sz w:val="20"/>
                <w:szCs w:val="20"/>
                <w:color w:val="auto"/>
              </w:rPr>
            </w:pPr>
            <w:r>
              <w:rPr>
                <w:rFonts w:ascii="Courier New" w:cs="Courier New" w:eastAsia="Courier New" w:hAnsi="Courier New"/>
                <w:sz w:val="15"/>
                <w:szCs w:val="15"/>
                <w:color w:val="auto"/>
              </w:rPr>
              <w:t>(4)</w:t>
            </w:r>
          </w:p>
        </w:tc>
        <w:tc>
          <w:tcPr>
            <w:tcW w:w="2100" w:type="dxa"/>
            <w:vAlign w:val="bottom"/>
            <w:vMerge w:val="restart"/>
          </w:tcPr>
          <w:p>
            <w:pPr>
              <w:jc w:val="right"/>
              <w:ind w:right="587"/>
              <w:spacing w:after="0"/>
              <w:rPr>
                <w:sz w:val="20"/>
                <w:szCs w:val="20"/>
                <w:color w:val="auto"/>
              </w:rPr>
            </w:pPr>
            <w:r>
              <w:rPr>
                <w:rFonts w:ascii="Courier New" w:cs="Courier New" w:eastAsia="Courier New" w:hAnsi="Courier New"/>
                <w:sz w:val="15"/>
                <w:szCs w:val="15"/>
                <w:color w:val="auto"/>
              </w:rPr>
              <w:t>(11)</w:t>
            </w:r>
          </w:p>
        </w:tc>
        <w:tc>
          <w:tcPr>
            <w:tcW w:w="108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5"/>
        </w:trPr>
        <w:tc>
          <w:tcPr>
            <w:tcW w:w="3200" w:type="dxa"/>
            <w:vAlign w:val="bottom"/>
          </w:tcPr>
          <w:p>
            <w:pPr>
              <w:ind w:left="280"/>
              <w:spacing w:after="0"/>
              <w:rPr>
                <w:sz w:val="20"/>
                <w:szCs w:val="20"/>
                <w:color w:val="auto"/>
              </w:rPr>
            </w:pPr>
            <w:r>
              <w:rPr>
                <w:rFonts w:ascii="Courier New" w:cs="Courier New" w:eastAsia="Courier New" w:hAnsi="Courier New"/>
                <w:sz w:val="15"/>
                <w:szCs w:val="15"/>
                <w:color w:val="auto"/>
              </w:rPr>
              <w:t>net gain</w:t>
            </w:r>
          </w:p>
        </w:tc>
        <w:tc>
          <w:tcPr>
            <w:tcW w:w="1760" w:type="dxa"/>
            <w:vAlign w:val="bottom"/>
            <w:vMerge w:val="continue"/>
          </w:tcPr>
          <w:p>
            <w:pPr>
              <w:spacing w:after="0"/>
              <w:rPr>
                <w:sz w:val="21"/>
                <w:szCs w:val="21"/>
                <w:color w:val="auto"/>
              </w:rPr>
            </w:pPr>
          </w:p>
        </w:tc>
        <w:tc>
          <w:tcPr>
            <w:tcW w:w="2100" w:type="dxa"/>
            <w:vAlign w:val="bottom"/>
            <w:vMerge w:val="continue"/>
          </w:tcPr>
          <w:p>
            <w:pPr>
              <w:spacing w:after="0"/>
              <w:rPr>
                <w:sz w:val="21"/>
                <w:szCs w:val="21"/>
                <w:color w:val="auto"/>
              </w:rPr>
            </w:pPr>
          </w:p>
        </w:tc>
        <w:tc>
          <w:tcPr>
            <w:tcW w:w="1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3200" w:type="dxa"/>
            <w:vAlign w:val="bottom"/>
            <w:vMerge w:val="restart"/>
          </w:tcPr>
          <w:p>
            <w:pPr>
              <w:ind w:left="280"/>
              <w:spacing w:after="0"/>
              <w:rPr>
                <w:sz w:val="20"/>
                <w:szCs w:val="20"/>
                <w:color w:val="auto"/>
              </w:rPr>
            </w:pPr>
            <w:r>
              <w:rPr>
                <w:rFonts w:ascii="Courier New" w:cs="Courier New" w:eastAsia="Courier New" w:hAnsi="Courier New"/>
                <w:sz w:val="15"/>
                <w:szCs w:val="15"/>
                <w:color w:val="auto"/>
              </w:rPr>
              <w:t>Net pension cost</w:t>
            </w:r>
          </w:p>
        </w:tc>
        <w:tc>
          <w:tcPr>
            <w:tcW w:w="17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210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w w:val="98"/>
              </w:rPr>
              <w:t>------------</w:t>
            </w:r>
          </w:p>
        </w:tc>
        <w:tc>
          <w:tcPr>
            <w:tcW w:w="0" w:type="dxa"/>
            <w:vAlign w:val="bottom"/>
          </w:tcPr>
          <w:p>
            <w:pPr>
              <w:spacing w:after="0"/>
              <w:rPr>
                <w:sz w:val="1"/>
                <w:szCs w:val="1"/>
                <w:color w:val="auto"/>
              </w:rPr>
            </w:pPr>
          </w:p>
        </w:tc>
      </w:tr>
      <w:tr>
        <w:trPr>
          <w:trHeight w:val="168"/>
        </w:trPr>
        <w:tc>
          <w:tcPr>
            <w:tcW w:w="3200" w:type="dxa"/>
            <w:vAlign w:val="bottom"/>
            <w:vMerge w:val="continue"/>
          </w:tcPr>
          <w:p>
            <w:pPr>
              <w:spacing w:after="0"/>
              <w:rPr>
                <w:sz w:val="14"/>
                <w:szCs w:val="14"/>
                <w:color w:val="auto"/>
              </w:rPr>
            </w:pPr>
          </w:p>
        </w:tc>
        <w:tc>
          <w:tcPr>
            <w:tcW w:w="17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$ 23</w:t>
            </w:r>
          </w:p>
        </w:tc>
        <w:tc>
          <w:tcPr>
            <w:tcW w:w="2100" w:type="dxa"/>
            <w:vAlign w:val="bottom"/>
          </w:tcPr>
          <w:p>
            <w:pPr>
              <w:jc w:val="right"/>
              <w:ind w:right="687"/>
              <w:spacing w:after="0" w:line="168" w:lineRule="exact"/>
              <w:rPr>
                <w:sz w:val="20"/>
                <w:szCs w:val="20"/>
                <w:color w:val="auto"/>
              </w:rPr>
            </w:pPr>
            <w:r>
              <w:rPr>
                <w:rFonts w:ascii="Courier New" w:cs="Courier New" w:eastAsia="Courier New" w:hAnsi="Courier New"/>
                <w:sz w:val="15"/>
                <w:szCs w:val="15"/>
                <w:color w:val="auto"/>
              </w:rPr>
              <w:t>$ 4</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$ 36</w:t>
            </w:r>
          </w:p>
        </w:tc>
        <w:tc>
          <w:tcPr>
            <w:tcW w:w="0" w:type="dxa"/>
            <w:vAlign w:val="bottom"/>
          </w:tcPr>
          <w:p>
            <w:pPr>
              <w:spacing w:after="0"/>
              <w:rPr>
                <w:sz w:val="1"/>
                <w:szCs w:val="1"/>
                <w:color w:val="auto"/>
              </w:rPr>
            </w:pPr>
          </w:p>
        </w:tc>
      </w:tr>
      <w:tr>
        <w:trPr>
          <w:trHeight w:val="245"/>
        </w:trPr>
        <w:tc>
          <w:tcPr>
            <w:tcW w:w="3200" w:type="dxa"/>
            <w:vAlign w:val="bottom"/>
          </w:tcPr>
          <w:p>
            <w:pPr>
              <w:spacing w:after="0"/>
              <w:rPr>
                <w:sz w:val="21"/>
                <w:szCs w:val="21"/>
                <w:color w:val="auto"/>
              </w:rPr>
            </w:pPr>
          </w:p>
        </w:tc>
        <w:tc>
          <w:tcPr>
            <w:tcW w:w="17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210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w w:val="98"/>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ind w:right="3759"/>
        <w:spacing w:after="0" w:line="385" w:lineRule="auto"/>
        <w:rPr>
          <w:sz w:val="20"/>
          <w:szCs w:val="20"/>
          <w:color w:val="auto"/>
        </w:rPr>
      </w:pPr>
      <w:r>
        <w:rPr>
          <w:rFonts w:ascii="Courier New" w:cs="Courier New" w:eastAsia="Courier New" w:hAnsi="Courier New"/>
          <w:sz w:val="14"/>
          <w:szCs w:val="14"/>
          <w:color w:val="auto"/>
        </w:rPr>
        <w:t>Effective January 1, 2000, Schlumberger and its subsidiaries amended their pension plans to improve retirement benefits for active employees.</w:t>
      </w:r>
    </w:p>
    <w:p>
      <w:pPr>
        <w:spacing w:after="0" w:line="164"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F-25</w:t>
      </w:r>
    </w:p>
    <w:p>
      <w:pPr>
        <w:sectPr>
          <w:pgSz w:w="11900" w:h="16838" w:orient="portrait"/>
          <w:cols w:equalWidth="0" w:num="1">
            <w:col w:w="10239"/>
          </w:cols>
          <w:pgMar w:left="220" w:top="934" w:right="1440" w:bottom="1440" w:gutter="0" w:footer="0" w:header="0"/>
        </w:sectPr>
      </w:pPr>
    </w:p>
    <w:bookmarkStart w:id="39" w:name="page40"/>
    <w:bookmarkEnd w:id="39"/>
    <w:p>
      <w:pPr>
        <w:ind w:right="3239"/>
        <w:spacing w:after="0" w:line="344" w:lineRule="auto"/>
        <w:rPr>
          <w:sz w:val="20"/>
          <w:szCs w:val="20"/>
          <w:color w:val="auto"/>
        </w:rPr>
      </w:pPr>
      <w:r>
        <w:rPr>
          <w:rFonts w:ascii="Courier New" w:cs="Courier New" w:eastAsia="Courier New" w:hAnsi="Courier New"/>
          <w:sz w:val="15"/>
          <w:szCs w:val="15"/>
          <w:color w:val="auto"/>
        </w:rPr>
        <w:t>The change in the projected benefit obligation, plan assets and funded status of the plans on December 31, 2001 and 2000, was as follows:</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24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960" w:type="dxa"/>
            <w:vAlign w:val="bottom"/>
          </w:tcPr>
          <w:p>
            <w:pPr>
              <w:jc w:val="right"/>
              <w:spacing w:after="0"/>
              <w:rPr>
                <w:sz w:val="20"/>
                <w:szCs w:val="20"/>
                <w:color w:val="auto"/>
              </w:rPr>
            </w:pPr>
            <w:r>
              <w:rPr>
                <w:rFonts w:ascii="Courier New" w:cs="Courier New" w:eastAsia="Courier New" w:hAnsi="Courier New"/>
                <w:sz w:val="15"/>
                <w:szCs w:val="15"/>
                <w:color w:val="auto"/>
              </w:rPr>
              <w:t>(Stated in millions)</w:t>
            </w:r>
          </w:p>
        </w:tc>
        <w:tc>
          <w:tcPr>
            <w:tcW w:w="0" w:type="dxa"/>
            <w:vAlign w:val="bottom"/>
          </w:tcPr>
          <w:p>
            <w:pPr>
              <w:spacing w:after="0"/>
              <w:rPr>
                <w:sz w:val="1"/>
                <w:szCs w:val="1"/>
                <w:color w:val="auto"/>
              </w:rPr>
            </w:pPr>
          </w:p>
        </w:tc>
      </w:tr>
      <w:tr>
        <w:trPr>
          <w:trHeight w:val="596"/>
        </w:trPr>
        <w:tc>
          <w:tcPr>
            <w:tcW w:w="3240" w:type="dxa"/>
            <w:vAlign w:val="bottom"/>
          </w:tcPr>
          <w:p>
            <w:pPr>
              <w:spacing w:after="0"/>
              <w:rPr>
                <w:sz w:val="24"/>
                <w:szCs w:val="24"/>
                <w:color w:val="auto"/>
              </w:rPr>
            </w:pPr>
          </w:p>
        </w:tc>
        <w:tc>
          <w:tcPr>
            <w:tcW w:w="180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2001</w:t>
            </w:r>
          </w:p>
        </w:tc>
        <w:tc>
          <w:tcPr>
            <w:tcW w:w="19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2000</w:t>
            </w:r>
          </w:p>
        </w:tc>
        <w:tc>
          <w:tcPr>
            <w:tcW w:w="0" w:type="dxa"/>
            <w:vAlign w:val="bottom"/>
          </w:tcPr>
          <w:p>
            <w:pPr>
              <w:spacing w:after="0"/>
              <w:rPr>
                <w:sz w:val="1"/>
                <w:szCs w:val="1"/>
                <w:color w:val="auto"/>
              </w:rPr>
            </w:pPr>
          </w:p>
        </w:tc>
      </w:tr>
      <w:tr>
        <w:trPr>
          <w:trHeight w:val="245"/>
        </w:trPr>
        <w:tc>
          <w:tcPr>
            <w:tcW w:w="3240" w:type="dxa"/>
            <w:vAlign w:val="bottom"/>
          </w:tcPr>
          <w:p>
            <w:pPr>
              <w:spacing w:after="0"/>
              <w:rPr>
                <w:sz w:val="21"/>
                <w:szCs w:val="21"/>
                <w:color w:val="auto"/>
              </w:rPr>
            </w:pPr>
          </w:p>
        </w:tc>
        <w:tc>
          <w:tcPr>
            <w:tcW w:w="18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9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3240" w:type="dxa"/>
            <w:vAlign w:val="bottom"/>
          </w:tcPr>
          <w:p>
            <w:pPr>
              <w:spacing w:after="0"/>
              <w:rPr>
                <w:sz w:val="20"/>
                <w:szCs w:val="20"/>
                <w:color w:val="auto"/>
              </w:rPr>
            </w:pPr>
            <w:r>
              <w:rPr>
                <w:rFonts w:ascii="Courier New" w:cs="Courier New" w:eastAsia="Courier New" w:hAnsi="Courier New"/>
                <w:sz w:val="15"/>
                <w:szCs w:val="15"/>
                <w:color w:val="auto"/>
              </w:rPr>
              <w:t>Projected benefit obligation at</w:t>
            </w:r>
          </w:p>
        </w:tc>
        <w:tc>
          <w:tcPr>
            <w:tcW w:w="180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$ 1,105</w:t>
            </w:r>
          </w:p>
        </w:tc>
        <w:tc>
          <w:tcPr>
            <w:tcW w:w="196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$ 1,048</w:t>
            </w:r>
          </w:p>
        </w:tc>
        <w:tc>
          <w:tcPr>
            <w:tcW w:w="0" w:type="dxa"/>
            <w:vAlign w:val="bottom"/>
          </w:tcPr>
          <w:p>
            <w:pPr>
              <w:spacing w:after="0"/>
              <w:rPr>
                <w:sz w:val="1"/>
                <w:szCs w:val="1"/>
                <w:color w:val="auto"/>
              </w:rPr>
            </w:pPr>
          </w:p>
        </w:tc>
      </w:tr>
      <w:tr>
        <w:trPr>
          <w:trHeight w:val="168"/>
        </w:trPr>
        <w:tc>
          <w:tcPr>
            <w:tcW w:w="32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beginning of the year</w:t>
            </w:r>
          </w:p>
        </w:tc>
        <w:tc>
          <w:tcPr>
            <w:tcW w:w="1800" w:type="dxa"/>
            <w:vAlign w:val="bottom"/>
            <w:vMerge w:val="continue"/>
          </w:tcPr>
          <w:p>
            <w:pPr>
              <w:spacing w:after="0"/>
              <w:rPr>
                <w:sz w:val="14"/>
                <w:szCs w:val="14"/>
                <w:color w:val="auto"/>
              </w:rPr>
            </w:pPr>
          </w:p>
        </w:tc>
        <w:tc>
          <w:tcPr>
            <w:tcW w:w="1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Service cost</w:t>
            </w:r>
          </w:p>
        </w:tc>
        <w:tc>
          <w:tcPr>
            <w:tcW w:w="18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38</w:t>
            </w:r>
          </w:p>
        </w:tc>
        <w:tc>
          <w:tcPr>
            <w:tcW w:w="1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32</w:t>
            </w:r>
          </w:p>
        </w:tc>
        <w:tc>
          <w:tcPr>
            <w:tcW w:w="0" w:type="dxa"/>
            <w:vAlign w:val="bottom"/>
          </w:tcPr>
          <w:p>
            <w:pPr>
              <w:spacing w:after="0"/>
              <w:rPr>
                <w:sz w:val="1"/>
                <w:szCs w:val="1"/>
                <w:color w:val="auto"/>
              </w:rPr>
            </w:pP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cost</w:t>
            </w:r>
          </w:p>
        </w:tc>
        <w:tc>
          <w:tcPr>
            <w:tcW w:w="18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84</w:t>
            </w:r>
          </w:p>
        </w:tc>
        <w:tc>
          <w:tcPr>
            <w:tcW w:w="1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76</w:t>
            </w:r>
          </w:p>
        </w:tc>
        <w:tc>
          <w:tcPr>
            <w:tcW w:w="0" w:type="dxa"/>
            <w:vAlign w:val="bottom"/>
          </w:tcPr>
          <w:p>
            <w:pPr>
              <w:spacing w:after="0"/>
              <w:rPr>
                <w:sz w:val="1"/>
                <w:szCs w:val="1"/>
                <w:color w:val="auto"/>
              </w:rPr>
            </w:pP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Actuarial losses</w:t>
            </w:r>
          </w:p>
        </w:tc>
        <w:tc>
          <w:tcPr>
            <w:tcW w:w="18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96</w:t>
            </w:r>
          </w:p>
        </w:tc>
        <w:tc>
          <w:tcPr>
            <w:tcW w:w="1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w:t>
            </w:r>
          </w:p>
        </w:tc>
        <w:tc>
          <w:tcPr>
            <w:tcW w:w="0" w:type="dxa"/>
            <w:vAlign w:val="bottom"/>
          </w:tcPr>
          <w:p>
            <w:pPr>
              <w:spacing w:after="0"/>
              <w:rPr>
                <w:sz w:val="1"/>
                <w:szCs w:val="1"/>
                <w:color w:val="auto"/>
              </w:rPr>
            </w:pP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Benefits paid</w:t>
            </w:r>
          </w:p>
        </w:tc>
        <w:tc>
          <w:tcPr>
            <w:tcW w:w="18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(69)</w:t>
            </w:r>
          </w:p>
        </w:tc>
        <w:tc>
          <w:tcPr>
            <w:tcW w:w="1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(62)</w:t>
            </w:r>
          </w:p>
        </w:tc>
        <w:tc>
          <w:tcPr>
            <w:tcW w:w="0" w:type="dxa"/>
            <w:vAlign w:val="bottom"/>
          </w:tcPr>
          <w:p>
            <w:pPr>
              <w:spacing w:after="0"/>
              <w:rPr>
                <w:sz w:val="1"/>
                <w:szCs w:val="1"/>
                <w:color w:val="auto"/>
              </w:rPr>
            </w:pP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Amendments</w:t>
            </w:r>
          </w:p>
        </w:tc>
        <w:tc>
          <w:tcPr>
            <w:tcW w:w="18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w:t>
            </w:r>
          </w:p>
        </w:tc>
        <w:tc>
          <w:tcPr>
            <w:tcW w:w="0" w:type="dxa"/>
            <w:vAlign w:val="bottom"/>
          </w:tcPr>
          <w:p>
            <w:pPr>
              <w:spacing w:after="0"/>
              <w:rPr>
                <w:sz w:val="1"/>
                <w:szCs w:val="1"/>
                <w:color w:val="auto"/>
              </w:rPr>
            </w:pPr>
          </w:p>
        </w:tc>
      </w:tr>
      <w:tr>
        <w:trPr>
          <w:trHeight w:val="245"/>
        </w:trPr>
        <w:tc>
          <w:tcPr>
            <w:tcW w:w="3240" w:type="dxa"/>
            <w:vAlign w:val="bottom"/>
          </w:tcPr>
          <w:p>
            <w:pPr>
              <w:spacing w:after="0"/>
              <w:rPr>
                <w:sz w:val="20"/>
                <w:szCs w:val="20"/>
                <w:color w:val="auto"/>
              </w:rPr>
            </w:pPr>
            <w:r>
              <w:rPr>
                <w:rFonts w:ascii="Courier New" w:cs="Courier New" w:eastAsia="Courier New" w:hAnsi="Courier New"/>
                <w:sz w:val="15"/>
                <w:szCs w:val="15"/>
                <w:color w:val="auto"/>
              </w:rPr>
              <w:t>Projected benefit obligation at</w:t>
            </w:r>
          </w:p>
        </w:tc>
        <w:tc>
          <w:tcPr>
            <w:tcW w:w="180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9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1"/>
        </w:trPr>
        <w:tc>
          <w:tcPr>
            <w:tcW w:w="3240" w:type="dxa"/>
            <w:vAlign w:val="bottom"/>
            <w:vMerge w:val="restart"/>
          </w:tcPr>
          <w:p>
            <w:pPr>
              <w:ind w:left="280"/>
              <w:spacing w:after="0"/>
              <w:rPr>
                <w:sz w:val="20"/>
                <w:szCs w:val="20"/>
                <w:color w:val="auto"/>
              </w:rPr>
            </w:pPr>
            <w:r>
              <w:rPr>
                <w:rFonts w:ascii="Courier New" w:cs="Courier New" w:eastAsia="Courier New" w:hAnsi="Courier New"/>
                <w:sz w:val="15"/>
                <w:szCs w:val="15"/>
                <w:color w:val="auto"/>
              </w:rPr>
              <w:t>end of the year</w:t>
            </w:r>
          </w:p>
        </w:tc>
        <w:tc>
          <w:tcPr>
            <w:tcW w:w="1800" w:type="dxa"/>
            <w:vAlign w:val="bottom"/>
            <w:vMerge w:val="continue"/>
          </w:tcPr>
          <w:p>
            <w:pPr>
              <w:spacing w:after="0"/>
              <w:rPr>
                <w:sz w:val="7"/>
                <w:szCs w:val="7"/>
                <w:color w:val="auto"/>
              </w:rPr>
            </w:pPr>
          </w:p>
        </w:tc>
        <w:tc>
          <w:tcPr>
            <w:tcW w:w="19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3240" w:type="dxa"/>
            <w:vAlign w:val="bottom"/>
            <w:vMerge w:val="continue"/>
          </w:tcPr>
          <w:p>
            <w:pPr>
              <w:spacing w:after="0"/>
              <w:rPr>
                <w:sz w:val="14"/>
                <w:szCs w:val="14"/>
                <w:color w:val="auto"/>
              </w:rPr>
            </w:pPr>
          </w:p>
        </w:tc>
        <w:tc>
          <w:tcPr>
            <w:tcW w:w="18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$ 1,254</w:t>
            </w:r>
          </w:p>
        </w:tc>
        <w:tc>
          <w:tcPr>
            <w:tcW w:w="1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$ 1,105</w:t>
            </w:r>
          </w:p>
        </w:tc>
        <w:tc>
          <w:tcPr>
            <w:tcW w:w="0" w:type="dxa"/>
            <w:vAlign w:val="bottom"/>
          </w:tcPr>
          <w:p>
            <w:pPr>
              <w:spacing w:after="0"/>
              <w:rPr>
                <w:sz w:val="1"/>
                <w:szCs w:val="1"/>
                <w:color w:val="auto"/>
              </w:rPr>
            </w:pPr>
          </w:p>
        </w:tc>
      </w:tr>
      <w:tr>
        <w:trPr>
          <w:trHeight w:val="245"/>
        </w:trPr>
        <w:tc>
          <w:tcPr>
            <w:tcW w:w="3240" w:type="dxa"/>
            <w:vAlign w:val="bottom"/>
          </w:tcPr>
          <w:p>
            <w:pPr>
              <w:spacing w:after="0"/>
              <w:rPr>
                <w:sz w:val="21"/>
                <w:szCs w:val="21"/>
                <w:color w:val="auto"/>
              </w:rPr>
            </w:pPr>
          </w:p>
        </w:tc>
        <w:tc>
          <w:tcPr>
            <w:tcW w:w="18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9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3240" w:type="dxa"/>
            <w:vAlign w:val="bottom"/>
          </w:tcPr>
          <w:p>
            <w:pPr>
              <w:spacing w:after="0"/>
              <w:rPr>
                <w:sz w:val="20"/>
                <w:szCs w:val="20"/>
                <w:color w:val="auto"/>
              </w:rPr>
            </w:pPr>
            <w:r>
              <w:rPr>
                <w:rFonts w:ascii="Courier New" w:cs="Courier New" w:eastAsia="Courier New" w:hAnsi="Courier New"/>
                <w:sz w:val="15"/>
                <w:szCs w:val="15"/>
                <w:color w:val="auto"/>
              </w:rPr>
              <w:t>Plan assets at market value at</w:t>
            </w:r>
          </w:p>
        </w:tc>
        <w:tc>
          <w:tcPr>
            <w:tcW w:w="180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$ 1,212</w:t>
            </w:r>
          </w:p>
        </w:tc>
        <w:tc>
          <w:tcPr>
            <w:tcW w:w="196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$ 1,276</w:t>
            </w:r>
          </w:p>
        </w:tc>
        <w:tc>
          <w:tcPr>
            <w:tcW w:w="0" w:type="dxa"/>
            <w:vAlign w:val="bottom"/>
          </w:tcPr>
          <w:p>
            <w:pPr>
              <w:spacing w:after="0"/>
              <w:rPr>
                <w:sz w:val="1"/>
                <w:szCs w:val="1"/>
                <w:color w:val="auto"/>
              </w:rPr>
            </w:pPr>
          </w:p>
        </w:tc>
      </w:tr>
      <w:tr>
        <w:trPr>
          <w:trHeight w:val="168"/>
        </w:trPr>
        <w:tc>
          <w:tcPr>
            <w:tcW w:w="32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beginning of the year</w:t>
            </w:r>
          </w:p>
        </w:tc>
        <w:tc>
          <w:tcPr>
            <w:tcW w:w="1800" w:type="dxa"/>
            <w:vAlign w:val="bottom"/>
            <w:vMerge w:val="continue"/>
          </w:tcPr>
          <w:p>
            <w:pPr>
              <w:spacing w:after="0"/>
              <w:rPr>
                <w:sz w:val="14"/>
                <w:szCs w:val="14"/>
                <w:color w:val="auto"/>
              </w:rPr>
            </w:pPr>
          </w:p>
        </w:tc>
        <w:tc>
          <w:tcPr>
            <w:tcW w:w="1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Actual return on plan assets</w:t>
            </w:r>
          </w:p>
        </w:tc>
        <w:tc>
          <w:tcPr>
            <w:tcW w:w="18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(70)</w:t>
            </w:r>
          </w:p>
        </w:tc>
        <w:tc>
          <w:tcPr>
            <w:tcW w:w="1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w:t>
            </w:r>
          </w:p>
        </w:tc>
        <w:tc>
          <w:tcPr>
            <w:tcW w:w="0" w:type="dxa"/>
            <w:vAlign w:val="bottom"/>
          </w:tcPr>
          <w:p>
            <w:pPr>
              <w:spacing w:after="0"/>
              <w:rPr>
                <w:sz w:val="1"/>
                <w:szCs w:val="1"/>
                <w:color w:val="auto"/>
              </w:rPr>
            </w:pP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Employer contribution</w:t>
            </w:r>
          </w:p>
        </w:tc>
        <w:tc>
          <w:tcPr>
            <w:tcW w:w="18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w:t>
            </w:r>
          </w:p>
        </w:tc>
        <w:tc>
          <w:tcPr>
            <w:tcW w:w="1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Benefits paid</w:t>
            </w:r>
          </w:p>
        </w:tc>
        <w:tc>
          <w:tcPr>
            <w:tcW w:w="18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(69)</w:t>
            </w:r>
          </w:p>
        </w:tc>
        <w:tc>
          <w:tcPr>
            <w:tcW w:w="1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(62)</w:t>
            </w:r>
          </w:p>
        </w:tc>
        <w:tc>
          <w:tcPr>
            <w:tcW w:w="0" w:type="dxa"/>
            <w:vAlign w:val="bottom"/>
          </w:tcPr>
          <w:p>
            <w:pPr>
              <w:spacing w:after="0"/>
              <w:rPr>
                <w:sz w:val="1"/>
                <w:szCs w:val="1"/>
                <w:color w:val="auto"/>
              </w:rPr>
            </w:pPr>
          </w:p>
        </w:tc>
      </w:tr>
      <w:tr>
        <w:trPr>
          <w:trHeight w:val="245"/>
        </w:trPr>
        <w:tc>
          <w:tcPr>
            <w:tcW w:w="3240" w:type="dxa"/>
            <w:vAlign w:val="bottom"/>
          </w:tcPr>
          <w:p>
            <w:pPr>
              <w:spacing w:after="0"/>
              <w:rPr>
                <w:sz w:val="20"/>
                <w:szCs w:val="20"/>
                <w:color w:val="auto"/>
              </w:rPr>
            </w:pPr>
            <w:r>
              <w:rPr>
                <w:rFonts w:ascii="Courier New" w:cs="Courier New" w:eastAsia="Courier New" w:hAnsi="Courier New"/>
                <w:sz w:val="15"/>
                <w:szCs w:val="15"/>
                <w:color w:val="auto"/>
              </w:rPr>
              <w:t>Plan assets at market value at</w:t>
            </w:r>
          </w:p>
        </w:tc>
        <w:tc>
          <w:tcPr>
            <w:tcW w:w="180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9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1"/>
        </w:trPr>
        <w:tc>
          <w:tcPr>
            <w:tcW w:w="3240" w:type="dxa"/>
            <w:vAlign w:val="bottom"/>
            <w:vMerge w:val="restart"/>
          </w:tcPr>
          <w:p>
            <w:pPr>
              <w:ind w:left="280"/>
              <w:spacing w:after="0"/>
              <w:rPr>
                <w:sz w:val="20"/>
                <w:szCs w:val="20"/>
                <w:color w:val="auto"/>
              </w:rPr>
            </w:pPr>
            <w:r>
              <w:rPr>
                <w:rFonts w:ascii="Courier New" w:cs="Courier New" w:eastAsia="Courier New" w:hAnsi="Courier New"/>
                <w:sz w:val="15"/>
                <w:szCs w:val="15"/>
                <w:color w:val="auto"/>
              </w:rPr>
              <w:t>end of the year</w:t>
            </w:r>
          </w:p>
        </w:tc>
        <w:tc>
          <w:tcPr>
            <w:tcW w:w="1800" w:type="dxa"/>
            <w:vAlign w:val="bottom"/>
            <w:vMerge w:val="continue"/>
          </w:tcPr>
          <w:p>
            <w:pPr>
              <w:spacing w:after="0"/>
              <w:rPr>
                <w:sz w:val="7"/>
                <w:szCs w:val="7"/>
                <w:color w:val="auto"/>
              </w:rPr>
            </w:pPr>
          </w:p>
        </w:tc>
        <w:tc>
          <w:tcPr>
            <w:tcW w:w="19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3240" w:type="dxa"/>
            <w:vAlign w:val="bottom"/>
            <w:vMerge w:val="continue"/>
          </w:tcPr>
          <w:p>
            <w:pPr>
              <w:spacing w:after="0"/>
              <w:rPr>
                <w:sz w:val="14"/>
                <w:szCs w:val="14"/>
                <w:color w:val="auto"/>
              </w:rPr>
            </w:pPr>
          </w:p>
        </w:tc>
        <w:tc>
          <w:tcPr>
            <w:tcW w:w="18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$ 1,074</w:t>
            </w:r>
          </w:p>
        </w:tc>
        <w:tc>
          <w:tcPr>
            <w:tcW w:w="1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$ 1,212</w:t>
            </w:r>
          </w:p>
        </w:tc>
        <w:tc>
          <w:tcPr>
            <w:tcW w:w="0" w:type="dxa"/>
            <w:vAlign w:val="bottom"/>
          </w:tcPr>
          <w:p>
            <w:pPr>
              <w:spacing w:after="0"/>
              <w:rPr>
                <w:sz w:val="1"/>
                <w:szCs w:val="1"/>
                <w:color w:val="auto"/>
              </w:rPr>
            </w:pPr>
          </w:p>
        </w:tc>
      </w:tr>
      <w:tr>
        <w:trPr>
          <w:trHeight w:val="245"/>
        </w:trPr>
        <w:tc>
          <w:tcPr>
            <w:tcW w:w="3240" w:type="dxa"/>
            <w:vAlign w:val="bottom"/>
          </w:tcPr>
          <w:p>
            <w:pPr>
              <w:spacing w:after="0"/>
              <w:rPr>
                <w:sz w:val="21"/>
                <w:szCs w:val="21"/>
                <w:color w:val="auto"/>
              </w:rPr>
            </w:pPr>
          </w:p>
        </w:tc>
        <w:tc>
          <w:tcPr>
            <w:tcW w:w="18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9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3240" w:type="dxa"/>
            <w:vAlign w:val="bottom"/>
          </w:tcPr>
          <w:p>
            <w:pPr>
              <w:spacing w:after="0"/>
              <w:rPr>
                <w:sz w:val="20"/>
                <w:szCs w:val="20"/>
                <w:color w:val="auto"/>
              </w:rPr>
            </w:pPr>
            <w:r>
              <w:rPr>
                <w:rFonts w:ascii="Courier New" w:cs="Courier New" w:eastAsia="Courier New" w:hAnsi="Courier New"/>
                <w:sz w:val="15"/>
                <w:szCs w:val="15"/>
                <w:color w:val="auto"/>
              </w:rPr>
              <w:t>Excess of assets over projected</w:t>
            </w:r>
          </w:p>
        </w:tc>
        <w:tc>
          <w:tcPr>
            <w:tcW w:w="180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 (180)</w:t>
            </w:r>
          </w:p>
        </w:tc>
        <w:tc>
          <w:tcPr>
            <w:tcW w:w="196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$ 107</w:t>
            </w:r>
          </w:p>
        </w:tc>
        <w:tc>
          <w:tcPr>
            <w:tcW w:w="0" w:type="dxa"/>
            <w:vAlign w:val="bottom"/>
          </w:tcPr>
          <w:p>
            <w:pPr>
              <w:spacing w:after="0"/>
              <w:rPr>
                <w:sz w:val="1"/>
                <w:szCs w:val="1"/>
                <w:color w:val="auto"/>
              </w:rPr>
            </w:pPr>
          </w:p>
        </w:tc>
      </w:tr>
      <w:tr>
        <w:trPr>
          <w:trHeight w:val="168"/>
        </w:trPr>
        <w:tc>
          <w:tcPr>
            <w:tcW w:w="32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benefit obligation</w:t>
            </w:r>
          </w:p>
        </w:tc>
        <w:tc>
          <w:tcPr>
            <w:tcW w:w="1800" w:type="dxa"/>
            <w:vAlign w:val="bottom"/>
            <w:vMerge w:val="continue"/>
          </w:tcPr>
          <w:p>
            <w:pPr>
              <w:spacing w:after="0"/>
              <w:rPr>
                <w:sz w:val="14"/>
                <w:szCs w:val="14"/>
                <w:color w:val="auto"/>
              </w:rPr>
            </w:pPr>
          </w:p>
        </w:tc>
        <w:tc>
          <w:tcPr>
            <w:tcW w:w="1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Unrecognized net gain</w:t>
            </w:r>
          </w:p>
        </w:tc>
        <w:tc>
          <w:tcPr>
            <w:tcW w:w="18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w:t>
            </w:r>
          </w:p>
        </w:tc>
        <w:tc>
          <w:tcPr>
            <w:tcW w:w="1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(266)</w:t>
            </w:r>
          </w:p>
        </w:tc>
        <w:tc>
          <w:tcPr>
            <w:tcW w:w="0" w:type="dxa"/>
            <w:vAlign w:val="bottom"/>
          </w:tcPr>
          <w:p>
            <w:pPr>
              <w:spacing w:after="0"/>
              <w:rPr>
                <w:sz w:val="1"/>
                <w:szCs w:val="1"/>
                <w:color w:val="auto"/>
              </w:rPr>
            </w:pP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Unrecognized prior service cost</w:t>
            </w:r>
          </w:p>
        </w:tc>
        <w:tc>
          <w:tcPr>
            <w:tcW w:w="18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27</w:t>
            </w:r>
          </w:p>
        </w:tc>
        <w:tc>
          <w:tcPr>
            <w:tcW w:w="1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30</w:t>
            </w:r>
          </w:p>
        </w:tc>
        <w:tc>
          <w:tcPr>
            <w:tcW w:w="0" w:type="dxa"/>
            <w:vAlign w:val="bottom"/>
          </w:tcPr>
          <w:p>
            <w:pPr>
              <w:spacing w:after="0"/>
              <w:rPr>
                <w:sz w:val="1"/>
                <w:szCs w:val="1"/>
                <w:color w:val="auto"/>
              </w:rPr>
            </w:pP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Unrecognized net asset at</w:t>
            </w:r>
          </w:p>
        </w:tc>
        <w:tc>
          <w:tcPr>
            <w:tcW w:w="180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9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w:t>
            </w:r>
          </w:p>
        </w:tc>
        <w:tc>
          <w:tcPr>
            <w:tcW w:w="0" w:type="dxa"/>
            <w:vAlign w:val="bottom"/>
          </w:tcPr>
          <w:p>
            <w:pPr>
              <w:spacing w:after="0"/>
              <w:rPr>
                <w:sz w:val="1"/>
                <w:szCs w:val="1"/>
                <w:color w:val="auto"/>
              </w:rPr>
            </w:pPr>
          </w:p>
        </w:tc>
      </w:tr>
      <w:tr>
        <w:trPr>
          <w:trHeight w:val="168"/>
        </w:trPr>
        <w:tc>
          <w:tcPr>
            <w:tcW w:w="32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transition date</w:t>
            </w:r>
          </w:p>
        </w:tc>
        <w:tc>
          <w:tcPr>
            <w:tcW w:w="1800" w:type="dxa"/>
            <w:vAlign w:val="bottom"/>
            <w:vMerge w:val="continue"/>
          </w:tcPr>
          <w:p>
            <w:pPr>
              <w:spacing w:after="0"/>
              <w:rPr>
                <w:sz w:val="14"/>
                <w:szCs w:val="14"/>
                <w:color w:val="auto"/>
              </w:rPr>
            </w:pPr>
          </w:p>
        </w:tc>
        <w:tc>
          <w:tcPr>
            <w:tcW w:w="1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240" w:type="dxa"/>
            <w:vAlign w:val="bottom"/>
            <w:vMerge w:val="restart"/>
          </w:tcPr>
          <w:p>
            <w:pPr>
              <w:spacing w:after="0"/>
              <w:rPr>
                <w:sz w:val="20"/>
                <w:szCs w:val="20"/>
                <w:color w:val="auto"/>
              </w:rPr>
            </w:pPr>
            <w:r>
              <w:rPr>
                <w:rFonts w:ascii="Courier New" w:cs="Courier New" w:eastAsia="Courier New" w:hAnsi="Courier New"/>
                <w:sz w:val="15"/>
                <w:szCs w:val="15"/>
                <w:color w:val="auto"/>
              </w:rPr>
              <w:t>Pension liability</w:t>
            </w:r>
          </w:p>
        </w:tc>
        <w:tc>
          <w:tcPr>
            <w:tcW w:w="18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3240" w:type="dxa"/>
            <w:vAlign w:val="bottom"/>
            <w:vMerge w:val="continue"/>
          </w:tcPr>
          <w:p>
            <w:pPr>
              <w:spacing w:after="0"/>
              <w:rPr>
                <w:sz w:val="14"/>
                <w:szCs w:val="14"/>
                <w:color w:val="auto"/>
              </w:rPr>
            </w:pPr>
          </w:p>
        </w:tc>
        <w:tc>
          <w:tcPr>
            <w:tcW w:w="18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(152)</w:t>
            </w:r>
          </w:p>
        </w:tc>
        <w:tc>
          <w:tcPr>
            <w:tcW w:w="1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(130)</w:t>
            </w:r>
          </w:p>
        </w:tc>
        <w:tc>
          <w:tcPr>
            <w:tcW w:w="0" w:type="dxa"/>
            <w:vAlign w:val="bottom"/>
          </w:tcPr>
          <w:p>
            <w:pPr>
              <w:spacing w:after="0"/>
              <w:rPr>
                <w:sz w:val="1"/>
                <w:szCs w:val="1"/>
                <w:color w:val="auto"/>
              </w:rPr>
            </w:pPr>
          </w:p>
        </w:tc>
      </w:tr>
      <w:tr>
        <w:trPr>
          <w:trHeight w:val="245"/>
        </w:trPr>
        <w:tc>
          <w:tcPr>
            <w:tcW w:w="3240" w:type="dxa"/>
            <w:vAlign w:val="bottom"/>
          </w:tcPr>
          <w:p>
            <w:pPr>
              <w:spacing w:after="0"/>
              <w:rPr>
                <w:sz w:val="21"/>
                <w:szCs w:val="21"/>
                <w:color w:val="auto"/>
              </w:rPr>
            </w:pPr>
          </w:p>
        </w:tc>
        <w:tc>
          <w:tcPr>
            <w:tcW w:w="18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9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96" w:lineRule="exact"/>
        <w:rPr>
          <w:sz w:val="20"/>
          <w:szCs w:val="20"/>
          <w:color w:val="auto"/>
        </w:rPr>
      </w:pPr>
    </w:p>
    <w:p>
      <w:pPr>
        <w:ind w:right="3239"/>
        <w:spacing w:after="0" w:line="276" w:lineRule="auto"/>
        <w:rPr>
          <w:sz w:val="20"/>
          <w:szCs w:val="20"/>
          <w:color w:val="auto"/>
        </w:rPr>
      </w:pPr>
      <w:r>
        <w:rPr>
          <w:rFonts w:ascii="Courier New" w:cs="Courier New" w:eastAsia="Courier New" w:hAnsi="Courier New"/>
          <w:sz w:val="14"/>
          <w:szCs w:val="14"/>
          <w:color w:val="auto"/>
        </w:rPr>
        <w:t>The assumed discount rate, the rate of compensation increases and the expected long-term rate of return on plan assets used to determine the projected benefit obligations were 7.25%, 4.5% and 9%, respectively, in 2001, and 7.5%, 4.5% and 9%, respectively, in 2000. Plan assets on December 31, 2001, consisted of common stocks ($630 million), cash or cash equivalents ($48 million), fixed income investments ($326 million) and other investments ($70 million). On December 31, 2001, there is no investment of the plan assets in Schlumberger common stock.</w:t>
      </w:r>
    </w:p>
    <w:p>
      <w:pPr>
        <w:spacing w:after="0" w:line="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NON-US PENSION PLANS</w:t>
      </w:r>
    </w:p>
    <w:p>
      <w:pPr>
        <w:spacing w:after="0" w:line="166" w:lineRule="exact"/>
        <w:rPr>
          <w:sz w:val="20"/>
          <w:szCs w:val="20"/>
          <w:color w:val="auto"/>
        </w:rPr>
      </w:pPr>
    </w:p>
    <w:p>
      <w:pPr>
        <w:ind w:right="3239"/>
        <w:spacing w:after="0" w:line="250" w:lineRule="auto"/>
        <w:rPr>
          <w:sz w:val="20"/>
          <w:szCs w:val="20"/>
          <w:color w:val="auto"/>
        </w:rPr>
      </w:pPr>
      <w:r>
        <w:rPr>
          <w:rFonts w:ascii="Courier New" w:cs="Courier New" w:eastAsia="Courier New" w:hAnsi="Courier New"/>
          <w:sz w:val="15"/>
          <w:szCs w:val="15"/>
          <w:color w:val="auto"/>
        </w:rPr>
        <w:t>Outside the US, subsidiaries of Schlumberger sponsor several defined benefit and defined contribution plans that cover substantially all employees who are not covered by statutory plans. For defined benefit plans, charges to expense are based upon costs computed by independent actuaries. These plans are substantially fully funded with trustees in respect to past and current service. For all defined benefit plans, pension expense was $52 million, $23 million and $19 million in 2001, 2000 and 1999, respectively. Based on plan assets and the projected benefit obligation, the only significant defined benefit plan is in the UK.</w:t>
      </w:r>
    </w:p>
    <w:p>
      <w:pPr>
        <w:spacing w:after="0" w:line="89" w:lineRule="exact"/>
        <w:rPr>
          <w:sz w:val="20"/>
          <w:szCs w:val="20"/>
          <w:color w:val="auto"/>
        </w:rPr>
      </w:pPr>
    </w:p>
    <w:p>
      <w:pPr>
        <w:jc w:val="both"/>
        <w:ind w:right="3239"/>
        <w:spacing w:after="0" w:line="290" w:lineRule="auto"/>
        <w:rPr>
          <w:sz w:val="20"/>
          <w:szCs w:val="20"/>
          <w:color w:val="auto"/>
        </w:rPr>
      </w:pPr>
      <w:r>
        <w:rPr>
          <w:rFonts w:ascii="Courier New" w:cs="Courier New" w:eastAsia="Courier New" w:hAnsi="Courier New"/>
          <w:sz w:val="15"/>
          <w:szCs w:val="15"/>
          <w:color w:val="auto"/>
        </w:rPr>
        <w:t>The assumed discount rate, compensation increases and return on plan assets used to determine pension expense in 2001 and 2000 were 6%, 4% and 9%, respectively. In 1999, the assumptions were 7%, 4% and 9%, respectively.</w:t>
      </w:r>
    </w:p>
    <w:p>
      <w:pPr>
        <w:spacing w:after="0" w:line="22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F-26</w:t>
      </w:r>
    </w:p>
    <w:p>
      <w:pPr>
        <w:sectPr>
          <w:pgSz w:w="11900" w:h="16838" w:orient="portrait"/>
          <w:cols w:equalWidth="0" w:num="1">
            <w:col w:w="10239"/>
          </w:cols>
          <w:pgMar w:left="220" w:top="766" w:right="1440" w:bottom="1440" w:gutter="0" w:footer="0" w:header="0"/>
        </w:sectPr>
      </w:pPr>
    </w:p>
    <w:bookmarkStart w:id="40" w:name="page41"/>
    <w:bookmarkEnd w:id="40"/>
    <w:p>
      <w:pPr>
        <w:ind w:right="3499"/>
        <w:spacing w:after="0" w:line="290" w:lineRule="auto"/>
        <w:rPr>
          <w:sz w:val="20"/>
          <w:szCs w:val="20"/>
          <w:color w:val="auto"/>
        </w:rPr>
      </w:pPr>
      <w:r>
        <w:rPr>
          <w:rFonts w:ascii="Courier New" w:cs="Courier New" w:eastAsia="Courier New" w:hAnsi="Courier New"/>
          <w:sz w:val="15"/>
          <w:szCs w:val="15"/>
          <w:color w:val="auto"/>
        </w:rPr>
        <w:t>Net pension cost in the UK plan for 2001 (including the Sema plc plans), 2000 and 1999 (translated into US dollars at the average exchange rate for the periods), included the following components: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20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23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(Stated in millions)</w:t>
            </w: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96"/>
        </w:trPr>
        <w:tc>
          <w:tcPr>
            <w:tcW w:w="3200" w:type="dxa"/>
            <w:vAlign w:val="bottom"/>
          </w:tcPr>
          <w:p>
            <w:pPr>
              <w:spacing w:after="0"/>
              <w:rPr>
                <w:sz w:val="24"/>
                <w:szCs w:val="24"/>
                <w:color w:val="auto"/>
              </w:rPr>
            </w:pPr>
          </w:p>
        </w:tc>
        <w:tc>
          <w:tcPr>
            <w:tcW w:w="18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2001</w:t>
            </w:r>
          </w:p>
        </w:tc>
        <w:tc>
          <w:tcPr>
            <w:tcW w:w="232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2000</w:t>
            </w:r>
          </w:p>
        </w:tc>
        <w:tc>
          <w:tcPr>
            <w:tcW w:w="13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1999</w:t>
            </w:r>
          </w:p>
        </w:tc>
        <w:tc>
          <w:tcPr>
            <w:tcW w:w="0" w:type="dxa"/>
            <w:vAlign w:val="bottom"/>
          </w:tcPr>
          <w:p>
            <w:pPr>
              <w:spacing w:after="0"/>
              <w:rPr>
                <w:sz w:val="1"/>
                <w:szCs w:val="1"/>
                <w:color w:val="auto"/>
              </w:rPr>
            </w:pPr>
          </w:p>
        </w:tc>
      </w:tr>
      <w:tr>
        <w:trPr>
          <w:trHeight w:val="245"/>
        </w:trPr>
        <w:tc>
          <w:tcPr>
            <w:tcW w:w="3200" w:type="dxa"/>
            <w:vAlign w:val="bottom"/>
          </w:tcPr>
          <w:p>
            <w:pPr>
              <w:spacing w:after="0"/>
              <w:rPr>
                <w:sz w:val="21"/>
                <w:szCs w:val="21"/>
                <w:color w:val="auto"/>
              </w:rPr>
            </w:pPr>
          </w:p>
        </w:tc>
        <w:tc>
          <w:tcPr>
            <w:tcW w:w="1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232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3200" w:type="dxa"/>
            <w:vAlign w:val="bottom"/>
          </w:tcPr>
          <w:p>
            <w:pPr>
              <w:spacing w:after="0"/>
              <w:rPr>
                <w:sz w:val="20"/>
                <w:szCs w:val="20"/>
                <w:color w:val="auto"/>
              </w:rPr>
            </w:pPr>
            <w:r>
              <w:rPr>
                <w:rFonts w:ascii="Courier New" w:cs="Courier New" w:eastAsia="Courier New" w:hAnsi="Courier New"/>
                <w:sz w:val="15"/>
                <w:szCs w:val="15"/>
                <w:color w:val="auto"/>
              </w:rPr>
              <w:t>Service cost-benefits earned</w:t>
            </w:r>
          </w:p>
        </w:tc>
        <w:tc>
          <w:tcPr>
            <w:tcW w:w="180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rPr>
              <w:t>$ 47</w:t>
            </w:r>
          </w:p>
        </w:tc>
        <w:tc>
          <w:tcPr>
            <w:tcW w:w="2320" w:type="dxa"/>
            <w:vAlign w:val="bottom"/>
            <w:vMerge w:val="restart"/>
          </w:tcPr>
          <w:p>
            <w:pPr>
              <w:jc w:val="right"/>
              <w:ind w:right="687"/>
              <w:spacing w:after="0"/>
              <w:rPr>
                <w:sz w:val="20"/>
                <w:szCs w:val="20"/>
                <w:color w:val="auto"/>
              </w:rPr>
            </w:pPr>
            <w:r>
              <w:rPr>
                <w:rFonts w:ascii="Courier New" w:cs="Courier New" w:eastAsia="Courier New" w:hAnsi="Courier New"/>
                <w:sz w:val="15"/>
                <w:szCs w:val="15"/>
                <w:color w:val="auto"/>
              </w:rPr>
              <w:t>$ 22</w:t>
            </w:r>
          </w:p>
        </w:tc>
        <w:tc>
          <w:tcPr>
            <w:tcW w:w="134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$ 22</w:t>
            </w:r>
          </w:p>
        </w:tc>
        <w:tc>
          <w:tcPr>
            <w:tcW w:w="0" w:type="dxa"/>
            <w:vAlign w:val="bottom"/>
          </w:tcPr>
          <w:p>
            <w:pPr>
              <w:spacing w:after="0"/>
              <w:rPr>
                <w:sz w:val="1"/>
                <w:szCs w:val="1"/>
                <w:color w:val="auto"/>
              </w:rPr>
            </w:pPr>
          </w:p>
        </w:tc>
      </w:tr>
      <w:tr>
        <w:trPr>
          <w:trHeight w:val="168"/>
        </w:trPr>
        <w:tc>
          <w:tcPr>
            <w:tcW w:w="32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during the period</w:t>
            </w:r>
          </w:p>
        </w:tc>
        <w:tc>
          <w:tcPr>
            <w:tcW w:w="1800" w:type="dxa"/>
            <w:vAlign w:val="bottom"/>
            <w:vMerge w:val="continue"/>
          </w:tcPr>
          <w:p>
            <w:pPr>
              <w:spacing w:after="0"/>
              <w:rPr>
                <w:sz w:val="14"/>
                <w:szCs w:val="14"/>
                <w:color w:val="auto"/>
              </w:rPr>
            </w:pPr>
          </w:p>
        </w:tc>
        <w:tc>
          <w:tcPr>
            <w:tcW w:w="2320" w:type="dxa"/>
            <w:vAlign w:val="bottom"/>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cost on projected</w:t>
            </w:r>
          </w:p>
        </w:tc>
        <w:tc>
          <w:tcPr>
            <w:tcW w:w="180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rPr>
              <w:t>44</w:t>
            </w:r>
          </w:p>
        </w:tc>
        <w:tc>
          <w:tcPr>
            <w:tcW w:w="2320" w:type="dxa"/>
            <w:vAlign w:val="bottom"/>
            <w:vMerge w:val="restart"/>
          </w:tcPr>
          <w:p>
            <w:pPr>
              <w:jc w:val="right"/>
              <w:ind w:right="687"/>
              <w:spacing w:after="0"/>
              <w:rPr>
                <w:sz w:val="20"/>
                <w:szCs w:val="20"/>
                <w:color w:val="auto"/>
              </w:rPr>
            </w:pPr>
            <w:r>
              <w:rPr>
                <w:rFonts w:ascii="Courier New" w:cs="Courier New" w:eastAsia="Courier New" w:hAnsi="Courier New"/>
                <w:sz w:val="15"/>
                <w:szCs w:val="15"/>
                <w:color w:val="auto"/>
              </w:rPr>
              <w:t>17</w:t>
            </w:r>
          </w:p>
        </w:tc>
        <w:tc>
          <w:tcPr>
            <w:tcW w:w="134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15</w:t>
            </w:r>
          </w:p>
        </w:tc>
        <w:tc>
          <w:tcPr>
            <w:tcW w:w="0" w:type="dxa"/>
            <w:vAlign w:val="bottom"/>
          </w:tcPr>
          <w:p>
            <w:pPr>
              <w:spacing w:after="0"/>
              <w:rPr>
                <w:sz w:val="1"/>
                <w:szCs w:val="1"/>
                <w:color w:val="auto"/>
              </w:rPr>
            </w:pPr>
          </w:p>
        </w:tc>
      </w:tr>
      <w:tr>
        <w:trPr>
          <w:trHeight w:val="168"/>
        </w:trPr>
        <w:tc>
          <w:tcPr>
            <w:tcW w:w="32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benefit obligation</w:t>
            </w:r>
          </w:p>
        </w:tc>
        <w:tc>
          <w:tcPr>
            <w:tcW w:w="1800" w:type="dxa"/>
            <w:vAlign w:val="bottom"/>
            <w:vMerge w:val="continue"/>
          </w:tcPr>
          <w:p>
            <w:pPr>
              <w:spacing w:after="0"/>
              <w:rPr>
                <w:sz w:val="14"/>
                <w:szCs w:val="14"/>
                <w:color w:val="auto"/>
              </w:rPr>
            </w:pPr>
          </w:p>
        </w:tc>
        <w:tc>
          <w:tcPr>
            <w:tcW w:w="2320" w:type="dxa"/>
            <w:vAlign w:val="bottom"/>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Expected return on plan assets</w:t>
            </w:r>
          </w:p>
        </w:tc>
        <w:tc>
          <w:tcPr>
            <w:tcW w:w="180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2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(actual return: 2001 - ($47);</w:t>
            </w:r>
          </w:p>
        </w:tc>
        <w:tc>
          <w:tcPr>
            <w:tcW w:w="180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(68)</w:t>
            </w:r>
          </w:p>
        </w:tc>
        <w:tc>
          <w:tcPr>
            <w:tcW w:w="2320" w:type="dxa"/>
            <w:vAlign w:val="bottom"/>
            <w:vMerge w:val="restart"/>
          </w:tcPr>
          <w:p>
            <w:pPr>
              <w:jc w:val="right"/>
              <w:ind w:right="587"/>
              <w:spacing w:after="0"/>
              <w:rPr>
                <w:sz w:val="20"/>
                <w:szCs w:val="20"/>
                <w:color w:val="auto"/>
              </w:rPr>
            </w:pPr>
            <w:r>
              <w:rPr>
                <w:rFonts w:ascii="Courier New" w:cs="Courier New" w:eastAsia="Courier New" w:hAnsi="Courier New"/>
                <w:sz w:val="15"/>
                <w:szCs w:val="15"/>
                <w:color w:val="auto"/>
              </w:rPr>
              <w:t>(34)</w:t>
            </w:r>
          </w:p>
        </w:tc>
        <w:tc>
          <w:tcPr>
            <w:tcW w:w="13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(33)</w:t>
            </w:r>
          </w:p>
        </w:tc>
        <w:tc>
          <w:tcPr>
            <w:tcW w:w="0" w:type="dxa"/>
            <w:vAlign w:val="bottom"/>
          </w:tcPr>
          <w:p>
            <w:pPr>
              <w:spacing w:after="0"/>
              <w:rPr>
                <w:sz w:val="1"/>
                <w:szCs w:val="1"/>
                <w:color w:val="auto"/>
              </w:rPr>
            </w:pPr>
          </w:p>
        </w:tc>
      </w:tr>
      <w:tr>
        <w:trPr>
          <w:trHeight w:val="168"/>
        </w:trPr>
        <w:tc>
          <w:tcPr>
            <w:tcW w:w="32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2000 - ($28); 1999 - $106)</w:t>
            </w:r>
          </w:p>
        </w:tc>
        <w:tc>
          <w:tcPr>
            <w:tcW w:w="1800" w:type="dxa"/>
            <w:vAlign w:val="bottom"/>
            <w:vMerge w:val="continue"/>
          </w:tcPr>
          <w:p>
            <w:pPr>
              <w:spacing w:after="0"/>
              <w:rPr>
                <w:sz w:val="14"/>
                <w:szCs w:val="14"/>
                <w:color w:val="auto"/>
              </w:rPr>
            </w:pPr>
          </w:p>
        </w:tc>
        <w:tc>
          <w:tcPr>
            <w:tcW w:w="2320" w:type="dxa"/>
            <w:vAlign w:val="bottom"/>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Amortization of transition</w:t>
            </w:r>
          </w:p>
        </w:tc>
        <w:tc>
          <w:tcPr>
            <w:tcW w:w="180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(2)</w:t>
            </w:r>
          </w:p>
        </w:tc>
        <w:tc>
          <w:tcPr>
            <w:tcW w:w="2320" w:type="dxa"/>
            <w:vAlign w:val="bottom"/>
            <w:vMerge w:val="restart"/>
          </w:tcPr>
          <w:p>
            <w:pPr>
              <w:jc w:val="right"/>
              <w:ind w:right="587"/>
              <w:spacing w:after="0"/>
              <w:rPr>
                <w:sz w:val="20"/>
                <w:szCs w:val="20"/>
                <w:color w:val="auto"/>
              </w:rPr>
            </w:pPr>
            <w:r>
              <w:rPr>
                <w:rFonts w:ascii="Courier New" w:cs="Courier New" w:eastAsia="Courier New" w:hAnsi="Courier New"/>
                <w:sz w:val="15"/>
                <w:szCs w:val="15"/>
                <w:color w:val="auto"/>
              </w:rPr>
              <w:t>(5)</w:t>
            </w:r>
          </w:p>
        </w:tc>
        <w:tc>
          <w:tcPr>
            <w:tcW w:w="13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(6)</w:t>
            </w:r>
          </w:p>
        </w:tc>
        <w:tc>
          <w:tcPr>
            <w:tcW w:w="0" w:type="dxa"/>
            <w:vAlign w:val="bottom"/>
          </w:tcPr>
          <w:p>
            <w:pPr>
              <w:spacing w:after="0"/>
              <w:rPr>
                <w:sz w:val="1"/>
                <w:szCs w:val="1"/>
                <w:color w:val="auto"/>
              </w:rPr>
            </w:pPr>
          </w:p>
        </w:tc>
      </w:tr>
      <w:tr>
        <w:trPr>
          <w:trHeight w:val="245"/>
        </w:trPr>
        <w:tc>
          <w:tcPr>
            <w:tcW w:w="3200" w:type="dxa"/>
            <w:vAlign w:val="bottom"/>
          </w:tcPr>
          <w:p>
            <w:pPr>
              <w:ind w:left="280"/>
              <w:spacing w:after="0"/>
              <w:rPr>
                <w:sz w:val="20"/>
                <w:szCs w:val="20"/>
                <w:color w:val="auto"/>
              </w:rPr>
            </w:pPr>
            <w:r>
              <w:rPr>
                <w:rFonts w:ascii="Courier New" w:cs="Courier New" w:eastAsia="Courier New" w:hAnsi="Courier New"/>
                <w:sz w:val="15"/>
                <w:szCs w:val="15"/>
                <w:color w:val="auto"/>
              </w:rPr>
              <w:t>asset and other</w:t>
            </w:r>
          </w:p>
        </w:tc>
        <w:tc>
          <w:tcPr>
            <w:tcW w:w="1800" w:type="dxa"/>
            <w:vAlign w:val="bottom"/>
            <w:vMerge w:val="continue"/>
          </w:tcPr>
          <w:p>
            <w:pPr>
              <w:spacing w:after="0"/>
              <w:rPr>
                <w:sz w:val="21"/>
                <w:szCs w:val="21"/>
                <w:color w:val="auto"/>
              </w:rPr>
            </w:pPr>
          </w:p>
        </w:tc>
        <w:tc>
          <w:tcPr>
            <w:tcW w:w="2320" w:type="dxa"/>
            <w:vAlign w:val="bottom"/>
            <w:vMerge w:val="continue"/>
          </w:tcPr>
          <w:p>
            <w:pPr>
              <w:spacing w:after="0"/>
              <w:rPr>
                <w:sz w:val="21"/>
                <w:szCs w:val="21"/>
                <w:color w:val="auto"/>
              </w:rPr>
            </w:pPr>
          </w:p>
        </w:tc>
        <w:tc>
          <w:tcPr>
            <w:tcW w:w="13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3200" w:type="dxa"/>
            <w:vAlign w:val="bottom"/>
            <w:vMerge w:val="restart"/>
          </w:tcPr>
          <w:p>
            <w:pPr>
              <w:spacing w:after="0"/>
              <w:rPr>
                <w:sz w:val="20"/>
                <w:szCs w:val="20"/>
                <w:color w:val="auto"/>
              </w:rPr>
            </w:pPr>
            <w:r>
              <w:rPr>
                <w:rFonts w:ascii="Courier New" w:cs="Courier New" w:eastAsia="Courier New" w:hAnsi="Courier New"/>
                <w:sz w:val="15"/>
                <w:szCs w:val="15"/>
                <w:color w:val="auto"/>
              </w:rPr>
              <w:t>Net pension cost</w:t>
            </w:r>
          </w:p>
        </w:tc>
        <w:tc>
          <w:tcPr>
            <w:tcW w:w="1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232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3200" w:type="dxa"/>
            <w:vAlign w:val="bottom"/>
            <w:vMerge w:val="continue"/>
          </w:tcPr>
          <w:p>
            <w:pPr>
              <w:spacing w:after="0"/>
              <w:rPr>
                <w:sz w:val="14"/>
                <w:szCs w:val="14"/>
                <w:color w:val="auto"/>
              </w:rPr>
            </w:pPr>
          </w:p>
        </w:tc>
        <w:tc>
          <w:tcPr>
            <w:tcW w:w="18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$ 21</w:t>
            </w:r>
          </w:p>
        </w:tc>
        <w:tc>
          <w:tcPr>
            <w:tcW w:w="2320" w:type="dxa"/>
            <w:vAlign w:val="bottom"/>
          </w:tcPr>
          <w:p>
            <w:pPr>
              <w:jc w:val="right"/>
              <w:ind w:right="687"/>
              <w:spacing w:after="0" w:line="168" w:lineRule="exact"/>
              <w:rPr>
                <w:sz w:val="20"/>
                <w:szCs w:val="20"/>
                <w:color w:val="auto"/>
              </w:rPr>
            </w:pPr>
            <w:r>
              <w:rPr>
                <w:rFonts w:ascii="Courier New" w:cs="Courier New" w:eastAsia="Courier New" w:hAnsi="Courier New"/>
                <w:sz w:val="15"/>
                <w:szCs w:val="15"/>
                <w:color w:val="auto"/>
              </w:rPr>
              <w:t>$ -</w:t>
            </w:r>
          </w:p>
        </w:tc>
        <w:tc>
          <w:tcPr>
            <w:tcW w:w="1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(2)</w:t>
            </w:r>
          </w:p>
        </w:tc>
        <w:tc>
          <w:tcPr>
            <w:tcW w:w="0" w:type="dxa"/>
            <w:vAlign w:val="bottom"/>
          </w:tcPr>
          <w:p>
            <w:pPr>
              <w:spacing w:after="0"/>
              <w:rPr>
                <w:sz w:val="1"/>
                <w:szCs w:val="1"/>
                <w:color w:val="auto"/>
              </w:rPr>
            </w:pPr>
          </w:p>
        </w:tc>
      </w:tr>
      <w:tr>
        <w:trPr>
          <w:trHeight w:val="245"/>
        </w:trPr>
        <w:tc>
          <w:tcPr>
            <w:tcW w:w="3200" w:type="dxa"/>
            <w:vAlign w:val="bottom"/>
          </w:tcPr>
          <w:p>
            <w:pPr>
              <w:spacing w:after="0"/>
              <w:rPr>
                <w:sz w:val="21"/>
                <w:szCs w:val="21"/>
                <w:color w:val="auto"/>
              </w:rPr>
            </w:pPr>
          </w:p>
        </w:tc>
        <w:tc>
          <w:tcPr>
            <w:tcW w:w="1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232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right="3239"/>
        <w:spacing w:after="0" w:line="290" w:lineRule="auto"/>
        <w:rPr>
          <w:sz w:val="20"/>
          <w:szCs w:val="20"/>
          <w:color w:val="auto"/>
        </w:rPr>
      </w:pPr>
      <w:r>
        <w:rPr>
          <w:rFonts w:ascii="Courier New" w:cs="Courier New" w:eastAsia="Courier New" w:hAnsi="Courier New"/>
          <w:sz w:val="15"/>
          <w:szCs w:val="15"/>
          <w:color w:val="auto"/>
        </w:rPr>
        <w:t>The change in the projected benefit obligation, plan assets and funded status of the plan, including the Sema plc plans (translated into US dollars at year-end exchange rates) was as follows: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0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960" w:type="dxa"/>
            <w:vAlign w:val="bottom"/>
          </w:tcPr>
          <w:p>
            <w:pPr>
              <w:jc w:val="right"/>
              <w:spacing w:after="0"/>
              <w:rPr>
                <w:sz w:val="20"/>
                <w:szCs w:val="20"/>
                <w:color w:val="auto"/>
              </w:rPr>
            </w:pPr>
            <w:r>
              <w:rPr>
                <w:rFonts w:ascii="Courier New" w:cs="Courier New" w:eastAsia="Courier New" w:hAnsi="Courier New"/>
                <w:sz w:val="15"/>
                <w:szCs w:val="15"/>
                <w:color w:val="auto"/>
              </w:rPr>
              <w:t>(Stated in millions)</w:t>
            </w:r>
          </w:p>
        </w:tc>
        <w:tc>
          <w:tcPr>
            <w:tcW w:w="0" w:type="dxa"/>
            <w:vAlign w:val="bottom"/>
          </w:tcPr>
          <w:p>
            <w:pPr>
              <w:spacing w:after="0"/>
              <w:rPr>
                <w:sz w:val="1"/>
                <w:szCs w:val="1"/>
                <w:color w:val="auto"/>
              </w:rPr>
            </w:pPr>
          </w:p>
        </w:tc>
      </w:tr>
      <w:tr>
        <w:trPr>
          <w:trHeight w:val="259"/>
        </w:trPr>
        <w:tc>
          <w:tcPr>
            <w:tcW w:w="302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2001</w:t>
            </w:r>
          </w:p>
        </w:tc>
        <w:tc>
          <w:tcPr>
            <w:tcW w:w="660" w:type="dxa"/>
            <w:vAlign w:val="bottom"/>
          </w:tcPr>
          <w:p>
            <w:pPr>
              <w:spacing w:after="0"/>
              <w:rPr>
                <w:sz w:val="22"/>
                <w:szCs w:val="22"/>
                <w:color w:val="auto"/>
              </w:rPr>
            </w:pPr>
          </w:p>
        </w:tc>
        <w:tc>
          <w:tcPr>
            <w:tcW w:w="19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2000</w:t>
            </w:r>
          </w:p>
        </w:tc>
        <w:tc>
          <w:tcPr>
            <w:tcW w:w="0" w:type="dxa"/>
            <w:vAlign w:val="bottom"/>
          </w:tcPr>
          <w:p>
            <w:pPr>
              <w:spacing w:after="0"/>
              <w:rPr>
                <w:sz w:val="1"/>
                <w:szCs w:val="1"/>
                <w:color w:val="auto"/>
              </w:rPr>
            </w:pPr>
          </w:p>
        </w:tc>
      </w:tr>
      <w:tr>
        <w:trPr>
          <w:trHeight w:val="245"/>
        </w:trPr>
        <w:tc>
          <w:tcPr>
            <w:tcW w:w="3020" w:type="dxa"/>
            <w:vAlign w:val="bottom"/>
          </w:tcPr>
          <w:p>
            <w:pPr>
              <w:spacing w:after="0"/>
              <w:rPr>
                <w:sz w:val="21"/>
                <w:szCs w:val="21"/>
                <w:color w:val="auto"/>
              </w:rPr>
            </w:pPr>
          </w:p>
        </w:tc>
        <w:tc>
          <w:tcPr>
            <w:tcW w:w="20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9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3020" w:type="dxa"/>
            <w:vAlign w:val="bottom"/>
          </w:tcPr>
          <w:p>
            <w:pPr>
              <w:spacing w:after="0"/>
              <w:rPr>
                <w:sz w:val="20"/>
                <w:szCs w:val="20"/>
                <w:color w:val="auto"/>
              </w:rPr>
            </w:pPr>
            <w:r>
              <w:rPr>
                <w:rFonts w:ascii="Courier New" w:cs="Courier New" w:eastAsia="Courier New" w:hAnsi="Courier New"/>
                <w:sz w:val="15"/>
                <w:szCs w:val="15"/>
                <w:color w:val="auto"/>
              </w:rPr>
              <w:t>Projected benefit obligation at</w:t>
            </w:r>
          </w:p>
        </w:tc>
        <w:tc>
          <w:tcPr>
            <w:tcW w:w="13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311</w:t>
            </w:r>
          </w:p>
        </w:tc>
        <w:tc>
          <w:tcPr>
            <w:tcW w:w="196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$ 290</w:t>
            </w:r>
          </w:p>
        </w:tc>
        <w:tc>
          <w:tcPr>
            <w:tcW w:w="0" w:type="dxa"/>
            <w:vAlign w:val="bottom"/>
          </w:tcPr>
          <w:p>
            <w:pPr>
              <w:spacing w:after="0"/>
              <w:rPr>
                <w:sz w:val="1"/>
                <w:szCs w:val="1"/>
                <w:color w:val="auto"/>
              </w:rPr>
            </w:pPr>
          </w:p>
        </w:tc>
      </w:tr>
      <w:tr>
        <w:trPr>
          <w:trHeight w:val="168"/>
        </w:trPr>
        <w:tc>
          <w:tcPr>
            <w:tcW w:w="30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beginning of the year</w:t>
            </w:r>
          </w:p>
        </w:tc>
        <w:tc>
          <w:tcPr>
            <w:tcW w:w="136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1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Acquisition of Sema</w:t>
            </w:r>
          </w:p>
        </w:tc>
        <w:tc>
          <w:tcPr>
            <w:tcW w:w="1360" w:type="dxa"/>
            <w:vAlign w:val="bottom"/>
          </w:tcPr>
          <w:p>
            <w:pPr>
              <w:spacing w:after="0"/>
              <w:rPr>
                <w:sz w:val="14"/>
                <w:szCs w:val="14"/>
                <w:color w:val="auto"/>
              </w:rPr>
            </w:pPr>
          </w:p>
        </w:tc>
        <w:tc>
          <w:tcPr>
            <w:tcW w:w="6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580</w:t>
            </w:r>
          </w:p>
        </w:tc>
        <w:tc>
          <w:tcPr>
            <w:tcW w:w="1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Service cost</w:t>
            </w:r>
          </w:p>
        </w:tc>
        <w:tc>
          <w:tcPr>
            <w:tcW w:w="1360" w:type="dxa"/>
            <w:vAlign w:val="bottom"/>
          </w:tcPr>
          <w:p>
            <w:pPr>
              <w:spacing w:after="0"/>
              <w:rPr>
                <w:sz w:val="14"/>
                <w:szCs w:val="14"/>
                <w:color w:val="auto"/>
              </w:rPr>
            </w:pPr>
          </w:p>
        </w:tc>
        <w:tc>
          <w:tcPr>
            <w:tcW w:w="6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47</w:t>
            </w:r>
          </w:p>
        </w:tc>
        <w:tc>
          <w:tcPr>
            <w:tcW w:w="1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w:t>
            </w:r>
          </w:p>
        </w:tc>
        <w:tc>
          <w:tcPr>
            <w:tcW w:w="0" w:type="dxa"/>
            <w:vAlign w:val="bottom"/>
          </w:tcPr>
          <w:p>
            <w:pPr>
              <w:spacing w:after="0"/>
              <w:rPr>
                <w:sz w:val="1"/>
                <w:szCs w:val="1"/>
                <w:color w:val="auto"/>
              </w:rPr>
            </w:pP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cost</w:t>
            </w:r>
          </w:p>
        </w:tc>
        <w:tc>
          <w:tcPr>
            <w:tcW w:w="1360" w:type="dxa"/>
            <w:vAlign w:val="bottom"/>
          </w:tcPr>
          <w:p>
            <w:pPr>
              <w:spacing w:after="0"/>
              <w:rPr>
                <w:sz w:val="14"/>
                <w:szCs w:val="14"/>
                <w:color w:val="auto"/>
              </w:rPr>
            </w:pPr>
          </w:p>
        </w:tc>
        <w:tc>
          <w:tcPr>
            <w:tcW w:w="6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44</w:t>
            </w:r>
          </w:p>
        </w:tc>
        <w:tc>
          <w:tcPr>
            <w:tcW w:w="1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w:t>
            </w:r>
          </w:p>
        </w:tc>
        <w:tc>
          <w:tcPr>
            <w:tcW w:w="0" w:type="dxa"/>
            <w:vAlign w:val="bottom"/>
          </w:tcPr>
          <w:p>
            <w:pPr>
              <w:spacing w:after="0"/>
              <w:rPr>
                <w:sz w:val="1"/>
                <w:szCs w:val="1"/>
                <w:color w:val="auto"/>
              </w:rPr>
            </w:pP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Actuarial losses</w:t>
            </w:r>
          </w:p>
        </w:tc>
        <w:tc>
          <w:tcPr>
            <w:tcW w:w="1360" w:type="dxa"/>
            <w:vAlign w:val="bottom"/>
          </w:tcPr>
          <w:p>
            <w:pPr>
              <w:spacing w:after="0"/>
              <w:rPr>
                <w:sz w:val="14"/>
                <w:szCs w:val="14"/>
                <w:color w:val="auto"/>
              </w:rPr>
            </w:pPr>
          </w:p>
        </w:tc>
        <w:tc>
          <w:tcPr>
            <w:tcW w:w="6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55</w:t>
            </w:r>
          </w:p>
        </w:tc>
        <w:tc>
          <w:tcPr>
            <w:tcW w:w="1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w:t>
            </w:r>
          </w:p>
        </w:tc>
        <w:tc>
          <w:tcPr>
            <w:tcW w:w="0" w:type="dxa"/>
            <w:vAlign w:val="bottom"/>
          </w:tcPr>
          <w:p>
            <w:pPr>
              <w:spacing w:after="0"/>
              <w:rPr>
                <w:sz w:val="1"/>
                <w:szCs w:val="1"/>
                <w:color w:val="auto"/>
              </w:rPr>
            </w:pP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Gain in exchange</w:t>
            </w:r>
          </w:p>
        </w:tc>
        <w:tc>
          <w:tcPr>
            <w:tcW w:w="1360" w:type="dxa"/>
            <w:vAlign w:val="bottom"/>
          </w:tcPr>
          <w:p>
            <w:pPr>
              <w:spacing w:after="0"/>
              <w:rPr>
                <w:sz w:val="14"/>
                <w:szCs w:val="14"/>
                <w:color w:val="auto"/>
              </w:rPr>
            </w:pP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w:t>
            </w:r>
          </w:p>
        </w:tc>
        <w:tc>
          <w:tcPr>
            <w:tcW w:w="1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w:t>
            </w:r>
          </w:p>
        </w:tc>
        <w:tc>
          <w:tcPr>
            <w:tcW w:w="0" w:type="dxa"/>
            <w:vAlign w:val="bottom"/>
          </w:tcPr>
          <w:p>
            <w:pPr>
              <w:spacing w:after="0"/>
              <w:rPr>
                <w:sz w:val="1"/>
                <w:szCs w:val="1"/>
                <w:color w:val="auto"/>
              </w:rPr>
            </w:pP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Benefits paid</w:t>
            </w:r>
          </w:p>
        </w:tc>
        <w:tc>
          <w:tcPr>
            <w:tcW w:w="1360" w:type="dxa"/>
            <w:vAlign w:val="bottom"/>
          </w:tcPr>
          <w:p>
            <w:pPr>
              <w:spacing w:after="0"/>
              <w:rPr>
                <w:sz w:val="14"/>
                <w:szCs w:val="14"/>
                <w:color w:val="auto"/>
              </w:rPr>
            </w:pP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(21)</w:t>
            </w:r>
          </w:p>
        </w:tc>
        <w:tc>
          <w:tcPr>
            <w:tcW w:w="1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w:t>
            </w:r>
          </w:p>
        </w:tc>
        <w:tc>
          <w:tcPr>
            <w:tcW w:w="0" w:type="dxa"/>
            <w:vAlign w:val="bottom"/>
          </w:tcPr>
          <w:p>
            <w:pPr>
              <w:spacing w:after="0"/>
              <w:rPr>
                <w:sz w:val="1"/>
                <w:szCs w:val="1"/>
                <w:color w:val="auto"/>
              </w:rPr>
            </w:pP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Disposals</w:t>
            </w:r>
          </w:p>
        </w:tc>
        <w:tc>
          <w:tcPr>
            <w:tcW w:w="1360" w:type="dxa"/>
            <w:vAlign w:val="bottom"/>
          </w:tcPr>
          <w:p>
            <w:pPr>
              <w:spacing w:after="0"/>
              <w:rPr>
                <w:sz w:val="14"/>
                <w:szCs w:val="14"/>
                <w:color w:val="auto"/>
              </w:rPr>
            </w:pP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(25)</w:t>
            </w:r>
          </w:p>
        </w:tc>
        <w:tc>
          <w:tcPr>
            <w:tcW w:w="1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5"/>
        </w:trPr>
        <w:tc>
          <w:tcPr>
            <w:tcW w:w="3020" w:type="dxa"/>
            <w:vAlign w:val="bottom"/>
          </w:tcPr>
          <w:p>
            <w:pPr>
              <w:spacing w:after="0"/>
              <w:rPr>
                <w:sz w:val="20"/>
                <w:szCs w:val="20"/>
                <w:color w:val="auto"/>
              </w:rPr>
            </w:pPr>
            <w:r>
              <w:rPr>
                <w:rFonts w:ascii="Courier New" w:cs="Courier New" w:eastAsia="Courier New" w:hAnsi="Courier New"/>
                <w:sz w:val="15"/>
                <w:szCs w:val="15"/>
                <w:color w:val="auto"/>
              </w:rPr>
              <w:t>Projected benefit obligation at</w:t>
            </w:r>
          </w:p>
        </w:tc>
        <w:tc>
          <w:tcPr>
            <w:tcW w:w="2020" w:type="dxa"/>
            <w:vAlign w:val="bottom"/>
            <w:gridSpan w:val="2"/>
            <w:vMerge w:val="restart"/>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9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1"/>
        </w:trPr>
        <w:tc>
          <w:tcPr>
            <w:tcW w:w="3020" w:type="dxa"/>
            <w:vAlign w:val="bottom"/>
            <w:vMerge w:val="restart"/>
          </w:tcPr>
          <w:p>
            <w:pPr>
              <w:ind w:left="280"/>
              <w:spacing w:after="0"/>
              <w:rPr>
                <w:sz w:val="20"/>
                <w:szCs w:val="20"/>
                <w:color w:val="auto"/>
              </w:rPr>
            </w:pPr>
            <w:r>
              <w:rPr>
                <w:rFonts w:ascii="Courier New" w:cs="Courier New" w:eastAsia="Courier New" w:hAnsi="Courier New"/>
                <w:sz w:val="15"/>
                <w:szCs w:val="15"/>
                <w:color w:val="auto"/>
              </w:rPr>
              <w:t>end of the year</w:t>
            </w:r>
          </w:p>
        </w:tc>
        <w:tc>
          <w:tcPr>
            <w:tcW w:w="2020" w:type="dxa"/>
            <w:vAlign w:val="bottom"/>
            <w:gridSpan w:val="2"/>
            <w:vMerge w:val="continue"/>
          </w:tcPr>
          <w:p>
            <w:pPr>
              <w:spacing w:after="0"/>
              <w:rPr>
                <w:sz w:val="7"/>
                <w:szCs w:val="7"/>
                <w:color w:val="auto"/>
              </w:rPr>
            </w:pPr>
          </w:p>
        </w:tc>
        <w:tc>
          <w:tcPr>
            <w:tcW w:w="19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3020" w:type="dxa"/>
            <w:vAlign w:val="bottom"/>
            <w:vMerge w:val="continue"/>
          </w:tcPr>
          <w:p>
            <w:pPr>
              <w:spacing w:after="0"/>
              <w:rPr>
                <w:sz w:val="14"/>
                <w:szCs w:val="14"/>
                <w:color w:val="auto"/>
              </w:rPr>
            </w:pP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989</w:t>
            </w:r>
          </w:p>
        </w:tc>
        <w:tc>
          <w:tcPr>
            <w:tcW w:w="1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$ 311</w:t>
            </w:r>
          </w:p>
        </w:tc>
        <w:tc>
          <w:tcPr>
            <w:tcW w:w="0" w:type="dxa"/>
            <w:vAlign w:val="bottom"/>
          </w:tcPr>
          <w:p>
            <w:pPr>
              <w:spacing w:after="0"/>
              <w:rPr>
                <w:sz w:val="1"/>
                <w:szCs w:val="1"/>
                <w:color w:val="auto"/>
              </w:rPr>
            </w:pPr>
          </w:p>
        </w:tc>
      </w:tr>
      <w:tr>
        <w:trPr>
          <w:trHeight w:val="245"/>
        </w:trPr>
        <w:tc>
          <w:tcPr>
            <w:tcW w:w="3020" w:type="dxa"/>
            <w:vAlign w:val="bottom"/>
          </w:tcPr>
          <w:p>
            <w:pPr>
              <w:spacing w:after="0"/>
              <w:rPr>
                <w:sz w:val="21"/>
                <w:szCs w:val="21"/>
                <w:color w:val="auto"/>
              </w:rPr>
            </w:pPr>
          </w:p>
        </w:tc>
        <w:tc>
          <w:tcPr>
            <w:tcW w:w="20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9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3020" w:type="dxa"/>
            <w:vAlign w:val="bottom"/>
          </w:tcPr>
          <w:p>
            <w:pPr>
              <w:spacing w:after="0"/>
              <w:rPr>
                <w:sz w:val="20"/>
                <w:szCs w:val="20"/>
                <w:color w:val="auto"/>
              </w:rPr>
            </w:pPr>
            <w:r>
              <w:rPr>
                <w:rFonts w:ascii="Courier New" w:cs="Courier New" w:eastAsia="Courier New" w:hAnsi="Courier New"/>
                <w:sz w:val="15"/>
                <w:szCs w:val="15"/>
                <w:color w:val="auto"/>
              </w:rPr>
              <w:t>Plan assets at market value at</w:t>
            </w:r>
          </w:p>
        </w:tc>
        <w:tc>
          <w:tcPr>
            <w:tcW w:w="13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385</w:t>
            </w:r>
          </w:p>
        </w:tc>
        <w:tc>
          <w:tcPr>
            <w:tcW w:w="196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$ 454</w:t>
            </w:r>
          </w:p>
        </w:tc>
        <w:tc>
          <w:tcPr>
            <w:tcW w:w="0" w:type="dxa"/>
            <w:vAlign w:val="bottom"/>
          </w:tcPr>
          <w:p>
            <w:pPr>
              <w:spacing w:after="0"/>
              <w:rPr>
                <w:sz w:val="1"/>
                <w:szCs w:val="1"/>
                <w:color w:val="auto"/>
              </w:rPr>
            </w:pPr>
          </w:p>
        </w:tc>
      </w:tr>
      <w:tr>
        <w:trPr>
          <w:trHeight w:val="168"/>
        </w:trPr>
        <w:tc>
          <w:tcPr>
            <w:tcW w:w="30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beginning of the year</w:t>
            </w:r>
          </w:p>
        </w:tc>
        <w:tc>
          <w:tcPr>
            <w:tcW w:w="136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1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Acquisition of Sema</w:t>
            </w:r>
          </w:p>
        </w:tc>
        <w:tc>
          <w:tcPr>
            <w:tcW w:w="1360" w:type="dxa"/>
            <w:vAlign w:val="bottom"/>
          </w:tcPr>
          <w:p>
            <w:pPr>
              <w:spacing w:after="0"/>
              <w:rPr>
                <w:sz w:val="14"/>
                <w:szCs w:val="14"/>
                <w:color w:val="auto"/>
              </w:rPr>
            </w:pPr>
          </w:p>
        </w:tc>
        <w:tc>
          <w:tcPr>
            <w:tcW w:w="6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540</w:t>
            </w:r>
          </w:p>
        </w:tc>
        <w:tc>
          <w:tcPr>
            <w:tcW w:w="1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Actual return on plan assets</w:t>
            </w:r>
          </w:p>
        </w:tc>
        <w:tc>
          <w:tcPr>
            <w:tcW w:w="1360" w:type="dxa"/>
            <w:vAlign w:val="bottom"/>
          </w:tcPr>
          <w:p>
            <w:pPr>
              <w:spacing w:after="0"/>
              <w:rPr>
                <w:sz w:val="14"/>
                <w:szCs w:val="14"/>
                <w:color w:val="auto"/>
              </w:rPr>
            </w:pP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(47)</w:t>
            </w:r>
          </w:p>
        </w:tc>
        <w:tc>
          <w:tcPr>
            <w:tcW w:w="1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w:t>
            </w:r>
          </w:p>
        </w:tc>
        <w:tc>
          <w:tcPr>
            <w:tcW w:w="0" w:type="dxa"/>
            <w:vAlign w:val="bottom"/>
          </w:tcPr>
          <w:p>
            <w:pPr>
              <w:spacing w:after="0"/>
              <w:rPr>
                <w:sz w:val="1"/>
                <w:szCs w:val="1"/>
                <w:color w:val="auto"/>
              </w:rPr>
            </w:pP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Loss in exchange</w:t>
            </w:r>
          </w:p>
        </w:tc>
        <w:tc>
          <w:tcPr>
            <w:tcW w:w="1360" w:type="dxa"/>
            <w:vAlign w:val="bottom"/>
          </w:tcPr>
          <w:p>
            <w:pPr>
              <w:spacing w:after="0"/>
              <w:rPr>
                <w:sz w:val="14"/>
                <w:szCs w:val="14"/>
                <w:color w:val="auto"/>
              </w:rPr>
            </w:pP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w:t>
            </w:r>
          </w:p>
        </w:tc>
        <w:tc>
          <w:tcPr>
            <w:tcW w:w="1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(38)</w:t>
            </w:r>
          </w:p>
        </w:tc>
        <w:tc>
          <w:tcPr>
            <w:tcW w:w="0" w:type="dxa"/>
            <w:vAlign w:val="bottom"/>
          </w:tcPr>
          <w:p>
            <w:pPr>
              <w:spacing w:after="0"/>
              <w:rPr>
                <w:sz w:val="1"/>
                <w:szCs w:val="1"/>
                <w:color w:val="auto"/>
              </w:rPr>
            </w:pP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Employer contribution</w:t>
            </w:r>
          </w:p>
        </w:tc>
        <w:tc>
          <w:tcPr>
            <w:tcW w:w="1360" w:type="dxa"/>
            <w:vAlign w:val="bottom"/>
          </w:tcPr>
          <w:p>
            <w:pPr>
              <w:spacing w:after="0"/>
              <w:rPr>
                <w:sz w:val="14"/>
                <w:szCs w:val="14"/>
                <w:color w:val="auto"/>
              </w:rPr>
            </w:pPr>
          </w:p>
        </w:tc>
        <w:tc>
          <w:tcPr>
            <w:tcW w:w="6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31</w:t>
            </w:r>
          </w:p>
        </w:tc>
        <w:tc>
          <w:tcPr>
            <w:tcW w:w="1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w:t>
            </w:r>
          </w:p>
        </w:tc>
        <w:tc>
          <w:tcPr>
            <w:tcW w:w="0" w:type="dxa"/>
            <w:vAlign w:val="bottom"/>
          </w:tcPr>
          <w:p>
            <w:pPr>
              <w:spacing w:after="0"/>
              <w:rPr>
                <w:sz w:val="1"/>
                <w:szCs w:val="1"/>
                <w:color w:val="auto"/>
              </w:rPr>
            </w:pP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Employee contributions</w:t>
            </w:r>
          </w:p>
        </w:tc>
        <w:tc>
          <w:tcPr>
            <w:tcW w:w="1360" w:type="dxa"/>
            <w:vAlign w:val="bottom"/>
          </w:tcPr>
          <w:p>
            <w:pPr>
              <w:spacing w:after="0"/>
              <w:rPr>
                <w:sz w:val="14"/>
                <w:szCs w:val="14"/>
                <w:color w:val="auto"/>
              </w:rPr>
            </w:pPr>
          </w:p>
        </w:tc>
        <w:tc>
          <w:tcPr>
            <w:tcW w:w="6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w:t>
            </w:r>
          </w:p>
        </w:tc>
        <w:tc>
          <w:tcPr>
            <w:tcW w:w="1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w:t>
            </w:r>
          </w:p>
        </w:tc>
        <w:tc>
          <w:tcPr>
            <w:tcW w:w="0" w:type="dxa"/>
            <w:vAlign w:val="bottom"/>
          </w:tcPr>
          <w:p>
            <w:pPr>
              <w:spacing w:after="0"/>
              <w:rPr>
                <w:sz w:val="1"/>
                <w:szCs w:val="1"/>
                <w:color w:val="auto"/>
              </w:rPr>
            </w:pP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Benefits paid</w:t>
            </w:r>
          </w:p>
        </w:tc>
        <w:tc>
          <w:tcPr>
            <w:tcW w:w="1360" w:type="dxa"/>
            <w:vAlign w:val="bottom"/>
          </w:tcPr>
          <w:p>
            <w:pPr>
              <w:spacing w:after="0"/>
              <w:rPr>
                <w:sz w:val="14"/>
                <w:szCs w:val="14"/>
                <w:color w:val="auto"/>
              </w:rPr>
            </w:pP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(21)</w:t>
            </w:r>
          </w:p>
        </w:tc>
        <w:tc>
          <w:tcPr>
            <w:tcW w:w="1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w:t>
            </w:r>
          </w:p>
        </w:tc>
        <w:tc>
          <w:tcPr>
            <w:tcW w:w="0" w:type="dxa"/>
            <w:vAlign w:val="bottom"/>
          </w:tcPr>
          <w:p>
            <w:pPr>
              <w:spacing w:after="0"/>
              <w:rPr>
                <w:sz w:val="1"/>
                <w:szCs w:val="1"/>
                <w:color w:val="auto"/>
              </w:rPr>
            </w:pP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Disposals</w:t>
            </w:r>
          </w:p>
        </w:tc>
        <w:tc>
          <w:tcPr>
            <w:tcW w:w="1360" w:type="dxa"/>
            <w:vAlign w:val="bottom"/>
          </w:tcPr>
          <w:p>
            <w:pPr>
              <w:spacing w:after="0"/>
              <w:rPr>
                <w:sz w:val="14"/>
                <w:szCs w:val="14"/>
                <w:color w:val="auto"/>
              </w:rPr>
            </w:pP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(21)</w:t>
            </w:r>
          </w:p>
        </w:tc>
        <w:tc>
          <w:tcPr>
            <w:tcW w:w="1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5"/>
        </w:trPr>
        <w:tc>
          <w:tcPr>
            <w:tcW w:w="3020" w:type="dxa"/>
            <w:vAlign w:val="bottom"/>
          </w:tcPr>
          <w:p>
            <w:pPr>
              <w:spacing w:after="0"/>
              <w:rPr>
                <w:sz w:val="20"/>
                <w:szCs w:val="20"/>
                <w:color w:val="auto"/>
              </w:rPr>
            </w:pPr>
            <w:r>
              <w:rPr>
                <w:rFonts w:ascii="Courier New" w:cs="Courier New" w:eastAsia="Courier New" w:hAnsi="Courier New"/>
                <w:sz w:val="15"/>
                <w:szCs w:val="15"/>
                <w:color w:val="auto"/>
              </w:rPr>
              <w:t>Plan assets at market value at</w:t>
            </w:r>
          </w:p>
        </w:tc>
        <w:tc>
          <w:tcPr>
            <w:tcW w:w="2020" w:type="dxa"/>
            <w:vAlign w:val="bottom"/>
            <w:gridSpan w:val="2"/>
            <w:vMerge w:val="restart"/>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9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1"/>
        </w:trPr>
        <w:tc>
          <w:tcPr>
            <w:tcW w:w="3020" w:type="dxa"/>
            <w:vAlign w:val="bottom"/>
            <w:vMerge w:val="restart"/>
          </w:tcPr>
          <w:p>
            <w:pPr>
              <w:ind w:left="280"/>
              <w:spacing w:after="0"/>
              <w:rPr>
                <w:sz w:val="20"/>
                <w:szCs w:val="20"/>
                <w:color w:val="auto"/>
              </w:rPr>
            </w:pPr>
            <w:r>
              <w:rPr>
                <w:rFonts w:ascii="Courier New" w:cs="Courier New" w:eastAsia="Courier New" w:hAnsi="Courier New"/>
                <w:sz w:val="15"/>
                <w:szCs w:val="15"/>
                <w:color w:val="auto"/>
              </w:rPr>
              <w:t>end of the year</w:t>
            </w:r>
          </w:p>
        </w:tc>
        <w:tc>
          <w:tcPr>
            <w:tcW w:w="2020" w:type="dxa"/>
            <w:vAlign w:val="bottom"/>
            <w:gridSpan w:val="2"/>
            <w:vMerge w:val="continue"/>
          </w:tcPr>
          <w:p>
            <w:pPr>
              <w:spacing w:after="0"/>
              <w:rPr>
                <w:sz w:val="7"/>
                <w:szCs w:val="7"/>
                <w:color w:val="auto"/>
              </w:rPr>
            </w:pPr>
          </w:p>
        </w:tc>
        <w:tc>
          <w:tcPr>
            <w:tcW w:w="19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3020" w:type="dxa"/>
            <w:vAlign w:val="bottom"/>
            <w:vMerge w:val="continue"/>
          </w:tcPr>
          <w:p>
            <w:pPr>
              <w:spacing w:after="0"/>
              <w:rPr>
                <w:sz w:val="14"/>
                <w:szCs w:val="14"/>
                <w:color w:val="auto"/>
              </w:rPr>
            </w:pP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868</w:t>
            </w:r>
          </w:p>
        </w:tc>
        <w:tc>
          <w:tcPr>
            <w:tcW w:w="1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$ 385</w:t>
            </w:r>
          </w:p>
        </w:tc>
        <w:tc>
          <w:tcPr>
            <w:tcW w:w="0" w:type="dxa"/>
            <w:vAlign w:val="bottom"/>
          </w:tcPr>
          <w:p>
            <w:pPr>
              <w:spacing w:after="0"/>
              <w:rPr>
                <w:sz w:val="1"/>
                <w:szCs w:val="1"/>
                <w:color w:val="auto"/>
              </w:rPr>
            </w:pPr>
          </w:p>
        </w:tc>
      </w:tr>
      <w:tr>
        <w:trPr>
          <w:trHeight w:val="245"/>
        </w:trPr>
        <w:tc>
          <w:tcPr>
            <w:tcW w:w="3020" w:type="dxa"/>
            <w:vAlign w:val="bottom"/>
          </w:tcPr>
          <w:p>
            <w:pPr>
              <w:spacing w:after="0"/>
              <w:rPr>
                <w:sz w:val="21"/>
                <w:szCs w:val="21"/>
                <w:color w:val="auto"/>
              </w:rPr>
            </w:pPr>
          </w:p>
        </w:tc>
        <w:tc>
          <w:tcPr>
            <w:tcW w:w="20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9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3020" w:type="dxa"/>
            <w:vAlign w:val="bottom"/>
          </w:tcPr>
          <w:p>
            <w:pPr>
              <w:spacing w:after="0"/>
              <w:rPr>
                <w:sz w:val="20"/>
                <w:szCs w:val="20"/>
                <w:color w:val="auto"/>
              </w:rPr>
            </w:pPr>
            <w:r>
              <w:rPr>
                <w:rFonts w:ascii="Courier New" w:cs="Courier New" w:eastAsia="Courier New" w:hAnsi="Courier New"/>
                <w:sz w:val="15"/>
                <w:szCs w:val="15"/>
                <w:color w:val="auto"/>
              </w:rPr>
              <w:t>Excess of assets over projected</w:t>
            </w:r>
          </w:p>
        </w:tc>
        <w:tc>
          <w:tcPr>
            <w:tcW w:w="2020" w:type="dxa"/>
            <w:vAlign w:val="bottom"/>
            <w:gridSpan w:val="2"/>
            <w:vMerge w:val="restart"/>
          </w:tcPr>
          <w:p>
            <w:pPr>
              <w:jc w:val="right"/>
              <w:ind w:right="147"/>
              <w:spacing w:after="0"/>
              <w:rPr>
                <w:sz w:val="20"/>
                <w:szCs w:val="20"/>
                <w:color w:val="auto"/>
              </w:rPr>
            </w:pPr>
            <w:r>
              <w:rPr>
                <w:rFonts w:ascii="Courier New" w:cs="Courier New" w:eastAsia="Courier New" w:hAnsi="Courier New"/>
                <w:sz w:val="15"/>
                <w:szCs w:val="15"/>
                <w:color w:val="auto"/>
              </w:rPr>
              <w:t>$ (121)</w:t>
            </w:r>
          </w:p>
        </w:tc>
        <w:tc>
          <w:tcPr>
            <w:tcW w:w="196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$ 74</w:t>
            </w:r>
          </w:p>
        </w:tc>
        <w:tc>
          <w:tcPr>
            <w:tcW w:w="0" w:type="dxa"/>
            <w:vAlign w:val="bottom"/>
          </w:tcPr>
          <w:p>
            <w:pPr>
              <w:spacing w:after="0"/>
              <w:rPr>
                <w:sz w:val="1"/>
                <w:szCs w:val="1"/>
                <w:color w:val="auto"/>
              </w:rPr>
            </w:pPr>
          </w:p>
        </w:tc>
      </w:tr>
      <w:tr>
        <w:trPr>
          <w:trHeight w:val="168"/>
        </w:trPr>
        <w:tc>
          <w:tcPr>
            <w:tcW w:w="30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benefit obligation</w:t>
            </w:r>
          </w:p>
        </w:tc>
        <w:tc>
          <w:tcPr>
            <w:tcW w:w="2020" w:type="dxa"/>
            <w:vAlign w:val="bottom"/>
            <w:gridSpan w:val="2"/>
            <w:vMerge w:val="continue"/>
          </w:tcPr>
          <w:p>
            <w:pPr>
              <w:spacing w:after="0"/>
              <w:rPr>
                <w:sz w:val="14"/>
                <w:szCs w:val="14"/>
                <w:color w:val="auto"/>
              </w:rPr>
            </w:pPr>
          </w:p>
        </w:tc>
        <w:tc>
          <w:tcPr>
            <w:tcW w:w="1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Unrecognized net gain</w:t>
            </w:r>
          </w:p>
        </w:tc>
        <w:tc>
          <w:tcPr>
            <w:tcW w:w="1360" w:type="dxa"/>
            <w:vAlign w:val="bottom"/>
          </w:tcPr>
          <w:p>
            <w:pPr>
              <w:spacing w:after="0"/>
              <w:rPr>
                <w:sz w:val="14"/>
                <w:szCs w:val="14"/>
                <w:color w:val="auto"/>
              </w:rPr>
            </w:pPr>
          </w:p>
        </w:tc>
        <w:tc>
          <w:tcPr>
            <w:tcW w:w="6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131</w:t>
            </w:r>
          </w:p>
        </w:tc>
        <w:tc>
          <w:tcPr>
            <w:tcW w:w="1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(39)</w:t>
            </w:r>
          </w:p>
        </w:tc>
        <w:tc>
          <w:tcPr>
            <w:tcW w:w="0" w:type="dxa"/>
            <w:vAlign w:val="bottom"/>
          </w:tcPr>
          <w:p>
            <w:pPr>
              <w:spacing w:after="0"/>
              <w:rPr>
                <w:sz w:val="1"/>
                <w:szCs w:val="1"/>
                <w:color w:val="auto"/>
              </w:rPr>
            </w:pP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Unrecognized prior service cost</w:t>
            </w:r>
          </w:p>
        </w:tc>
        <w:tc>
          <w:tcPr>
            <w:tcW w:w="1360" w:type="dxa"/>
            <w:vAlign w:val="bottom"/>
          </w:tcPr>
          <w:p>
            <w:pPr>
              <w:spacing w:after="0"/>
              <w:rPr>
                <w:sz w:val="14"/>
                <w:szCs w:val="14"/>
                <w:color w:val="auto"/>
              </w:rPr>
            </w:pPr>
          </w:p>
        </w:tc>
        <w:tc>
          <w:tcPr>
            <w:tcW w:w="6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w:t>
            </w:r>
          </w:p>
        </w:tc>
        <w:tc>
          <w:tcPr>
            <w:tcW w:w="1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w:t>
            </w:r>
          </w:p>
        </w:tc>
        <w:tc>
          <w:tcPr>
            <w:tcW w:w="0" w:type="dxa"/>
            <w:vAlign w:val="bottom"/>
          </w:tcPr>
          <w:p>
            <w:pPr>
              <w:spacing w:after="0"/>
              <w:rPr>
                <w:sz w:val="1"/>
                <w:szCs w:val="1"/>
                <w:color w:val="auto"/>
              </w:rPr>
            </w:pP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Unrecognized net asset at</w:t>
            </w:r>
          </w:p>
        </w:tc>
        <w:tc>
          <w:tcPr>
            <w:tcW w:w="1360" w:type="dxa"/>
            <w:vAlign w:val="bottom"/>
          </w:tcPr>
          <w:p>
            <w:pPr>
              <w:spacing w:after="0"/>
              <w:rPr>
                <w:sz w:val="14"/>
                <w:szCs w:val="14"/>
                <w:color w:val="auto"/>
              </w:rPr>
            </w:pPr>
          </w:p>
        </w:tc>
        <w:tc>
          <w:tcPr>
            <w:tcW w:w="66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(1)</w:t>
            </w:r>
          </w:p>
        </w:tc>
        <w:tc>
          <w:tcPr>
            <w:tcW w:w="19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w:t>
            </w:r>
          </w:p>
        </w:tc>
        <w:tc>
          <w:tcPr>
            <w:tcW w:w="0" w:type="dxa"/>
            <w:vAlign w:val="bottom"/>
          </w:tcPr>
          <w:p>
            <w:pPr>
              <w:spacing w:after="0"/>
              <w:rPr>
                <w:sz w:val="1"/>
                <w:szCs w:val="1"/>
                <w:color w:val="auto"/>
              </w:rPr>
            </w:pPr>
          </w:p>
        </w:tc>
      </w:tr>
      <w:tr>
        <w:trPr>
          <w:trHeight w:val="168"/>
        </w:trPr>
        <w:tc>
          <w:tcPr>
            <w:tcW w:w="30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transition date</w:t>
            </w:r>
          </w:p>
        </w:tc>
        <w:tc>
          <w:tcPr>
            <w:tcW w:w="136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020" w:type="dxa"/>
            <w:vAlign w:val="bottom"/>
            <w:vMerge w:val="restart"/>
          </w:tcPr>
          <w:p>
            <w:pPr>
              <w:spacing w:after="0"/>
              <w:rPr>
                <w:sz w:val="20"/>
                <w:szCs w:val="20"/>
                <w:color w:val="auto"/>
              </w:rPr>
            </w:pPr>
            <w:r>
              <w:rPr>
                <w:rFonts w:ascii="Courier New" w:cs="Courier New" w:eastAsia="Courier New" w:hAnsi="Courier New"/>
                <w:sz w:val="15"/>
                <w:szCs w:val="15"/>
                <w:color w:val="auto"/>
              </w:rPr>
              <w:t>Pension asset</w:t>
            </w:r>
          </w:p>
        </w:tc>
        <w:tc>
          <w:tcPr>
            <w:tcW w:w="20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3020" w:type="dxa"/>
            <w:vAlign w:val="bottom"/>
            <w:vMerge w:val="continue"/>
          </w:tcPr>
          <w:p>
            <w:pPr>
              <w:spacing w:after="0"/>
              <w:rPr>
                <w:sz w:val="14"/>
                <w:szCs w:val="14"/>
                <w:color w:val="auto"/>
              </w:rPr>
            </w:pPr>
          </w:p>
        </w:tc>
        <w:tc>
          <w:tcPr>
            <w:tcW w:w="1360" w:type="dxa"/>
            <w:vAlign w:val="bottom"/>
          </w:tcPr>
          <w:p>
            <w:pPr>
              <w:spacing w:after="0"/>
              <w:rPr>
                <w:sz w:val="14"/>
                <w:szCs w:val="14"/>
                <w:color w:val="auto"/>
              </w:rPr>
            </w:pPr>
          </w:p>
        </w:tc>
        <w:tc>
          <w:tcPr>
            <w:tcW w:w="6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4"/>
              </w:rPr>
              <w:t>$ 10</w:t>
            </w:r>
          </w:p>
        </w:tc>
        <w:tc>
          <w:tcPr>
            <w:tcW w:w="1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$ 34</w:t>
            </w:r>
          </w:p>
        </w:tc>
        <w:tc>
          <w:tcPr>
            <w:tcW w:w="0" w:type="dxa"/>
            <w:vAlign w:val="bottom"/>
          </w:tcPr>
          <w:p>
            <w:pPr>
              <w:spacing w:after="0"/>
              <w:rPr>
                <w:sz w:val="1"/>
                <w:szCs w:val="1"/>
                <w:color w:val="auto"/>
              </w:rPr>
            </w:pPr>
          </w:p>
        </w:tc>
      </w:tr>
      <w:tr>
        <w:trPr>
          <w:trHeight w:val="245"/>
        </w:trPr>
        <w:tc>
          <w:tcPr>
            <w:tcW w:w="3020" w:type="dxa"/>
            <w:vAlign w:val="bottom"/>
          </w:tcPr>
          <w:p>
            <w:pPr>
              <w:spacing w:after="0"/>
              <w:rPr>
                <w:sz w:val="21"/>
                <w:szCs w:val="21"/>
                <w:color w:val="auto"/>
              </w:rPr>
            </w:pPr>
          </w:p>
        </w:tc>
        <w:tc>
          <w:tcPr>
            <w:tcW w:w="20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9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841"/>
        </w:trPr>
        <w:tc>
          <w:tcPr>
            <w:tcW w:w="3020" w:type="dxa"/>
            <w:vAlign w:val="bottom"/>
          </w:tcPr>
          <w:p>
            <w:pPr>
              <w:spacing w:after="0"/>
              <w:rPr>
                <w:sz w:val="24"/>
                <w:szCs w:val="24"/>
                <w:color w:val="auto"/>
              </w:rPr>
            </w:pPr>
          </w:p>
        </w:tc>
        <w:tc>
          <w:tcPr>
            <w:tcW w:w="13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F-27</w:t>
            </w:r>
          </w:p>
        </w:tc>
        <w:tc>
          <w:tcPr>
            <w:tcW w:w="6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39"/>
          </w:cols>
          <w:pgMar w:left="220" w:top="766" w:right="1440" w:bottom="1134" w:gutter="0" w:footer="0" w:header="0"/>
        </w:sectPr>
      </w:pPr>
    </w:p>
    <w:bookmarkStart w:id="41" w:name="page42"/>
    <w:bookmarkEnd w:id="41"/>
    <w:p>
      <w:pPr>
        <w:ind w:right="3239"/>
        <w:spacing w:after="0" w:line="280" w:lineRule="auto"/>
        <w:rPr>
          <w:sz w:val="20"/>
          <w:szCs w:val="20"/>
          <w:color w:val="auto"/>
        </w:rPr>
      </w:pPr>
      <w:r>
        <w:rPr>
          <w:rFonts w:ascii="Courier New" w:cs="Courier New" w:eastAsia="Courier New" w:hAnsi="Courier New"/>
          <w:sz w:val="14"/>
          <w:szCs w:val="14"/>
          <w:color w:val="auto"/>
        </w:rPr>
        <w:t>The assumed discount rate and rate of compensation increases used to determine the projected benefit obligation were 6% and 4%, respectively, in 2001, and 6.5% and 4%, respectively, in 2000; the expected long-term rate of return on plan assets was 9% in 2001 and 2000. Plan assets consisted of common stocks ($702 million), cash or cash equivalents ($23 million) and fixed income investments ($143 million). None of the plan assets represented Schlumberger common stock.</w:t>
      </w:r>
    </w:p>
    <w:p>
      <w:pPr>
        <w:spacing w:after="0" w:line="67" w:lineRule="exact"/>
        <w:rPr>
          <w:sz w:val="20"/>
          <w:szCs w:val="20"/>
          <w:color w:val="auto"/>
        </w:rPr>
      </w:pPr>
    </w:p>
    <w:p>
      <w:pPr>
        <w:ind w:right="3399"/>
        <w:spacing w:after="0" w:line="320" w:lineRule="auto"/>
        <w:rPr>
          <w:sz w:val="20"/>
          <w:szCs w:val="20"/>
          <w:color w:val="auto"/>
        </w:rPr>
      </w:pPr>
      <w:r>
        <w:rPr>
          <w:rFonts w:ascii="Courier New" w:cs="Courier New" w:eastAsia="Courier New" w:hAnsi="Courier New"/>
          <w:sz w:val="14"/>
          <w:szCs w:val="14"/>
          <w:color w:val="auto"/>
        </w:rPr>
        <w:t>For defined contribution plans, funding and cost are generally based upon a predetermined percentage of employee compensation. Charges to expense in 2001, 2000 and 1999, were $32 million, $22 million and $24 million, respectively.</w:t>
      </w:r>
    </w:p>
    <w:p>
      <w:pPr>
        <w:spacing w:after="0" w:line="3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DEFERRED BENEFITS</w:t>
      </w:r>
    </w:p>
    <w:p>
      <w:pPr>
        <w:spacing w:after="0" w:line="166" w:lineRule="exact"/>
        <w:rPr>
          <w:sz w:val="20"/>
          <w:szCs w:val="20"/>
          <w:color w:val="auto"/>
        </w:rPr>
      </w:pPr>
    </w:p>
    <w:p>
      <w:pPr>
        <w:ind w:right="3239"/>
        <w:spacing w:after="0" w:line="273" w:lineRule="auto"/>
        <w:rPr>
          <w:sz w:val="20"/>
          <w:szCs w:val="20"/>
          <w:color w:val="auto"/>
        </w:rPr>
      </w:pPr>
      <w:r>
        <w:rPr>
          <w:rFonts w:ascii="Courier New" w:cs="Courier New" w:eastAsia="Courier New" w:hAnsi="Courier New"/>
          <w:sz w:val="15"/>
          <w:szCs w:val="15"/>
          <w:color w:val="auto"/>
        </w:rPr>
        <w:t>In addition to providing pension benefits, Schlumberger and its subsidiaries have other deferred benefit programs, primarily profit sharing. Expenses for these programs were $192 million, $114 million and $73 million in 2001, 2000 and 1999, respectively.</w:t>
      </w:r>
    </w:p>
    <w:p>
      <w:pPr>
        <w:spacing w:after="0" w:line="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HEALTH CARE BENEFITS</w:t>
      </w:r>
    </w:p>
    <w:p>
      <w:pPr>
        <w:spacing w:after="0" w:line="166" w:lineRule="exact"/>
        <w:rPr>
          <w:sz w:val="20"/>
          <w:szCs w:val="20"/>
          <w:color w:val="auto"/>
        </w:rPr>
      </w:pPr>
    </w:p>
    <w:p>
      <w:pPr>
        <w:ind w:right="3319"/>
        <w:spacing w:after="0" w:line="264" w:lineRule="auto"/>
        <w:rPr>
          <w:sz w:val="20"/>
          <w:szCs w:val="20"/>
          <w:color w:val="auto"/>
        </w:rPr>
      </w:pPr>
      <w:r>
        <w:rPr>
          <w:rFonts w:ascii="Courier New" w:cs="Courier New" w:eastAsia="Courier New" w:hAnsi="Courier New"/>
          <w:sz w:val="15"/>
          <w:szCs w:val="15"/>
          <w:color w:val="auto"/>
        </w:rPr>
        <w:t>Schlumberger and its US subsidiary provide health care benefits for certain active employees. The cost of providing these benefits is recognized as expense when incurred and aggregated $68 million, $60 million and $53 million in 2001, 2000 and 1999, respectively. Outside the US, such benefits are mostly provided through government-sponsored programs.</w:t>
      </w:r>
    </w:p>
    <w:p>
      <w:pPr>
        <w:spacing w:after="0" w:line="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POSTRETIREMENT BENEFITS OTHER THAN PENSIONS</w:t>
      </w:r>
    </w:p>
    <w:p>
      <w:pPr>
        <w:spacing w:after="0" w:line="166" w:lineRule="exact"/>
        <w:rPr>
          <w:sz w:val="20"/>
          <w:szCs w:val="20"/>
          <w:color w:val="auto"/>
        </w:rPr>
      </w:pPr>
    </w:p>
    <w:p>
      <w:pPr>
        <w:ind w:right="3759"/>
        <w:spacing w:after="0" w:line="344" w:lineRule="auto"/>
        <w:rPr>
          <w:sz w:val="20"/>
          <w:szCs w:val="20"/>
          <w:color w:val="auto"/>
        </w:rPr>
      </w:pPr>
      <w:r>
        <w:rPr>
          <w:rFonts w:ascii="Courier New" w:cs="Courier New" w:eastAsia="Courier New" w:hAnsi="Courier New"/>
          <w:sz w:val="15"/>
          <w:szCs w:val="15"/>
          <w:color w:val="auto"/>
        </w:rPr>
        <w:t>Schlumberger and its US subsidiary provide certain health care benefits to former employees who have retired under the US pension plans.</w:t>
      </w:r>
    </w:p>
    <w:p>
      <w:pPr>
        <w:spacing w:after="0" w:line="17" w:lineRule="exact"/>
        <w:rPr>
          <w:sz w:val="20"/>
          <w:szCs w:val="20"/>
          <w:color w:val="auto"/>
        </w:rPr>
      </w:pPr>
    </w:p>
    <w:p>
      <w:pPr>
        <w:ind w:right="3319"/>
        <w:spacing w:after="0" w:line="320" w:lineRule="auto"/>
        <w:rPr>
          <w:sz w:val="20"/>
          <w:szCs w:val="20"/>
          <w:color w:val="auto"/>
        </w:rPr>
      </w:pPr>
      <w:r>
        <w:rPr>
          <w:rFonts w:ascii="Courier New" w:cs="Courier New" w:eastAsia="Courier New" w:hAnsi="Courier New"/>
          <w:sz w:val="14"/>
          <w:szCs w:val="14"/>
          <w:color w:val="auto"/>
        </w:rPr>
        <w:t>The principal actuarial assumptions used to measure costs were a discount rate of 7.5% in 2001, 7.75% in 2000 and 7% in 1999. The overall medical cost trend rate assumption is 9.5% graded to 5% over the next six years and 5% thereafter.</w:t>
      </w:r>
    </w:p>
    <w:p>
      <w:pPr>
        <w:spacing w:after="0" w:line="38" w:lineRule="exact"/>
        <w:rPr>
          <w:sz w:val="20"/>
          <w:szCs w:val="20"/>
          <w:color w:val="auto"/>
        </w:rPr>
      </w:pPr>
    </w:p>
    <w:p>
      <w:pPr>
        <w:ind w:right="3679"/>
        <w:spacing w:after="0" w:line="344" w:lineRule="auto"/>
        <w:rPr>
          <w:sz w:val="20"/>
          <w:szCs w:val="20"/>
          <w:color w:val="auto"/>
        </w:rPr>
      </w:pPr>
      <w:r>
        <w:rPr>
          <w:rFonts w:ascii="Courier New" w:cs="Courier New" w:eastAsia="Courier New" w:hAnsi="Courier New"/>
          <w:sz w:val="15"/>
          <w:szCs w:val="15"/>
          <w:color w:val="auto"/>
        </w:rPr>
        <w:t>Net periodic postretirement benefit cost in the US for 2001, 2000 and 1999, included the following components: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24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3100" w:type="dxa"/>
            <w:vAlign w:val="bottom"/>
            <w:gridSpan w:val="2"/>
          </w:tcPr>
          <w:p>
            <w:pPr>
              <w:jc w:val="right"/>
              <w:ind w:right="807"/>
              <w:spacing w:after="0"/>
              <w:rPr>
                <w:sz w:val="20"/>
                <w:szCs w:val="20"/>
                <w:color w:val="auto"/>
              </w:rPr>
            </w:pPr>
            <w:r>
              <w:rPr>
                <w:rFonts w:ascii="Courier New" w:cs="Courier New" w:eastAsia="Courier New" w:hAnsi="Courier New"/>
                <w:sz w:val="15"/>
                <w:szCs w:val="15"/>
                <w:color w:val="auto"/>
              </w:rPr>
              <w:t>(Stated in millions)</w:t>
            </w:r>
          </w:p>
        </w:tc>
        <w:tc>
          <w:tcPr>
            <w:tcW w:w="0" w:type="dxa"/>
            <w:vAlign w:val="bottom"/>
          </w:tcPr>
          <w:p>
            <w:pPr>
              <w:spacing w:after="0"/>
              <w:rPr>
                <w:sz w:val="1"/>
                <w:szCs w:val="1"/>
                <w:color w:val="auto"/>
              </w:rPr>
            </w:pPr>
          </w:p>
        </w:tc>
      </w:tr>
      <w:tr>
        <w:trPr>
          <w:trHeight w:val="596"/>
        </w:trPr>
        <w:tc>
          <w:tcPr>
            <w:tcW w:w="3240" w:type="dxa"/>
            <w:vAlign w:val="bottom"/>
          </w:tcPr>
          <w:p>
            <w:pPr>
              <w:spacing w:after="0"/>
              <w:rPr>
                <w:sz w:val="24"/>
                <w:szCs w:val="24"/>
                <w:color w:val="auto"/>
              </w:rPr>
            </w:pPr>
          </w:p>
        </w:tc>
        <w:tc>
          <w:tcPr>
            <w:tcW w:w="154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2001</w:t>
            </w:r>
          </w:p>
        </w:tc>
        <w:tc>
          <w:tcPr>
            <w:tcW w:w="170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2000</w:t>
            </w:r>
          </w:p>
        </w:tc>
        <w:tc>
          <w:tcPr>
            <w:tcW w:w="14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1999</w:t>
            </w:r>
          </w:p>
        </w:tc>
        <w:tc>
          <w:tcPr>
            <w:tcW w:w="0" w:type="dxa"/>
            <w:vAlign w:val="bottom"/>
          </w:tcPr>
          <w:p>
            <w:pPr>
              <w:spacing w:after="0"/>
              <w:rPr>
                <w:sz w:val="1"/>
                <w:szCs w:val="1"/>
                <w:color w:val="auto"/>
              </w:rPr>
            </w:pPr>
          </w:p>
        </w:tc>
      </w:tr>
      <w:tr>
        <w:trPr>
          <w:trHeight w:val="245"/>
        </w:trPr>
        <w:tc>
          <w:tcPr>
            <w:tcW w:w="3240" w:type="dxa"/>
            <w:vAlign w:val="bottom"/>
          </w:tcPr>
          <w:p>
            <w:pPr>
              <w:spacing w:after="0"/>
              <w:rPr>
                <w:sz w:val="21"/>
                <w:szCs w:val="21"/>
                <w:color w:val="auto"/>
              </w:rPr>
            </w:pPr>
          </w:p>
        </w:tc>
        <w:tc>
          <w:tcPr>
            <w:tcW w:w="15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427"/>
        </w:trPr>
        <w:tc>
          <w:tcPr>
            <w:tcW w:w="3240" w:type="dxa"/>
            <w:vAlign w:val="bottom"/>
          </w:tcPr>
          <w:p>
            <w:pPr>
              <w:spacing w:after="0"/>
              <w:rPr>
                <w:sz w:val="20"/>
                <w:szCs w:val="20"/>
                <w:color w:val="auto"/>
              </w:rPr>
            </w:pPr>
            <w:r>
              <w:rPr>
                <w:rFonts w:ascii="Courier New" w:cs="Courier New" w:eastAsia="Courier New" w:hAnsi="Courier New"/>
                <w:sz w:val="15"/>
                <w:szCs w:val="15"/>
                <w:color w:val="auto"/>
              </w:rPr>
              <w:t>Service cost - benefits</w:t>
            </w:r>
          </w:p>
        </w:tc>
        <w:tc>
          <w:tcPr>
            <w:tcW w:w="154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$ 13</w:t>
            </w:r>
          </w:p>
        </w:tc>
        <w:tc>
          <w:tcPr>
            <w:tcW w:w="1700" w:type="dxa"/>
            <w:vAlign w:val="bottom"/>
            <w:vMerge w:val="restart"/>
          </w:tcPr>
          <w:p>
            <w:pPr>
              <w:jc w:val="right"/>
              <w:ind w:right="367"/>
              <w:spacing w:after="0"/>
              <w:rPr>
                <w:sz w:val="20"/>
                <w:szCs w:val="20"/>
                <w:color w:val="auto"/>
              </w:rPr>
            </w:pPr>
            <w:r>
              <w:rPr>
                <w:rFonts w:ascii="Courier New" w:cs="Courier New" w:eastAsia="Courier New" w:hAnsi="Courier New"/>
                <w:sz w:val="15"/>
                <w:szCs w:val="15"/>
                <w:color w:val="auto"/>
              </w:rPr>
              <w:t>$ 10</w:t>
            </w:r>
          </w:p>
        </w:tc>
        <w:tc>
          <w:tcPr>
            <w:tcW w:w="140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$ 11</w:t>
            </w:r>
          </w:p>
        </w:tc>
        <w:tc>
          <w:tcPr>
            <w:tcW w:w="0" w:type="dxa"/>
            <w:vAlign w:val="bottom"/>
          </w:tcPr>
          <w:p>
            <w:pPr>
              <w:spacing w:after="0"/>
              <w:rPr>
                <w:sz w:val="1"/>
                <w:szCs w:val="1"/>
                <w:color w:val="auto"/>
              </w:rPr>
            </w:pPr>
          </w:p>
        </w:tc>
      </w:tr>
      <w:tr>
        <w:trPr>
          <w:trHeight w:val="168"/>
        </w:trPr>
        <w:tc>
          <w:tcPr>
            <w:tcW w:w="32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earned during the period</w:t>
            </w:r>
          </w:p>
        </w:tc>
        <w:tc>
          <w:tcPr>
            <w:tcW w:w="1540" w:type="dxa"/>
            <w:vAlign w:val="bottom"/>
            <w:vMerge w:val="continue"/>
          </w:tcPr>
          <w:p>
            <w:pPr>
              <w:spacing w:after="0"/>
              <w:rPr>
                <w:sz w:val="14"/>
                <w:szCs w:val="14"/>
                <w:color w:val="auto"/>
              </w:rPr>
            </w:pPr>
          </w:p>
        </w:tc>
        <w:tc>
          <w:tcPr>
            <w:tcW w:w="1700" w:type="dxa"/>
            <w:vAlign w:val="bottom"/>
            <w:vMerge w:val="continue"/>
          </w:tcPr>
          <w:p>
            <w:pPr>
              <w:spacing w:after="0"/>
              <w:rPr>
                <w:sz w:val="14"/>
                <w:szCs w:val="14"/>
                <w:color w:val="auto"/>
              </w:rPr>
            </w:pPr>
          </w:p>
        </w:tc>
        <w:tc>
          <w:tcPr>
            <w:tcW w:w="14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cost on accumulated</w:t>
            </w:r>
          </w:p>
        </w:tc>
        <w:tc>
          <w:tcPr>
            <w:tcW w:w="154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32</w:t>
            </w:r>
          </w:p>
        </w:tc>
        <w:tc>
          <w:tcPr>
            <w:tcW w:w="1700" w:type="dxa"/>
            <w:vAlign w:val="bottom"/>
            <w:vMerge w:val="restart"/>
          </w:tcPr>
          <w:p>
            <w:pPr>
              <w:jc w:val="right"/>
              <w:ind w:right="367"/>
              <w:spacing w:after="0"/>
              <w:rPr>
                <w:sz w:val="20"/>
                <w:szCs w:val="20"/>
                <w:color w:val="auto"/>
              </w:rPr>
            </w:pPr>
            <w:r>
              <w:rPr>
                <w:rFonts w:ascii="Courier New" w:cs="Courier New" w:eastAsia="Courier New" w:hAnsi="Courier New"/>
                <w:sz w:val="15"/>
                <w:szCs w:val="15"/>
                <w:color w:val="auto"/>
              </w:rPr>
              <w:t>28</w:t>
            </w:r>
          </w:p>
        </w:tc>
        <w:tc>
          <w:tcPr>
            <w:tcW w:w="140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23</w:t>
            </w:r>
          </w:p>
        </w:tc>
        <w:tc>
          <w:tcPr>
            <w:tcW w:w="0" w:type="dxa"/>
            <w:vAlign w:val="bottom"/>
          </w:tcPr>
          <w:p>
            <w:pPr>
              <w:spacing w:after="0"/>
              <w:rPr>
                <w:sz w:val="1"/>
                <w:szCs w:val="1"/>
                <w:color w:val="auto"/>
              </w:rPr>
            </w:pPr>
          </w:p>
        </w:tc>
      </w:tr>
      <w:tr>
        <w:trPr>
          <w:trHeight w:val="168"/>
        </w:trPr>
        <w:tc>
          <w:tcPr>
            <w:tcW w:w="32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8"/>
              </w:rPr>
              <w:t>postretirement benefit obligation</w:t>
            </w:r>
          </w:p>
        </w:tc>
        <w:tc>
          <w:tcPr>
            <w:tcW w:w="1540" w:type="dxa"/>
            <w:vAlign w:val="bottom"/>
            <w:vMerge w:val="continue"/>
          </w:tcPr>
          <w:p>
            <w:pPr>
              <w:spacing w:after="0"/>
              <w:rPr>
                <w:sz w:val="14"/>
                <w:szCs w:val="14"/>
                <w:color w:val="auto"/>
              </w:rPr>
            </w:pPr>
          </w:p>
        </w:tc>
        <w:tc>
          <w:tcPr>
            <w:tcW w:w="1700" w:type="dxa"/>
            <w:vAlign w:val="bottom"/>
            <w:vMerge w:val="continue"/>
          </w:tcPr>
          <w:p>
            <w:pPr>
              <w:spacing w:after="0"/>
              <w:rPr>
                <w:sz w:val="14"/>
                <w:szCs w:val="14"/>
                <w:color w:val="auto"/>
              </w:rPr>
            </w:pPr>
          </w:p>
        </w:tc>
        <w:tc>
          <w:tcPr>
            <w:tcW w:w="14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Amortization of unrecognized net</w:t>
            </w:r>
          </w:p>
        </w:tc>
        <w:tc>
          <w:tcPr>
            <w:tcW w:w="154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(1)</w:t>
            </w:r>
          </w:p>
        </w:tc>
        <w:tc>
          <w:tcPr>
            <w:tcW w:w="1700" w:type="dxa"/>
            <w:vAlign w:val="bottom"/>
            <w:vMerge w:val="restart"/>
          </w:tcPr>
          <w:p>
            <w:pPr>
              <w:jc w:val="right"/>
              <w:ind w:right="267"/>
              <w:spacing w:after="0"/>
              <w:rPr>
                <w:sz w:val="20"/>
                <w:szCs w:val="20"/>
                <w:color w:val="auto"/>
              </w:rPr>
            </w:pPr>
            <w:r>
              <w:rPr>
                <w:rFonts w:ascii="Courier New" w:cs="Courier New" w:eastAsia="Courier New" w:hAnsi="Courier New"/>
                <w:sz w:val="15"/>
                <w:szCs w:val="15"/>
                <w:color w:val="auto"/>
              </w:rPr>
              <w:t>(3)</w:t>
            </w:r>
          </w:p>
        </w:tc>
        <w:tc>
          <w:tcPr>
            <w:tcW w:w="14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(3)</w:t>
            </w:r>
          </w:p>
        </w:tc>
        <w:tc>
          <w:tcPr>
            <w:tcW w:w="0" w:type="dxa"/>
            <w:vAlign w:val="bottom"/>
          </w:tcPr>
          <w:p>
            <w:pPr>
              <w:spacing w:after="0"/>
              <w:rPr>
                <w:sz w:val="1"/>
                <w:szCs w:val="1"/>
                <w:color w:val="auto"/>
              </w:rPr>
            </w:pPr>
          </w:p>
        </w:tc>
      </w:tr>
      <w:tr>
        <w:trPr>
          <w:trHeight w:val="168"/>
        </w:trPr>
        <w:tc>
          <w:tcPr>
            <w:tcW w:w="32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gain and other</w:t>
            </w:r>
          </w:p>
        </w:tc>
        <w:tc>
          <w:tcPr>
            <w:tcW w:w="1540" w:type="dxa"/>
            <w:vAlign w:val="bottom"/>
            <w:vMerge w:val="continue"/>
          </w:tcPr>
          <w:p>
            <w:pPr>
              <w:spacing w:after="0"/>
              <w:rPr>
                <w:sz w:val="14"/>
                <w:szCs w:val="14"/>
                <w:color w:val="auto"/>
              </w:rPr>
            </w:pPr>
          </w:p>
        </w:tc>
        <w:tc>
          <w:tcPr>
            <w:tcW w:w="1700" w:type="dxa"/>
            <w:vAlign w:val="bottom"/>
            <w:vMerge w:val="continue"/>
          </w:tcPr>
          <w:p>
            <w:pPr>
              <w:spacing w:after="0"/>
              <w:rPr>
                <w:sz w:val="14"/>
                <w:szCs w:val="14"/>
                <w:color w:val="auto"/>
              </w:rPr>
            </w:pPr>
          </w:p>
        </w:tc>
        <w:tc>
          <w:tcPr>
            <w:tcW w:w="14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240" w:type="dxa"/>
            <w:vAlign w:val="bottom"/>
          </w:tcPr>
          <w:p>
            <w:pPr>
              <w:spacing w:after="0"/>
              <w:rPr>
                <w:sz w:val="14"/>
                <w:szCs w:val="14"/>
                <w:color w:val="auto"/>
              </w:rPr>
            </w:pPr>
          </w:p>
        </w:tc>
        <w:tc>
          <w:tcPr>
            <w:tcW w:w="15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3240" w:type="dxa"/>
            <w:vAlign w:val="bottom"/>
          </w:tcPr>
          <w:p>
            <w:pPr>
              <w:spacing w:after="0"/>
              <w:rPr>
                <w:sz w:val="14"/>
                <w:szCs w:val="14"/>
                <w:color w:val="auto"/>
              </w:rPr>
            </w:pPr>
          </w:p>
        </w:tc>
        <w:tc>
          <w:tcPr>
            <w:tcW w:w="15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$ 44</w:t>
            </w:r>
          </w:p>
        </w:tc>
        <w:tc>
          <w:tcPr>
            <w:tcW w:w="17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$ 35</w:t>
            </w: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$ 31</w:t>
            </w:r>
          </w:p>
        </w:tc>
        <w:tc>
          <w:tcPr>
            <w:tcW w:w="0" w:type="dxa"/>
            <w:vAlign w:val="bottom"/>
          </w:tcPr>
          <w:p>
            <w:pPr>
              <w:spacing w:after="0"/>
              <w:rPr>
                <w:sz w:val="1"/>
                <w:szCs w:val="1"/>
                <w:color w:val="auto"/>
              </w:rPr>
            </w:pPr>
          </w:p>
        </w:tc>
      </w:tr>
      <w:tr>
        <w:trPr>
          <w:trHeight w:val="245"/>
        </w:trPr>
        <w:tc>
          <w:tcPr>
            <w:tcW w:w="3240" w:type="dxa"/>
            <w:vAlign w:val="bottom"/>
          </w:tcPr>
          <w:p>
            <w:pPr>
              <w:spacing w:after="0"/>
              <w:rPr>
                <w:sz w:val="21"/>
                <w:szCs w:val="21"/>
                <w:color w:val="auto"/>
              </w:rPr>
            </w:pPr>
          </w:p>
        </w:tc>
        <w:tc>
          <w:tcPr>
            <w:tcW w:w="15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505"/>
        </w:trPr>
        <w:tc>
          <w:tcPr>
            <w:tcW w:w="3240" w:type="dxa"/>
            <w:vAlign w:val="bottom"/>
          </w:tcPr>
          <w:p>
            <w:pPr>
              <w:spacing w:after="0"/>
              <w:rPr>
                <w:sz w:val="24"/>
                <w:szCs w:val="24"/>
                <w:color w:val="auto"/>
              </w:rPr>
            </w:pPr>
          </w:p>
        </w:tc>
        <w:tc>
          <w:tcPr>
            <w:tcW w:w="1540" w:type="dxa"/>
            <w:vAlign w:val="bottom"/>
          </w:tcPr>
          <w:p>
            <w:pPr>
              <w:jc w:val="right"/>
              <w:ind w:right="1027"/>
              <w:spacing w:after="0"/>
              <w:rPr>
                <w:sz w:val="20"/>
                <w:szCs w:val="20"/>
                <w:color w:val="auto"/>
              </w:rPr>
            </w:pPr>
            <w:r>
              <w:rPr>
                <w:rFonts w:ascii="Courier New" w:cs="Courier New" w:eastAsia="Courier New" w:hAnsi="Courier New"/>
                <w:sz w:val="15"/>
                <w:szCs w:val="15"/>
                <w:color w:val="auto"/>
              </w:rPr>
              <w:t>F-28</w:t>
            </w:r>
          </w:p>
        </w:tc>
        <w:tc>
          <w:tcPr>
            <w:tcW w:w="17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39"/>
          </w:cols>
          <w:pgMar w:left="220" w:top="766" w:right="1440" w:bottom="1440" w:gutter="0" w:footer="0" w:header="0"/>
        </w:sectPr>
      </w:pPr>
    </w:p>
    <w:bookmarkStart w:id="42" w:name="page43"/>
    <w:bookmarkEnd w:id="42"/>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change in accumulated postretirement benefit obligation and funded status on</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December 31, 2001 and 2000, was as follows:</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7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210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5"/>
              </w:rPr>
              <w:t>(Stated in millions)</w:t>
            </w:r>
          </w:p>
        </w:tc>
        <w:tc>
          <w:tcPr>
            <w:tcW w:w="0" w:type="dxa"/>
            <w:vAlign w:val="bottom"/>
          </w:tcPr>
          <w:p>
            <w:pPr>
              <w:spacing w:after="0"/>
              <w:rPr>
                <w:sz w:val="1"/>
                <w:szCs w:val="1"/>
                <w:color w:val="auto"/>
              </w:rPr>
            </w:pPr>
          </w:p>
        </w:tc>
      </w:tr>
      <w:tr>
        <w:trPr>
          <w:trHeight w:val="596"/>
        </w:trPr>
        <w:tc>
          <w:tcPr>
            <w:tcW w:w="3720" w:type="dxa"/>
            <w:vAlign w:val="bottom"/>
          </w:tcPr>
          <w:p>
            <w:pPr>
              <w:spacing w:after="0"/>
              <w:rPr>
                <w:sz w:val="24"/>
                <w:szCs w:val="24"/>
                <w:color w:val="auto"/>
              </w:rPr>
            </w:pPr>
          </w:p>
        </w:tc>
        <w:tc>
          <w:tcPr>
            <w:tcW w:w="15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2001</w:t>
            </w:r>
          </w:p>
        </w:tc>
        <w:tc>
          <w:tcPr>
            <w:tcW w:w="21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2000</w:t>
            </w:r>
          </w:p>
        </w:tc>
        <w:tc>
          <w:tcPr>
            <w:tcW w:w="0" w:type="dxa"/>
            <w:vAlign w:val="bottom"/>
          </w:tcPr>
          <w:p>
            <w:pPr>
              <w:spacing w:after="0"/>
              <w:rPr>
                <w:sz w:val="1"/>
                <w:szCs w:val="1"/>
                <w:color w:val="auto"/>
              </w:rPr>
            </w:pPr>
          </w:p>
        </w:tc>
      </w:tr>
      <w:tr>
        <w:trPr>
          <w:trHeight w:val="245"/>
        </w:trPr>
        <w:tc>
          <w:tcPr>
            <w:tcW w:w="37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427"/>
        </w:trPr>
        <w:tc>
          <w:tcPr>
            <w:tcW w:w="3720" w:type="dxa"/>
            <w:vAlign w:val="bottom"/>
          </w:tcPr>
          <w:p>
            <w:pPr>
              <w:spacing w:after="0"/>
              <w:rPr>
                <w:sz w:val="20"/>
                <w:szCs w:val="20"/>
                <w:color w:val="auto"/>
              </w:rPr>
            </w:pPr>
            <w:r>
              <w:rPr>
                <w:rFonts w:ascii="Courier New" w:cs="Courier New" w:eastAsia="Courier New" w:hAnsi="Courier New"/>
                <w:sz w:val="15"/>
                <w:szCs w:val="15"/>
                <w:color w:val="auto"/>
              </w:rPr>
              <w:t>Accumulated postretirement benefit</w:t>
            </w:r>
          </w:p>
        </w:tc>
        <w:tc>
          <w:tcPr>
            <w:tcW w:w="154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$ 398</w:t>
            </w:r>
          </w:p>
        </w:tc>
        <w:tc>
          <w:tcPr>
            <w:tcW w:w="210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$ 320</w:t>
            </w:r>
          </w:p>
        </w:tc>
        <w:tc>
          <w:tcPr>
            <w:tcW w:w="0" w:type="dxa"/>
            <w:vAlign w:val="bottom"/>
          </w:tcPr>
          <w:p>
            <w:pPr>
              <w:spacing w:after="0"/>
              <w:rPr>
                <w:sz w:val="1"/>
                <w:szCs w:val="1"/>
                <w:color w:val="auto"/>
              </w:rPr>
            </w:pPr>
          </w:p>
        </w:tc>
      </w:tr>
      <w:tr>
        <w:trPr>
          <w:trHeight w:val="168"/>
        </w:trPr>
        <w:tc>
          <w:tcPr>
            <w:tcW w:w="37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obligation at beginning of the year</w:t>
            </w:r>
          </w:p>
        </w:tc>
        <w:tc>
          <w:tcPr>
            <w:tcW w:w="1540" w:type="dxa"/>
            <w:vAlign w:val="bottom"/>
            <w:vMerge w:val="continue"/>
          </w:tcPr>
          <w:p>
            <w:pPr>
              <w:spacing w:after="0"/>
              <w:rPr>
                <w:sz w:val="14"/>
                <w:szCs w:val="14"/>
                <w:color w:val="auto"/>
              </w:rPr>
            </w:pPr>
          </w:p>
        </w:tc>
        <w:tc>
          <w:tcPr>
            <w:tcW w:w="2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Service cost</w:t>
            </w:r>
          </w:p>
        </w:tc>
        <w:tc>
          <w:tcPr>
            <w:tcW w:w="15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w:t>
            </w:r>
          </w:p>
        </w:tc>
        <w:tc>
          <w:tcPr>
            <w:tcW w:w="2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w:t>
            </w:r>
          </w:p>
        </w:tc>
        <w:tc>
          <w:tcPr>
            <w:tcW w:w="0" w:type="dxa"/>
            <w:vAlign w:val="bottom"/>
          </w:tcPr>
          <w:p>
            <w:pPr>
              <w:spacing w:after="0"/>
              <w:rPr>
                <w:sz w:val="1"/>
                <w:szCs w:val="1"/>
                <w:color w:val="auto"/>
              </w:rPr>
            </w:pP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cost</w:t>
            </w:r>
          </w:p>
        </w:tc>
        <w:tc>
          <w:tcPr>
            <w:tcW w:w="15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32</w:t>
            </w:r>
          </w:p>
        </w:tc>
        <w:tc>
          <w:tcPr>
            <w:tcW w:w="2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28</w:t>
            </w:r>
          </w:p>
        </w:tc>
        <w:tc>
          <w:tcPr>
            <w:tcW w:w="0" w:type="dxa"/>
            <w:vAlign w:val="bottom"/>
          </w:tcPr>
          <w:p>
            <w:pPr>
              <w:spacing w:after="0"/>
              <w:rPr>
                <w:sz w:val="1"/>
                <w:szCs w:val="1"/>
                <w:color w:val="auto"/>
              </w:rPr>
            </w:pP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Actuarial losses (gains)</w:t>
            </w:r>
          </w:p>
        </w:tc>
        <w:tc>
          <w:tcPr>
            <w:tcW w:w="15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53</w:t>
            </w:r>
          </w:p>
        </w:tc>
        <w:tc>
          <w:tcPr>
            <w:tcW w:w="2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57</w:t>
            </w:r>
          </w:p>
        </w:tc>
        <w:tc>
          <w:tcPr>
            <w:tcW w:w="0" w:type="dxa"/>
            <w:vAlign w:val="bottom"/>
          </w:tcPr>
          <w:p>
            <w:pPr>
              <w:spacing w:after="0"/>
              <w:rPr>
                <w:sz w:val="1"/>
                <w:szCs w:val="1"/>
                <w:color w:val="auto"/>
              </w:rPr>
            </w:pP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Benefits paid</w:t>
            </w:r>
          </w:p>
        </w:tc>
        <w:tc>
          <w:tcPr>
            <w:tcW w:w="1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w:t>
            </w:r>
          </w:p>
        </w:tc>
        <w:tc>
          <w:tcPr>
            <w:tcW w:w="2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w:t>
            </w:r>
          </w:p>
        </w:tc>
        <w:tc>
          <w:tcPr>
            <w:tcW w:w="0" w:type="dxa"/>
            <w:vAlign w:val="bottom"/>
          </w:tcPr>
          <w:p>
            <w:pPr>
              <w:spacing w:after="0"/>
              <w:rPr>
                <w:sz w:val="1"/>
                <w:szCs w:val="1"/>
                <w:color w:val="auto"/>
              </w:rPr>
            </w:pPr>
          </w:p>
        </w:tc>
      </w:tr>
      <w:tr>
        <w:trPr>
          <w:trHeight w:val="245"/>
        </w:trPr>
        <w:tc>
          <w:tcPr>
            <w:tcW w:w="3720" w:type="dxa"/>
            <w:vAlign w:val="bottom"/>
            <w:vMerge w:val="restart"/>
          </w:tcPr>
          <w:p>
            <w:pPr>
              <w:spacing w:after="0"/>
              <w:rPr>
                <w:sz w:val="20"/>
                <w:szCs w:val="20"/>
                <w:color w:val="auto"/>
              </w:rPr>
            </w:pPr>
            <w:r>
              <w:rPr>
                <w:rFonts w:ascii="Courier New" w:cs="Courier New" w:eastAsia="Courier New" w:hAnsi="Courier New"/>
                <w:sz w:val="15"/>
                <w:szCs w:val="15"/>
                <w:color w:val="auto"/>
              </w:rPr>
              <w:t>Accumulated postretirement benefit</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1"/>
        </w:trPr>
        <w:tc>
          <w:tcPr>
            <w:tcW w:w="3720" w:type="dxa"/>
            <w:vAlign w:val="bottom"/>
            <w:vMerge w:val="continue"/>
          </w:tcPr>
          <w:p>
            <w:pPr>
              <w:spacing w:after="0"/>
              <w:rPr>
                <w:sz w:val="7"/>
                <w:szCs w:val="7"/>
                <w:color w:val="auto"/>
              </w:rPr>
            </w:pPr>
          </w:p>
        </w:tc>
        <w:tc>
          <w:tcPr>
            <w:tcW w:w="154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478</w:t>
            </w:r>
          </w:p>
        </w:tc>
        <w:tc>
          <w:tcPr>
            <w:tcW w:w="210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398</w:t>
            </w:r>
          </w:p>
        </w:tc>
        <w:tc>
          <w:tcPr>
            <w:tcW w:w="0" w:type="dxa"/>
            <w:vAlign w:val="bottom"/>
          </w:tcPr>
          <w:p>
            <w:pPr>
              <w:spacing w:after="0"/>
              <w:rPr>
                <w:sz w:val="1"/>
                <w:szCs w:val="1"/>
                <w:color w:val="auto"/>
              </w:rPr>
            </w:pPr>
          </w:p>
        </w:tc>
      </w:tr>
      <w:tr>
        <w:trPr>
          <w:trHeight w:val="168"/>
        </w:trPr>
        <w:tc>
          <w:tcPr>
            <w:tcW w:w="37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obligation at the end of the year</w:t>
            </w:r>
          </w:p>
        </w:tc>
        <w:tc>
          <w:tcPr>
            <w:tcW w:w="1540" w:type="dxa"/>
            <w:vAlign w:val="bottom"/>
            <w:vMerge w:val="continue"/>
          </w:tcPr>
          <w:p>
            <w:pPr>
              <w:spacing w:after="0"/>
              <w:rPr>
                <w:sz w:val="14"/>
                <w:szCs w:val="14"/>
                <w:color w:val="auto"/>
              </w:rPr>
            </w:pPr>
          </w:p>
        </w:tc>
        <w:tc>
          <w:tcPr>
            <w:tcW w:w="2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Unrecognized net gain</w:t>
            </w:r>
          </w:p>
        </w:tc>
        <w:tc>
          <w:tcPr>
            <w:tcW w:w="15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w:t>
            </w:r>
          </w:p>
        </w:tc>
        <w:tc>
          <w:tcPr>
            <w:tcW w:w="2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67</w:t>
            </w:r>
          </w:p>
        </w:tc>
        <w:tc>
          <w:tcPr>
            <w:tcW w:w="0" w:type="dxa"/>
            <w:vAlign w:val="bottom"/>
          </w:tcPr>
          <w:p>
            <w:pPr>
              <w:spacing w:after="0"/>
              <w:rPr>
                <w:sz w:val="1"/>
                <w:szCs w:val="1"/>
                <w:color w:val="auto"/>
              </w:rPr>
            </w:pP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Unrecognized prior service cost/other</w:t>
            </w:r>
          </w:p>
        </w:tc>
        <w:tc>
          <w:tcPr>
            <w:tcW w:w="15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w:t>
            </w:r>
          </w:p>
        </w:tc>
        <w:tc>
          <w:tcPr>
            <w:tcW w:w="2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11</w:t>
            </w:r>
          </w:p>
        </w:tc>
        <w:tc>
          <w:tcPr>
            <w:tcW w:w="0" w:type="dxa"/>
            <w:vAlign w:val="bottom"/>
          </w:tcPr>
          <w:p>
            <w:pPr>
              <w:spacing w:after="0"/>
              <w:rPr>
                <w:sz w:val="1"/>
                <w:szCs w:val="1"/>
                <w:color w:val="auto"/>
              </w:rPr>
            </w:pPr>
          </w:p>
        </w:tc>
      </w:tr>
      <w:tr>
        <w:trPr>
          <w:trHeight w:val="245"/>
        </w:trPr>
        <w:tc>
          <w:tcPr>
            <w:tcW w:w="3720" w:type="dxa"/>
            <w:vAlign w:val="bottom"/>
          </w:tcPr>
          <w:p>
            <w:pPr>
              <w:spacing w:after="0"/>
              <w:rPr>
                <w:sz w:val="20"/>
                <w:szCs w:val="20"/>
                <w:color w:val="auto"/>
              </w:rPr>
            </w:pPr>
            <w:r>
              <w:rPr>
                <w:rFonts w:ascii="Courier New" w:cs="Courier New" w:eastAsia="Courier New" w:hAnsi="Courier New"/>
                <w:sz w:val="15"/>
                <w:szCs w:val="15"/>
                <w:color w:val="auto"/>
              </w:rPr>
              <w:t>Postretirement benefit liability</w:t>
            </w:r>
          </w:p>
        </w:tc>
        <w:tc>
          <w:tcPr>
            <w:tcW w:w="15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21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1"/>
        </w:trPr>
        <w:tc>
          <w:tcPr>
            <w:tcW w:w="3720" w:type="dxa"/>
            <w:vAlign w:val="bottom"/>
            <w:vMerge w:val="restart"/>
          </w:tcPr>
          <w:p>
            <w:pPr>
              <w:ind w:left="280"/>
              <w:spacing w:after="0"/>
              <w:rPr>
                <w:sz w:val="20"/>
                <w:szCs w:val="20"/>
                <w:color w:val="auto"/>
              </w:rPr>
            </w:pPr>
            <w:r>
              <w:rPr>
                <w:rFonts w:ascii="Courier New" w:cs="Courier New" w:eastAsia="Courier New" w:hAnsi="Courier New"/>
                <w:sz w:val="15"/>
                <w:szCs w:val="15"/>
                <w:color w:val="auto"/>
              </w:rPr>
              <w:t>on December 31</w:t>
            </w:r>
          </w:p>
        </w:tc>
        <w:tc>
          <w:tcPr>
            <w:tcW w:w="1540" w:type="dxa"/>
            <w:vAlign w:val="bottom"/>
            <w:vMerge w:val="continue"/>
          </w:tcPr>
          <w:p>
            <w:pPr>
              <w:spacing w:after="0"/>
              <w:rPr>
                <w:sz w:val="7"/>
                <w:szCs w:val="7"/>
                <w:color w:val="auto"/>
              </w:rPr>
            </w:pPr>
          </w:p>
        </w:tc>
        <w:tc>
          <w:tcPr>
            <w:tcW w:w="21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3720" w:type="dxa"/>
            <w:vAlign w:val="bottom"/>
            <w:vMerge w:val="continue"/>
          </w:tcPr>
          <w:p>
            <w:pPr>
              <w:spacing w:after="0"/>
              <w:rPr>
                <w:sz w:val="14"/>
                <w:szCs w:val="14"/>
                <w:color w:val="auto"/>
              </w:rPr>
            </w:pPr>
          </w:p>
        </w:tc>
        <w:tc>
          <w:tcPr>
            <w:tcW w:w="15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$ 505</w:t>
            </w:r>
          </w:p>
        </w:tc>
        <w:tc>
          <w:tcPr>
            <w:tcW w:w="2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$ 476</w:t>
            </w:r>
          </w:p>
        </w:tc>
        <w:tc>
          <w:tcPr>
            <w:tcW w:w="0" w:type="dxa"/>
            <w:vAlign w:val="bottom"/>
          </w:tcPr>
          <w:p>
            <w:pPr>
              <w:spacing w:after="0"/>
              <w:rPr>
                <w:sz w:val="1"/>
                <w:szCs w:val="1"/>
                <w:color w:val="auto"/>
              </w:rPr>
            </w:pPr>
          </w:p>
        </w:tc>
      </w:tr>
      <w:tr>
        <w:trPr>
          <w:trHeight w:val="245"/>
        </w:trPr>
        <w:tc>
          <w:tcPr>
            <w:tcW w:w="37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ind w:right="3319"/>
        <w:spacing w:after="0" w:line="344" w:lineRule="auto"/>
        <w:rPr>
          <w:sz w:val="20"/>
          <w:szCs w:val="20"/>
          <w:color w:val="auto"/>
        </w:rPr>
      </w:pPr>
      <w:r>
        <w:rPr>
          <w:rFonts w:ascii="Courier New" w:cs="Courier New" w:eastAsia="Courier New" w:hAnsi="Courier New"/>
          <w:sz w:val="15"/>
          <w:szCs w:val="15"/>
          <w:color w:val="auto"/>
        </w:rPr>
        <w:t>The components of the accumulated postretirement benefit obligation on December 31, 2001 and 2000, were as follows: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00" w:type="dxa"/>
            <w:vAlign w:val="bottom"/>
          </w:tcPr>
          <w:p>
            <w:pPr>
              <w:spacing w:after="0"/>
              <w:rPr>
                <w:sz w:val="14"/>
                <w:szCs w:val="14"/>
                <w:color w:val="auto"/>
              </w:rPr>
            </w:pPr>
          </w:p>
        </w:tc>
        <w:tc>
          <w:tcPr>
            <w:tcW w:w="38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(Stated in millions)</w:t>
            </w:r>
          </w:p>
        </w:tc>
      </w:tr>
      <w:tr>
        <w:trPr>
          <w:trHeight w:val="168"/>
        </w:trPr>
        <w:tc>
          <w:tcPr>
            <w:tcW w:w="2200" w:type="dxa"/>
            <w:vAlign w:val="bottom"/>
          </w:tcPr>
          <w:p>
            <w:pPr>
              <w:spacing w:after="0"/>
              <w:rPr>
                <w:sz w:val="14"/>
                <w:szCs w:val="14"/>
                <w:color w:val="auto"/>
              </w:rPr>
            </w:pPr>
          </w:p>
        </w:tc>
        <w:tc>
          <w:tcPr>
            <w:tcW w:w="244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2001</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2000</w:t>
            </w:r>
          </w:p>
        </w:tc>
      </w:tr>
      <w:tr>
        <w:trPr>
          <w:trHeight w:val="245"/>
        </w:trPr>
        <w:tc>
          <w:tcPr>
            <w:tcW w:w="2200" w:type="dxa"/>
            <w:vAlign w:val="bottom"/>
          </w:tcPr>
          <w:p>
            <w:pPr>
              <w:spacing w:after="0"/>
              <w:rPr>
                <w:sz w:val="21"/>
                <w:szCs w:val="21"/>
                <w:color w:val="auto"/>
              </w:rPr>
            </w:pPr>
          </w:p>
        </w:tc>
        <w:tc>
          <w:tcPr>
            <w:tcW w:w="24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259"/>
        </w:trPr>
        <w:tc>
          <w:tcPr>
            <w:tcW w:w="2200" w:type="dxa"/>
            <w:vAlign w:val="bottom"/>
          </w:tcPr>
          <w:p>
            <w:pPr>
              <w:spacing w:after="0"/>
              <w:rPr>
                <w:sz w:val="20"/>
                <w:szCs w:val="20"/>
                <w:color w:val="auto"/>
              </w:rPr>
            </w:pPr>
            <w:r>
              <w:rPr>
                <w:rFonts w:ascii="Courier New" w:cs="Courier New" w:eastAsia="Courier New" w:hAnsi="Courier New"/>
                <w:sz w:val="15"/>
                <w:szCs w:val="15"/>
                <w:color w:val="auto"/>
              </w:rPr>
              <w:t>Retirees</w:t>
            </w:r>
          </w:p>
        </w:tc>
        <w:tc>
          <w:tcPr>
            <w:tcW w:w="24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$ 237</w:t>
            </w:r>
          </w:p>
        </w:tc>
        <w:tc>
          <w:tcPr>
            <w:tcW w:w="1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$ 216</w:t>
            </w:r>
          </w:p>
        </w:tc>
      </w:tr>
      <w:tr>
        <w:trPr>
          <w:trHeight w:val="168"/>
        </w:trPr>
        <w:tc>
          <w:tcPr>
            <w:tcW w:w="2200" w:type="dxa"/>
            <w:vAlign w:val="bottom"/>
          </w:tcPr>
          <w:p>
            <w:pPr>
              <w:spacing w:after="0" w:line="168" w:lineRule="exact"/>
              <w:rPr>
                <w:sz w:val="20"/>
                <w:szCs w:val="20"/>
                <w:color w:val="auto"/>
              </w:rPr>
            </w:pPr>
            <w:r>
              <w:rPr>
                <w:rFonts w:ascii="Courier New" w:cs="Courier New" w:eastAsia="Courier New" w:hAnsi="Courier New"/>
                <w:sz w:val="15"/>
                <w:szCs w:val="15"/>
                <w:color w:val="auto"/>
              </w:rPr>
              <w:t>Fully eligible</w:t>
            </w:r>
          </w:p>
        </w:tc>
        <w:tc>
          <w:tcPr>
            <w:tcW w:w="2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67</w:t>
            </w: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47</w:t>
            </w:r>
          </w:p>
        </w:tc>
      </w:tr>
      <w:tr>
        <w:trPr>
          <w:trHeight w:val="245"/>
        </w:trPr>
        <w:tc>
          <w:tcPr>
            <w:tcW w:w="2200" w:type="dxa"/>
            <w:vAlign w:val="bottom"/>
          </w:tcPr>
          <w:p>
            <w:pPr>
              <w:spacing w:after="0"/>
              <w:rPr>
                <w:sz w:val="20"/>
                <w:szCs w:val="20"/>
                <w:color w:val="auto"/>
              </w:rPr>
            </w:pPr>
            <w:r>
              <w:rPr>
                <w:rFonts w:ascii="Courier New" w:cs="Courier New" w:eastAsia="Courier New" w:hAnsi="Courier New"/>
                <w:sz w:val="15"/>
                <w:szCs w:val="15"/>
                <w:color w:val="auto"/>
              </w:rPr>
              <w:t>Actives</w:t>
            </w:r>
          </w:p>
        </w:tc>
        <w:tc>
          <w:tcPr>
            <w:tcW w:w="24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174</w:t>
            </w:r>
          </w:p>
        </w:tc>
        <w:tc>
          <w:tcPr>
            <w:tcW w:w="1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135</w:t>
            </w:r>
          </w:p>
        </w:tc>
      </w:tr>
      <w:tr>
        <w:trPr>
          <w:trHeight w:val="259"/>
        </w:trPr>
        <w:tc>
          <w:tcPr>
            <w:tcW w:w="2200" w:type="dxa"/>
            <w:vAlign w:val="bottom"/>
          </w:tcPr>
          <w:p>
            <w:pPr>
              <w:spacing w:after="0"/>
              <w:rPr>
                <w:sz w:val="22"/>
                <w:szCs w:val="22"/>
                <w:color w:val="auto"/>
              </w:rPr>
            </w:pPr>
          </w:p>
        </w:tc>
        <w:tc>
          <w:tcPr>
            <w:tcW w:w="24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68"/>
        </w:trPr>
        <w:tc>
          <w:tcPr>
            <w:tcW w:w="2200" w:type="dxa"/>
            <w:vAlign w:val="bottom"/>
          </w:tcPr>
          <w:p>
            <w:pPr>
              <w:spacing w:after="0"/>
              <w:rPr>
                <w:sz w:val="14"/>
                <w:szCs w:val="14"/>
                <w:color w:val="auto"/>
              </w:rPr>
            </w:pPr>
          </w:p>
        </w:tc>
        <w:tc>
          <w:tcPr>
            <w:tcW w:w="2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$ 478</w:t>
            </w: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$ 398</w:t>
            </w:r>
          </w:p>
        </w:tc>
      </w:tr>
      <w:tr>
        <w:trPr>
          <w:trHeight w:val="245"/>
        </w:trPr>
        <w:tc>
          <w:tcPr>
            <w:tcW w:w="2200" w:type="dxa"/>
            <w:vAlign w:val="bottom"/>
          </w:tcPr>
          <w:p>
            <w:pPr>
              <w:spacing w:after="0"/>
              <w:rPr>
                <w:sz w:val="21"/>
                <w:szCs w:val="21"/>
                <w:color w:val="auto"/>
              </w:rPr>
            </w:pPr>
          </w:p>
        </w:tc>
        <w:tc>
          <w:tcPr>
            <w:tcW w:w="24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96" w:lineRule="exact"/>
        <w:rPr>
          <w:sz w:val="20"/>
          <w:szCs w:val="20"/>
          <w:color w:val="auto"/>
        </w:rPr>
      </w:pPr>
    </w:p>
    <w:p>
      <w:pPr>
        <w:ind w:right="3759"/>
        <w:spacing w:after="0" w:line="381" w:lineRule="auto"/>
        <w:rPr>
          <w:sz w:val="20"/>
          <w:szCs w:val="20"/>
          <w:color w:val="auto"/>
        </w:rPr>
      </w:pPr>
      <w:r>
        <w:rPr>
          <w:rFonts w:ascii="Courier New" w:cs="Courier New" w:eastAsia="Courier New" w:hAnsi="Courier New"/>
          <w:sz w:val="14"/>
          <w:szCs w:val="14"/>
          <w:color w:val="auto"/>
        </w:rPr>
        <w:t>The assumed discount rate used to determine the accumulated postretirement benefit obligation was 7.25% for 2001 and 7.50% for 2000.</w:t>
      </w:r>
    </w:p>
    <w:p>
      <w:pPr>
        <w:spacing w:after="0" w:line="1" w:lineRule="exact"/>
        <w:rPr>
          <w:sz w:val="20"/>
          <w:szCs w:val="20"/>
          <w:color w:val="auto"/>
        </w:rPr>
      </w:pPr>
    </w:p>
    <w:p>
      <w:pPr>
        <w:ind w:right="3399"/>
        <w:spacing w:after="0" w:line="273" w:lineRule="auto"/>
        <w:rPr>
          <w:sz w:val="20"/>
          <w:szCs w:val="20"/>
          <w:color w:val="auto"/>
        </w:rPr>
      </w:pPr>
      <w:r>
        <w:rPr>
          <w:rFonts w:ascii="Courier New" w:cs="Courier New" w:eastAsia="Courier New" w:hAnsi="Courier New"/>
          <w:sz w:val="15"/>
          <w:szCs w:val="15"/>
          <w:color w:val="auto"/>
        </w:rPr>
        <w:t>If the assumed medical cost trend rate was increased by one percentage point, health care cost in 2001 would have been $53 million, and the accumulated postretirement benefit obligation would have been $560 million on December 31, 2001.</w:t>
      </w:r>
    </w:p>
    <w:p>
      <w:pPr>
        <w:spacing w:after="0" w:line="68" w:lineRule="exact"/>
        <w:rPr>
          <w:sz w:val="20"/>
          <w:szCs w:val="20"/>
          <w:color w:val="auto"/>
        </w:rPr>
      </w:pPr>
    </w:p>
    <w:p>
      <w:pPr>
        <w:ind w:right="3399"/>
        <w:spacing w:after="0" w:line="273" w:lineRule="auto"/>
        <w:rPr>
          <w:sz w:val="20"/>
          <w:szCs w:val="20"/>
          <w:color w:val="auto"/>
        </w:rPr>
      </w:pPr>
      <w:r>
        <w:rPr>
          <w:rFonts w:ascii="Courier New" w:cs="Courier New" w:eastAsia="Courier New" w:hAnsi="Courier New"/>
          <w:sz w:val="15"/>
          <w:szCs w:val="15"/>
          <w:color w:val="auto"/>
        </w:rPr>
        <w:t>If the assumed medical cost trend rate was decreased by one percentage point, health care cost in 2001 would have been $38 million, and the accumulated postretirement benefit obligation would have been $412 million on December 31, 2001.</w:t>
      </w:r>
    </w:p>
    <w:p>
      <w:pPr>
        <w:spacing w:after="0" w:line="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Supplementary Information</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40" w:lineRule="exact"/>
        <w:rPr>
          <w:sz w:val="20"/>
          <w:szCs w:val="20"/>
          <w:color w:val="auto"/>
        </w:rPr>
      </w:pPr>
    </w:p>
    <w:p>
      <w:pPr>
        <w:ind w:right="3579"/>
        <w:spacing w:after="0" w:line="344" w:lineRule="auto"/>
        <w:rPr>
          <w:sz w:val="20"/>
          <w:szCs w:val="20"/>
          <w:color w:val="auto"/>
        </w:rPr>
      </w:pPr>
      <w:r>
        <w:rPr>
          <w:rFonts w:ascii="Courier New" w:cs="Courier New" w:eastAsia="Courier New" w:hAnsi="Courier New"/>
          <w:sz w:val="15"/>
          <w:szCs w:val="15"/>
          <w:color w:val="auto"/>
        </w:rPr>
        <w:t>Operating revenue and related cost of goods sold and services for continuing operations comprised the following:</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5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200" w:type="dxa"/>
            <w:vAlign w:val="bottom"/>
            <w:gridSpan w:val="2"/>
          </w:tcPr>
          <w:p>
            <w:pPr>
              <w:jc w:val="right"/>
              <w:ind w:right="547"/>
              <w:spacing w:after="0"/>
              <w:rPr>
                <w:sz w:val="20"/>
                <w:szCs w:val="20"/>
                <w:color w:val="auto"/>
              </w:rPr>
            </w:pPr>
            <w:r>
              <w:rPr>
                <w:rFonts w:ascii="Courier New" w:cs="Courier New" w:eastAsia="Courier New" w:hAnsi="Courier New"/>
                <w:sz w:val="15"/>
                <w:szCs w:val="15"/>
                <w:color w:val="auto"/>
              </w:rPr>
              <w:t>(Stated in millions)</w:t>
            </w:r>
          </w:p>
        </w:tc>
        <w:tc>
          <w:tcPr>
            <w:tcW w:w="0" w:type="dxa"/>
            <w:vAlign w:val="bottom"/>
          </w:tcPr>
          <w:p>
            <w:pPr>
              <w:spacing w:after="0"/>
              <w:rPr>
                <w:sz w:val="1"/>
                <w:szCs w:val="1"/>
                <w:color w:val="auto"/>
              </w:rPr>
            </w:pPr>
          </w:p>
        </w:tc>
      </w:tr>
      <w:tr>
        <w:trPr>
          <w:trHeight w:val="596"/>
        </w:trPr>
        <w:tc>
          <w:tcPr>
            <w:tcW w:w="2540" w:type="dxa"/>
            <w:vAlign w:val="bottom"/>
          </w:tcPr>
          <w:p>
            <w:pPr>
              <w:spacing w:after="0"/>
              <w:rPr>
                <w:sz w:val="20"/>
                <w:szCs w:val="20"/>
                <w:color w:val="auto"/>
              </w:rPr>
            </w:pPr>
            <w:r>
              <w:rPr>
                <w:rFonts w:ascii="Courier New" w:cs="Courier New" w:eastAsia="Courier New" w:hAnsi="Courier New"/>
                <w:sz w:val="15"/>
                <w:szCs w:val="15"/>
                <w:color w:val="auto"/>
              </w:rPr>
              <w:t>Year ended December 31,</w:t>
            </w:r>
          </w:p>
        </w:tc>
        <w:tc>
          <w:tcPr>
            <w:tcW w:w="1880" w:type="dxa"/>
            <w:vAlign w:val="bottom"/>
            <w:gridSpan w:val="2"/>
          </w:tcPr>
          <w:p>
            <w:pPr>
              <w:ind w:left="800"/>
              <w:spacing w:after="0"/>
              <w:rPr>
                <w:sz w:val="20"/>
                <w:szCs w:val="20"/>
                <w:color w:val="auto"/>
              </w:rPr>
            </w:pPr>
            <w:r>
              <w:rPr>
                <w:rFonts w:ascii="Courier New" w:cs="Courier New" w:eastAsia="Courier New" w:hAnsi="Courier New"/>
                <w:sz w:val="15"/>
                <w:szCs w:val="15"/>
                <w:color w:val="auto"/>
              </w:rPr>
              <w:t>2001</w:t>
            </w:r>
          </w:p>
        </w:tc>
        <w:tc>
          <w:tcPr>
            <w:tcW w:w="176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2000</w:t>
            </w:r>
          </w:p>
        </w:tc>
        <w:tc>
          <w:tcPr>
            <w:tcW w:w="14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1999</w:t>
            </w:r>
          </w:p>
        </w:tc>
        <w:tc>
          <w:tcPr>
            <w:tcW w:w="0" w:type="dxa"/>
            <w:vAlign w:val="bottom"/>
          </w:tcPr>
          <w:p>
            <w:pPr>
              <w:spacing w:after="0"/>
              <w:rPr>
                <w:sz w:val="1"/>
                <w:szCs w:val="1"/>
                <w:color w:val="auto"/>
              </w:rPr>
            </w:pPr>
          </w:p>
        </w:tc>
      </w:tr>
      <w:tr>
        <w:trPr>
          <w:trHeight w:val="245"/>
        </w:trPr>
        <w:tc>
          <w:tcPr>
            <w:tcW w:w="2540" w:type="dxa"/>
            <w:vAlign w:val="bottom"/>
          </w:tcPr>
          <w:p>
            <w:pPr>
              <w:spacing w:after="0"/>
              <w:rPr>
                <w:sz w:val="21"/>
                <w:szCs w:val="21"/>
                <w:color w:val="auto"/>
              </w:rPr>
            </w:pPr>
          </w:p>
        </w:tc>
        <w:tc>
          <w:tcPr>
            <w:tcW w:w="188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427"/>
        </w:trPr>
        <w:tc>
          <w:tcPr>
            <w:tcW w:w="2540" w:type="dxa"/>
            <w:vAlign w:val="bottom"/>
          </w:tcPr>
          <w:p>
            <w:pPr>
              <w:spacing w:after="0"/>
              <w:rPr>
                <w:sz w:val="20"/>
                <w:szCs w:val="20"/>
                <w:color w:val="auto"/>
              </w:rPr>
            </w:pPr>
            <w:r>
              <w:rPr>
                <w:rFonts w:ascii="Courier New" w:cs="Courier New" w:eastAsia="Courier New" w:hAnsi="Courier New"/>
                <w:sz w:val="15"/>
                <w:szCs w:val="15"/>
                <w:color w:val="auto"/>
              </w:rPr>
              <w:t>Operating revenue</w:t>
            </w:r>
          </w:p>
        </w:tc>
        <w:tc>
          <w:tcPr>
            <w:tcW w:w="960" w:type="dxa"/>
            <w:vAlign w:val="bottom"/>
            <w:vMerge w:val="restart"/>
          </w:tcPr>
          <w:p>
            <w:pPr>
              <w:ind w:left="800"/>
              <w:spacing w:after="0"/>
              <w:rPr>
                <w:sz w:val="20"/>
                <w:szCs w:val="20"/>
                <w:color w:val="auto"/>
              </w:rPr>
            </w:pPr>
            <w:r>
              <w:rPr>
                <w:rFonts w:ascii="Courier New" w:cs="Courier New" w:eastAsia="Courier New" w:hAnsi="Courier New"/>
                <w:sz w:val="15"/>
                <w:szCs w:val="15"/>
                <w:color w:val="auto"/>
              </w:rPr>
              <w:t>$</w:t>
            </w:r>
          </w:p>
        </w:tc>
        <w:tc>
          <w:tcPr>
            <w:tcW w:w="920" w:type="dxa"/>
            <w:vAlign w:val="bottom"/>
            <w:vMerge w:val="restart"/>
          </w:tcPr>
          <w:p>
            <w:pPr>
              <w:jc w:val="right"/>
              <w:ind w:right="307"/>
              <w:spacing w:after="0"/>
              <w:rPr>
                <w:sz w:val="20"/>
                <w:szCs w:val="20"/>
                <w:color w:val="auto"/>
              </w:rPr>
            </w:pPr>
            <w:r>
              <w:rPr>
                <w:rFonts w:ascii="Courier New" w:cs="Courier New" w:eastAsia="Courier New" w:hAnsi="Courier New"/>
                <w:sz w:val="15"/>
                <w:szCs w:val="15"/>
                <w:color w:val="auto"/>
              </w:rPr>
              <w:t>4,896</w:t>
            </w:r>
          </w:p>
        </w:tc>
        <w:tc>
          <w:tcPr>
            <w:tcW w:w="176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$ 4,225</w:t>
            </w:r>
          </w:p>
        </w:tc>
        <w:tc>
          <w:tcPr>
            <w:tcW w:w="144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$ 3,822</w:t>
            </w:r>
          </w:p>
        </w:tc>
        <w:tc>
          <w:tcPr>
            <w:tcW w:w="0" w:type="dxa"/>
            <w:vAlign w:val="bottom"/>
          </w:tcPr>
          <w:p>
            <w:pPr>
              <w:spacing w:after="0"/>
              <w:rPr>
                <w:sz w:val="1"/>
                <w:szCs w:val="1"/>
                <w:color w:val="auto"/>
              </w:rPr>
            </w:pPr>
          </w:p>
        </w:tc>
      </w:tr>
      <w:tr>
        <w:trPr>
          <w:trHeight w:val="168"/>
        </w:trPr>
        <w:tc>
          <w:tcPr>
            <w:tcW w:w="25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Products</w:t>
            </w:r>
          </w:p>
        </w:tc>
        <w:tc>
          <w:tcPr>
            <w:tcW w:w="96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1760" w:type="dxa"/>
            <w:vAlign w:val="bottom"/>
            <w:vMerge w:val="continue"/>
          </w:tcPr>
          <w:p>
            <w:pPr>
              <w:spacing w:after="0"/>
              <w:rPr>
                <w:sz w:val="14"/>
                <w:szCs w:val="14"/>
                <w:color w:val="auto"/>
              </w:rPr>
            </w:pPr>
          </w:p>
        </w:tc>
        <w:tc>
          <w:tcPr>
            <w:tcW w:w="1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2540" w:type="dxa"/>
            <w:vAlign w:val="bottom"/>
          </w:tcPr>
          <w:p>
            <w:pPr>
              <w:ind w:left="540"/>
              <w:spacing w:after="0"/>
              <w:rPr>
                <w:sz w:val="20"/>
                <w:szCs w:val="20"/>
                <w:color w:val="auto"/>
              </w:rPr>
            </w:pPr>
            <w:r>
              <w:rPr>
                <w:rFonts w:ascii="Courier New" w:cs="Courier New" w:eastAsia="Courier New" w:hAnsi="Courier New"/>
                <w:sz w:val="15"/>
                <w:szCs w:val="15"/>
                <w:color w:val="auto"/>
              </w:rPr>
              <w:t>Services</w:t>
            </w:r>
          </w:p>
        </w:tc>
        <w:tc>
          <w:tcPr>
            <w:tcW w:w="960" w:type="dxa"/>
            <w:vAlign w:val="bottom"/>
          </w:tcPr>
          <w:p>
            <w:pPr>
              <w:spacing w:after="0"/>
              <w:rPr>
                <w:sz w:val="21"/>
                <w:szCs w:val="21"/>
                <w:color w:val="auto"/>
              </w:rPr>
            </w:pPr>
          </w:p>
        </w:tc>
        <w:tc>
          <w:tcPr>
            <w:tcW w:w="92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8,850</w:t>
            </w:r>
          </w:p>
        </w:tc>
        <w:tc>
          <w:tcPr>
            <w:tcW w:w="17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5,386</w:t>
            </w:r>
          </w:p>
        </w:tc>
        <w:tc>
          <w:tcPr>
            <w:tcW w:w="1440" w:type="dxa"/>
            <w:vAlign w:val="bottom"/>
          </w:tcPr>
          <w:p>
            <w:pPr>
              <w:jc w:val="right"/>
              <w:ind w:right="7"/>
              <w:spacing w:after="0"/>
              <w:rPr>
                <w:sz w:val="20"/>
                <w:szCs w:val="20"/>
                <w:color w:val="auto"/>
              </w:rPr>
            </w:pPr>
            <w:r>
              <w:rPr>
                <w:rFonts w:ascii="Courier New" w:cs="Courier New" w:eastAsia="Courier New" w:hAnsi="Courier New"/>
                <w:sz w:val="15"/>
                <w:szCs w:val="15"/>
                <w:color w:val="auto"/>
              </w:rPr>
              <w:t>4,573</w:t>
            </w:r>
          </w:p>
        </w:tc>
        <w:tc>
          <w:tcPr>
            <w:tcW w:w="0" w:type="dxa"/>
            <w:vAlign w:val="bottom"/>
          </w:tcPr>
          <w:p>
            <w:pPr>
              <w:spacing w:after="0"/>
              <w:rPr>
                <w:sz w:val="1"/>
                <w:szCs w:val="1"/>
                <w:color w:val="auto"/>
              </w:rPr>
            </w:pPr>
          </w:p>
        </w:tc>
      </w:tr>
      <w:tr>
        <w:trPr>
          <w:trHeight w:val="259"/>
        </w:trPr>
        <w:tc>
          <w:tcPr>
            <w:tcW w:w="2540" w:type="dxa"/>
            <w:vAlign w:val="bottom"/>
          </w:tcPr>
          <w:p>
            <w:pPr>
              <w:spacing w:after="0"/>
              <w:rPr>
                <w:sz w:val="22"/>
                <w:szCs w:val="22"/>
                <w:color w:val="auto"/>
              </w:rPr>
            </w:pPr>
          </w:p>
        </w:tc>
        <w:tc>
          <w:tcPr>
            <w:tcW w:w="188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2540" w:type="dxa"/>
            <w:vAlign w:val="bottom"/>
          </w:tcPr>
          <w:p>
            <w:pPr>
              <w:spacing w:after="0"/>
              <w:rPr>
                <w:sz w:val="14"/>
                <w:szCs w:val="14"/>
                <w:color w:val="auto"/>
              </w:rPr>
            </w:pPr>
          </w:p>
        </w:tc>
        <w:tc>
          <w:tcPr>
            <w:tcW w:w="188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$ 13,746</w:t>
            </w:r>
          </w:p>
        </w:tc>
        <w:tc>
          <w:tcPr>
            <w:tcW w:w="17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$ 9,611</w:t>
            </w: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$ 8,395</w:t>
            </w:r>
          </w:p>
        </w:tc>
        <w:tc>
          <w:tcPr>
            <w:tcW w:w="0" w:type="dxa"/>
            <w:vAlign w:val="bottom"/>
          </w:tcPr>
          <w:p>
            <w:pPr>
              <w:spacing w:after="0"/>
              <w:rPr>
                <w:sz w:val="1"/>
                <w:szCs w:val="1"/>
                <w:color w:val="auto"/>
              </w:rPr>
            </w:pPr>
          </w:p>
        </w:tc>
      </w:tr>
      <w:tr>
        <w:trPr>
          <w:trHeight w:val="245"/>
        </w:trPr>
        <w:tc>
          <w:tcPr>
            <w:tcW w:w="2540" w:type="dxa"/>
            <w:vAlign w:val="bottom"/>
          </w:tcPr>
          <w:p>
            <w:pPr>
              <w:spacing w:after="0"/>
              <w:rPr>
                <w:sz w:val="21"/>
                <w:szCs w:val="21"/>
                <w:color w:val="auto"/>
              </w:rPr>
            </w:pPr>
          </w:p>
        </w:tc>
        <w:tc>
          <w:tcPr>
            <w:tcW w:w="188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2540" w:type="dxa"/>
            <w:vAlign w:val="bottom"/>
          </w:tcPr>
          <w:p>
            <w:pPr>
              <w:spacing w:after="0"/>
              <w:rPr>
                <w:sz w:val="20"/>
                <w:szCs w:val="20"/>
                <w:color w:val="auto"/>
              </w:rPr>
            </w:pPr>
            <w:r>
              <w:rPr>
                <w:rFonts w:ascii="Courier New" w:cs="Courier New" w:eastAsia="Courier New" w:hAnsi="Courier New"/>
                <w:sz w:val="15"/>
                <w:szCs w:val="15"/>
                <w:color w:val="auto"/>
              </w:rPr>
              <w:t>Direct operating costs</w:t>
            </w:r>
          </w:p>
        </w:tc>
        <w:tc>
          <w:tcPr>
            <w:tcW w:w="960" w:type="dxa"/>
            <w:vAlign w:val="bottom"/>
            <w:vMerge w:val="restart"/>
          </w:tcPr>
          <w:p>
            <w:pPr>
              <w:ind w:left="800"/>
              <w:spacing w:after="0"/>
              <w:rPr>
                <w:sz w:val="20"/>
                <w:szCs w:val="20"/>
                <w:color w:val="auto"/>
              </w:rPr>
            </w:pPr>
            <w:r>
              <w:rPr>
                <w:rFonts w:ascii="Courier New" w:cs="Courier New" w:eastAsia="Courier New" w:hAnsi="Courier New"/>
                <w:sz w:val="15"/>
                <w:szCs w:val="15"/>
                <w:color w:val="auto"/>
              </w:rPr>
              <w:t>$</w:t>
            </w:r>
          </w:p>
        </w:tc>
        <w:tc>
          <w:tcPr>
            <w:tcW w:w="920" w:type="dxa"/>
            <w:vAlign w:val="bottom"/>
            <w:vMerge w:val="restart"/>
          </w:tcPr>
          <w:p>
            <w:pPr>
              <w:jc w:val="right"/>
              <w:ind w:right="307"/>
              <w:spacing w:after="0"/>
              <w:rPr>
                <w:sz w:val="20"/>
                <w:szCs w:val="20"/>
                <w:color w:val="auto"/>
              </w:rPr>
            </w:pPr>
            <w:r>
              <w:rPr>
                <w:rFonts w:ascii="Courier New" w:cs="Courier New" w:eastAsia="Courier New" w:hAnsi="Courier New"/>
                <w:sz w:val="15"/>
                <w:szCs w:val="15"/>
                <w:color w:val="auto"/>
              </w:rPr>
              <w:t>2,876</w:t>
            </w:r>
          </w:p>
        </w:tc>
        <w:tc>
          <w:tcPr>
            <w:tcW w:w="176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$ 2,582</w:t>
            </w:r>
          </w:p>
        </w:tc>
        <w:tc>
          <w:tcPr>
            <w:tcW w:w="144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$ 2,461</w:t>
            </w:r>
          </w:p>
        </w:tc>
        <w:tc>
          <w:tcPr>
            <w:tcW w:w="0" w:type="dxa"/>
            <w:vAlign w:val="bottom"/>
          </w:tcPr>
          <w:p>
            <w:pPr>
              <w:spacing w:after="0"/>
              <w:rPr>
                <w:sz w:val="1"/>
                <w:szCs w:val="1"/>
                <w:color w:val="auto"/>
              </w:rPr>
            </w:pPr>
          </w:p>
        </w:tc>
      </w:tr>
      <w:tr>
        <w:trPr>
          <w:trHeight w:val="168"/>
        </w:trPr>
        <w:tc>
          <w:tcPr>
            <w:tcW w:w="25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Goods sold</w:t>
            </w:r>
          </w:p>
        </w:tc>
        <w:tc>
          <w:tcPr>
            <w:tcW w:w="96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1760" w:type="dxa"/>
            <w:vAlign w:val="bottom"/>
            <w:vMerge w:val="continue"/>
          </w:tcPr>
          <w:p>
            <w:pPr>
              <w:spacing w:after="0"/>
              <w:rPr>
                <w:sz w:val="14"/>
                <w:szCs w:val="14"/>
                <w:color w:val="auto"/>
              </w:rPr>
            </w:pPr>
          </w:p>
        </w:tc>
        <w:tc>
          <w:tcPr>
            <w:tcW w:w="1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5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Services</w:t>
            </w:r>
          </w:p>
        </w:tc>
        <w:tc>
          <w:tcPr>
            <w:tcW w:w="960" w:type="dxa"/>
            <w:vAlign w:val="bottom"/>
          </w:tcPr>
          <w:p>
            <w:pPr>
              <w:spacing w:after="0"/>
              <w:rPr>
                <w:sz w:val="14"/>
                <w:szCs w:val="14"/>
                <w:color w:val="auto"/>
              </w:rPr>
            </w:pPr>
          </w:p>
        </w:tc>
        <w:tc>
          <w:tcPr>
            <w:tcW w:w="9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7,255</w:t>
            </w:r>
          </w:p>
        </w:tc>
        <w:tc>
          <w:tcPr>
            <w:tcW w:w="17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4,790</w:t>
            </w: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4,288</w:t>
            </w:r>
          </w:p>
        </w:tc>
        <w:tc>
          <w:tcPr>
            <w:tcW w:w="0" w:type="dxa"/>
            <w:vAlign w:val="bottom"/>
          </w:tcPr>
          <w:p>
            <w:pPr>
              <w:spacing w:after="0"/>
              <w:rPr>
                <w:sz w:val="1"/>
                <w:szCs w:val="1"/>
                <w:color w:val="auto"/>
              </w:rPr>
            </w:pPr>
          </w:p>
        </w:tc>
      </w:tr>
      <w:tr>
        <w:trPr>
          <w:trHeight w:val="168"/>
        </w:trPr>
        <w:tc>
          <w:tcPr>
            <w:tcW w:w="2540" w:type="dxa"/>
            <w:vAlign w:val="bottom"/>
          </w:tcPr>
          <w:p>
            <w:pPr>
              <w:spacing w:after="0"/>
              <w:rPr>
                <w:sz w:val="14"/>
                <w:szCs w:val="14"/>
                <w:color w:val="auto"/>
              </w:rPr>
            </w:pPr>
          </w:p>
        </w:tc>
        <w:tc>
          <w:tcPr>
            <w:tcW w:w="18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5"/>
        </w:trPr>
        <w:tc>
          <w:tcPr>
            <w:tcW w:w="2540" w:type="dxa"/>
            <w:vAlign w:val="bottom"/>
          </w:tcPr>
          <w:p>
            <w:pPr>
              <w:spacing w:after="0"/>
              <w:rPr>
                <w:sz w:val="21"/>
                <w:szCs w:val="21"/>
                <w:color w:val="auto"/>
              </w:rPr>
            </w:pPr>
          </w:p>
        </w:tc>
        <w:tc>
          <w:tcPr>
            <w:tcW w:w="1880" w:type="dxa"/>
            <w:vAlign w:val="bottom"/>
            <w:gridSpan w:val="2"/>
          </w:tcPr>
          <w:p>
            <w:pPr>
              <w:jc w:val="right"/>
              <w:ind w:right="307"/>
              <w:spacing w:after="0"/>
              <w:rPr>
                <w:sz w:val="20"/>
                <w:szCs w:val="20"/>
                <w:color w:val="auto"/>
              </w:rPr>
            </w:pPr>
            <w:r>
              <w:rPr>
                <w:rFonts w:ascii="Courier New" w:cs="Courier New" w:eastAsia="Courier New" w:hAnsi="Courier New"/>
                <w:sz w:val="15"/>
                <w:szCs w:val="15"/>
                <w:color w:val="auto"/>
              </w:rPr>
              <w:t>$ 10,131</w:t>
            </w:r>
          </w:p>
        </w:tc>
        <w:tc>
          <w:tcPr>
            <w:tcW w:w="17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$ 7,372</w:t>
            </w:r>
          </w:p>
        </w:tc>
        <w:tc>
          <w:tcPr>
            <w:tcW w:w="1440" w:type="dxa"/>
            <w:vAlign w:val="bottom"/>
          </w:tcPr>
          <w:p>
            <w:pPr>
              <w:jc w:val="right"/>
              <w:ind w:right="7"/>
              <w:spacing w:after="0"/>
              <w:rPr>
                <w:sz w:val="20"/>
                <w:szCs w:val="20"/>
                <w:color w:val="auto"/>
              </w:rPr>
            </w:pPr>
            <w:r>
              <w:rPr>
                <w:rFonts w:ascii="Courier New" w:cs="Courier New" w:eastAsia="Courier New" w:hAnsi="Courier New"/>
                <w:sz w:val="15"/>
                <w:szCs w:val="15"/>
                <w:color w:val="auto"/>
              </w:rPr>
              <w:t>$ 6,749</w:t>
            </w:r>
          </w:p>
        </w:tc>
        <w:tc>
          <w:tcPr>
            <w:tcW w:w="0" w:type="dxa"/>
            <w:vAlign w:val="bottom"/>
          </w:tcPr>
          <w:p>
            <w:pPr>
              <w:spacing w:after="0"/>
              <w:rPr>
                <w:sz w:val="1"/>
                <w:szCs w:val="1"/>
                <w:color w:val="auto"/>
              </w:rPr>
            </w:pPr>
          </w:p>
        </w:tc>
      </w:tr>
    </w:tbl>
    <w:p>
      <w:pPr>
        <w:sectPr>
          <w:pgSz w:w="11900" w:h="16854" w:orient="portrait"/>
          <w:cols w:equalWidth="0" w:num="1">
            <w:col w:w="10239"/>
          </w:cols>
          <w:pgMar w:left="220" w:top="934" w:right="1440" w:bottom="0" w:gutter="0" w:footer="0" w:header="0"/>
        </w:sectPr>
      </w:pPr>
    </w:p>
    <w:bookmarkStart w:id="43" w:name="page44"/>
    <w:bookmarkEnd w:id="43"/>
    <w:p>
      <w:pPr>
        <w:ind w:left="1860"/>
        <w:spacing w:after="0"/>
        <w:tabs>
          <w:tab w:leader="none" w:pos="3500" w:val="left"/>
          <w:tab w:leader="none" w:pos="524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sectPr>
          <w:pgSz w:w="11900" w:h="16838" w:orient="portrait"/>
          <w:cols w:equalWidth="0" w:num="1">
            <w:col w:w="9019"/>
          </w:cols>
          <w:pgMar w:left="1440" w:top="115" w:right="1440" w:bottom="1440" w:gutter="0" w:footer="0" w:header="0"/>
        </w:sectPr>
      </w:pPr>
    </w:p>
    <w:p>
      <w:pPr>
        <w:spacing w:after="0" w:line="200" w:lineRule="exact"/>
        <w:rPr>
          <w:sz w:val="20"/>
          <w:szCs w:val="20"/>
          <w:color w:val="auto"/>
        </w:rPr>
      </w:pPr>
    </w:p>
    <w:p>
      <w:pPr>
        <w:spacing w:after="0" w:line="303" w:lineRule="exact"/>
        <w:rPr>
          <w:sz w:val="20"/>
          <w:szCs w:val="20"/>
          <w:color w:val="auto"/>
        </w:rPr>
      </w:pPr>
    </w:p>
    <w:p>
      <w:pPr>
        <w:ind w:left="2120"/>
        <w:spacing w:after="0"/>
        <w:rPr>
          <w:sz w:val="20"/>
          <w:szCs w:val="20"/>
          <w:color w:val="auto"/>
        </w:rPr>
      </w:pPr>
      <w:r>
        <w:rPr>
          <w:rFonts w:ascii="Courier New" w:cs="Courier New" w:eastAsia="Courier New" w:hAnsi="Courier New"/>
          <w:sz w:val="14"/>
          <w:szCs w:val="14"/>
          <w:color w:val="auto"/>
        </w:rPr>
        <w:t>F-29</w:t>
      </w:r>
    </w:p>
    <w:p>
      <w:pPr>
        <w:sectPr>
          <w:pgSz w:w="11900" w:h="16838" w:orient="portrait"/>
          <w:cols w:equalWidth="0" w:num="1">
            <w:col w:w="9019"/>
          </w:cols>
          <w:pgMar w:left="1440" w:top="115" w:right="1440" w:bottom="1440" w:gutter="0" w:footer="0" w:header="0"/>
          <w:type w:val="continuous"/>
        </w:sectPr>
      </w:pPr>
    </w:p>
    <w:bookmarkStart w:id="44" w:name="page45"/>
    <w:bookmarkEnd w:id="44"/>
    <w:p>
      <w:pPr>
        <w:ind w:right="3939"/>
        <w:spacing w:after="0" w:line="344" w:lineRule="auto"/>
        <w:rPr>
          <w:sz w:val="20"/>
          <w:szCs w:val="20"/>
          <w:color w:val="auto"/>
        </w:rPr>
      </w:pPr>
      <w:r>
        <w:rPr>
          <w:rFonts w:ascii="Courier New" w:cs="Courier New" w:eastAsia="Courier New" w:hAnsi="Courier New"/>
          <w:sz w:val="15"/>
          <w:szCs w:val="15"/>
          <w:color w:val="auto"/>
        </w:rPr>
        <w:t>Cash paid for interest and income taxes for continuing operations was as follows:</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54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3200" w:type="dxa"/>
            <w:vAlign w:val="bottom"/>
            <w:gridSpan w:val="2"/>
          </w:tcPr>
          <w:p>
            <w:pPr>
              <w:jc w:val="right"/>
              <w:ind w:right="547"/>
              <w:spacing w:after="0"/>
              <w:rPr>
                <w:sz w:val="20"/>
                <w:szCs w:val="20"/>
                <w:color w:val="auto"/>
              </w:rPr>
            </w:pPr>
            <w:r>
              <w:rPr>
                <w:rFonts w:ascii="Courier New" w:cs="Courier New" w:eastAsia="Courier New" w:hAnsi="Courier New"/>
                <w:sz w:val="15"/>
                <w:szCs w:val="15"/>
                <w:color w:val="auto"/>
              </w:rPr>
              <w:t>(Stated in millions)</w:t>
            </w:r>
          </w:p>
        </w:tc>
      </w:tr>
      <w:tr>
        <w:trPr>
          <w:trHeight w:val="259"/>
        </w:trPr>
        <w:tc>
          <w:tcPr>
            <w:tcW w:w="2540" w:type="dxa"/>
            <w:vAlign w:val="bottom"/>
          </w:tcPr>
          <w:p>
            <w:pPr>
              <w:spacing w:after="0"/>
              <w:rPr>
                <w:sz w:val="20"/>
                <w:szCs w:val="20"/>
                <w:color w:val="auto"/>
              </w:rPr>
            </w:pPr>
            <w:r>
              <w:rPr>
                <w:rFonts w:ascii="Courier New" w:cs="Courier New" w:eastAsia="Courier New" w:hAnsi="Courier New"/>
                <w:sz w:val="15"/>
                <w:szCs w:val="15"/>
                <w:color w:val="auto"/>
              </w:rPr>
              <w:t>Year ended December 31,</w:t>
            </w:r>
          </w:p>
        </w:tc>
        <w:tc>
          <w:tcPr>
            <w:tcW w:w="188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2001</w:t>
            </w:r>
          </w:p>
        </w:tc>
        <w:tc>
          <w:tcPr>
            <w:tcW w:w="176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2000</w:t>
            </w:r>
          </w:p>
        </w:tc>
        <w:tc>
          <w:tcPr>
            <w:tcW w:w="14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1999</w:t>
            </w:r>
          </w:p>
        </w:tc>
      </w:tr>
      <w:tr>
        <w:trPr>
          <w:trHeight w:val="245"/>
        </w:trPr>
        <w:tc>
          <w:tcPr>
            <w:tcW w:w="2540" w:type="dxa"/>
            <w:vAlign w:val="bottom"/>
          </w:tcPr>
          <w:p>
            <w:pPr>
              <w:spacing w:after="0"/>
              <w:rPr>
                <w:sz w:val="21"/>
                <w:szCs w:val="21"/>
                <w:color w:val="auto"/>
              </w:rPr>
            </w:pPr>
          </w:p>
        </w:tc>
        <w:tc>
          <w:tcPr>
            <w:tcW w:w="18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427"/>
        </w:trPr>
        <w:tc>
          <w:tcPr>
            <w:tcW w:w="2540" w:type="dxa"/>
            <w:vAlign w:val="bottom"/>
          </w:tcPr>
          <w:p>
            <w:pPr>
              <w:spacing w:after="0"/>
              <w:rPr>
                <w:sz w:val="20"/>
                <w:szCs w:val="20"/>
                <w:color w:val="auto"/>
              </w:rPr>
            </w:pPr>
            <w:r>
              <w:rPr>
                <w:rFonts w:ascii="Courier New" w:cs="Courier New" w:eastAsia="Courier New" w:hAnsi="Courier New"/>
                <w:sz w:val="15"/>
                <w:szCs w:val="15"/>
                <w:color w:val="auto"/>
              </w:rPr>
              <w:t>Interest</w:t>
            </w:r>
          </w:p>
        </w:tc>
        <w:tc>
          <w:tcPr>
            <w:tcW w:w="188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$ 363</w:t>
            </w:r>
          </w:p>
        </w:tc>
        <w:tc>
          <w:tcPr>
            <w:tcW w:w="17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$ 268</w:t>
            </w:r>
          </w:p>
        </w:tc>
        <w:tc>
          <w:tcPr>
            <w:tcW w:w="1440" w:type="dxa"/>
            <w:vAlign w:val="bottom"/>
          </w:tcPr>
          <w:p>
            <w:pPr>
              <w:jc w:val="right"/>
              <w:ind w:right="7"/>
              <w:spacing w:after="0"/>
              <w:rPr>
                <w:sz w:val="20"/>
                <w:szCs w:val="20"/>
                <w:color w:val="auto"/>
              </w:rPr>
            </w:pPr>
            <w:r>
              <w:rPr>
                <w:rFonts w:ascii="Courier New" w:cs="Courier New" w:eastAsia="Courier New" w:hAnsi="Courier New"/>
                <w:sz w:val="15"/>
                <w:szCs w:val="15"/>
                <w:color w:val="auto"/>
              </w:rPr>
              <w:t>$ 200</w:t>
            </w:r>
          </w:p>
        </w:tc>
      </w:tr>
      <w:tr>
        <w:trPr>
          <w:trHeight w:val="245"/>
        </w:trPr>
        <w:tc>
          <w:tcPr>
            <w:tcW w:w="2540" w:type="dxa"/>
            <w:vAlign w:val="bottom"/>
          </w:tcPr>
          <w:p>
            <w:pPr>
              <w:spacing w:after="0"/>
              <w:rPr>
                <w:sz w:val="20"/>
                <w:szCs w:val="20"/>
                <w:color w:val="auto"/>
              </w:rPr>
            </w:pPr>
            <w:r>
              <w:rPr>
                <w:rFonts w:ascii="Courier New" w:cs="Courier New" w:eastAsia="Courier New" w:hAnsi="Courier New"/>
                <w:sz w:val="15"/>
                <w:szCs w:val="15"/>
                <w:color w:val="auto"/>
              </w:rPr>
              <w:t>Income taxes</w:t>
            </w:r>
          </w:p>
        </w:tc>
        <w:tc>
          <w:tcPr>
            <w:tcW w:w="188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$ 298</w:t>
            </w:r>
          </w:p>
        </w:tc>
        <w:tc>
          <w:tcPr>
            <w:tcW w:w="17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$ 231</w:t>
            </w:r>
          </w:p>
        </w:tc>
        <w:tc>
          <w:tcPr>
            <w:tcW w:w="1440" w:type="dxa"/>
            <w:vAlign w:val="bottom"/>
          </w:tcPr>
          <w:p>
            <w:pPr>
              <w:jc w:val="right"/>
              <w:ind w:right="7"/>
              <w:spacing w:after="0"/>
              <w:rPr>
                <w:sz w:val="20"/>
                <w:szCs w:val="20"/>
                <w:color w:val="auto"/>
              </w:rPr>
            </w:pPr>
            <w:r>
              <w:rPr>
                <w:rFonts w:ascii="Courier New" w:cs="Courier New" w:eastAsia="Courier New" w:hAnsi="Courier New"/>
                <w:sz w:val="15"/>
                <w:szCs w:val="15"/>
                <w:color w:val="auto"/>
              </w:rPr>
              <w:t>$ 182</w:t>
            </w:r>
          </w:p>
        </w:tc>
      </w:tr>
    </w:tbl>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Accounts payable and accrued liabilities are summarized as follows: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680" w:type="dxa"/>
            <w:vAlign w:val="bottom"/>
            <w:vMerge w:val="restart"/>
          </w:tcPr>
          <w:p>
            <w:pPr>
              <w:spacing w:after="0"/>
              <w:rPr>
                <w:sz w:val="20"/>
                <w:szCs w:val="20"/>
                <w:color w:val="auto"/>
              </w:rPr>
            </w:pPr>
            <w:r>
              <w:rPr>
                <w:rFonts w:ascii="Courier New" w:cs="Courier New" w:eastAsia="Courier New" w:hAnsi="Courier New"/>
                <w:sz w:val="15"/>
                <w:szCs w:val="15"/>
                <w:color w:val="auto"/>
              </w:rPr>
              <w:t>Year ended December 31,</w:t>
            </w:r>
          </w:p>
        </w:tc>
        <w:tc>
          <w:tcPr>
            <w:tcW w:w="34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(Stated in millions)</w:t>
            </w:r>
          </w:p>
        </w:tc>
        <w:tc>
          <w:tcPr>
            <w:tcW w:w="0" w:type="dxa"/>
            <w:vAlign w:val="bottom"/>
          </w:tcPr>
          <w:p>
            <w:pPr>
              <w:spacing w:after="0"/>
              <w:rPr>
                <w:sz w:val="1"/>
                <w:szCs w:val="1"/>
                <w:color w:val="auto"/>
              </w:rPr>
            </w:pPr>
          </w:p>
        </w:tc>
      </w:tr>
      <w:tr>
        <w:trPr>
          <w:trHeight w:val="168"/>
        </w:trPr>
        <w:tc>
          <w:tcPr>
            <w:tcW w:w="2680" w:type="dxa"/>
            <w:vAlign w:val="bottom"/>
            <w:vMerge w:val="continue"/>
          </w:tcPr>
          <w:p>
            <w:pPr>
              <w:spacing w:after="0"/>
              <w:rPr>
                <w:sz w:val="14"/>
                <w:szCs w:val="14"/>
                <w:color w:val="auto"/>
              </w:rPr>
            </w:pPr>
          </w:p>
        </w:tc>
        <w:tc>
          <w:tcPr>
            <w:tcW w:w="206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2001</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2000</w:t>
            </w:r>
          </w:p>
        </w:tc>
        <w:tc>
          <w:tcPr>
            <w:tcW w:w="0" w:type="dxa"/>
            <w:vAlign w:val="bottom"/>
          </w:tcPr>
          <w:p>
            <w:pPr>
              <w:spacing w:after="0"/>
              <w:rPr>
                <w:sz w:val="1"/>
                <w:szCs w:val="1"/>
                <w:color w:val="auto"/>
              </w:rPr>
            </w:pPr>
          </w:p>
        </w:tc>
      </w:tr>
      <w:tr>
        <w:trPr>
          <w:trHeight w:val="245"/>
        </w:trPr>
        <w:tc>
          <w:tcPr>
            <w:tcW w:w="2680" w:type="dxa"/>
            <w:vAlign w:val="bottom"/>
          </w:tcPr>
          <w:p>
            <w:pPr>
              <w:spacing w:after="0"/>
              <w:rPr>
                <w:sz w:val="21"/>
                <w:szCs w:val="21"/>
                <w:color w:val="auto"/>
              </w:rPr>
            </w:pPr>
          </w:p>
        </w:tc>
        <w:tc>
          <w:tcPr>
            <w:tcW w:w="2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2680" w:type="dxa"/>
            <w:vAlign w:val="bottom"/>
          </w:tcPr>
          <w:p>
            <w:pPr>
              <w:spacing w:after="0"/>
              <w:rPr>
                <w:sz w:val="20"/>
                <w:szCs w:val="20"/>
                <w:color w:val="auto"/>
              </w:rPr>
            </w:pPr>
            <w:r>
              <w:rPr>
                <w:rFonts w:ascii="Courier New" w:cs="Courier New" w:eastAsia="Courier New" w:hAnsi="Courier New"/>
                <w:sz w:val="15"/>
                <w:szCs w:val="15"/>
                <w:color w:val="auto"/>
              </w:rPr>
              <w:t>Payroll, vacation and</w:t>
            </w:r>
          </w:p>
        </w:tc>
        <w:tc>
          <w:tcPr>
            <w:tcW w:w="2060" w:type="dxa"/>
            <w:vAlign w:val="bottom"/>
            <w:vMerge w:val="restart"/>
          </w:tcPr>
          <w:p>
            <w:pPr>
              <w:jc w:val="right"/>
              <w:ind w:right="367"/>
              <w:spacing w:after="0"/>
              <w:rPr>
                <w:sz w:val="20"/>
                <w:szCs w:val="20"/>
                <w:color w:val="auto"/>
              </w:rPr>
            </w:pPr>
            <w:r>
              <w:rPr>
                <w:rFonts w:ascii="Courier New" w:cs="Courier New" w:eastAsia="Courier New" w:hAnsi="Courier New"/>
                <w:sz w:val="15"/>
                <w:szCs w:val="15"/>
                <w:color w:val="auto"/>
              </w:rPr>
              <w:t>$   929</w:t>
            </w:r>
          </w:p>
        </w:tc>
        <w:tc>
          <w:tcPr>
            <w:tcW w:w="140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   672</w:t>
            </w:r>
          </w:p>
        </w:tc>
        <w:tc>
          <w:tcPr>
            <w:tcW w:w="0" w:type="dxa"/>
            <w:vAlign w:val="bottom"/>
          </w:tcPr>
          <w:p>
            <w:pPr>
              <w:spacing w:after="0"/>
              <w:rPr>
                <w:sz w:val="1"/>
                <w:szCs w:val="1"/>
                <w:color w:val="auto"/>
              </w:rPr>
            </w:pPr>
          </w:p>
        </w:tc>
      </w:tr>
      <w:tr>
        <w:trPr>
          <w:trHeight w:val="168"/>
        </w:trPr>
        <w:tc>
          <w:tcPr>
            <w:tcW w:w="26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employee benefits</w:t>
            </w:r>
          </w:p>
        </w:tc>
        <w:tc>
          <w:tcPr>
            <w:tcW w:w="2060" w:type="dxa"/>
            <w:vAlign w:val="bottom"/>
            <w:vMerge w:val="continue"/>
          </w:tcPr>
          <w:p>
            <w:pPr>
              <w:spacing w:after="0"/>
              <w:rPr>
                <w:sz w:val="14"/>
                <w:szCs w:val="14"/>
                <w:color w:val="auto"/>
              </w:rPr>
            </w:pPr>
          </w:p>
        </w:tc>
        <w:tc>
          <w:tcPr>
            <w:tcW w:w="14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680" w:type="dxa"/>
            <w:vAlign w:val="bottom"/>
          </w:tcPr>
          <w:p>
            <w:pPr>
              <w:spacing w:after="0" w:line="168" w:lineRule="exact"/>
              <w:rPr>
                <w:sz w:val="20"/>
                <w:szCs w:val="20"/>
                <w:color w:val="auto"/>
              </w:rPr>
            </w:pPr>
            <w:r>
              <w:rPr>
                <w:rFonts w:ascii="Courier New" w:cs="Courier New" w:eastAsia="Courier New" w:hAnsi="Courier New"/>
                <w:sz w:val="15"/>
                <w:szCs w:val="15"/>
                <w:color w:val="auto"/>
              </w:rPr>
              <w:t>Trade</w:t>
            </w:r>
          </w:p>
        </w:tc>
        <w:tc>
          <w:tcPr>
            <w:tcW w:w="2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1,184</w:t>
            </w:r>
          </w:p>
        </w:tc>
        <w:tc>
          <w:tcPr>
            <w:tcW w:w="1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946</w:t>
            </w:r>
          </w:p>
        </w:tc>
        <w:tc>
          <w:tcPr>
            <w:tcW w:w="0" w:type="dxa"/>
            <w:vAlign w:val="bottom"/>
          </w:tcPr>
          <w:p>
            <w:pPr>
              <w:spacing w:after="0"/>
              <w:rPr>
                <w:sz w:val="1"/>
                <w:szCs w:val="1"/>
                <w:color w:val="auto"/>
              </w:rPr>
            </w:pPr>
          </w:p>
        </w:tc>
      </w:tr>
      <w:tr>
        <w:trPr>
          <w:trHeight w:val="168"/>
        </w:trPr>
        <w:tc>
          <w:tcPr>
            <w:tcW w:w="2680" w:type="dxa"/>
            <w:vAlign w:val="bottom"/>
          </w:tcPr>
          <w:p>
            <w:pPr>
              <w:spacing w:after="0" w:line="168" w:lineRule="exact"/>
              <w:rPr>
                <w:sz w:val="20"/>
                <w:szCs w:val="20"/>
                <w:color w:val="auto"/>
              </w:rPr>
            </w:pPr>
            <w:r>
              <w:rPr>
                <w:rFonts w:ascii="Courier New" w:cs="Courier New" w:eastAsia="Courier New" w:hAnsi="Courier New"/>
                <w:sz w:val="15"/>
                <w:szCs w:val="15"/>
                <w:color w:val="auto"/>
              </w:rPr>
              <w:t>Taxes, other than income</w:t>
            </w:r>
          </w:p>
        </w:tc>
        <w:tc>
          <w:tcPr>
            <w:tcW w:w="2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312</w:t>
            </w:r>
          </w:p>
        </w:tc>
        <w:tc>
          <w:tcPr>
            <w:tcW w:w="1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204</w:t>
            </w:r>
          </w:p>
        </w:tc>
        <w:tc>
          <w:tcPr>
            <w:tcW w:w="0" w:type="dxa"/>
            <w:vAlign w:val="bottom"/>
          </w:tcPr>
          <w:p>
            <w:pPr>
              <w:spacing w:after="0"/>
              <w:rPr>
                <w:sz w:val="1"/>
                <w:szCs w:val="1"/>
                <w:color w:val="auto"/>
              </w:rPr>
            </w:pPr>
          </w:p>
        </w:tc>
      </w:tr>
      <w:tr>
        <w:trPr>
          <w:trHeight w:val="245"/>
        </w:trPr>
        <w:tc>
          <w:tcPr>
            <w:tcW w:w="268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2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2,082</w:t>
            </w:r>
          </w:p>
        </w:tc>
        <w:tc>
          <w:tcPr>
            <w:tcW w:w="14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1,089</w:t>
            </w:r>
          </w:p>
        </w:tc>
        <w:tc>
          <w:tcPr>
            <w:tcW w:w="0" w:type="dxa"/>
            <w:vAlign w:val="bottom"/>
          </w:tcPr>
          <w:p>
            <w:pPr>
              <w:spacing w:after="0"/>
              <w:rPr>
                <w:sz w:val="1"/>
                <w:szCs w:val="1"/>
                <w:color w:val="auto"/>
              </w:rPr>
            </w:pPr>
          </w:p>
        </w:tc>
      </w:tr>
      <w:tr>
        <w:trPr>
          <w:trHeight w:val="259"/>
        </w:trPr>
        <w:tc>
          <w:tcPr>
            <w:tcW w:w="2680" w:type="dxa"/>
            <w:vAlign w:val="bottom"/>
          </w:tcPr>
          <w:p>
            <w:pPr>
              <w:spacing w:after="0"/>
              <w:rPr>
                <w:sz w:val="22"/>
                <w:szCs w:val="22"/>
                <w:color w:val="auto"/>
              </w:rPr>
            </w:pPr>
          </w:p>
        </w:tc>
        <w:tc>
          <w:tcPr>
            <w:tcW w:w="2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2680" w:type="dxa"/>
            <w:vAlign w:val="bottom"/>
          </w:tcPr>
          <w:p>
            <w:pPr>
              <w:spacing w:after="0"/>
              <w:rPr>
                <w:sz w:val="14"/>
                <w:szCs w:val="14"/>
                <w:color w:val="auto"/>
              </w:rPr>
            </w:pPr>
          </w:p>
        </w:tc>
        <w:tc>
          <w:tcPr>
            <w:tcW w:w="2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$ 4,507</w:t>
            </w:r>
          </w:p>
        </w:tc>
        <w:tc>
          <w:tcPr>
            <w:tcW w:w="1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$ 2,911</w:t>
            </w:r>
          </w:p>
        </w:tc>
        <w:tc>
          <w:tcPr>
            <w:tcW w:w="0" w:type="dxa"/>
            <w:vAlign w:val="bottom"/>
          </w:tcPr>
          <w:p>
            <w:pPr>
              <w:spacing w:after="0"/>
              <w:rPr>
                <w:sz w:val="1"/>
                <w:szCs w:val="1"/>
                <w:color w:val="auto"/>
              </w:rPr>
            </w:pPr>
          </w:p>
        </w:tc>
      </w:tr>
      <w:tr>
        <w:trPr>
          <w:trHeight w:val="245"/>
        </w:trPr>
        <w:tc>
          <w:tcPr>
            <w:tcW w:w="2680" w:type="dxa"/>
            <w:vAlign w:val="bottom"/>
          </w:tcPr>
          <w:p>
            <w:pPr>
              <w:spacing w:after="0"/>
              <w:rPr>
                <w:sz w:val="21"/>
                <w:szCs w:val="21"/>
                <w:color w:val="auto"/>
              </w:rPr>
            </w:pPr>
          </w:p>
        </w:tc>
        <w:tc>
          <w:tcPr>
            <w:tcW w:w="2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Interest and other income includes the following:</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28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2760" w:type="dxa"/>
            <w:vAlign w:val="bottom"/>
            <w:gridSpan w:val="2"/>
          </w:tcPr>
          <w:p>
            <w:pPr>
              <w:jc w:val="right"/>
              <w:ind w:right="807"/>
              <w:spacing w:after="0"/>
              <w:rPr>
                <w:sz w:val="20"/>
                <w:szCs w:val="20"/>
                <w:color w:val="auto"/>
              </w:rPr>
            </w:pPr>
            <w:r>
              <w:rPr>
                <w:rFonts w:ascii="Courier New" w:cs="Courier New" w:eastAsia="Courier New" w:hAnsi="Courier New"/>
                <w:sz w:val="15"/>
                <w:szCs w:val="15"/>
                <w:color w:val="auto"/>
              </w:rPr>
              <w:t>(Stated in millions)</w:t>
            </w:r>
          </w:p>
        </w:tc>
        <w:tc>
          <w:tcPr>
            <w:tcW w:w="0" w:type="dxa"/>
            <w:vAlign w:val="bottom"/>
          </w:tcPr>
          <w:p>
            <w:pPr>
              <w:spacing w:after="0"/>
              <w:rPr>
                <w:sz w:val="1"/>
                <w:szCs w:val="1"/>
                <w:color w:val="auto"/>
              </w:rPr>
            </w:pPr>
          </w:p>
        </w:tc>
      </w:tr>
      <w:tr>
        <w:trPr>
          <w:trHeight w:val="427"/>
        </w:trPr>
        <w:tc>
          <w:tcPr>
            <w:tcW w:w="3280" w:type="dxa"/>
            <w:vAlign w:val="bottom"/>
          </w:tcPr>
          <w:p>
            <w:pPr>
              <w:spacing w:after="0"/>
              <w:rPr>
                <w:sz w:val="24"/>
                <w:szCs w:val="24"/>
                <w:color w:val="auto"/>
              </w:rPr>
            </w:pPr>
          </w:p>
        </w:tc>
        <w:tc>
          <w:tcPr>
            <w:tcW w:w="184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2001</w:t>
            </w:r>
          </w:p>
        </w:tc>
        <w:tc>
          <w:tcPr>
            <w:tcW w:w="144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2000</w:t>
            </w: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1999</w:t>
            </w:r>
          </w:p>
        </w:tc>
        <w:tc>
          <w:tcPr>
            <w:tcW w:w="0" w:type="dxa"/>
            <w:vAlign w:val="bottom"/>
          </w:tcPr>
          <w:p>
            <w:pPr>
              <w:spacing w:after="0"/>
              <w:rPr>
                <w:sz w:val="1"/>
                <w:szCs w:val="1"/>
                <w:color w:val="auto"/>
              </w:rPr>
            </w:pPr>
          </w:p>
        </w:tc>
      </w:tr>
      <w:tr>
        <w:trPr>
          <w:trHeight w:val="245"/>
        </w:trPr>
        <w:tc>
          <w:tcPr>
            <w:tcW w:w="3280" w:type="dxa"/>
            <w:vAlign w:val="bottom"/>
          </w:tcPr>
          <w:p>
            <w:pPr>
              <w:spacing w:after="0"/>
              <w:rPr>
                <w:sz w:val="21"/>
                <w:szCs w:val="21"/>
                <w:color w:val="auto"/>
              </w:rPr>
            </w:pPr>
          </w:p>
        </w:tc>
        <w:tc>
          <w:tcPr>
            <w:tcW w:w="18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3280" w:type="dxa"/>
            <w:vAlign w:val="bottom"/>
          </w:tcPr>
          <w:p>
            <w:pPr>
              <w:spacing w:after="0"/>
              <w:rPr>
                <w:sz w:val="20"/>
                <w:szCs w:val="20"/>
                <w:color w:val="auto"/>
              </w:rPr>
            </w:pPr>
            <w:r>
              <w:rPr>
                <w:rFonts w:ascii="Courier New" w:cs="Courier New" w:eastAsia="Courier New" w:hAnsi="Courier New"/>
                <w:sz w:val="15"/>
                <w:szCs w:val="15"/>
                <w:color w:val="auto"/>
              </w:rPr>
              <w:t>Interest income</w:t>
            </w:r>
          </w:p>
        </w:tc>
        <w:tc>
          <w:tcPr>
            <w:tcW w:w="1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$ 159</w:t>
            </w:r>
          </w:p>
        </w:tc>
        <w:tc>
          <w:tcPr>
            <w:tcW w:w="14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$ 302</w:t>
            </w:r>
          </w:p>
        </w:tc>
        <w:tc>
          <w:tcPr>
            <w:tcW w:w="1320" w:type="dxa"/>
            <w:vAlign w:val="bottom"/>
          </w:tcPr>
          <w:p>
            <w:pPr>
              <w:jc w:val="right"/>
              <w:ind w:right="7"/>
              <w:spacing w:after="0"/>
              <w:rPr>
                <w:sz w:val="20"/>
                <w:szCs w:val="20"/>
                <w:color w:val="auto"/>
              </w:rPr>
            </w:pPr>
            <w:r>
              <w:rPr>
                <w:rFonts w:ascii="Courier New" w:cs="Courier New" w:eastAsia="Courier New" w:hAnsi="Courier New"/>
                <w:sz w:val="15"/>
                <w:szCs w:val="15"/>
                <w:color w:val="auto"/>
              </w:rPr>
              <w:t>$ 235</w:t>
            </w:r>
          </w:p>
        </w:tc>
        <w:tc>
          <w:tcPr>
            <w:tcW w:w="0" w:type="dxa"/>
            <w:vAlign w:val="bottom"/>
          </w:tcPr>
          <w:p>
            <w:pPr>
              <w:spacing w:after="0"/>
              <w:rPr>
                <w:sz w:val="1"/>
                <w:szCs w:val="1"/>
                <w:color w:val="auto"/>
              </w:rPr>
            </w:pP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Equity in net earnings of</w:t>
            </w:r>
          </w:p>
        </w:tc>
        <w:tc>
          <w:tcPr>
            <w:tcW w:w="184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62</w:t>
            </w:r>
          </w:p>
        </w:tc>
        <w:tc>
          <w:tcPr>
            <w:tcW w:w="144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39</w:t>
            </w:r>
          </w:p>
        </w:tc>
        <w:tc>
          <w:tcPr>
            <w:tcW w:w="132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19</w:t>
            </w:r>
          </w:p>
        </w:tc>
        <w:tc>
          <w:tcPr>
            <w:tcW w:w="0" w:type="dxa"/>
            <w:vAlign w:val="bottom"/>
          </w:tcPr>
          <w:p>
            <w:pPr>
              <w:spacing w:after="0"/>
              <w:rPr>
                <w:sz w:val="1"/>
                <w:szCs w:val="1"/>
                <w:color w:val="auto"/>
              </w:rPr>
            </w:pPr>
          </w:p>
        </w:tc>
      </w:tr>
      <w:tr>
        <w:trPr>
          <w:trHeight w:val="168"/>
        </w:trPr>
        <w:tc>
          <w:tcPr>
            <w:tcW w:w="32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affiliated companies</w:t>
            </w:r>
          </w:p>
        </w:tc>
        <w:tc>
          <w:tcPr>
            <w:tcW w:w="1840" w:type="dxa"/>
            <w:vAlign w:val="bottom"/>
            <w:vMerge w:val="continue"/>
          </w:tcPr>
          <w:p>
            <w:pPr>
              <w:spacing w:after="0"/>
              <w:rPr>
                <w:sz w:val="14"/>
                <w:szCs w:val="14"/>
                <w:color w:val="auto"/>
              </w:rPr>
            </w:pPr>
          </w:p>
        </w:tc>
        <w:tc>
          <w:tcPr>
            <w:tcW w:w="1440" w:type="dxa"/>
            <w:vAlign w:val="bottom"/>
            <w:vMerge w:val="continue"/>
          </w:tcPr>
          <w:p>
            <w:pPr>
              <w:spacing w:after="0"/>
              <w:rPr>
                <w:sz w:val="14"/>
                <w:szCs w:val="14"/>
                <w:color w:val="auto"/>
              </w:rPr>
            </w:pPr>
          </w:p>
        </w:tc>
        <w:tc>
          <w:tcPr>
            <w:tcW w:w="13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Gain on sale of business</w:t>
            </w:r>
          </w:p>
        </w:tc>
        <w:tc>
          <w:tcPr>
            <w:tcW w:w="1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82</w:t>
            </w:r>
          </w:p>
        </w:tc>
        <w:tc>
          <w:tcPr>
            <w:tcW w:w="1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Gain on sale of financial instruments</w:t>
            </w:r>
          </w:p>
        </w:tc>
        <w:tc>
          <w:tcPr>
            <w:tcW w:w="1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21</w:t>
            </w:r>
          </w:p>
        </w:tc>
        <w:tc>
          <w:tcPr>
            <w:tcW w:w="1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103</w:t>
            </w:r>
          </w:p>
        </w:tc>
        <w:tc>
          <w:tcPr>
            <w:tcW w:w="0" w:type="dxa"/>
            <w:vAlign w:val="bottom"/>
          </w:tcPr>
          <w:p>
            <w:pPr>
              <w:spacing w:after="0"/>
              <w:rPr>
                <w:sz w:val="1"/>
                <w:szCs w:val="1"/>
                <w:color w:val="auto"/>
              </w:rPr>
            </w:pPr>
          </w:p>
        </w:tc>
      </w:tr>
      <w:tr>
        <w:trPr>
          <w:trHeight w:val="168"/>
        </w:trPr>
        <w:tc>
          <w:tcPr>
            <w:tcW w:w="3280" w:type="dxa"/>
            <w:vAlign w:val="bottom"/>
          </w:tcPr>
          <w:p>
            <w:pPr>
              <w:spacing w:after="0"/>
              <w:rPr>
                <w:sz w:val="14"/>
                <w:szCs w:val="14"/>
                <w:color w:val="auto"/>
              </w:rPr>
            </w:pPr>
          </w:p>
        </w:tc>
        <w:tc>
          <w:tcPr>
            <w:tcW w:w="18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3280" w:type="dxa"/>
            <w:vAlign w:val="bottom"/>
          </w:tcPr>
          <w:p>
            <w:pPr>
              <w:spacing w:after="0"/>
              <w:rPr>
                <w:sz w:val="14"/>
                <w:szCs w:val="14"/>
                <w:color w:val="auto"/>
              </w:rPr>
            </w:pPr>
          </w:p>
        </w:tc>
        <w:tc>
          <w:tcPr>
            <w:tcW w:w="1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$ 242</w:t>
            </w:r>
          </w:p>
        </w:tc>
        <w:tc>
          <w:tcPr>
            <w:tcW w:w="1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$ 423</w:t>
            </w:r>
          </w:p>
        </w:tc>
        <w:tc>
          <w:tcPr>
            <w:tcW w:w="1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$ 357</w:t>
            </w:r>
          </w:p>
        </w:tc>
        <w:tc>
          <w:tcPr>
            <w:tcW w:w="0" w:type="dxa"/>
            <w:vAlign w:val="bottom"/>
          </w:tcPr>
          <w:p>
            <w:pPr>
              <w:spacing w:after="0"/>
              <w:rPr>
                <w:sz w:val="1"/>
                <w:szCs w:val="1"/>
                <w:color w:val="auto"/>
              </w:rPr>
            </w:pPr>
          </w:p>
        </w:tc>
      </w:tr>
      <w:tr>
        <w:trPr>
          <w:trHeight w:val="245"/>
        </w:trPr>
        <w:tc>
          <w:tcPr>
            <w:tcW w:w="3280" w:type="dxa"/>
            <w:vAlign w:val="bottom"/>
          </w:tcPr>
          <w:p>
            <w:pPr>
              <w:spacing w:after="0"/>
              <w:rPr>
                <w:sz w:val="21"/>
                <w:szCs w:val="21"/>
                <w:color w:val="auto"/>
              </w:rPr>
            </w:pPr>
          </w:p>
        </w:tc>
        <w:tc>
          <w:tcPr>
            <w:tcW w:w="18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505"/>
        </w:trPr>
        <w:tc>
          <w:tcPr>
            <w:tcW w:w="3280" w:type="dxa"/>
            <w:vAlign w:val="bottom"/>
          </w:tcPr>
          <w:p>
            <w:pPr>
              <w:spacing w:after="0"/>
              <w:rPr>
                <w:sz w:val="24"/>
                <w:szCs w:val="24"/>
                <w:color w:val="auto"/>
              </w:rPr>
            </w:pPr>
          </w:p>
        </w:tc>
        <w:tc>
          <w:tcPr>
            <w:tcW w:w="1840" w:type="dxa"/>
            <w:vAlign w:val="bottom"/>
          </w:tcPr>
          <w:p>
            <w:pPr>
              <w:jc w:val="right"/>
              <w:ind w:right="1367"/>
              <w:spacing w:after="0"/>
              <w:rPr>
                <w:sz w:val="20"/>
                <w:szCs w:val="20"/>
                <w:color w:val="auto"/>
              </w:rPr>
            </w:pPr>
            <w:r>
              <w:rPr>
                <w:rFonts w:ascii="Courier New" w:cs="Courier New" w:eastAsia="Courier New" w:hAnsi="Courier New"/>
                <w:sz w:val="15"/>
                <w:szCs w:val="15"/>
                <w:color w:val="auto"/>
              </w:rPr>
              <w:t>F-30</w:t>
            </w:r>
          </w:p>
        </w:tc>
        <w:tc>
          <w:tcPr>
            <w:tcW w:w="14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39"/>
          </w:cols>
          <w:pgMar w:left="220" w:top="934" w:right="1440" w:bottom="1440" w:gutter="0" w:footer="0" w:header="0"/>
        </w:sectPr>
      </w:pPr>
    </w:p>
    <w:bookmarkStart w:id="45" w:name="page46"/>
    <w:bookmarkEnd w:id="45"/>
    <w:p>
      <w:pPr>
        <w:spacing w:after="0"/>
        <w:rPr>
          <w:sz w:val="20"/>
          <w:szCs w:val="20"/>
          <w:color w:val="auto"/>
        </w:rPr>
      </w:pPr>
      <w:r>
        <w:rPr>
          <w:rFonts w:ascii="Courier New" w:cs="Courier New" w:eastAsia="Courier New" w:hAnsi="Courier New"/>
          <w:sz w:val="15"/>
          <w:szCs w:val="15"/>
          <w:color w:val="auto"/>
        </w:rPr>
        <w:t>QUARTERLY RESULTS</w:t>
      </w:r>
    </w:p>
    <w:p>
      <w:pPr>
        <w:spacing w:after="0" w:line="23" w:lineRule="exact"/>
        <w:rPr>
          <w:sz w:val="20"/>
          <w:szCs w:val="20"/>
          <w:color w:val="auto"/>
        </w:rPr>
      </w:pPr>
    </w:p>
    <w:p>
      <w:pPr>
        <w:ind w:left="180" w:hanging="170"/>
        <w:spacing w:after="0"/>
        <w:tabs>
          <w:tab w:leader="none" w:pos="180"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(UNAUDITED)</w:t>
      </w:r>
    </w:p>
    <w:p>
      <w:pPr>
        <w:spacing w:after="0" w:line="140" w:lineRule="exact"/>
        <w:rPr>
          <w:sz w:val="20"/>
          <w:szCs w:val="20"/>
          <w:color w:val="auto"/>
        </w:rPr>
      </w:pPr>
    </w:p>
    <w:p>
      <w:pPr>
        <w:ind w:right="3499"/>
        <w:spacing w:after="0" w:line="290" w:lineRule="auto"/>
        <w:rPr>
          <w:sz w:val="20"/>
          <w:szCs w:val="20"/>
          <w:color w:val="auto"/>
        </w:rPr>
      </w:pPr>
      <w:r>
        <w:rPr>
          <w:rFonts w:ascii="Courier New" w:cs="Courier New" w:eastAsia="Courier New" w:hAnsi="Courier New"/>
          <w:sz w:val="15"/>
          <w:szCs w:val="15"/>
          <w:color w:val="auto"/>
        </w:rPr>
        <w:t>The following table summarizes results for each of the four quarters for the years ended December 31, 2001 and 2000. Gross margin equals operating revenue less cost of goods sold and services.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2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920" w:type="dxa"/>
            <w:vAlign w:val="bottom"/>
            <w:gridSpan w:val="5"/>
          </w:tcPr>
          <w:p>
            <w:pPr>
              <w:jc w:val="right"/>
              <w:spacing w:after="0"/>
              <w:rPr>
                <w:sz w:val="20"/>
                <w:szCs w:val="20"/>
                <w:color w:val="auto"/>
              </w:rPr>
            </w:pPr>
            <w:r>
              <w:rPr>
                <w:rFonts w:ascii="Courier New" w:cs="Courier New" w:eastAsia="Courier New" w:hAnsi="Courier New"/>
                <w:sz w:val="15"/>
                <w:szCs w:val="15"/>
                <w:color w:val="auto"/>
                <w:w w:val="96"/>
              </w:rPr>
              <w:t>(Stated in millions except per share amounts)</w:t>
            </w:r>
          </w:p>
        </w:tc>
        <w:tc>
          <w:tcPr>
            <w:tcW w:w="0" w:type="dxa"/>
            <w:vAlign w:val="bottom"/>
          </w:tcPr>
          <w:p>
            <w:pPr>
              <w:spacing w:after="0"/>
              <w:rPr>
                <w:sz w:val="1"/>
                <w:szCs w:val="1"/>
                <w:color w:val="auto"/>
              </w:rPr>
            </w:pPr>
          </w:p>
        </w:tc>
      </w:tr>
      <w:tr>
        <w:trPr>
          <w:trHeight w:val="427"/>
        </w:trPr>
        <w:tc>
          <w:tcPr>
            <w:tcW w:w="1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vMerge w:val="restart"/>
          </w:tcPr>
          <w:p>
            <w:pPr>
              <w:ind w:left="260"/>
              <w:spacing w:after="0"/>
              <w:rPr>
                <w:sz w:val="20"/>
                <w:szCs w:val="20"/>
                <w:color w:val="auto"/>
              </w:rPr>
            </w:pPr>
            <w:r>
              <w:rPr>
                <w:rFonts w:ascii="Courier New" w:cs="Courier New" w:eastAsia="Courier New" w:hAnsi="Courier New"/>
                <w:sz w:val="15"/>
                <w:szCs w:val="15"/>
                <w:color w:val="auto"/>
                <w:w w:val="93"/>
              </w:rPr>
              <w:t>Gross</w:t>
            </w:r>
          </w:p>
        </w:tc>
        <w:tc>
          <w:tcPr>
            <w:tcW w:w="420" w:type="dxa"/>
            <w:vAlign w:val="bottom"/>
          </w:tcPr>
          <w:p>
            <w:pPr>
              <w:spacing w:after="0"/>
              <w:rPr>
                <w:sz w:val="24"/>
                <w:szCs w:val="24"/>
                <w:color w:val="auto"/>
              </w:rPr>
            </w:pPr>
          </w:p>
        </w:tc>
        <w:tc>
          <w:tcPr>
            <w:tcW w:w="660" w:type="dxa"/>
            <w:vAlign w:val="bottom"/>
            <w:vMerge w:val="restart"/>
          </w:tcPr>
          <w:p>
            <w:pPr>
              <w:ind w:left="360"/>
              <w:spacing w:after="0"/>
              <w:rPr>
                <w:sz w:val="20"/>
                <w:szCs w:val="20"/>
                <w:color w:val="auto"/>
              </w:rPr>
            </w:pPr>
            <w:r>
              <w:rPr>
                <w:rFonts w:ascii="Courier New" w:cs="Courier New" w:eastAsia="Courier New" w:hAnsi="Courier New"/>
                <w:sz w:val="15"/>
                <w:szCs w:val="15"/>
                <w:color w:val="auto"/>
              </w:rPr>
              <w:t>Net</w:t>
            </w:r>
          </w:p>
        </w:tc>
        <w:tc>
          <w:tcPr>
            <w:tcW w:w="480" w:type="dxa"/>
            <w:vAlign w:val="bottom"/>
          </w:tcPr>
          <w:p>
            <w:pPr>
              <w:spacing w:after="0"/>
              <w:rPr>
                <w:sz w:val="24"/>
                <w:szCs w:val="24"/>
                <w:color w:val="auto"/>
              </w:rPr>
            </w:pPr>
          </w:p>
        </w:tc>
        <w:tc>
          <w:tcPr>
            <w:tcW w:w="236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Earnings per share</w:t>
            </w:r>
          </w:p>
        </w:tc>
        <w:tc>
          <w:tcPr>
            <w:tcW w:w="0" w:type="dxa"/>
            <w:vAlign w:val="bottom"/>
          </w:tcPr>
          <w:p>
            <w:pPr>
              <w:spacing w:after="0"/>
              <w:rPr>
                <w:sz w:val="1"/>
                <w:szCs w:val="1"/>
                <w:color w:val="auto"/>
              </w:rPr>
            </w:pPr>
          </w:p>
        </w:tc>
      </w:tr>
      <w:tr>
        <w:trPr>
          <w:trHeight w:val="168"/>
        </w:trPr>
        <w:tc>
          <w:tcPr>
            <w:tcW w:w="1200" w:type="dxa"/>
            <w:vAlign w:val="bottom"/>
          </w:tcPr>
          <w:p>
            <w:pPr>
              <w:spacing w:after="0"/>
              <w:rPr>
                <w:sz w:val="14"/>
                <w:szCs w:val="14"/>
                <w:color w:val="auto"/>
              </w:rPr>
            </w:pPr>
          </w:p>
        </w:tc>
        <w:tc>
          <w:tcPr>
            <w:tcW w:w="1180" w:type="dxa"/>
            <w:vAlign w:val="bottom"/>
            <w:gridSpan w:val="2"/>
            <w:vMerge w:val="restart"/>
          </w:tcPr>
          <w:p>
            <w:pPr>
              <w:jc w:val="right"/>
              <w:ind w:right="287"/>
              <w:spacing w:after="0"/>
              <w:rPr>
                <w:sz w:val="20"/>
                <w:szCs w:val="20"/>
                <w:color w:val="auto"/>
              </w:rPr>
            </w:pPr>
            <w:r>
              <w:rPr>
                <w:rFonts w:ascii="Courier New" w:cs="Courier New" w:eastAsia="Courier New" w:hAnsi="Courier New"/>
                <w:sz w:val="15"/>
                <w:szCs w:val="15"/>
                <w:color w:val="auto"/>
              </w:rPr>
              <w:t>Revenue</w:t>
            </w:r>
          </w:p>
        </w:tc>
        <w:tc>
          <w:tcPr>
            <w:tcW w:w="70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236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120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12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Margin</w:t>
            </w:r>
          </w:p>
        </w:tc>
        <w:tc>
          <w:tcPr>
            <w:tcW w:w="114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Income</w:t>
            </w:r>
          </w:p>
        </w:tc>
        <w:tc>
          <w:tcPr>
            <w:tcW w:w="1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Basic</w:t>
            </w:r>
          </w:p>
        </w:tc>
        <w:tc>
          <w:tcPr>
            <w:tcW w:w="12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Diluted</w:t>
            </w:r>
          </w:p>
        </w:tc>
        <w:tc>
          <w:tcPr>
            <w:tcW w:w="0" w:type="dxa"/>
            <w:vAlign w:val="bottom"/>
          </w:tcPr>
          <w:p>
            <w:pPr>
              <w:spacing w:after="0"/>
              <w:rPr>
                <w:sz w:val="1"/>
                <w:szCs w:val="1"/>
                <w:color w:val="auto"/>
              </w:rPr>
            </w:pPr>
          </w:p>
        </w:tc>
      </w:tr>
      <w:tr>
        <w:trPr>
          <w:trHeight w:val="245"/>
        </w:trPr>
        <w:tc>
          <w:tcPr>
            <w:tcW w:w="1200" w:type="dxa"/>
            <w:vAlign w:val="bottom"/>
            <w:vMerge w:val="restart"/>
          </w:tcPr>
          <w:p>
            <w:pPr>
              <w:spacing w:after="0"/>
              <w:rPr>
                <w:sz w:val="20"/>
                <w:szCs w:val="20"/>
                <w:color w:val="auto"/>
              </w:rPr>
            </w:pPr>
            <w:r>
              <w:rPr>
                <w:rFonts w:ascii="Courier New" w:cs="Courier New" w:eastAsia="Courier New" w:hAnsi="Courier New"/>
                <w:sz w:val="15"/>
                <w:szCs w:val="15"/>
                <w:color w:val="auto"/>
              </w:rPr>
              <w:t>Quarters-2001</w:t>
            </w:r>
          </w:p>
        </w:tc>
        <w:tc>
          <w:tcPr>
            <w:tcW w:w="118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12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9"/>
        </w:trPr>
        <w:tc>
          <w:tcPr>
            <w:tcW w:w="1200" w:type="dxa"/>
            <w:vAlign w:val="bottom"/>
          </w:tcPr>
          <w:p>
            <w:pPr>
              <w:spacing w:after="0"/>
              <w:rPr>
                <w:sz w:val="20"/>
                <w:szCs w:val="20"/>
                <w:color w:val="auto"/>
              </w:rPr>
            </w:pPr>
            <w:r>
              <w:rPr>
                <w:rFonts w:ascii="Courier New" w:cs="Courier New" w:eastAsia="Courier New" w:hAnsi="Courier New"/>
                <w:sz w:val="15"/>
                <w:szCs w:val="15"/>
                <w:color w:val="auto"/>
              </w:rPr>
              <w:t>First/1/</w:t>
            </w:r>
          </w:p>
        </w:tc>
        <w:tc>
          <w:tcPr>
            <w:tcW w:w="1180" w:type="dxa"/>
            <w:vAlign w:val="bottom"/>
            <w:gridSpan w:val="2"/>
          </w:tcPr>
          <w:p>
            <w:pPr>
              <w:ind w:left="300"/>
              <w:spacing w:after="0"/>
              <w:rPr>
                <w:sz w:val="20"/>
                <w:szCs w:val="20"/>
                <w:color w:val="auto"/>
              </w:rPr>
            </w:pPr>
            <w:r>
              <w:rPr>
                <w:rFonts w:ascii="Courier New" w:cs="Courier New" w:eastAsia="Courier New" w:hAnsi="Courier New"/>
                <w:sz w:val="15"/>
                <w:szCs w:val="15"/>
                <w:color w:val="auto"/>
              </w:rPr>
              <w:t>$ 2,910</w:t>
            </w:r>
          </w:p>
        </w:tc>
        <w:tc>
          <w:tcPr>
            <w:tcW w:w="7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420" w:type="dxa"/>
            <w:vAlign w:val="bottom"/>
          </w:tcPr>
          <w:p>
            <w:pPr>
              <w:jc w:val="right"/>
              <w:ind w:right="87"/>
              <w:spacing w:after="0"/>
              <w:rPr>
                <w:sz w:val="20"/>
                <w:szCs w:val="20"/>
                <w:color w:val="auto"/>
              </w:rPr>
            </w:pPr>
            <w:r>
              <w:rPr>
                <w:rFonts w:ascii="Courier New" w:cs="Courier New" w:eastAsia="Courier New" w:hAnsi="Courier New"/>
                <w:sz w:val="15"/>
                <w:szCs w:val="15"/>
                <w:color w:val="auto"/>
                <w:w w:val="88"/>
              </w:rPr>
              <w:t>717</w:t>
            </w:r>
          </w:p>
        </w:tc>
        <w:tc>
          <w:tcPr>
            <w:tcW w:w="660" w:type="dxa"/>
            <w:vAlign w:val="bottom"/>
          </w:tcPr>
          <w:p>
            <w:pPr>
              <w:jc w:val="center"/>
              <w:ind w:left="427"/>
              <w:spacing w:after="0"/>
              <w:rPr>
                <w:sz w:val="20"/>
                <w:szCs w:val="20"/>
                <w:color w:val="auto"/>
              </w:rPr>
            </w:pPr>
            <w:r>
              <w:rPr>
                <w:rFonts w:ascii="Courier New" w:cs="Courier New" w:eastAsia="Courier New" w:hAnsi="Courier New"/>
                <w:sz w:val="15"/>
                <w:szCs w:val="15"/>
                <w:color w:val="auto"/>
                <w:w w:val="88"/>
              </w:rPr>
              <w:t>$</w:t>
            </w: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rPr>
              <w:t>235</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$ 0.41</w:t>
            </w:r>
          </w:p>
        </w:tc>
        <w:tc>
          <w:tcPr>
            <w:tcW w:w="12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$ 0.41</w:t>
            </w:r>
          </w:p>
        </w:tc>
        <w:tc>
          <w:tcPr>
            <w:tcW w:w="0" w:type="dxa"/>
            <w:vAlign w:val="bottom"/>
          </w:tcPr>
          <w:p>
            <w:pPr>
              <w:spacing w:after="0"/>
              <w:rPr>
                <w:sz w:val="1"/>
                <w:szCs w:val="1"/>
                <w:color w:val="auto"/>
              </w:rPr>
            </w:pPr>
          </w:p>
        </w:tc>
      </w:tr>
      <w:tr>
        <w:trPr>
          <w:trHeight w:val="168"/>
        </w:trPr>
        <w:tc>
          <w:tcPr>
            <w:tcW w:w="1200" w:type="dxa"/>
            <w:vAlign w:val="bottom"/>
          </w:tcPr>
          <w:p>
            <w:pPr>
              <w:spacing w:after="0" w:line="168" w:lineRule="exact"/>
              <w:rPr>
                <w:sz w:val="20"/>
                <w:szCs w:val="20"/>
                <w:color w:val="auto"/>
              </w:rPr>
            </w:pPr>
            <w:r>
              <w:rPr>
                <w:rFonts w:ascii="Courier New" w:cs="Courier New" w:eastAsia="Courier New" w:hAnsi="Courier New"/>
                <w:sz w:val="15"/>
                <w:szCs w:val="15"/>
                <w:color w:val="auto"/>
              </w:rPr>
              <w:t>Second/2/</w:t>
            </w:r>
          </w:p>
        </w:tc>
        <w:tc>
          <w:tcPr>
            <w:tcW w:w="48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3,635</w:t>
            </w:r>
          </w:p>
        </w:tc>
        <w:tc>
          <w:tcPr>
            <w:tcW w:w="700" w:type="dxa"/>
            <w:vAlign w:val="bottom"/>
          </w:tcPr>
          <w:p>
            <w:pPr>
              <w:spacing w:after="0"/>
              <w:rPr>
                <w:sz w:val="14"/>
                <w:szCs w:val="14"/>
                <w:color w:val="auto"/>
              </w:rPr>
            </w:pPr>
          </w:p>
        </w:tc>
        <w:tc>
          <w:tcPr>
            <w:tcW w:w="4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88"/>
              </w:rPr>
              <w:t>565</w:t>
            </w:r>
          </w:p>
        </w:tc>
        <w:tc>
          <w:tcPr>
            <w:tcW w:w="660" w:type="dxa"/>
            <w:vAlign w:val="bottom"/>
          </w:tcPr>
          <w:p>
            <w:pPr>
              <w:spacing w:after="0"/>
              <w:rPr>
                <w:sz w:val="14"/>
                <w:szCs w:val="14"/>
                <w:color w:val="auto"/>
              </w:rPr>
            </w:pPr>
          </w:p>
        </w:tc>
        <w:tc>
          <w:tcPr>
            <w:tcW w:w="4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(93)</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(0.16)</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(0.16)</w:t>
            </w:r>
          </w:p>
        </w:tc>
        <w:tc>
          <w:tcPr>
            <w:tcW w:w="0" w:type="dxa"/>
            <w:vAlign w:val="bottom"/>
          </w:tcPr>
          <w:p>
            <w:pPr>
              <w:spacing w:after="0"/>
              <w:rPr>
                <w:sz w:val="1"/>
                <w:szCs w:val="1"/>
                <w:color w:val="auto"/>
              </w:rPr>
            </w:pPr>
          </w:p>
        </w:tc>
      </w:tr>
      <w:tr>
        <w:trPr>
          <w:trHeight w:val="168"/>
        </w:trPr>
        <w:tc>
          <w:tcPr>
            <w:tcW w:w="1200" w:type="dxa"/>
            <w:vAlign w:val="bottom"/>
          </w:tcPr>
          <w:p>
            <w:pPr>
              <w:spacing w:after="0" w:line="168" w:lineRule="exact"/>
              <w:rPr>
                <w:sz w:val="20"/>
                <w:szCs w:val="20"/>
                <w:color w:val="auto"/>
              </w:rPr>
            </w:pPr>
            <w:r>
              <w:rPr>
                <w:rFonts w:ascii="Courier New" w:cs="Courier New" w:eastAsia="Courier New" w:hAnsi="Courier New"/>
                <w:sz w:val="15"/>
                <w:szCs w:val="15"/>
                <w:color w:val="auto"/>
              </w:rPr>
              <w:t>Third/3/</w:t>
            </w:r>
          </w:p>
        </w:tc>
        <w:tc>
          <w:tcPr>
            <w:tcW w:w="48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3,624</w:t>
            </w:r>
          </w:p>
        </w:tc>
        <w:tc>
          <w:tcPr>
            <w:tcW w:w="700" w:type="dxa"/>
            <w:vAlign w:val="bottom"/>
          </w:tcPr>
          <w:p>
            <w:pPr>
              <w:spacing w:after="0"/>
              <w:rPr>
                <w:sz w:val="14"/>
                <w:szCs w:val="14"/>
                <w:color w:val="auto"/>
              </w:rPr>
            </w:pPr>
          </w:p>
        </w:tc>
        <w:tc>
          <w:tcPr>
            <w:tcW w:w="4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88"/>
              </w:rPr>
              <w:t>916</w:t>
            </w:r>
          </w:p>
        </w:tc>
        <w:tc>
          <w:tcPr>
            <w:tcW w:w="660" w:type="dxa"/>
            <w:vAlign w:val="bottom"/>
          </w:tcPr>
          <w:p>
            <w:pPr>
              <w:spacing w:after="0"/>
              <w:rPr>
                <w:sz w:val="14"/>
                <w:szCs w:val="14"/>
                <w:color w:val="auto"/>
              </w:rPr>
            </w:pPr>
          </w:p>
        </w:tc>
        <w:tc>
          <w:tcPr>
            <w:tcW w:w="4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195</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0.34</w:t>
            </w:r>
          </w:p>
        </w:tc>
        <w:tc>
          <w:tcPr>
            <w:tcW w:w="1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0.34</w:t>
            </w:r>
          </w:p>
        </w:tc>
        <w:tc>
          <w:tcPr>
            <w:tcW w:w="0" w:type="dxa"/>
            <w:vAlign w:val="bottom"/>
          </w:tcPr>
          <w:p>
            <w:pPr>
              <w:spacing w:after="0"/>
              <w:rPr>
                <w:sz w:val="1"/>
                <w:szCs w:val="1"/>
                <w:color w:val="auto"/>
              </w:rPr>
            </w:pPr>
          </w:p>
        </w:tc>
      </w:tr>
      <w:tr>
        <w:trPr>
          <w:trHeight w:val="168"/>
        </w:trPr>
        <w:tc>
          <w:tcPr>
            <w:tcW w:w="1200" w:type="dxa"/>
            <w:vAlign w:val="bottom"/>
          </w:tcPr>
          <w:p>
            <w:pPr>
              <w:spacing w:after="0" w:line="168" w:lineRule="exact"/>
              <w:rPr>
                <w:sz w:val="20"/>
                <w:szCs w:val="20"/>
                <w:color w:val="auto"/>
              </w:rPr>
            </w:pPr>
            <w:r>
              <w:rPr>
                <w:rFonts w:ascii="Courier New" w:cs="Courier New" w:eastAsia="Courier New" w:hAnsi="Courier New"/>
                <w:sz w:val="15"/>
                <w:szCs w:val="15"/>
                <w:color w:val="auto"/>
              </w:rPr>
              <w:t>Fourth/4/</w:t>
            </w:r>
          </w:p>
        </w:tc>
        <w:tc>
          <w:tcPr>
            <w:tcW w:w="48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3,577</w:t>
            </w:r>
          </w:p>
        </w:tc>
        <w:tc>
          <w:tcPr>
            <w:tcW w:w="700" w:type="dxa"/>
            <w:vAlign w:val="bottom"/>
          </w:tcPr>
          <w:p>
            <w:pPr>
              <w:spacing w:after="0"/>
              <w:rPr>
                <w:sz w:val="14"/>
                <w:szCs w:val="14"/>
                <w:color w:val="auto"/>
              </w:rPr>
            </w:pPr>
          </w:p>
        </w:tc>
        <w:tc>
          <w:tcPr>
            <w:tcW w:w="4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88"/>
              </w:rPr>
              <w:t>906</w:t>
            </w:r>
          </w:p>
        </w:tc>
        <w:tc>
          <w:tcPr>
            <w:tcW w:w="660" w:type="dxa"/>
            <w:vAlign w:val="bottom"/>
          </w:tcPr>
          <w:p>
            <w:pPr>
              <w:spacing w:after="0"/>
              <w:rPr>
                <w:sz w:val="14"/>
                <w:szCs w:val="14"/>
                <w:color w:val="auto"/>
              </w:rPr>
            </w:pPr>
          </w:p>
        </w:tc>
        <w:tc>
          <w:tcPr>
            <w:tcW w:w="4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185</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0.32</w:t>
            </w:r>
          </w:p>
        </w:tc>
        <w:tc>
          <w:tcPr>
            <w:tcW w:w="1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0.32</w:t>
            </w:r>
          </w:p>
        </w:tc>
        <w:tc>
          <w:tcPr>
            <w:tcW w:w="0" w:type="dxa"/>
            <w:vAlign w:val="bottom"/>
          </w:tcPr>
          <w:p>
            <w:pPr>
              <w:spacing w:after="0"/>
              <w:rPr>
                <w:sz w:val="1"/>
                <w:szCs w:val="1"/>
                <w:color w:val="auto"/>
              </w:rPr>
            </w:pPr>
          </w:p>
        </w:tc>
      </w:tr>
      <w:tr>
        <w:trPr>
          <w:trHeight w:val="168"/>
        </w:trPr>
        <w:tc>
          <w:tcPr>
            <w:tcW w:w="1200" w:type="dxa"/>
            <w:vAlign w:val="bottom"/>
          </w:tcPr>
          <w:p>
            <w:pPr>
              <w:spacing w:after="0"/>
              <w:rPr>
                <w:sz w:val="14"/>
                <w:szCs w:val="14"/>
                <w:color w:val="auto"/>
              </w:rPr>
            </w:pPr>
          </w:p>
        </w:tc>
        <w:tc>
          <w:tcPr>
            <w:tcW w:w="11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w:t>
            </w:r>
          </w:p>
        </w:tc>
        <w:tc>
          <w:tcPr>
            <w:tcW w:w="11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1200" w:type="dxa"/>
            <w:vAlign w:val="bottom"/>
          </w:tcPr>
          <w:p>
            <w:pPr>
              <w:spacing w:after="0"/>
              <w:rPr>
                <w:sz w:val="14"/>
                <w:szCs w:val="14"/>
                <w:color w:val="auto"/>
              </w:rPr>
            </w:pPr>
          </w:p>
        </w:tc>
        <w:tc>
          <w:tcPr>
            <w:tcW w:w="11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$ 13,746</w:t>
            </w:r>
          </w:p>
        </w:tc>
        <w:tc>
          <w:tcPr>
            <w:tcW w:w="11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$ 3,104</w:t>
            </w:r>
          </w:p>
        </w:tc>
        <w:tc>
          <w:tcPr>
            <w:tcW w:w="660" w:type="dxa"/>
            <w:vAlign w:val="bottom"/>
          </w:tcPr>
          <w:p>
            <w:pPr>
              <w:jc w:val="center"/>
              <w:ind w:left="427"/>
              <w:spacing w:after="0" w:line="168" w:lineRule="exact"/>
              <w:rPr>
                <w:sz w:val="20"/>
                <w:szCs w:val="20"/>
                <w:color w:val="auto"/>
              </w:rPr>
            </w:pPr>
            <w:r>
              <w:rPr>
                <w:rFonts w:ascii="Courier New" w:cs="Courier New" w:eastAsia="Courier New" w:hAnsi="Courier New"/>
                <w:sz w:val="15"/>
                <w:szCs w:val="15"/>
                <w:color w:val="auto"/>
                <w:w w:val="88"/>
              </w:rPr>
              <w:t>$</w:t>
            </w:r>
          </w:p>
        </w:tc>
        <w:tc>
          <w:tcPr>
            <w:tcW w:w="4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522</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$ 0.91</w:t>
            </w:r>
          </w:p>
        </w:tc>
        <w:tc>
          <w:tcPr>
            <w:tcW w:w="1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$ 0.91</w:t>
            </w:r>
          </w:p>
        </w:tc>
        <w:tc>
          <w:tcPr>
            <w:tcW w:w="0" w:type="dxa"/>
            <w:vAlign w:val="bottom"/>
          </w:tcPr>
          <w:p>
            <w:pPr>
              <w:spacing w:after="0"/>
              <w:rPr>
                <w:sz w:val="1"/>
                <w:szCs w:val="1"/>
                <w:color w:val="auto"/>
              </w:rPr>
            </w:pPr>
          </w:p>
        </w:tc>
      </w:tr>
      <w:tr>
        <w:trPr>
          <w:trHeight w:val="245"/>
        </w:trPr>
        <w:tc>
          <w:tcPr>
            <w:tcW w:w="1200" w:type="dxa"/>
            <w:vAlign w:val="bottom"/>
          </w:tcPr>
          <w:p>
            <w:pPr>
              <w:spacing w:after="0"/>
              <w:rPr>
                <w:sz w:val="21"/>
                <w:szCs w:val="21"/>
                <w:color w:val="auto"/>
              </w:rPr>
            </w:pPr>
          </w:p>
        </w:tc>
        <w:tc>
          <w:tcPr>
            <w:tcW w:w="11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w w:val="98"/>
              </w:rPr>
              <w:t>============</w:t>
            </w:r>
          </w:p>
        </w:tc>
        <w:tc>
          <w:tcPr>
            <w:tcW w:w="11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6"/>
              </w:rPr>
              <w:t>===========</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1200" w:type="dxa"/>
            <w:vAlign w:val="bottom"/>
          </w:tcPr>
          <w:p>
            <w:pPr>
              <w:spacing w:after="0"/>
              <w:rPr>
                <w:sz w:val="20"/>
                <w:szCs w:val="20"/>
                <w:color w:val="auto"/>
              </w:rPr>
            </w:pPr>
            <w:r>
              <w:rPr>
                <w:rFonts w:ascii="Courier New" w:cs="Courier New" w:eastAsia="Courier New" w:hAnsi="Courier New"/>
                <w:sz w:val="15"/>
                <w:szCs w:val="15"/>
                <w:color w:val="auto"/>
              </w:rPr>
              <w:t>Quarters-2000</w:t>
            </w:r>
          </w:p>
        </w:tc>
        <w:tc>
          <w:tcPr>
            <w:tcW w:w="480" w:type="dxa"/>
            <w:vAlign w:val="bottom"/>
            <w:vMerge w:val="restart"/>
          </w:tcPr>
          <w:p>
            <w:pPr>
              <w:ind w:left="300"/>
              <w:spacing w:after="0"/>
              <w:rPr>
                <w:sz w:val="20"/>
                <w:szCs w:val="20"/>
                <w:color w:val="auto"/>
              </w:rPr>
            </w:pPr>
            <w:r>
              <w:rPr>
                <w:rFonts w:ascii="Courier New" w:cs="Courier New" w:eastAsia="Courier New" w:hAnsi="Courier New"/>
                <w:sz w:val="15"/>
                <w:szCs w:val="15"/>
                <w:color w:val="auto"/>
              </w:rPr>
              <w:t>$</w:t>
            </w:r>
          </w:p>
        </w:tc>
        <w:tc>
          <w:tcPr>
            <w:tcW w:w="70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2,138</w:t>
            </w:r>
          </w:p>
        </w:tc>
        <w:tc>
          <w:tcPr>
            <w:tcW w:w="700" w:type="dxa"/>
            <w:vAlign w:val="bottom"/>
            <w:vMerge w:val="restart"/>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420" w:type="dxa"/>
            <w:vAlign w:val="bottom"/>
            <w:vMerge w:val="restart"/>
          </w:tcPr>
          <w:p>
            <w:pPr>
              <w:jc w:val="right"/>
              <w:ind w:right="87"/>
              <w:spacing w:after="0"/>
              <w:rPr>
                <w:sz w:val="20"/>
                <w:szCs w:val="20"/>
                <w:color w:val="auto"/>
              </w:rPr>
            </w:pPr>
            <w:r>
              <w:rPr>
                <w:rFonts w:ascii="Courier New" w:cs="Courier New" w:eastAsia="Courier New" w:hAnsi="Courier New"/>
                <w:sz w:val="15"/>
                <w:szCs w:val="15"/>
                <w:color w:val="auto"/>
                <w:w w:val="88"/>
              </w:rPr>
              <w:t>478</w:t>
            </w:r>
          </w:p>
        </w:tc>
        <w:tc>
          <w:tcPr>
            <w:tcW w:w="660" w:type="dxa"/>
            <w:vAlign w:val="bottom"/>
            <w:vMerge w:val="restart"/>
          </w:tcPr>
          <w:p>
            <w:pPr>
              <w:jc w:val="center"/>
              <w:ind w:left="427"/>
              <w:spacing w:after="0"/>
              <w:rPr>
                <w:sz w:val="20"/>
                <w:szCs w:val="20"/>
                <w:color w:val="auto"/>
              </w:rPr>
            </w:pPr>
            <w:r>
              <w:rPr>
                <w:rFonts w:ascii="Courier New" w:cs="Courier New" w:eastAsia="Courier New" w:hAnsi="Courier New"/>
                <w:sz w:val="15"/>
                <w:szCs w:val="15"/>
                <w:color w:val="auto"/>
                <w:w w:val="88"/>
              </w:rPr>
              <w:t>$</w:t>
            </w:r>
          </w:p>
        </w:tc>
        <w:tc>
          <w:tcPr>
            <w:tcW w:w="480" w:type="dxa"/>
            <w:vAlign w:val="bottom"/>
            <w:vMerge w:val="restart"/>
          </w:tcPr>
          <w:p>
            <w:pPr>
              <w:ind w:left="40"/>
              <w:spacing w:after="0"/>
              <w:rPr>
                <w:sz w:val="20"/>
                <w:szCs w:val="20"/>
                <w:color w:val="auto"/>
              </w:rPr>
            </w:pPr>
            <w:r>
              <w:rPr>
                <w:rFonts w:ascii="Courier New" w:cs="Courier New" w:eastAsia="Courier New" w:hAnsi="Courier New"/>
                <w:sz w:val="15"/>
                <w:szCs w:val="15"/>
                <w:color w:val="auto"/>
              </w:rPr>
              <w:t>136</w:t>
            </w:r>
          </w:p>
        </w:tc>
        <w:tc>
          <w:tcPr>
            <w:tcW w:w="110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$ 0.24</w:t>
            </w:r>
          </w:p>
        </w:tc>
        <w:tc>
          <w:tcPr>
            <w:tcW w:w="1260" w:type="dxa"/>
            <w:vAlign w:val="bottom"/>
            <w:vMerge w:val="restart"/>
          </w:tcPr>
          <w:p>
            <w:pPr>
              <w:jc w:val="right"/>
              <w:ind w:right="267"/>
              <w:spacing w:after="0"/>
              <w:rPr>
                <w:sz w:val="20"/>
                <w:szCs w:val="20"/>
                <w:color w:val="auto"/>
              </w:rPr>
            </w:pPr>
            <w:r>
              <w:rPr>
                <w:rFonts w:ascii="Courier New" w:cs="Courier New" w:eastAsia="Courier New" w:hAnsi="Courier New"/>
                <w:sz w:val="15"/>
                <w:szCs w:val="15"/>
                <w:color w:val="auto"/>
              </w:rPr>
              <w:t>$ 0.24</w:t>
            </w:r>
          </w:p>
        </w:tc>
        <w:tc>
          <w:tcPr>
            <w:tcW w:w="0" w:type="dxa"/>
            <w:vAlign w:val="bottom"/>
          </w:tcPr>
          <w:p>
            <w:pPr>
              <w:spacing w:after="0"/>
              <w:rPr>
                <w:sz w:val="1"/>
                <w:szCs w:val="1"/>
                <w:color w:val="auto"/>
              </w:rPr>
            </w:pPr>
          </w:p>
        </w:tc>
      </w:tr>
      <w:tr>
        <w:trPr>
          <w:trHeight w:val="168"/>
        </w:trPr>
        <w:tc>
          <w:tcPr>
            <w:tcW w:w="1200" w:type="dxa"/>
            <w:vAlign w:val="bottom"/>
          </w:tcPr>
          <w:p>
            <w:pPr>
              <w:spacing w:after="0" w:line="168" w:lineRule="exact"/>
              <w:rPr>
                <w:sz w:val="20"/>
                <w:szCs w:val="20"/>
                <w:color w:val="auto"/>
              </w:rPr>
            </w:pPr>
            <w:r>
              <w:rPr>
                <w:rFonts w:ascii="Courier New" w:cs="Courier New" w:eastAsia="Courier New" w:hAnsi="Courier New"/>
                <w:sz w:val="15"/>
                <w:szCs w:val="15"/>
                <w:color w:val="auto"/>
              </w:rPr>
              <w:t>First</w:t>
            </w:r>
          </w:p>
        </w:tc>
        <w:tc>
          <w:tcPr>
            <w:tcW w:w="48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200" w:type="dxa"/>
            <w:vAlign w:val="bottom"/>
          </w:tcPr>
          <w:p>
            <w:pPr>
              <w:spacing w:after="0" w:line="168" w:lineRule="exact"/>
              <w:rPr>
                <w:sz w:val="20"/>
                <w:szCs w:val="20"/>
                <w:color w:val="auto"/>
              </w:rPr>
            </w:pPr>
            <w:r>
              <w:rPr>
                <w:rFonts w:ascii="Courier New" w:cs="Courier New" w:eastAsia="Courier New" w:hAnsi="Courier New"/>
                <w:sz w:val="15"/>
                <w:szCs w:val="15"/>
                <w:color w:val="auto"/>
              </w:rPr>
              <w:t>Second</w:t>
            </w:r>
          </w:p>
        </w:tc>
        <w:tc>
          <w:tcPr>
            <w:tcW w:w="48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2,338</w:t>
            </w:r>
          </w:p>
        </w:tc>
        <w:tc>
          <w:tcPr>
            <w:tcW w:w="700" w:type="dxa"/>
            <w:vAlign w:val="bottom"/>
          </w:tcPr>
          <w:p>
            <w:pPr>
              <w:spacing w:after="0"/>
              <w:rPr>
                <w:sz w:val="14"/>
                <w:szCs w:val="14"/>
                <w:color w:val="auto"/>
              </w:rPr>
            </w:pPr>
          </w:p>
        </w:tc>
        <w:tc>
          <w:tcPr>
            <w:tcW w:w="4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88"/>
              </w:rPr>
              <w:t>508</w:t>
            </w:r>
          </w:p>
        </w:tc>
        <w:tc>
          <w:tcPr>
            <w:tcW w:w="660" w:type="dxa"/>
            <w:vAlign w:val="bottom"/>
          </w:tcPr>
          <w:p>
            <w:pPr>
              <w:spacing w:after="0"/>
              <w:rPr>
                <w:sz w:val="14"/>
                <w:szCs w:val="14"/>
                <w:color w:val="auto"/>
              </w:rPr>
            </w:pPr>
          </w:p>
        </w:tc>
        <w:tc>
          <w:tcPr>
            <w:tcW w:w="4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156</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0.27</w:t>
            </w:r>
          </w:p>
        </w:tc>
        <w:tc>
          <w:tcPr>
            <w:tcW w:w="1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0.27</w:t>
            </w:r>
          </w:p>
        </w:tc>
        <w:tc>
          <w:tcPr>
            <w:tcW w:w="0" w:type="dxa"/>
            <w:vAlign w:val="bottom"/>
          </w:tcPr>
          <w:p>
            <w:pPr>
              <w:spacing w:after="0"/>
              <w:rPr>
                <w:sz w:val="1"/>
                <w:szCs w:val="1"/>
                <w:color w:val="auto"/>
              </w:rPr>
            </w:pPr>
          </w:p>
        </w:tc>
      </w:tr>
      <w:tr>
        <w:trPr>
          <w:trHeight w:val="168"/>
        </w:trPr>
        <w:tc>
          <w:tcPr>
            <w:tcW w:w="1200" w:type="dxa"/>
            <w:vAlign w:val="bottom"/>
          </w:tcPr>
          <w:p>
            <w:pPr>
              <w:spacing w:after="0" w:line="168" w:lineRule="exact"/>
              <w:rPr>
                <w:sz w:val="20"/>
                <w:szCs w:val="20"/>
                <w:color w:val="auto"/>
              </w:rPr>
            </w:pPr>
            <w:r>
              <w:rPr>
                <w:rFonts w:ascii="Courier New" w:cs="Courier New" w:eastAsia="Courier New" w:hAnsi="Courier New"/>
                <w:sz w:val="15"/>
                <w:szCs w:val="15"/>
                <w:color w:val="auto"/>
              </w:rPr>
              <w:t>Third</w:t>
            </w:r>
          </w:p>
        </w:tc>
        <w:tc>
          <w:tcPr>
            <w:tcW w:w="48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2,447</w:t>
            </w:r>
          </w:p>
        </w:tc>
        <w:tc>
          <w:tcPr>
            <w:tcW w:w="700" w:type="dxa"/>
            <w:vAlign w:val="bottom"/>
          </w:tcPr>
          <w:p>
            <w:pPr>
              <w:spacing w:after="0"/>
              <w:rPr>
                <w:sz w:val="14"/>
                <w:szCs w:val="14"/>
                <w:color w:val="auto"/>
              </w:rPr>
            </w:pPr>
          </w:p>
        </w:tc>
        <w:tc>
          <w:tcPr>
            <w:tcW w:w="4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88"/>
              </w:rPr>
              <w:t>556</w:t>
            </w:r>
          </w:p>
        </w:tc>
        <w:tc>
          <w:tcPr>
            <w:tcW w:w="660" w:type="dxa"/>
            <w:vAlign w:val="bottom"/>
          </w:tcPr>
          <w:p>
            <w:pPr>
              <w:spacing w:after="0"/>
              <w:rPr>
                <w:sz w:val="14"/>
                <w:szCs w:val="14"/>
                <w:color w:val="auto"/>
              </w:rPr>
            </w:pPr>
          </w:p>
        </w:tc>
        <w:tc>
          <w:tcPr>
            <w:tcW w:w="4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205</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0.36</w:t>
            </w:r>
          </w:p>
        </w:tc>
        <w:tc>
          <w:tcPr>
            <w:tcW w:w="1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0.35</w:t>
            </w:r>
          </w:p>
        </w:tc>
        <w:tc>
          <w:tcPr>
            <w:tcW w:w="0" w:type="dxa"/>
            <w:vAlign w:val="bottom"/>
          </w:tcPr>
          <w:p>
            <w:pPr>
              <w:spacing w:after="0"/>
              <w:rPr>
                <w:sz w:val="1"/>
                <w:szCs w:val="1"/>
                <w:color w:val="auto"/>
              </w:rPr>
            </w:pPr>
          </w:p>
        </w:tc>
      </w:tr>
      <w:tr>
        <w:trPr>
          <w:trHeight w:val="168"/>
        </w:trPr>
        <w:tc>
          <w:tcPr>
            <w:tcW w:w="1200" w:type="dxa"/>
            <w:vAlign w:val="bottom"/>
          </w:tcPr>
          <w:p>
            <w:pPr>
              <w:spacing w:after="0" w:line="168" w:lineRule="exact"/>
              <w:rPr>
                <w:sz w:val="20"/>
                <w:szCs w:val="20"/>
                <w:color w:val="auto"/>
              </w:rPr>
            </w:pPr>
            <w:r>
              <w:rPr>
                <w:rFonts w:ascii="Courier New" w:cs="Courier New" w:eastAsia="Courier New" w:hAnsi="Courier New"/>
                <w:sz w:val="15"/>
                <w:szCs w:val="15"/>
                <w:color w:val="auto"/>
              </w:rPr>
              <w:t>Fourth/5/</w:t>
            </w:r>
          </w:p>
        </w:tc>
        <w:tc>
          <w:tcPr>
            <w:tcW w:w="48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2,688</w:t>
            </w:r>
          </w:p>
        </w:tc>
        <w:tc>
          <w:tcPr>
            <w:tcW w:w="700" w:type="dxa"/>
            <w:vAlign w:val="bottom"/>
          </w:tcPr>
          <w:p>
            <w:pPr>
              <w:spacing w:after="0"/>
              <w:rPr>
                <w:sz w:val="14"/>
                <w:szCs w:val="14"/>
                <w:color w:val="auto"/>
              </w:rPr>
            </w:pPr>
          </w:p>
        </w:tc>
        <w:tc>
          <w:tcPr>
            <w:tcW w:w="4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88"/>
              </w:rPr>
              <w:t>555</w:t>
            </w:r>
          </w:p>
        </w:tc>
        <w:tc>
          <w:tcPr>
            <w:tcW w:w="660" w:type="dxa"/>
            <w:vAlign w:val="bottom"/>
          </w:tcPr>
          <w:p>
            <w:pPr>
              <w:spacing w:after="0"/>
              <w:rPr>
                <w:sz w:val="14"/>
                <w:szCs w:val="14"/>
                <w:color w:val="auto"/>
              </w:rPr>
            </w:pPr>
          </w:p>
        </w:tc>
        <w:tc>
          <w:tcPr>
            <w:tcW w:w="4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238</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0.42</w:t>
            </w:r>
          </w:p>
        </w:tc>
        <w:tc>
          <w:tcPr>
            <w:tcW w:w="1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0.41</w:t>
            </w:r>
          </w:p>
        </w:tc>
        <w:tc>
          <w:tcPr>
            <w:tcW w:w="0" w:type="dxa"/>
            <w:vAlign w:val="bottom"/>
          </w:tcPr>
          <w:p>
            <w:pPr>
              <w:spacing w:after="0"/>
              <w:rPr>
                <w:sz w:val="1"/>
                <w:szCs w:val="1"/>
                <w:color w:val="auto"/>
              </w:rPr>
            </w:pPr>
          </w:p>
        </w:tc>
      </w:tr>
      <w:tr>
        <w:trPr>
          <w:trHeight w:val="168"/>
        </w:trPr>
        <w:tc>
          <w:tcPr>
            <w:tcW w:w="1200" w:type="dxa"/>
            <w:vAlign w:val="bottom"/>
          </w:tcPr>
          <w:p>
            <w:pPr>
              <w:spacing w:after="0"/>
              <w:rPr>
                <w:sz w:val="14"/>
                <w:szCs w:val="14"/>
                <w:color w:val="auto"/>
              </w:rPr>
            </w:pPr>
          </w:p>
        </w:tc>
        <w:tc>
          <w:tcPr>
            <w:tcW w:w="11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w:t>
            </w:r>
          </w:p>
        </w:tc>
        <w:tc>
          <w:tcPr>
            <w:tcW w:w="11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1200" w:type="dxa"/>
            <w:vAlign w:val="bottom"/>
          </w:tcPr>
          <w:p>
            <w:pPr>
              <w:spacing w:after="0"/>
              <w:rPr>
                <w:sz w:val="14"/>
                <w:szCs w:val="14"/>
                <w:color w:val="auto"/>
              </w:rPr>
            </w:pPr>
          </w:p>
        </w:tc>
        <w:tc>
          <w:tcPr>
            <w:tcW w:w="48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9,611</w:t>
            </w:r>
          </w:p>
        </w:tc>
        <w:tc>
          <w:tcPr>
            <w:tcW w:w="11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$ 2,097</w:t>
            </w:r>
          </w:p>
        </w:tc>
        <w:tc>
          <w:tcPr>
            <w:tcW w:w="660" w:type="dxa"/>
            <w:vAlign w:val="bottom"/>
          </w:tcPr>
          <w:p>
            <w:pPr>
              <w:jc w:val="center"/>
              <w:ind w:left="427"/>
              <w:spacing w:after="0" w:line="168" w:lineRule="exact"/>
              <w:rPr>
                <w:sz w:val="20"/>
                <w:szCs w:val="20"/>
                <w:color w:val="auto"/>
              </w:rPr>
            </w:pPr>
            <w:r>
              <w:rPr>
                <w:rFonts w:ascii="Courier New" w:cs="Courier New" w:eastAsia="Courier New" w:hAnsi="Courier New"/>
                <w:sz w:val="15"/>
                <w:szCs w:val="15"/>
                <w:color w:val="auto"/>
                <w:w w:val="88"/>
              </w:rPr>
              <w:t>$</w:t>
            </w:r>
          </w:p>
        </w:tc>
        <w:tc>
          <w:tcPr>
            <w:tcW w:w="4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735</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$ 1.29</w:t>
            </w:r>
          </w:p>
        </w:tc>
        <w:tc>
          <w:tcPr>
            <w:tcW w:w="1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$ 1.27</w:t>
            </w:r>
          </w:p>
        </w:tc>
        <w:tc>
          <w:tcPr>
            <w:tcW w:w="0" w:type="dxa"/>
            <w:vAlign w:val="bottom"/>
          </w:tcPr>
          <w:p>
            <w:pPr>
              <w:spacing w:after="0"/>
              <w:rPr>
                <w:sz w:val="1"/>
                <w:szCs w:val="1"/>
                <w:color w:val="auto"/>
              </w:rPr>
            </w:pPr>
          </w:p>
        </w:tc>
      </w:tr>
      <w:tr>
        <w:trPr>
          <w:trHeight w:val="245"/>
        </w:trPr>
        <w:tc>
          <w:tcPr>
            <w:tcW w:w="1200" w:type="dxa"/>
            <w:vAlign w:val="bottom"/>
          </w:tcPr>
          <w:p>
            <w:pPr>
              <w:spacing w:after="0"/>
              <w:rPr>
                <w:sz w:val="21"/>
                <w:szCs w:val="21"/>
                <w:color w:val="auto"/>
              </w:rPr>
            </w:pPr>
          </w:p>
        </w:tc>
        <w:tc>
          <w:tcPr>
            <w:tcW w:w="11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w w:val="98"/>
              </w:rPr>
              <w:t>============</w:t>
            </w:r>
          </w:p>
        </w:tc>
        <w:tc>
          <w:tcPr>
            <w:tcW w:w="11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6"/>
              </w:rPr>
              <w:t>===========</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ind w:left="440" w:right="3319" w:hanging="430"/>
        <w:spacing w:after="0" w:line="255" w:lineRule="auto"/>
        <w:tabs>
          <w:tab w:leader="none" w:pos="440"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a $25 million (pretax and after tax) in-process R&amp;D charge ($0.04 per share - diluted).</w:t>
      </w:r>
    </w:p>
    <w:p>
      <w:pPr>
        <w:spacing w:after="0" w:line="1" w:lineRule="exact"/>
        <w:rPr>
          <w:sz w:val="20"/>
          <w:szCs w:val="20"/>
          <w:color w:val="auto"/>
        </w:rPr>
      </w:pPr>
    </w:p>
    <w:p>
      <w:pPr>
        <w:ind w:left="440" w:right="3939" w:hanging="430"/>
        <w:spacing w:after="0" w:line="237" w:lineRule="auto"/>
        <w:tabs>
          <w:tab w:leader="none" w:pos="440"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a net, after-tax charge of $280 million ($0.48 per share - diluted).</w:t>
      </w:r>
    </w:p>
    <w:p>
      <w:pPr>
        <w:spacing w:after="0" w:line="1" w:lineRule="exact"/>
        <w:rPr>
          <w:sz w:val="20"/>
          <w:szCs w:val="20"/>
          <w:color w:val="auto"/>
        </w:rPr>
      </w:pPr>
    </w:p>
    <w:p>
      <w:pPr>
        <w:ind w:left="440" w:hanging="430"/>
        <w:spacing w:after="0"/>
        <w:tabs>
          <w:tab w:leader="none" w:pos="440" w:val="left"/>
        </w:tabs>
        <w:numPr>
          <w:ilvl w:val="0"/>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a net, after-tax credit of $3 million ($0.00 per share-diluted).</w:t>
      </w:r>
    </w:p>
    <w:p>
      <w:pPr>
        <w:spacing w:after="0" w:line="9"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4</w:t>
      </w:r>
      <w:r>
        <w:rPr>
          <w:rFonts w:ascii="Courier New" w:cs="Courier New" w:eastAsia="Courier New" w:hAnsi="Courier New"/>
          <w:sz w:val="14"/>
          <w:szCs w:val="14"/>
          <w:color w:val="auto"/>
        </w:rPr>
        <w:t>Includes a net, after-tax credit of $5 million ($0.01 per share-diluted).</w:t>
      </w:r>
    </w:p>
    <w:p>
      <w:pPr>
        <w:ind w:left="440" w:right="3239" w:hanging="437"/>
        <w:spacing w:after="0" w:line="30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5Includes a net, after-tax and minority interest charge of $3 million ($0.00 per share-diluted).</w:t>
      </w:r>
    </w:p>
    <w:p>
      <w:pPr>
        <w:spacing w:after="0" w:line="44"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F-31</w:t>
      </w:r>
    </w:p>
    <w:p>
      <w:pPr>
        <w:sectPr>
          <w:pgSz w:w="11900" w:h="16838" w:orient="portrait"/>
          <w:cols w:equalWidth="0" w:num="1">
            <w:col w:w="10239"/>
          </w:cols>
          <w:pgMar w:left="220" w:top="766" w:right="1440" w:bottom="1440" w:gutter="0" w:footer="0" w:header="0"/>
        </w:sectPr>
      </w:pPr>
    </w:p>
    <w:bookmarkStart w:id="46" w:name="page47"/>
    <w:bookmarkEnd w:id="46"/>
    <w:p>
      <w:pPr>
        <w:jc w:val="center"/>
        <w:ind w:right="3139"/>
        <w:spacing w:after="0"/>
        <w:rPr>
          <w:sz w:val="20"/>
          <w:szCs w:val="20"/>
          <w:color w:val="auto"/>
        </w:rPr>
      </w:pPr>
      <w:r>
        <w:rPr>
          <w:rFonts w:ascii="Courier New" w:cs="Courier New" w:eastAsia="Courier New" w:hAnsi="Courier New"/>
          <w:sz w:val="15"/>
          <w:szCs w:val="15"/>
          <w:color w:val="auto"/>
        </w:rPr>
        <w:t>PART II</w:t>
      </w:r>
    </w:p>
    <w:p>
      <w:pPr>
        <w:spacing w:after="0" w:line="24"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INFORMATION NOT REQUIRED IN PROSPECTUS</w:t>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20. Indemnification of Directors and Officers.</w:t>
      </w:r>
    </w:p>
    <w:p>
      <w:pPr>
        <w:spacing w:after="0" w:line="166" w:lineRule="exact"/>
        <w:rPr>
          <w:sz w:val="20"/>
          <w:szCs w:val="20"/>
          <w:color w:val="auto"/>
        </w:rPr>
      </w:pPr>
    </w:p>
    <w:p>
      <w:pPr>
        <w:ind w:right="3759" w:firstLine="525"/>
        <w:spacing w:after="0" w:line="344" w:lineRule="auto"/>
        <w:rPr>
          <w:sz w:val="20"/>
          <w:szCs w:val="20"/>
          <w:color w:val="auto"/>
        </w:rPr>
      </w:pPr>
      <w:r>
        <w:rPr>
          <w:rFonts w:ascii="Courier New" w:cs="Courier New" w:eastAsia="Courier New" w:hAnsi="Courier New"/>
          <w:sz w:val="15"/>
          <w:szCs w:val="15"/>
          <w:color w:val="auto"/>
        </w:rPr>
        <w:t>Article 10 of our Deed of Incorporation and Article V of our By-Laws provide that:</w:t>
      </w:r>
    </w:p>
    <w:p>
      <w:pPr>
        <w:spacing w:after="0" w:line="17" w:lineRule="exact"/>
        <w:rPr>
          <w:sz w:val="20"/>
          <w:szCs w:val="20"/>
          <w:color w:val="auto"/>
        </w:rPr>
      </w:pPr>
    </w:p>
    <w:p>
      <w:pPr>
        <w:ind w:right="3239" w:firstLine="525"/>
        <w:spacing w:after="0" w:line="256" w:lineRule="auto"/>
        <w:rPr>
          <w:sz w:val="20"/>
          <w:szCs w:val="20"/>
          <w:color w:val="auto"/>
        </w:rPr>
      </w:pPr>
      <w:r>
        <w:rPr>
          <w:rFonts w:ascii="Courier New" w:cs="Courier New" w:eastAsia="Courier New" w:hAnsi="Courier New"/>
          <w:sz w:val="14"/>
          <w:szCs w:val="14"/>
          <w:color w:val="auto"/>
        </w:rPr>
        <w:t>The Registrant has the power to indemnify any person who was or is a party or is threatened to be made a party to any threatened, pending or completed action, suit or proceeding, whether civil, criminal, administrative or investigative (other than an action by or in the right of the Registrant) by reason of the fact that he or she is or was a director, officer, employee or agent of the Registrant, or is or was serving at the request of the Registrant as a director, officer, employee or agent of another corporation, partnership, joint venture, trust or other enterprise or entity, against expenses (including attorneys' fees), judgments, fines and amounts paid in settlement actually and reasonably incurred by such person in connection with such action, suit or proceeding if such person acted in good faith and in a manner such person reasonably believed to be in or not opposed to the best interests of the Registrant, and, with respect to any criminal action or proceeding, had no reasonable cause to believe that such person's conduct was unlawful. The termination of any action, suit or proceeding by judgment, order, settlement, conviction, or upon a plea of nolo contendere or its equivalent does not, of itself, create a presumption that the person did not act in good faith and in a manner which such person reasonably believed to be in or not opposed to the best interests of the Registrant, and, with respect to any criminal action or proceeding, had reasonable cause to believe that such person's conduct was unlawful. The Registrant is required to indemnify any of its present or former officers or directors to the fullest extent allowed by the preceding paragraphs in the event of a "Change of Control." "Change in Control" means a change in control of the Registrant, which shall be deemed to have occurred if at any time</w:t>
      </w:r>
    </w:p>
    <w:p>
      <w:pPr>
        <w:spacing w:after="0" w:line="172" w:lineRule="exact"/>
        <w:rPr>
          <w:sz w:val="20"/>
          <w:szCs w:val="20"/>
          <w:color w:val="auto"/>
        </w:rPr>
      </w:pPr>
    </w:p>
    <w:p>
      <w:pPr>
        <w:ind w:right="3239" w:firstLine="10"/>
        <w:spacing w:after="0" w:line="260" w:lineRule="auto"/>
        <w:tabs>
          <w:tab w:leader="none" w:pos="350" w:val="left"/>
        </w:tabs>
        <w:numPr>
          <w:ilvl w:val="0"/>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entity, person or organization is or becomes the legal or beneficial owner, directly or indirectly, of securities of the Registrant representing 30% or more of the combined voting power of the Registrant's then outstanding shares without the prior approval of at least two-thirds of the members of the Board of Directors in office immediately prior to such entity, person or organization attaining such percentage interest; (ii) the Registrant is a party to a merger, consolidation, share exchange, sale of assets or other reorganization, or a proxy contest, as a consequence of which members of the Board of Directors in office immediately prior to such transaction or event constitute less than a majority of the Board of Directors thereafter; or (iii) during any 15-month period, individuals who at the beginning of such period constituted the Board of Directors (including for this purpose any new director whose election or nomination for election by the Registrant's stockholders was approved by a vote of at least two-thirds of the directors then still in office who were directors at the beginning of such period) cease for any reason to constitute at least a majority of the Board of Directors.</w:t>
      </w:r>
    </w:p>
    <w:p>
      <w:pPr>
        <w:spacing w:after="0" w:line="256" w:lineRule="exact"/>
        <w:rPr>
          <w:sz w:val="20"/>
          <w:szCs w:val="20"/>
          <w:color w:val="auto"/>
        </w:rPr>
      </w:pPr>
    </w:p>
    <w:p>
      <w:pPr>
        <w:ind w:right="3239" w:firstLine="525"/>
        <w:spacing w:after="0" w:line="260" w:lineRule="auto"/>
        <w:rPr>
          <w:sz w:val="20"/>
          <w:szCs w:val="20"/>
          <w:color w:val="auto"/>
        </w:rPr>
      </w:pPr>
      <w:r>
        <w:rPr>
          <w:rFonts w:ascii="Courier New" w:cs="Courier New" w:eastAsia="Courier New" w:hAnsi="Courier New"/>
          <w:sz w:val="14"/>
          <w:szCs w:val="14"/>
          <w:color w:val="auto"/>
        </w:rPr>
        <w:t>The Registrant has the power to indemnify any person who was or is a party or is threatened to be made a party to any threatened, pending or completed action or suit by or in the right of the Registrant to procure a judgment in the Registrant's favor by reason of the fact that such person is or was a director, officer, employee or agent of the Registrant, or is or was serving at its request as a director, officer, employee or agent of another corporation, partnership, joint venture, trust or other enterprise or entity against expenses (including attorneys' fees), judgments, fines and amounts paid in settlement actually and reasonably incurred by such person in connection with the defense or settlement of such action or suit if such person acted in good faith and in a manner such person reasonably believed to be in or not opposed to the Registrant's best interests and except that no indemnification may be made in respect of any claim, issue or matter as to which such person has been finally adjudged to be liable to the Registrant for improper conduct unless and only to the extent that the court in which that action or suit was brought or any other court having appropriate jurisdiction determines upon application that, despite the adjudication of liability, but in view of all the circumstances of the case, such person is fairly and reasonably entitled to indemnity for those expenses, judgments, fines and amounts paid in settlement which the court in which the action or suit was brought or such other court having appropriate jurisdiction deems proper. The Registrant is required to indemnify any of its present or former officers or directors to the fullest extent allowed by the preceding paragraphs in the event of a Change in Control (as defined above).</w:t>
      </w:r>
    </w:p>
    <w:p>
      <w:pPr>
        <w:spacing w:after="0" w:line="257" w:lineRule="exact"/>
        <w:rPr>
          <w:sz w:val="20"/>
          <w:szCs w:val="20"/>
          <w:color w:val="auto"/>
        </w:rPr>
      </w:pPr>
    </w:p>
    <w:p>
      <w:pPr>
        <w:ind w:right="3239" w:firstLine="525"/>
        <w:spacing w:after="0" w:line="280" w:lineRule="auto"/>
        <w:rPr>
          <w:sz w:val="20"/>
          <w:szCs w:val="20"/>
          <w:color w:val="auto"/>
        </w:rPr>
      </w:pPr>
      <w:r>
        <w:rPr>
          <w:rFonts w:ascii="Courier New" w:cs="Courier New" w:eastAsia="Courier New" w:hAnsi="Courier New"/>
          <w:sz w:val="14"/>
          <w:szCs w:val="14"/>
          <w:color w:val="auto"/>
        </w:rPr>
        <w:t>To the extent that one of the Registrant's directors, officers, employees or agents has been successful on the merits or otherwise in defense of any action, suit or proceeding referred to in the two preceding paragraphs, or in defense of any claim, issue or matter therein, the Registrant will indemnify that person against expenses (including attorneys' fees) actually and reasonably incurred by such person in connection therewith.</w:t>
      </w:r>
    </w:p>
    <w:p>
      <w:pPr>
        <w:spacing w:after="0" w:line="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II-1</w:t>
      </w:r>
    </w:p>
    <w:p>
      <w:pPr>
        <w:sectPr>
          <w:pgSz w:w="11900" w:h="16838" w:orient="portrait"/>
          <w:cols w:equalWidth="0" w:num="1">
            <w:col w:w="10239"/>
          </w:cols>
          <w:pgMar w:left="220" w:top="598" w:right="1440" w:bottom="1440" w:gutter="0" w:footer="0" w:header="0"/>
        </w:sectPr>
      </w:pPr>
    </w:p>
    <w:bookmarkStart w:id="47" w:name="page48"/>
    <w:bookmarkEnd w:id="47"/>
    <w:p>
      <w:pPr>
        <w:ind w:right="3239" w:firstLine="525"/>
        <w:spacing w:after="0" w:line="264" w:lineRule="auto"/>
        <w:rPr>
          <w:sz w:val="20"/>
          <w:szCs w:val="20"/>
          <w:color w:val="auto"/>
        </w:rPr>
      </w:pPr>
      <w:r>
        <w:rPr>
          <w:rFonts w:ascii="Courier New" w:cs="Courier New" w:eastAsia="Courier New" w:hAnsi="Courier New"/>
          <w:sz w:val="15"/>
          <w:szCs w:val="15"/>
          <w:color w:val="auto"/>
        </w:rPr>
        <w:t>Any indemnification under the first two paragraphs in this item (unless ordered by a court) may be made by the Registrant only as authorized by contract approved, or by-laws, resolution or other action adopted or taken, by the board of directors or by the stockholders or as required by the last sentences of such paragraphs.</w:t>
      </w:r>
    </w:p>
    <w:p>
      <w:pPr>
        <w:spacing w:after="0" w:line="75" w:lineRule="exact"/>
        <w:rPr>
          <w:sz w:val="20"/>
          <w:szCs w:val="20"/>
          <w:color w:val="auto"/>
        </w:rPr>
      </w:pPr>
    </w:p>
    <w:p>
      <w:pPr>
        <w:ind w:right="3239" w:firstLine="525"/>
        <w:spacing w:after="0" w:line="252" w:lineRule="auto"/>
        <w:rPr>
          <w:sz w:val="20"/>
          <w:szCs w:val="20"/>
          <w:color w:val="auto"/>
        </w:rPr>
      </w:pPr>
      <w:r>
        <w:rPr>
          <w:rFonts w:ascii="Courier New" w:cs="Courier New" w:eastAsia="Courier New" w:hAnsi="Courier New"/>
          <w:sz w:val="15"/>
          <w:szCs w:val="15"/>
          <w:color w:val="auto"/>
        </w:rPr>
        <w:t>Expenses (including attorney's fees) incurred in defending a civil or criminal action, suit or proceeding will be paid by the Registrant in advance of the final disposition of such action, suit or proceeding upon receipt of an undertaking by or on behalf of the present or former director or present officer, employee or agent to repay such amount if it is ultimately determined that such person is not entitled to be indemnified by the Registrant as authorized by Article V of the By-Laws or Article 10 of the Deed of Incorporation.</w:t>
      </w:r>
    </w:p>
    <w:p>
      <w:pPr>
        <w:spacing w:after="0" w:line="86" w:lineRule="exact"/>
        <w:rPr>
          <w:sz w:val="20"/>
          <w:szCs w:val="20"/>
          <w:color w:val="auto"/>
        </w:rPr>
      </w:pPr>
    </w:p>
    <w:p>
      <w:pPr>
        <w:jc w:val="both"/>
        <w:ind w:right="3239" w:firstLine="525"/>
        <w:spacing w:after="0" w:line="290" w:lineRule="auto"/>
        <w:rPr>
          <w:sz w:val="20"/>
          <w:szCs w:val="20"/>
          <w:color w:val="auto"/>
        </w:rPr>
      </w:pPr>
      <w:r>
        <w:rPr>
          <w:rFonts w:ascii="Courier New" w:cs="Courier New" w:eastAsia="Courier New" w:hAnsi="Courier New"/>
          <w:sz w:val="15"/>
          <w:szCs w:val="15"/>
          <w:color w:val="auto"/>
        </w:rPr>
        <w:t>The Registrant may pay such expenses (including attorney's fees) incurred by former officers or other employees and agents upon such terms and conditions, if any, it deems appropriate.</w:t>
      </w:r>
    </w:p>
    <w:p>
      <w:pPr>
        <w:spacing w:after="0" w:line="57" w:lineRule="exact"/>
        <w:rPr>
          <w:sz w:val="20"/>
          <w:szCs w:val="20"/>
          <w:color w:val="auto"/>
        </w:rPr>
      </w:pPr>
    </w:p>
    <w:p>
      <w:pPr>
        <w:ind w:right="3239" w:firstLine="525"/>
        <w:spacing w:after="0" w:line="249" w:lineRule="auto"/>
        <w:rPr>
          <w:sz w:val="20"/>
          <w:szCs w:val="20"/>
          <w:color w:val="auto"/>
        </w:rPr>
      </w:pPr>
      <w:r>
        <w:rPr>
          <w:rFonts w:ascii="Courier New" w:cs="Courier New" w:eastAsia="Courier New" w:hAnsi="Courier New"/>
          <w:sz w:val="15"/>
          <w:szCs w:val="15"/>
          <w:color w:val="auto"/>
        </w:rPr>
        <w:t>The indemnification and advancement of expenses provided by or granted pursuant to the other Sections of Article V of the By-Laws and Article 10 of the Deed of Incorporation are not exclusive of any other rights to which those seeking indemnification or advancement of expenses may be entitled under any law, by-law, agreement, vote of stockholders or disinterested directors, or otherwise, both as to action in such person's official capacity and as to action in another capacity while holding such office, and, unless otherwise provided when authorized or ratified, continues as to a person who has ceased to be a director, officer, employee or agent and inures to the benefit of the heirs, executors and administrators of that person.</w:t>
      </w:r>
    </w:p>
    <w:p>
      <w:pPr>
        <w:spacing w:after="0" w:line="87" w:lineRule="exact"/>
        <w:rPr>
          <w:sz w:val="20"/>
          <w:szCs w:val="20"/>
          <w:color w:val="auto"/>
        </w:rPr>
      </w:pPr>
    </w:p>
    <w:p>
      <w:pPr>
        <w:ind w:right="3319" w:firstLine="525"/>
        <w:spacing w:after="0" w:line="250" w:lineRule="auto"/>
        <w:rPr>
          <w:sz w:val="20"/>
          <w:szCs w:val="20"/>
          <w:color w:val="auto"/>
        </w:rPr>
      </w:pPr>
      <w:r>
        <w:rPr>
          <w:rFonts w:ascii="Courier New" w:cs="Courier New" w:eastAsia="Courier New" w:hAnsi="Courier New"/>
          <w:sz w:val="15"/>
          <w:szCs w:val="15"/>
          <w:color w:val="auto"/>
        </w:rPr>
        <w:t>The Registrant has the power to purchase and maintain insurance on behalf of any person who is or was a director, officer, employee or agent of the Registrant, or is or was serving at our request in such a capacity for another corporation, partnership, joint venture, trust or other enterprise against any liability asserted against that person and incurred by that person in any of those capacities or arising out of such person's status as such, whether or not the Registrant would have the power to indemnify such person against such liability under the provisions of Article V of the By-Laws or Article 10 of the Deed of Incorporation.</w:t>
      </w:r>
    </w:p>
    <w:p>
      <w:pPr>
        <w:spacing w:after="0" w:line="89" w:lineRule="exact"/>
        <w:rPr>
          <w:sz w:val="20"/>
          <w:szCs w:val="20"/>
          <w:color w:val="auto"/>
        </w:rPr>
      </w:pPr>
    </w:p>
    <w:p>
      <w:pPr>
        <w:ind w:right="3239" w:firstLine="525"/>
        <w:spacing w:after="0" w:line="265" w:lineRule="auto"/>
        <w:rPr>
          <w:sz w:val="20"/>
          <w:szCs w:val="20"/>
          <w:color w:val="auto"/>
        </w:rPr>
      </w:pPr>
      <w:r>
        <w:rPr>
          <w:rFonts w:ascii="Courier New" w:cs="Courier New" w:eastAsia="Courier New" w:hAnsi="Courier New"/>
          <w:sz w:val="14"/>
          <w:szCs w:val="14"/>
          <w:color w:val="auto"/>
        </w:rPr>
        <w:t>For purposes of Article V of the By-Laws and Article 10 of the Deed of Incorporation, reference to the Registrant includes, in addition to the resulting corporation, any constituent corporation (including any constituent of a constituent) absorbed in a consolidation or merger which, if its separate existence had continued, would have had power and authority to indemnify its directors, officers, and employees or agents, so that any person who is or was a director, officer, employee or agent of such constituent corporation, or is or was serving at the request of such constituent corporation as a director, officer, employee or agent of another corporation, partnership, joint venture, trust or other enterprise, stands in the same position under the provisions of Article V of the By-Laws and Article 10 of the Deed of Incorporation with respect to the resulting or surviving corporation as such person would have with respect to such constituent corporation if its separate existence had continued.</w:t>
      </w:r>
    </w:p>
    <w:p>
      <w:pPr>
        <w:spacing w:after="0" w:line="78" w:lineRule="exact"/>
        <w:rPr>
          <w:sz w:val="20"/>
          <w:szCs w:val="20"/>
          <w:color w:val="auto"/>
        </w:rPr>
      </w:pPr>
    </w:p>
    <w:p>
      <w:pPr>
        <w:ind w:right="3239" w:firstLine="525"/>
        <w:spacing w:after="0" w:line="266" w:lineRule="auto"/>
        <w:rPr>
          <w:sz w:val="20"/>
          <w:szCs w:val="20"/>
          <w:color w:val="auto"/>
        </w:rPr>
      </w:pPr>
      <w:r>
        <w:rPr>
          <w:rFonts w:ascii="Courier New" w:cs="Courier New" w:eastAsia="Courier New" w:hAnsi="Courier New"/>
          <w:sz w:val="14"/>
          <w:szCs w:val="14"/>
          <w:color w:val="auto"/>
        </w:rPr>
        <w:t>For purposes of Article V of the By-Laws and Article 10 of the Deed of Incorporation, references to "other enterprises" includes employee benefit plans; references to "fines" includes any excise taxes assessed on a person with respect to any employee benefit plan; and references to "serving at the request of us" or "serving at the request of the Registrant" includes any service as a director, officer, employee or agent of the Registrant which imposes duties on, or involves services by, such director, officer, employee or agent with respect to an employee benefit plan, its participants or beneficiaries; and a person who acted in good faith and in a manner such person reasonably believed to be in the interest of the participants and beneficiaries of an employee benefit plan shall be deemed to have acted in a manner "not opposed to the best interests of us" or "not opposed to the best interests of the Registrant."</w:t>
      </w:r>
    </w:p>
    <w:p>
      <w:pPr>
        <w:spacing w:after="0" w:line="77" w:lineRule="exact"/>
        <w:rPr>
          <w:sz w:val="20"/>
          <w:szCs w:val="20"/>
          <w:color w:val="auto"/>
        </w:rPr>
      </w:pPr>
    </w:p>
    <w:p>
      <w:pPr>
        <w:ind w:right="3399" w:firstLine="525"/>
        <w:spacing w:after="0" w:line="290" w:lineRule="auto"/>
        <w:rPr>
          <w:sz w:val="20"/>
          <w:szCs w:val="20"/>
          <w:color w:val="auto"/>
        </w:rPr>
      </w:pPr>
      <w:r>
        <w:rPr>
          <w:rFonts w:ascii="Courier New" w:cs="Courier New" w:eastAsia="Courier New" w:hAnsi="Courier New"/>
          <w:sz w:val="15"/>
          <w:szCs w:val="15"/>
          <w:color w:val="auto"/>
        </w:rPr>
        <w:t>In addition, the Registrant maintains directors' and officers' liability insurance which insures against certain liabilities that the officers and directors of the Registrant may incur in such capacities.</w:t>
      </w:r>
    </w:p>
    <w:p>
      <w:pPr>
        <w:spacing w:after="0" w:line="5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II-2</w:t>
      </w:r>
    </w:p>
    <w:p>
      <w:pPr>
        <w:sectPr>
          <w:pgSz w:w="11900" w:h="16838" w:orient="portrait"/>
          <w:cols w:equalWidth="0" w:num="1">
            <w:col w:w="10239"/>
          </w:cols>
          <w:pgMar w:left="220" w:top="598" w:right="1440" w:bottom="1440" w:gutter="0" w:footer="0" w:header="0"/>
        </w:sectPr>
      </w:pPr>
    </w:p>
    <w:bookmarkStart w:id="48" w:name="page49"/>
    <w:bookmarkEnd w:id="48"/>
    <w:p>
      <w:pPr>
        <w:spacing w:after="0"/>
        <w:rPr>
          <w:sz w:val="20"/>
          <w:szCs w:val="20"/>
          <w:color w:val="auto"/>
        </w:rPr>
      </w:pPr>
      <w:r>
        <w:rPr>
          <w:rFonts w:ascii="Courier New" w:cs="Courier New" w:eastAsia="Courier New" w:hAnsi="Courier New"/>
          <w:sz w:val="15"/>
          <w:szCs w:val="15"/>
          <w:color w:val="auto"/>
        </w:rPr>
        <w:t>ITEM 21. Exhibits and Financial Statement Schedules</w:t>
      </w:r>
    </w:p>
    <w:p>
      <w:pPr>
        <w:spacing w:after="0" w:line="166" w:lineRule="exact"/>
        <w:rPr>
          <w:sz w:val="20"/>
          <w:szCs w:val="20"/>
          <w:color w:val="auto"/>
        </w:rPr>
      </w:pPr>
    </w:p>
    <w:p>
      <w:pPr>
        <w:ind w:left="440" w:hanging="430"/>
        <w:spacing w:after="0"/>
        <w:tabs>
          <w:tab w:leader="none" w:pos="440"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Exhibit</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140" w:type="dxa"/>
            <w:vAlign w:val="bottom"/>
          </w:tcPr>
          <w:p>
            <w:pPr>
              <w:spacing w:after="0"/>
              <w:rPr>
                <w:sz w:val="20"/>
                <w:szCs w:val="20"/>
                <w:color w:val="auto"/>
              </w:rPr>
            </w:pPr>
            <w:r>
              <w:rPr>
                <w:rFonts w:ascii="Courier New" w:cs="Courier New" w:eastAsia="Courier New" w:hAnsi="Courier New"/>
                <w:sz w:val="15"/>
                <w:szCs w:val="15"/>
                <w:color w:val="auto"/>
              </w:rPr>
              <w:t>Exhibit No.</w:t>
            </w:r>
          </w:p>
        </w:tc>
        <w:tc>
          <w:tcPr>
            <w:tcW w:w="2760" w:type="dxa"/>
            <w:vAlign w:val="bottom"/>
          </w:tcPr>
          <w:p>
            <w:pPr>
              <w:ind w:left="1580"/>
              <w:spacing w:after="0"/>
              <w:rPr>
                <w:sz w:val="20"/>
                <w:szCs w:val="20"/>
                <w:color w:val="auto"/>
              </w:rPr>
            </w:pPr>
            <w:r>
              <w:rPr>
                <w:rFonts w:ascii="Courier New" w:cs="Courier New" w:eastAsia="Courier New" w:hAnsi="Courier New"/>
                <w:sz w:val="15"/>
                <w:szCs w:val="15"/>
                <w:color w:val="auto"/>
              </w:rPr>
              <w:t>Description</w:t>
            </w:r>
          </w:p>
        </w:tc>
        <w:tc>
          <w:tcPr>
            <w:tcW w:w="700" w:type="dxa"/>
            <w:vAlign w:val="bottom"/>
          </w:tcPr>
          <w:p>
            <w:pPr>
              <w:spacing w:after="0"/>
              <w:rPr>
                <w:sz w:val="21"/>
                <w:szCs w:val="21"/>
                <w:color w:val="auto"/>
              </w:rPr>
            </w:pPr>
          </w:p>
        </w:tc>
        <w:tc>
          <w:tcPr>
            <w:tcW w:w="2240" w:type="dxa"/>
            <w:vAlign w:val="bottom"/>
          </w:tcPr>
          <w:p>
            <w:pPr>
              <w:spacing w:after="0"/>
              <w:rPr>
                <w:sz w:val="21"/>
                <w:szCs w:val="21"/>
                <w:color w:val="auto"/>
              </w:rPr>
            </w:pPr>
          </w:p>
        </w:tc>
      </w:tr>
      <w:tr>
        <w:trPr>
          <w:trHeight w:val="259"/>
        </w:trPr>
        <w:tc>
          <w:tcPr>
            <w:tcW w:w="1140" w:type="dxa"/>
            <w:vAlign w:val="bottom"/>
          </w:tcPr>
          <w:p>
            <w:pPr>
              <w:spacing w:after="0"/>
              <w:rPr>
                <w:sz w:val="20"/>
                <w:szCs w:val="20"/>
                <w:color w:val="auto"/>
              </w:rPr>
            </w:pPr>
            <w:r>
              <w:rPr>
                <w:rFonts w:ascii="Courier New" w:cs="Courier New" w:eastAsia="Courier New" w:hAnsi="Courier New"/>
                <w:sz w:val="15"/>
                <w:szCs w:val="15"/>
                <w:color w:val="auto"/>
              </w:rPr>
              <w:t>4.1</w:t>
            </w:r>
          </w:p>
        </w:tc>
        <w:tc>
          <w:tcPr>
            <w:tcW w:w="5700" w:type="dxa"/>
            <w:vAlign w:val="bottom"/>
            <w:gridSpan w:val="3"/>
          </w:tcPr>
          <w:p>
            <w:pPr>
              <w:ind w:left="180"/>
              <w:spacing w:after="0"/>
              <w:rPr>
                <w:sz w:val="20"/>
                <w:szCs w:val="20"/>
                <w:color w:val="auto"/>
              </w:rPr>
            </w:pPr>
            <w:r>
              <w:rPr>
                <w:rFonts w:ascii="Courier New" w:cs="Courier New" w:eastAsia="Courier New" w:hAnsi="Courier New"/>
                <w:sz w:val="15"/>
                <w:szCs w:val="15"/>
                <w:color w:val="auto"/>
                <w:w w:val="96"/>
              </w:rPr>
              <w:t>Deed of Incorporation of the Registrant, as amended May 4, 2001</w:t>
            </w:r>
          </w:p>
        </w:tc>
      </w:tr>
      <w:tr>
        <w:trPr>
          <w:trHeight w:val="168"/>
        </w:trPr>
        <w:tc>
          <w:tcPr>
            <w:tcW w:w="1140" w:type="dxa"/>
            <w:vAlign w:val="bottom"/>
          </w:tcPr>
          <w:p>
            <w:pPr>
              <w:spacing w:after="0"/>
              <w:rPr>
                <w:sz w:val="14"/>
                <w:szCs w:val="14"/>
                <w:color w:val="auto"/>
              </w:rPr>
            </w:pPr>
          </w:p>
        </w:tc>
        <w:tc>
          <w:tcPr>
            <w:tcW w:w="27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(incorporated by reference to</w:t>
            </w:r>
          </w:p>
        </w:tc>
        <w:tc>
          <w:tcPr>
            <w:tcW w:w="7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Exhibit</w:t>
            </w:r>
          </w:p>
        </w:tc>
        <w:tc>
          <w:tcPr>
            <w:tcW w:w="22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3.1 to Registrant's</w:t>
            </w:r>
          </w:p>
        </w:tc>
      </w:tr>
      <w:tr>
        <w:trPr>
          <w:trHeight w:val="168"/>
        </w:trPr>
        <w:tc>
          <w:tcPr>
            <w:tcW w:w="1140" w:type="dxa"/>
            <w:vAlign w:val="bottom"/>
          </w:tcPr>
          <w:p>
            <w:pPr>
              <w:spacing w:after="0"/>
              <w:rPr>
                <w:sz w:val="14"/>
                <w:szCs w:val="14"/>
                <w:color w:val="auto"/>
              </w:rPr>
            </w:pPr>
          </w:p>
        </w:tc>
        <w:tc>
          <w:tcPr>
            <w:tcW w:w="27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Quarterly Report on Form 10-Q</w:t>
            </w:r>
          </w:p>
        </w:tc>
        <w:tc>
          <w:tcPr>
            <w:tcW w:w="294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for the quarter ended June 30,</w:t>
            </w:r>
          </w:p>
        </w:tc>
      </w:tr>
      <w:tr>
        <w:trPr>
          <w:trHeight w:val="245"/>
        </w:trPr>
        <w:tc>
          <w:tcPr>
            <w:tcW w:w="1140" w:type="dxa"/>
            <w:vAlign w:val="bottom"/>
          </w:tcPr>
          <w:p>
            <w:pPr>
              <w:spacing w:after="0"/>
              <w:rPr>
                <w:sz w:val="21"/>
                <w:szCs w:val="21"/>
                <w:color w:val="auto"/>
              </w:rPr>
            </w:pPr>
          </w:p>
        </w:tc>
        <w:tc>
          <w:tcPr>
            <w:tcW w:w="2760" w:type="dxa"/>
            <w:vAlign w:val="bottom"/>
          </w:tcPr>
          <w:p>
            <w:pPr>
              <w:ind w:left="180"/>
              <w:spacing w:after="0"/>
              <w:rPr>
                <w:sz w:val="20"/>
                <w:szCs w:val="20"/>
                <w:color w:val="auto"/>
              </w:rPr>
            </w:pPr>
            <w:r>
              <w:rPr>
                <w:rFonts w:ascii="Courier New" w:cs="Courier New" w:eastAsia="Courier New" w:hAnsi="Courier New"/>
                <w:sz w:val="15"/>
                <w:szCs w:val="15"/>
                <w:color w:val="auto"/>
              </w:rPr>
              <w:t>2001; File No. 1-4601)</w:t>
            </w:r>
          </w:p>
        </w:tc>
        <w:tc>
          <w:tcPr>
            <w:tcW w:w="700" w:type="dxa"/>
            <w:vAlign w:val="bottom"/>
          </w:tcPr>
          <w:p>
            <w:pPr>
              <w:spacing w:after="0"/>
              <w:rPr>
                <w:sz w:val="21"/>
                <w:szCs w:val="21"/>
                <w:color w:val="auto"/>
              </w:rPr>
            </w:pPr>
          </w:p>
        </w:tc>
        <w:tc>
          <w:tcPr>
            <w:tcW w:w="2240" w:type="dxa"/>
            <w:vAlign w:val="bottom"/>
          </w:tcPr>
          <w:p>
            <w:pPr>
              <w:spacing w:after="0"/>
              <w:rPr>
                <w:sz w:val="21"/>
                <w:szCs w:val="21"/>
                <w:color w:val="auto"/>
              </w:rPr>
            </w:pPr>
          </w:p>
        </w:tc>
      </w:tr>
      <w:tr>
        <w:trPr>
          <w:trHeight w:val="259"/>
        </w:trPr>
        <w:tc>
          <w:tcPr>
            <w:tcW w:w="1140" w:type="dxa"/>
            <w:vAlign w:val="bottom"/>
          </w:tcPr>
          <w:p>
            <w:pPr>
              <w:spacing w:after="0"/>
              <w:rPr>
                <w:sz w:val="20"/>
                <w:szCs w:val="20"/>
                <w:color w:val="auto"/>
              </w:rPr>
            </w:pPr>
            <w:r>
              <w:rPr>
                <w:rFonts w:ascii="Courier New" w:cs="Courier New" w:eastAsia="Courier New" w:hAnsi="Courier New"/>
                <w:sz w:val="15"/>
                <w:szCs w:val="15"/>
                <w:color w:val="auto"/>
              </w:rPr>
              <w:t>4.2</w:t>
            </w:r>
          </w:p>
        </w:tc>
        <w:tc>
          <w:tcPr>
            <w:tcW w:w="2760" w:type="dxa"/>
            <w:vAlign w:val="bottom"/>
          </w:tcPr>
          <w:p>
            <w:pPr>
              <w:ind w:left="180"/>
              <w:spacing w:after="0"/>
              <w:rPr>
                <w:sz w:val="20"/>
                <w:szCs w:val="20"/>
                <w:color w:val="auto"/>
              </w:rPr>
            </w:pPr>
            <w:r>
              <w:rPr>
                <w:rFonts w:ascii="Courier New" w:cs="Courier New" w:eastAsia="Courier New" w:hAnsi="Courier New"/>
                <w:sz w:val="15"/>
                <w:szCs w:val="15"/>
                <w:color w:val="auto"/>
                <w:w w:val="98"/>
              </w:rPr>
              <w:t>By-Laws of the Registrant, as</w:t>
            </w:r>
          </w:p>
        </w:tc>
        <w:tc>
          <w:tcPr>
            <w:tcW w:w="29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amended April 19, 2001</w:t>
            </w:r>
          </w:p>
        </w:tc>
      </w:tr>
      <w:tr>
        <w:trPr>
          <w:trHeight w:val="168"/>
        </w:trPr>
        <w:tc>
          <w:tcPr>
            <w:tcW w:w="1140" w:type="dxa"/>
            <w:vAlign w:val="bottom"/>
          </w:tcPr>
          <w:p>
            <w:pPr>
              <w:spacing w:after="0"/>
              <w:rPr>
                <w:sz w:val="14"/>
                <w:szCs w:val="14"/>
                <w:color w:val="auto"/>
              </w:rPr>
            </w:pPr>
          </w:p>
        </w:tc>
        <w:tc>
          <w:tcPr>
            <w:tcW w:w="27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(incorporated by reference to</w:t>
            </w:r>
          </w:p>
        </w:tc>
        <w:tc>
          <w:tcPr>
            <w:tcW w:w="294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Exhibit 3.2 to Registrant's</w:t>
            </w:r>
          </w:p>
        </w:tc>
      </w:tr>
      <w:tr>
        <w:trPr>
          <w:trHeight w:val="168"/>
        </w:trPr>
        <w:tc>
          <w:tcPr>
            <w:tcW w:w="1140" w:type="dxa"/>
            <w:vAlign w:val="bottom"/>
          </w:tcPr>
          <w:p>
            <w:pPr>
              <w:spacing w:after="0"/>
              <w:rPr>
                <w:sz w:val="14"/>
                <w:szCs w:val="14"/>
                <w:color w:val="auto"/>
              </w:rPr>
            </w:pPr>
          </w:p>
        </w:tc>
        <w:tc>
          <w:tcPr>
            <w:tcW w:w="27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Quarterly Report on Form 10-Q</w:t>
            </w:r>
          </w:p>
        </w:tc>
        <w:tc>
          <w:tcPr>
            <w:tcW w:w="294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for the quarter ended June 30,</w:t>
            </w:r>
          </w:p>
        </w:tc>
      </w:tr>
      <w:tr>
        <w:trPr>
          <w:trHeight w:val="245"/>
        </w:trPr>
        <w:tc>
          <w:tcPr>
            <w:tcW w:w="1140" w:type="dxa"/>
            <w:vAlign w:val="bottom"/>
          </w:tcPr>
          <w:p>
            <w:pPr>
              <w:spacing w:after="0"/>
              <w:rPr>
                <w:sz w:val="21"/>
                <w:szCs w:val="21"/>
                <w:color w:val="auto"/>
              </w:rPr>
            </w:pPr>
          </w:p>
        </w:tc>
        <w:tc>
          <w:tcPr>
            <w:tcW w:w="2760" w:type="dxa"/>
            <w:vAlign w:val="bottom"/>
          </w:tcPr>
          <w:p>
            <w:pPr>
              <w:ind w:left="180"/>
              <w:spacing w:after="0"/>
              <w:rPr>
                <w:sz w:val="20"/>
                <w:szCs w:val="20"/>
                <w:color w:val="auto"/>
              </w:rPr>
            </w:pPr>
            <w:r>
              <w:rPr>
                <w:rFonts w:ascii="Courier New" w:cs="Courier New" w:eastAsia="Courier New" w:hAnsi="Courier New"/>
                <w:sz w:val="15"/>
                <w:szCs w:val="15"/>
                <w:color w:val="auto"/>
              </w:rPr>
              <w:t>2001; File No. 1-4601)</w:t>
            </w:r>
          </w:p>
        </w:tc>
        <w:tc>
          <w:tcPr>
            <w:tcW w:w="700" w:type="dxa"/>
            <w:vAlign w:val="bottom"/>
          </w:tcPr>
          <w:p>
            <w:pPr>
              <w:spacing w:after="0"/>
              <w:rPr>
                <w:sz w:val="21"/>
                <w:szCs w:val="21"/>
                <w:color w:val="auto"/>
              </w:rPr>
            </w:pPr>
          </w:p>
        </w:tc>
        <w:tc>
          <w:tcPr>
            <w:tcW w:w="2240" w:type="dxa"/>
            <w:vAlign w:val="bottom"/>
          </w:tcPr>
          <w:p>
            <w:pPr>
              <w:spacing w:after="0"/>
              <w:rPr>
                <w:sz w:val="21"/>
                <w:szCs w:val="21"/>
                <w:color w:val="auto"/>
              </w:rPr>
            </w:pPr>
          </w:p>
        </w:tc>
      </w:tr>
    </w:tbl>
    <w:p>
      <w:pPr>
        <w:spacing w:after="0" w:line="91" w:lineRule="exact"/>
        <w:rPr>
          <w:sz w:val="20"/>
          <w:szCs w:val="20"/>
          <w:color w:val="auto"/>
        </w:rPr>
      </w:pPr>
    </w:p>
    <w:p>
      <w:pPr>
        <w:ind w:left="1320" w:right="3499" w:hanging="1310"/>
        <w:spacing w:after="0" w:line="344" w:lineRule="auto"/>
        <w:tabs>
          <w:tab w:leader="none" w:pos="1320"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Opinion of Ellen S. Summer as to legality of the common shares being registered</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40" w:type="dxa"/>
            <w:vAlign w:val="bottom"/>
          </w:tcPr>
          <w:p>
            <w:pPr>
              <w:spacing w:after="0"/>
              <w:rPr>
                <w:sz w:val="20"/>
                <w:szCs w:val="20"/>
                <w:color w:val="auto"/>
              </w:rPr>
            </w:pPr>
            <w:r>
              <w:rPr>
                <w:rFonts w:ascii="Courier New" w:cs="Courier New" w:eastAsia="Courier New" w:hAnsi="Courier New"/>
                <w:sz w:val="15"/>
                <w:szCs w:val="15"/>
                <w:color w:val="auto"/>
              </w:rPr>
              <w:t>23.1</w:t>
            </w:r>
          </w:p>
        </w:tc>
        <w:tc>
          <w:tcPr>
            <w:tcW w:w="4860" w:type="dxa"/>
            <w:vAlign w:val="bottom"/>
          </w:tcPr>
          <w:p>
            <w:pPr>
              <w:ind w:left="480"/>
              <w:spacing w:after="0"/>
              <w:rPr>
                <w:sz w:val="20"/>
                <w:szCs w:val="20"/>
                <w:color w:val="auto"/>
              </w:rPr>
            </w:pPr>
            <w:r>
              <w:rPr>
                <w:rFonts w:ascii="Courier New" w:cs="Courier New" w:eastAsia="Courier New" w:hAnsi="Courier New"/>
                <w:sz w:val="15"/>
                <w:szCs w:val="15"/>
                <w:color w:val="auto"/>
              </w:rPr>
              <w:t>Consent of PricewaterhouseCoopers LLP</w:t>
            </w:r>
          </w:p>
        </w:tc>
      </w:tr>
      <w:tr>
        <w:trPr>
          <w:trHeight w:val="336"/>
        </w:trPr>
        <w:tc>
          <w:tcPr>
            <w:tcW w:w="840" w:type="dxa"/>
            <w:vAlign w:val="bottom"/>
          </w:tcPr>
          <w:p>
            <w:pPr>
              <w:spacing w:after="0"/>
              <w:rPr>
                <w:sz w:val="20"/>
                <w:szCs w:val="20"/>
                <w:color w:val="auto"/>
              </w:rPr>
            </w:pPr>
            <w:r>
              <w:rPr>
                <w:rFonts w:ascii="Courier New" w:cs="Courier New" w:eastAsia="Courier New" w:hAnsi="Courier New"/>
                <w:sz w:val="15"/>
                <w:szCs w:val="15"/>
                <w:color w:val="auto"/>
              </w:rPr>
              <w:t>23.2</w:t>
            </w:r>
          </w:p>
        </w:tc>
        <w:tc>
          <w:tcPr>
            <w:tcW w:w="4860" w:type="dxa"/>
            <w:vAlign w:val="bottom"/>
          </w:tcPr>
          <w:p>
            <w:pPr>
              <w:ind w:left="480"/>
              <w:spacing w:after="0"/>
              <w:rPr>
                <w:sz w:val="20"/>
                <w:szCs w:val="20"/>
                <w:color w:val="auto"/>
              </w:rPr>
            </w:pPr>
            <w:r>
              <w:rPr>
                <w:rFonts w:ascii="Courier New" w:cs="Courier New" w:eastAsia="Courier New" w:hAnsi="Courier New"/>
                <w:sz w:val="15"/>
                <w:szCs w:val="15"/>
                <w:color w:val="auto"/>
                <w:w w:val="96"/>
              </w:rPr>
              <w:t>Consent of Ellen S. Summer (included in Exhibit 5)</w:t>
            </w:r>
          </w:p>
        </w:tc>
      </w:tr>
      <w:tr>
        <w:trPr>
          <w:trHeight w:val="336"/>
        </w:trPr>
        <w:tc>
          <w:tcPr>
            <w:tcW w:w="840" w:type="dxa"/>
            <w:vAlign w:val="bottom"/>
          </w:tcPr>
          <w:p>
            <w:pPr>
              <w:spacing w:after="0"/>
              <w:rPr>
                <w:sz w:val="20"/>
                <w:szCs w:val="20"/>
                <w:color w:val="auto"/>
              </w:rPr>
            </w:pPr>
            <w:r>
              <w:rPr>
                <w:rFonts w:ascii="Courier New" w:cs="Courier New" w:eastAsia="Courier New" w:hAnsi="Courier New"/>
                <w:sz w:val="15"/>
                <w:szCs w:val="15"/>
                <w:color w:val="auto"/>
              </w:rPr>
              <w:t>24</w:t>
            </w:r>
          </w:p>
        </w:tc>
        <w:tc>
          <w:tcPr>
            <w:tcW w:w="4860" w:type="dxa"/>
            <w:vAlign w:val="bottom"/>
          </w:tcPr>
          <w:p>
            <w:pPr>
              <w:ind w:left="480"/>
              <w:spacing w:after="0"/>
              <w:rPr>
                <w:sz w:val="20"/>
                <w:szCs w:val="20"/>
                <w:color w:val="auto"/>
              </w:rPr>
            </w:pPr>
            <w:r>
              <w:rPr>
                <w:rFonts w:ascii="Courier New" w:cs="Courier New" w:eastAsia="Courier New" w:hAnsi="Courier New"/>
                <w:sz w:val="15"/>
                <w:szCs w:val="15"/>
                <w:color w:val="auto"/>
              </w:rPr>
              <w:t>Powers of Attorney</w:t>
            </w:r>
          </w:p>
        </w:tc>
      </w:tr>
    </w:tbl>
    <w:p>
      <w:pPr>
        <w:spacing w:after="0" w:line="91" w:lineRule="exact"/>
        <w:rPr>
          <w:sz w:val="20"/>
          <w:szCs w:val="20"/>
          <w:color w:val="auto"/>
        </w:rPr>
      </w:pPr>
    </w:p>
    <w:p>
      <w:pPr>
        <w:ind w:right="7259" w:firstLine="10"/>
        <w:spacing w:after="0" w:line="475" w:lineRule="auto"/>
        <w:tabs>
          <w:tab w:leader="none" w:pos="437"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Statement Schedules Not Applicable.</w:t>
      </w:r>
    </w:p>
    <w:p>
      <w:pPr>
        <w:ind w:right="7079" w:firstLine="10"/>
        <w:spacing w:after="0" w:line="475" w:lineRule="auto"/>
        <w:tabs>
          <w:tab w:leader="none" w:pos="437"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Reports, opinions or appraisals Not Applicable.</w:t>
      </w:r>
    </w:p>
    <w:p>
      <w:pPr>
        <w:ind w:left="3340"/>
        <w:spacing w:after="0"/>
        <w:rPr>
          <w:sz w:val="20"/>
          <w:szCs w:val="20"/>
          <w:color w:val="auto"/>
        </w:rPr>
      </w:pPr>
      <w:r>
        <w:rPr>
          <w:rFonts w:ascii="Courier New" w:cs="Courier New" w:eastAsia="Courier New" w:hAnsi="Courier New"/>
          <w:sz w:val="15"/>
          <w:szCs w:val="15"/>
          <w:color w:val="auto"/>
        </w:rPr>
        <w:t>II-3</w:t>
      </w:r>
    </w:p>
    <w:p>
      <w:pPr>
        <w:sectPr>
          <w:pgSz w:w="11900" w:h="16838" w:orient="portrait"/>
          <w:cols w:equalWidth="0" w:num="1">
            <w:col w:w="10239"/>
          </w:cols>
          <w:pgMar w:left="220" w:top="598" w:right="1440" w:bottom="1440" w:gutter="0" w:footer="0" w:header="0"/>
        </w:sectPr>
      </w:pPr>
    </w:p>
    <w:bookmarkStart w:id="49" w:name="page50"/>
    <w:bookmarkEnd w:id="49"/>
    <w:p>
      <w:pPr>
        <w:spacing w:after="0"/>
        <w:tabs>
          <w:tab w:leader="none" w:pos="860" w:val="left"/>
        </w:tabs>
        <w:rPr>
          <w:sz w:val="20"/>
          <w:szCs w:val="20"/>
          <w:color w:val="auto"/>
        </w:rPr>
      </w:pPr>
      <w:r>
        <w:rPr>
          <w:rFonts w:ascii="Courier New" w:cs="Courier New" w:eastAsia="Courier New" w:hAnsi="Courier New"/>
          <w:sz w:val="15"/>
          <w:szCs w:val="15"/>
          <w:color w:val="auto"/>
        </w:rPr>
        <w:t>ITEM 22.</w:t>
      </w:r>
      <w:r>
        <w:rPr>
          <w:sz w:val="20"/>
          <w:szCs w:val="20"/>
          <w:color w:val="auto"/>
        </w:rPr>
        <w:tab/>
      </w:r>
      <w:r>
        <w:rPr>
          <w:rFonts w:ascii="Courier New" w:cs="Courier New" w:eastAsia="Courier New" w:hAnsi="Courier New"/>
          <w:sz w:val="14"/>
          <w:szCs w:val="14"/>
          <w:color w:val="auto"/>
        </w:rPr>
        <w:t>Undertakings.</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undersigned Registrant hereby undertakes:</w:t>
      </w:r>
    </w:p>
    <w:p>
      <w:pPr>
        <w:spacing w:after="0" w:line="166" w:lineRule="exact"/>
        <w:rPr>
          <w:sz w:val="20"/>
          <w:szCs w:val="20"/>
          <w:color w:val="auto"/>
        </w:rPr>
      </w:pPr>
    </w:p>
    <w:p>
      <w:pPr>
        <w:ind w:right="3399" w:firstLine="875"/>
        <w:spacing w:after="0" w:line="344" w:lineRule="auto"/>
        <w:rPr>
          <w:sz w:val="20"/>
          <w:szCs w:val="20"/>
          <w:color w:val="auto"/>
        </w:rPr>
      </w:pPr>
      <w:r>
        <w:rPr>
          <w:rFonts w:ascii="Courier New" w:cs="Courier New" w:eastAsia="Courier New" w:hAnsi="Courier New"/>
          <w:sz w:val="15"/>
          <w:szCs w:val="15"/>
          <w:color w:val="auto"/>
        </w:rPr>
        <w:t>(a)(1) To file, during any period in which offers or sales are being made, a post-effective amendment to this registration statement:</w:t>
      </w:r>
    </w:p>
    <w:p>
      <w:pPr>
        <w:spacing w:after="0" w:line="17" w:lineRule="exact"/>
        <w:rPr>
          <w:sz w:val="20"/>
          <w:szCs w:val="20"/>
          <w:color w:val="auto"/>
        </w:rPr>
      </w:pPr>
    </w:p>
    <w:p>
      <w:pPr>
        <w:ind w:right="3319" w:firstLine="884"/>
        <w:spacing w:after="0" w:line="344" w:lineRule="auto"/>
        <w:tabs>
          <w:tab w:leader="none" w:pos="1574"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include any prospectus required by section 10(a)(3) of the Securities Act of 1933;</w:t>
      </w:r>
    </w:p>
    <w:p>
      <w:pPr>
        <w:spacing w:after="0" w:line="17" w:lineRule="exact"/>
        <w:rPr>
          <w:rFonts w:ascii="Courier New" w:cs="Courier New" w:eastAsia="Courier New" w:hAnsi="Courier New"/>
          <w:sz w:val="15"/>
          <w:szCs w:val="15"/>
          <w:color w:val="auto"/>
        </w:rPr>
      </w:pPr>
    </w:p>
    <w:p>
      <w:pPr>
        <w:ind w:right="3239" w:firstLine="884"/>
        <w:spacing w:after="0" w:line="266" w:lineRule="auto"/>
        <w:tabs>
          <w:tab w:leader="none" w:pos="1574" w:val="left"/>
        </w:tabs>
        <w:numPr>
          <w:ilvl w:val="0"/>
          <w:numId w:val="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reflect in the prospectus any facts or events arising after the effective date of this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percent change in the maximum aggregate offering price set forth in the "Calculation of Registration Fee" table in the effective registration statement; and</w:t>
      </w:r>
    </w:p>
    <w:p>
      <w:pPr>
        <w:spacing w:after="0" w:line="77" w:lineRule="exact"/>
        <w:rPr>
          <w:rFonts w:ascii="Courier New" w:cs="Courier New" w:eastAsia="Courier New" w:hAnsi="Courier New"/>
          <w:sz w:val="14"/>
          <w:szCs w:val="14"/>
          <w:color w:val="auto"/>
        </w:rPr>
      </w:pPr>
    </w:p>
    <w:p>
      <w:pPr>
        <w:ind w:right="3399" w:firstLine="884"/>
        <w:spacing w:after="0" w:line="290" w:lineRule="auto"/>
        <w:tabs>
          <w:tab w:leader="none" w:pos="1574"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include any material information with respect to the plan of distribution not previously disclosed in the registration statement or any material change to such information in the registration statement;</w:t>
      </w:r>
    </w:p>
    <w:p>
      <w:pPr>
        <w:spacing w:after="0" w:line="57" w:lineRule="exact"/>
        <w:rPr>
          <w:sz w:val="20"/>
          <w:szCs w:val="20"/>
          <w:color w:val="auto"/>
        </w:rPr>
      </w:pPr>
    </w:p>
    <w:p>
      <w:pPr>
        <w:jc w:val="both"/>
        <w:ind w:right="3239"/>
        <w:spacing w:after="0" w:line="258" w:lineRule="auto"/>
        <w:rPr>
          <w:sz w:val="20"/>
          <w:szCs w:val="20"/>
          <w:color w:val="auto"/>
        </w:rPr>
      </w:pPr>
      <w:r>
        <w:rPr>
          <w:rFonts w:ascii="Courier New" w:cs="Courier New" w:eastAsia="Courier New" w:hAnsi="Courier New"/>
          <w:sz w:val="15"/>
          <w:szCs w:val="15"/>
          <w:color w:val="auto"/>
        </w:rPr>
        <w:t>Provided, however, that paragraphs (a)(1)(i) and (a)(1)(ii) do not apply if the registration statement is on Form S-3 or Form S-8, and the information required to be included in a post-effective amendment by those paragraphs is contained in periodic reports filed by the Registrant pursuant to section 13 or section 15(d) of the Securities Exchange Act of 1934 that are incorporated by reference in the registration statement.</w:t>
      </w:r>
    </w:p>
    <w:p>
      <w:pPr>
        <w:spacing w:after="0" w:line="81" w:lineRule="exact"/>
        <w:rPr>
          <w:sz w:val="20"/>
          <w:szCs w:val="20"/>
          <w:color w:val="auto"/>
        </w:rPr>
      </w:pPr>
    </w:p>
    <w:p>
      <w:pPr>
        <w:ind w:right="3239" w:firstLine="884"/>
        <w:spacing w:after="0" w:line="264" w:lineRule="auto"/>
        <w:tabs>
          <w:tab w:leader="none" w:pos="1574"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for the purpose of determining any liability under the Securities Act of 1933, each such post-effective amendment shall be deemed to be a new registration statement relating to the securities offered therein, and the offering of such securities at the time shall be deemed to be the initial bona fide offering thereof.</w:t>
      </w:r>
    </w:p>
    <w:p>
      <w:pPr>
        <w:spacing w:after="0" w:line="74" w:lineRule="exact"/>
        <w:rPr>
          <w:rFonts w:ascii="Courier New" w:cs="Courier New" w:eastAsia="Courier New" w:hAnsi="Courier New"/>
          <w:sz w:val="15"/>
          <w:szCs w:val="15"/>
          <w:color w:val="auto"/>
        </w:rPr>
      </w:pPr>
    </w:p>
    <w:p>
      <w:pPr>
        <w:ind w:right="3679" w:firstLine="884"/>
        <w:spacing w:after="0" w:line="290" w:lineRule="auto"/>
        <w:tabs>
          <w:tab w:leader="none" w:pos="1574"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remove from registration by means of a post-effective amendment any of the securities being registered which remain unsold at the termination of the offering.</w:t>
      </w:r>
    </w:p>
    <w:p>
      <w:pPr>
        <w:spacing w:after="0" w:line="57" w:lineRule="exact"/>
        <w:rPr>
          <w:sz w:val="20"/>
          <w:szCs w:val="20"/>
          <w:color w:val="auto"/>
        </w:rPr>
      </w:pPr>
    </w:p>
    <w:p>
      <w:pPr>
        <w:ind w:right="3239" w:firstLine="884"/>
        <w:spacing w:after="0" w:line="250" w:lineRule="auto"/>
        <w:tabs>
          <w:tab w:leader="none" w:pos="1574"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this registration statement shall be deemed to be a new registration statement relating to the securities offered therein, and the offering of such securities at the time shall be deemed to be the initial bona fide offering thereof.</w:t>
      </w:r>
    </w:p>
    <w:p>
      <w:pPr>
        <w:spacing w:after="0" w:line="88" w:lineRule="exact"/>
        <w:rPr>
          <w:rFonts w:ascii="Courier New" w:cs="Courier New" w:eastAsia="Courier New" w:hAnsi="Courier New"/>
          <w:sz w:val="15"/>
          <w:szCs w:val="15"/>
          <w:color w:val="auto"/>
        </w:rPr>
      </w:pPr>
    </w:p>
    <w:p>
      <w:pPr>
        <w:ind w:right="3239" w:firstLine="884"/>
        <w:spacing w:after="0" w:line="244" w:lineRule="auto"/>
        <w:tabs>
          <w:tab w:leader="none" w:pos="1574"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Insofar as indemnification for liabilities arising under the Securities Act of 1933 may be permitted to directors, officers and controlling persons of the Registrant pursuant to the provisions referred to in Item 15 of this registration statement,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95" w:lineRule="exact"/>
        <w:rPr>
          <w:sz w:val="20"/>
          <w:szCs w:val="20"/>
          <w:color w:val="auto"/>
        </w:rPr>
      </w:pPr>
    </w:p>
    <w:p>
      <w:pPr>
        <w:ind w:right="3239" w:firstLine="875"/>
        <w:spacing w:after="0" w:line="320" w:lineRule="auto"/>
        <w:rPr>
          <w:sz w:val="20"/>
          <w:szCs w:val="20"/>
          <w:color w:val="auto"/>
        </w:rPr>
      </w:pPr>
      <w:r>
        <w:rPr>
          <w:rFonts w:ascii="Courier New" w:cs="Courier New" w:eastAsia="Courier New" w:hAnsi="Courier New"/>
          <w:sz w:val="14"/>
          <w:szCs w:val="14"/>
          <w:color w:val="auto"/>
        </w:rPr>
        <w:t>(d)(1) That, prior to any public reoffering of the securities registered hereunder through use of a prospectus which is a part of this registration statement by any person or party who is deemed to be an underwriter</w:t>
      </w:r>
    </w:p>
    <w:p>
      <w:pPr>
        <w:spacing w:after="0" w:line="3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II-4</w:t>
      </w:r>
    </w:p>
    <w:p>
      <w:pPr>
        <w:sectPr>
          <w:pgSz w:w="11900" w:h="16838" w:orient="portrait"/>
          <w:cols w:equalWidth="0" w:num="1">
            <w:col w:w="10239"/>
          </w:cols>
          <w:pgMar w:left="220" w:top="598" w:right="1440" w:bottom="1440" w:gutter="0" w:footer="0" w:header="0"/>
        </w:sectPr>
      </w:pPr>
    </w:p>
    <w:bookmarkStart w:id="50" w:name="page51"/>
    <w:bookmarkEnd w:id="50"/>
    <w:p>
      <w:pPr>
        <w:ind w:right="3499"/>
        <w:spacing w:after="0" w:line="264" w:lineRule="auto"/>
        <w:rPr>
          <w:sz w:val="20"/>
          <w:szCs w:val="20"/>
          <w:color w:val="auto"/>
        </w:rPr>
      </w:pPr>
      <w:r>
        <w:rPr>
          <w:rFonts w:ascii="Courier New" w:cs="Courier New" w:eastAsia="Courier New" w:hAnsi="Courier New"/>
          <w:sz w:val="15"/>
          <w:szCs w:val="15"/>
          <w:color w:val="auto"/>
        </w:rPr>
        <w:t>within the meaning of Rule 145(c), the issuer undertakes that such reoffering prospectus will contain the information called for by the applicable registration form with respect to reofferings by persons who may be deemed underwriters, in addition to the information called for by the other items of the applicable form.</w:t>
      </w:r>
    </w:p>
    <w:p>
      <w:pPr>
        <w:spacing w:after="0" w:line="75" w:lineRule="exact"/>
        <w:rPr>
          <w:sz w:val="20"/>
          <w:szCs w:val="20"/>
          <w:color w:val="auto"/>
        </w:rPr>
      </w:pPr>
    </w:p>
    <w:p>
      <w:pPr>
        <w:ind w:right="3319" w:firstLine="884"/>
        <w:spacing w:after="0" w:line="249" w:lineRule="auto"/>
        <w:tabs>
          <w:tab w:leader="none" w:pos="1399"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every prospectus (i) that is filed pursuant to paragraph (d)(1) immediately preceding, or (ii) that purports to meet the requirements of section 10(a)(3) of the Act and is used in connection with an offering of securities subject to Rule 415, will be filed as a part of an amendment to the registration statement and will not be used until such amendment is effective, and that, for purposes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87" w:lineRule="exact"/>
        <w:rPr>
          <w:sz w:val="20"/>
          <w:szCs w:val="20"/>
          <w:color w:val="auto"/>
        </w:rPr>
      </w:pPr>
    </w:p>
    <w:p>
      <w:pPr>
        <w:ind w:right="3239" w:firstLine="884"/>
        <w:spacing w:after="0" w:line="280" w:lineRule="auto"/>
        <w:tabs>
          <w:tab w:leader="none" w:pos="1399" w:val="left"/>
        </w:tabs>
        <w:numPr>
          <w:ilvl w:val="0"/>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respond to requests for information that is incorporated by reference into the prospectus pursuant to Item 4, 10(b), 11 or 13 of this Form within one business day of receipt of such request, and to send the incorporated documents by first class mail or other equally prompt means. This includes information contained in documents filed subsequent to the effective date of the registration statement through the date of responding to the request.</w:t>
      </w:r>
    </w:p>
    <w:p>
      <w:pPr>
        <w:spacing w:after="0" w:line="67" w:lineRule="exact"/>
        <w:rPr>
          <w:rFonts w:ascii="Courier New" w:cs="Courier New" w:eastAsia="Courier New" w:hAnsi="Courier New"/>
          <w:sz w:val="14"/>
          <w:szCs w:val="14"/>
          <w:color w:val="auto"/>
        </w:rPr>
      </w:pPr>
    </w:p>
    <w:p>
      <w:pPr>
        <w:ind w:right="3239" w:firstLine="884"/>
        <w:spacing w:after="0" w:line="273" w:lineRule="auto"/>
        <w:tabs>
          <w:tab w:leader="none" w:pos="1399"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supply by means of a post-effective amendment all information concerning a transaction, and the company being acquired involved therein, that was not the subject of and included in the registration statement when it became effective.</w:t>
      </w:r>
    </w:p>
    <w:p>
      <w:pPr>
        <w:spacing w:after="0" w:line="6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II-5</w:t>
      </w:r>
    </w:p>
    <w:p>
      <w:pPr>
        <w:sectPr>
          <w:pgSz w:w="11900" w:h="16838" w:orient="portrait"/>
          <w:cols w:equalWidth="0" w:num="1">
            <w:col w:w="10239"/>
          </w:cols>
          <w:pgMar w:left="220" w:top="598" w:right="1440" w:bottom="1440" w:gutter="0" w:footer="0" w:header="0"/>
        </w:sectPr>
      </w:pPr>
    </w:p>
    <w:bookmarkStart w:id="51" w:name="page52"/>
    <w:bookmarkEnd w:id="51"/>
    <w:p>
      <w:pPr>
        <w:ind w:left="3080"/>
        <w:spacing w:after="0"/>
        <w:rPr>
          <w:sz w:val="20"/>
          <w:szCs w:val="20"/>
          <w:color w:val="auto"/>
        </w:rPr>
      </w:pPr>
      <w:r>
        <w:rPr>
          <w:rFonts w:ascii="Courier New" w:cs="Courier New" w:eastAsia="Courier New" w:hAnsi="Courier New"/>
          <w:sz w:val="15"/>
          <w:szCs w:val="15"/>
          <w:color w:val="auto"/>
        </w:rPr>
        <w:t>SIGNATURES</w:t>
      </w:r>
    </w:p>
    <w:p>
      <w:pPr>
        <w:spacing w:after="0" w:line="166" w:lineRule="exact"/>
        <w:rPr>
          <w:sz w:val="20"/>
          <w:szCs w:val="20"/>
          <w:color w:val="auto"/>
        </w:rPr>
      </w:pPr>
    </w:p>
    <w:p>
      <w:pPr>
        <w:ind w:right="3239" w:firstLine="875"/>
        <w:spacing w:after="0" w:line="273" w:lineRule="auto"/>
        <w:rPr>
          <w:sz w:val="20"/>
          <w:szCs w:val="20"/>
          <w:color w:val="auto"/>
        </w:rPr>
      </w:pPr>
      <w:r>
        <w:rPr>
          <w:rFonts w:ascii="Courier New" w:cs="Courier New" w:eastAsia="Courier New" w:hAnsi="Courier New"/>
          <w:sz w:val="15"/>
          <w:szCs w:val="15"/>
          <w:color w:val="auto"/>
        </w:rPr>
        <w:t>Pursuant to the requirements of the Securities Act, the registrant has duly caused this registration statement to be signed on its behalf by the undersigned, thereunto duly authorized, in the City of New York, State of New York, on August 9, 2002.</w:t>
      </w:r>
    </w:p>
    <w:p>
      <w:pPr>
        <w:spacing w:after="0" w:line="6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SCHLUMBERGER N.V.</w:t>
      </w:r>
    </w:p>
    <w:p>
      <w:pPr>
        <w:spacing w:after="0" w:line="24"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(Schlumberger Limited)</w:t>
      </w:r>
    </w:p>
    <w:p>
      <w:pPr>
        <w:spacing w:after="0" w:line="14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By: /s/ Jean-Marc Perraud</w:t>
      </w:r>
    </w:p>
    <w:p>
      <w:pPr>
        <w:spacing w:after="0" w:line="24" w:lineRule="exact"/>
        <w:rPr>
          <w:sz w:val="20"/>
          <w:szCs w:val="20"/>
          <w:color w:val="auto"/>
        </w:rPr>
      </w:pPr>
    </w:p>
    <w:p>
      <w:pPr>
        <w:ind w:left="38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Jean-Marc Perraud</w:t>
      </w:r>
    </w:p>
    <w:p>
      <w:pPr>
        <w:ind w:left="3860"/>
        <w:spacing w:after="0" w:line="237" w:lineRule="auto"/>
        <w:rPr>
          <w:sz w:val="20"/>
          <w:szCs w:val="20"/>
          <w:color w:val="auto"/>
        </w:rPr>
      </w:pPr>
      <w:r>
        <w:rPr>
          <w:rFonts w:ascii="Courier New" w:cs="Courier New" w:eastAsia="Courier New" w:hAnsi="Courier New"/>
          <w:sz w:val="15"/>
          <w:szCs w:val="15"/>
          <w:color w:val="auto"/>
        </w:rPr>
        <w:t>Executive Vice President and</w:t>
      </w:r>
    </w:p>
    <w:p>
      <w:pPr>
        <w:ind w:left="3860"/>
        <w:spacing w:after="0"/>
        <w:rPr>
          <w:sz w:val="20"/>
          <w:szCs w:val="20"/>
          <w:color w:val="auto"/>
        </w:rPr>
      </w:pPr>
      <w:r>
        <w:rPr>
          <w:rFonts w:ascii="Courier New" w:cs="Courier New" w:eastAsia="Courier New" w:hAnsi="Courier New"/>
          <w:sz w:val="15"/>
          <w:szCs w:val="15"/>
          <w:color w:val="auto"/>
        </w:rPr>
        <w:t>Chief Financial Officer</w:t>
      </w:r>
    </w:p>
    <w:p>
      <w:pPr>
        <w:spacing w:after="0" w:line="140" w:lineRule="exact"/>
        <w:rPr>
          <w:sz w:val="20"/>
          <w:szCs w:val="20"/>
          <w:color w:val="auto"/>
        </w:rPr>
      </w:pPr>
    </w:p>
    <w:p>
      <w:pPr>
        <w:ind w:right="3579" w:firstLine="875"/>
        <w:spacing w:after="0" w:line="290" w:lineRule="auto"/>
        <w:rPr>
          <w:sz w:val="20"/>
          <w:szCs w:val="20"/>
          <w:color w:val="auto"/>
        </w:rPr>
      </w:pPr>
      <w:r>
        <w:rPr>
          <w:rFonts w:ascii="Courier New" w:cs="Courier New" w:eastAsia="Courier New" w:hAnsi="Courier New"/>
          <w:sz w:val="15"/>
          <w:szCs w:val="15"/>
          <w:color w:val="auto"/>
        </w:rPr>
        <w:t>Pursuant to the requirements of the Securities Act of 1933, this registration statement has been signed by the following persons on August 9, 2002 in the capacities indicated.</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60" w:type="dxa"/>
            <w:vAlign w:val="bottom"/>
          </w:tcPr>
          <w:p>
            <w:pPr>
              <w:ind w:left="1680"/>
              <w:spacing w:after="0"/>
              <w:rPr>
                <w:sz w:val="20"/>
                <w:szCs w:val="20"/>
                <w:color w:val="auto"/>
              </w:rPr>
            </w:pPr>
            <w:r>
              <w:rPr>
                <w:rFonts w:ascii="Courier New" w:cs="Courier New" w:eastAsia="Courier New" w:hAnsi="Courier New"/>
                <w:sz w:val="15"/>
                <w:szCs w:val="15"/>
                <w:color w:val="auto"/>
              </w:rPr>
              <w:t>*</w:t>
            </w:r>
          </w:p>
        </w:tc>
        <w:tc>
          <w:tcPr>
            <w:tcW w:w="3540" w:type="dxa"/>
            <w:vAlign w:val="bottom"/>
          </w:tcPr>
          <w:p>
            <w:pPr>
              <w:ind w:left="172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3460" w:type="dxa"/>
            <w:vAlign w:val="bottom"/>
            <w:vMerge w:val="restart"/>
          </w:tcPr>
          <w:p>
            <w:pPr>
              <w:spacing w:after="0"/>
              <w:rPr>
                <w:sz w:val="20"/>
                <w:szCs w:val="20"/>
                <w:color w:val="auto"/>
              </w:rPr>
            </w:pPr>
            <w:r>
              <w:rPr>
                <w:rFonts w:ascii="Courier New" w:cs="Courier New" w:eastAsia="Courier New" w:hAnsi="Courier New"/>
                <w:sz w:val="29"/>
                <w:szCs w:val="29"/>
                <w:color w:val="auto"/>
                <w:w w:val="73"/>
                <w:vertAlign w:val="subscript"/>
              </w:rPr>
              <w:t>D.</w:t>
            </w:r>
            <w:r>
              <w:rPr>
                <w:rFonts w:ascii="Courier New" w:cs="Courier New" w:eastAsia="Courier New" w:hAnsi="Courier New"/>
                <w:sz w:val="15"/>
                <w:szCs w:val="15"/>
                <w:color w:val="auto"/>
                <w:w w:val="73"/>
              </w:rPr>
              <w:t>--------------------------------------</w:t>
            </w:r>
            <w:r>
              <w:rPr>
                <w:rFonts w:ascii="Courier New" w:cs="Courier New" w:eastAsia="Courier New" w:hAnsi="Courier New"/>
                <w:sz w:val="29"/>
                <w:szCs w:val="29"/>
                <w:color w:val="auto"/>
                <w:w w:val="73"/>
                <w:vertAlign w:val="subscript"/>
              </w:rPr>
              <w:t>EuanBaird</w:t>
            </w:r>
          </w:p>
        </w:tc>
        <w:tc>
          <w:tcPr>
            <w:tcW w:w="35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6"/>
              </w:rPr>
              <w:t>--------------------------------------</w:t>
            </w:r>
          </w:p>
        </w:tc>
        <w:tc>
          <w:tcPr>
            <w:tcW w:w="0" w:type="dxa"/>
            <w:vAlign w:val="bottom"/>
          </w:tcPr>
          <w:p>
            <w:pPr>
              <w:spacing w:after="0"/>
              <w:rPr>
                <w:sz w:val="1"/>
                <w:szCs w:val="1"/>
                <w:color w:val="auto"/>
              </w:rPr>
            </w:pPr>
          </w:p>
        </w:tc>
      </w:tr>
      <w:tr>
        <w:trPr>
          <w:trHeight w:val="168"/>
        </w:trPr>
        <w:tc>
          <w:tcPr>
            <w:tcW w:w="3460" w:type="dxa"/>
            <w:vAlign w:val="bottom"/>
            <w:vMerge w:val="continue"/>
          </w:tcPr>
          <w:p>
            <w:pPr>
              <w:spacing w:after="0"/>
              <w:rPr>
                <w:sz w:val="14"/>
                <w:szCs w:val="14"/>
                <w:color w:val="auto"/>
              </w:rPr>
            </w:pPr>
          </w:p>
        </w:tc>
        <w:tc>
          <w:tcPr>
            <w:tcW w:w="35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William T. McCormick, Jr.</w:t>
            </w:r>
          </w:p>
        </w:tc>
        <w:tc>
          <w:tcPr>
            <w:tcW w:w="0" w:type="dxa"/>
            <w:vAlign w:val="bottom"/>
          </w:tcPr>
          <w:p>
            <w:pPr>
              <w:spacing w:after="0"/>
              <w:rPr>
                <w:sz w:val="1"/>
                <w:szCs w:val="1"/>
                <w:color w:val="auto"/>
              </w:rPr>
            </w:pPr>
          </w:p>
        </w:tc>
      </w:tr>
      <w:tr>
        <w:trPr>
          <w:trHeight w:val="168"/>
        </w:trPr>
        <w:tc>
          <w:tcPr>
            <w:tcW w:w="3460" w:type="dxa"/>
            <w:vAlign w:val="bottom"/>
          </w:tcPr>
          <w:p>
            <w:pPr>
              <w:spacing w:after="0" w:line="168" w:lineRule="exact"/>
              <w:rPr>
                <w:sz w:val="20"/>
                <w:szCs w:val="20"/>
                <w:color w:val="auto"/>
              </w:rPr>
            </w:pPr>
            <w:r>
              <w:rPr>
                <w:rFonts w:ascii="Courier New" w:cs="Courier New" w:eastAsia="Courier New" w:hAnsi="Courier New"/>
                <w:sz w:val="15"/>
                <w:szCs w:val="15"/>
                <w:color w:val="auto"/>
              </w:rPr>
              <w:t>Director, Chairman, President</w:t>
            </w:r>
          </w:p>
        </w:tc>
        <w:tc>
          <w:tcPr>
            <w:tcW w:w="35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Director</w:t>
            </w:r>
          </w:p>
        </w:tc>
        <w:tc>
          <w:tcPr>
            <w:tcW w:w="0" w:type="dxa"/>
            <w:vAlign w:val="bottom"/>
          </w:tcPr>
          <w:p>
            <w:pPr>
              <w:spacing w:after="0"/>
              <w:rPr>
                <w:sz w:val="1"/>
                <w:szCs w:val="1"/>
                <w:color w:val="auto"/>
              </w:rPr>
            </w:pPr>
          </w:p>
        </w:tc>
      </w:tr>
      <w:tr>
        <w:trPr>
          <w:trHeight w:val="245"/>
        </w:trPr>
        <w:tc>
          <w:tcPr>
            <w:tcW w:w="3460" w:type="dxa"/>
            <w:vAlign w:val="bottom"/>
          </w:tcPr>
          <w:p>
            <w:pPr>
              <w:spacing w:after="0"/>
              <w:rPr>
                <w:sz w:val="20"/>
                <w:szCs w:val="20"/>
                <w:color w:val="auto"/>
              </w:rPr>
            </w:pPr>
            <w:r>
              <w:rPr>
                <w:rFonts w:ascii="Courier New" w:cs="Courier New" w:eastAsia="Courier New" w:hAnsi="Courier New"/>
                <w:sz w:val="15"/>
                <w:szCs w:val="15"/>
                <w:color w:val="auto"/>
              </w:rPr>
              <w:t>and Chief Executive Officer</w:t>
            </w:r>
          </w:p>
        </w:tc>
        <w:tc>
          <w:tcPr>
            <w:tcW w:w="3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3460" w:type="dxa"/>
            <w:vAlign w:val="bottom"/>
          </w:tcPr>
          <w:p>
            <w:pPr>
              <w:spacing w:after="0"/>
              <w:rPr>
                <w:sz w:val="20"/>
                <w:szCs w:val="20"/>
                <w:color w:val="auto"/>
              </w:rPr>
            </w:pPr>
            <w:r>
              <w:rPr>
                <w:rFonts w:ascii="Courier New" w:cs="Courier New" w:eastAsia="Courier New" w:hAnsi="Courier New"/>
                <w:sz w:val="15"/>
                <w:szCs w:val="15"/>
                <w:color w:val="auto"/>
              </w:rPr>
              <w:t>/s/ Jean-Marc Perraud</w:t>
            </w:r>
          </w:p>
        </w:tc>
        <w:tc>
          <w:tcPr>
            <w:tcW w:w="3540" w:type="dxa"/>
            <w:vAlign w:val="bottom"/>
          </w:tcPr>
          <w:p>
            <w:pPr>
              <w:ind w:left="320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3460" w:type="dxa"/>
            <w:vAlign w:val="bottom"/>
            <w:vMerge w:val="restart"/>
          </w:tcPr>
          <w:p>
            <w:pPr>
              <w:spacing w:after="0"/>
              <w:rPr>
                <w:sz w:val="20"/>
                <w:szCs w:val="20"/>
                <w:color w:val="auto"/>
              </w:rPr>
            </w:pPr>
            <w:r>
              <w:rPr>
                <w:rFonts w:ascii="Courier New" w:cs="Courier New" w:eastAsia="Courier New" w:hAnsi="Courier New"/>
                <w:sz w:val="26"/>
                <w:szCs w:val="26"/>
                <w:color w:val="auto"/>
                <w:w w:val="70"/>
                <w:vertAlign w:val="subscript"/>
              </w:rPr>
              <w:t>Jean</w:t>
            </w:r>
            <w:r>
              <w:rPr>
                <w:rFonts w:ascii="Courier New" w:cs="Courier New" w:eastAsia="Courier New" w:hAnsi="Courier New"/>
                <w:sz w:val="14"/>
                <w:szCs w:val="14"/>
                <w:color w:val="auto"/>
                <w:w w:val="70"/>
              </w:rPr>
              <w:t>--------------------------------------</w:t>
            </w:r>
            <w:r>
              <w:rPr>
                <w:rFonts w:ascii="Courier New" w:cs="Courier New" w:eastAsia="Courier New" w:hAnsi="Courier New"/>
                <w:sz w:val="26"/>
                <w:szCs w:val="26"/>
                <w:color w:val="auto"/>
                <w:w w:val="70"/>
                <w:vertAlign w:val="subscript"/>
              </w:rPr>
              <w:t>-MarcPerraud</w:t>
            </w:r>
          </w:p>
        </w:tc>
        <w:tc>
          <w:tcPr>
            <w:tcW w:w="35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6"/>
              </w:rPr>
              <w:t>--------------------------------------</w:t>
            </w:r>
          </w:p>
        </w:tc>
        <w:tc>
          <w:tcPr>
            <w:tcW w:w="0" w:type="dxa"/>
            <w:vAlign w:val="bottom"/>
          </w:tcPr>
          <w:p>
            <w:pPr>
              <w:spacing w:after="0"/>
              <w:rPr>
                <w:sz w:val="1"/>
                <w:szCs w:val="1"/>
                <w:color w:val="auto"/>
              </w:rPr>
            </w:pPr>
          </w:p>
        </w:tc>
      </w:tr>
      <w:tr>
        <w:trPr>
          <w:trHeight w:val="168"/>
        </w:trPr>
        <w:tc>
          <w:tcPr>
            <w:tcW w:w="3460" w:type="dxa"/>
            <w:vAlign w:val="bottom"/>
            <w:vMerge w:val="continue"/>
          </w:tcPr>
          <w:p>
            <w:pPr>
              <w:spacing w:after="0"/>
              <w:rPr>
                <w:sz w:val="14"/>
                <w:szCs w:val="14"/>
                <w:color w:val="auto"/>
              </w:rPr>
            </w:pPr>
          </w:p>
        </w:tc>
        <w:tc>
          <w:tcPr>
            <w:tcW w:w="35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Didier Primat</w:t>
            </w:r>
          </w:p>
        </w:tc>
        <w:tc>
          <w:tcPr>
            <w:tcW w:w="0" w:type="dxa"/>
            <w:vAlign w:val="bottom"/>
          </w:tcPr>
          <w:p>
            <w:pPr>
              <w:spacing w:after="0"/>
              <w:rPr>
                <w:sz w:val="1"/>
                <w:szCs w:val="1"/>
                <w:color w:val="auto"/>
              </w:rPr>
            </w:pPr>
          </w:p>
        </w:tc>
      </w:tr>
      <w:tr>
        <w:trPr>
          <w:trHeight w:val="168"/>
        </w:trPr>
        <w:tc>
          <w:tcPr>
            <w:tcW w:w="3460" w:type="dxa"/>
            <w:vAlign w:val="bottom"/>
          </w:tcPr>
          <w:p>
            <w:pPr>
              <w:spacing w:after="0" w:line="168" w:lineRule="exact"/>
              <w:rPr>
                <w:sz w:val="20"/>
                <w:szCs w:val="20"/>
                <w:color w:val="auto"/>
              </w:rPr>
            </w:pPr>
            <w:r>
              <w:rPr>
                <w:rFonts w:ascii="Courier New" w:cs="Courier New" w:eastAsia="Courier New" w:hAnsi="Courier New"/>
                <w:sz w:val="15"/>
                <w:szCs w:val="15"/>
                <w:color w:val="auto"/>
              </w:rPr>
              <w:t>Executive Vice President and</w:t>
            </w:r>
          </w:p>
        </w:tc>
        <w:tc>
          <w:tcPr>
            <w:tcW w:w="35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Director</w:t>
            </w:r>
          </w:p>
        </w:tc>
        <w:tc>
          <w:tcPr>
            <w:tcW w:w="0" w:type="dxa"/>
            <w:vAlign w:val="bottom"/>
          </w:tcPr>
          <w:p>
            <w:pPr>
              <w:spacing w:after="0"/>
              <w:rPr>
                <w:sz w:val="1"/>
                <w:szCs w:val="1"/>
                <w:color w:val="auto"/>
              </w:rPr>
            </w:pPr>
          </w:p>
        </w:tc>
      </w:tr>
      <w:tr>
        <w:trPr>
          <w:trHeight w:val="245"/>
        </w:trPr>
        <w:tc>
          <w:tcPr>
            <w:tcW w:w="3460" w:type="dxa"/>
            <w:vAlign w:val="bottom"/>
          </w:tcPr>
          <w:p>
            <w:pPr>
              <w:spacing w:after="0"/>
              <w:rPr>
                <w:sz w:val="20"/>
                <w:szCs w:val="20"/>
                <w:color w:val="auto"/>
              </w:rPr>
            </w:pPr>
            <w:r>
              <w:rPr>
                <w:rFonts w:ascii="Courier New" w:cs="Courier New" w:eastAsia="Courier New" w:hAnsi="Courier New"/>
                <w:sz w:val="15"/>
                <w:szCs w:val="15"/>
                <w:color w:val="auto"/>
              </w:rPr>
              <w:t>Chief Financial Officer</w:t>
            </w:r>
          </w:p>
        </w:tc>
        <w:tc>
          <w:tcPr>
            <w:tcW w:w="3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3460" w:type="dxa"/>
            <w:vAlign w:val="bottom"/>
          </w:tcPr>
          <w:p>
            <w:pPr>
              <w:spacing w:after="0"/>
              <w:rPr>
                <w:sz w:val="20"/>
                <w:szCs w:val="20"/>
                <w:color w:val="auto"/>
              </w:rPr>
            </w:pPr>
            <w:r>
              <w:rPr>
                <w:rFonts w:ascii="Courier New" w:cs="Courier New" w:eastAsia="Courier New" w:hAnsi="Courier New"/>
                <w:sz w:val="15"/>
                <w:szCs w:val="15"/>
                <w:color w:val="auto"/>
              </w:rPr>
              <w:t>/s/ Frank A. Sorgie</w:t>
            </w:r>
          </w:p>
        </w:tc>
        <w:tc>
          <w:tcPr>
            <w:tcW w:w="3540" w:type="dxa"/>
            <w:vAlign w:val="bottom"/>
          </w:tcPr>
          <w:p>
            <w:pPr>
              <w:ind w:left="302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3460" w:type="dxa"/>
            <w:vAlign w:val="bottom"/>
            <w:vMerge w:val="restart"/>
          </w:tcPr>
          <w:p>
            <w:pPr>
              <w:spacing w:after="0"/>
              <w:rPr>
                <w:sz w:val="20"/>
                <w:szCs w:val="20"/>
                <w:color w:val="auto"/>
              </w:rPr>
            </w:pPr>
            <w:r>
              <w:rPr>
                <w:rFonts w:ascii="Courier New" w:cs="Courier New" w:eastAsia="Courier New" w:hAnsi="Courier New"/>
                <w:sz w:val="28"/>
                <w:szCs w:val="28"/>
                <w:color w:val="auto"/>
                <w:w w:val="74"/>
                <w:vertAlign w:val="subscript"/>
              </w:rPr>
              <w:t>Frank</w:t>
            </w:r>
            <w:r>
              <w:rPr>
                <w:rFonts w:ascii="Courier New" w:cs="Courier New" w:eastAsia="Courier New" w:hAnsi="Courier New"/>
                <w:sz w:val="14"/>
                <w:szCs w:val="14"/>
                <w:color w:val="auto"/>
                <w:w w:val="74"/>
              </w:rPr>
              <w:t>--------------------------------------</w:t>
            </w:r>
            <w:r>
              <w:rPr>
                <w:rFonts w:ascii="Courier New" w:cs="Courier New" w:eastAsia="Courier New" w:hAnsi="Courier New"/>
                <w:sz w:val="28"/>
                <w:szCs w:val="28"/>
                <w:color w:val="auto"/>
                <w:w w:val="74"/>
                <w:vertAlign w:val="subscript"/>
              </w:rPr>
              <w:t>A.Sorgie</w:t>
            </w:r>
          </w:p>
        </w:tc>
        <w:tc>
          <w:tcPr>
            <w:tcW w:w="35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6"/>
              </w:rPr>
              <w:t>--------------------------------------</w:t>
            </w:r>
          </w:p>
        </w:tc>
        <w:tc>
          <w:tcPr>
            <w:tcW w:w="0" w:type="dxa"/>
            <w:vAlign w:val="bottom"/>
          </w:tcPr>
          <w:p>
            <w:pPr>
              <w:spacing w:after="0"/>
              <w:rPr>
                <w:sz w:val="1"/>
                <w:szCs w:val="1"/>
                <w:color w:val="auto"/>
              </w:rPr>
            </w:pPr>
          </w:p>
        </w:tc>
      </w:tr>
      <w:tr>
        <w:trPr>
          <w:trHeight w:val="168"/>
        </w:trPr>
        <w:tc>
          <w:tcPr>
            <w:tcW w:w="3460" w:type="dxa"/>
            <w:vAlign w:val="bottom"/>
            <w:vMerge w:val="continue"/>
          </w:tcPr>
          <w:p>
            <w:pPr>
              <w:spacing w:after="0"/>
              <w:rPr>
                <w:sz w:val="14"/>
                <w:szCs w:val="14"/>
                <w:color w:val="auto"/>
              </w:rPr>
            </w:pPr>
          </w:p>
        </w:tc>
        <w:tc>
          <w:tcPr>
            <w:tcW w:w="35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Nicolas Seydoux</w:t>
            </w:r>
          </w:p>
        </w:tc>
        <w:tc>
          <w:tcPr>
            <w:tcW w:w="0" w:type="dxa"/>
            <w:vAlign w:val="bottom"/>
          </w:tcPr>
          <w:p>
            <w:pPr>
              <w:spacing w:after="0"/>
              <w:rPr>
                <w:sz w:val="1"/>
                <w:szCs w:val="1"/>
                <w:color w:val="auto"/>
              </w:rPr>
            </w:pPr>
          </w:p>
        </w:tc>
      </w:tr>
      <w:tr>
        <w:trPr>
          <w:trHeight w:val="245"/>
        </w:trPr>
        <w:tc>
          <w:tcPr>
            <w:tcW w:w="3460" w:type="dxa"/>
            <w:vAlign w:val="bottom"/>
          </w:tcPr>
          <w:p>
            <w:pPr>
              <w:spacing w:after="0"/>
              <w:rPr>
                <w:sz w:val="20"/>
                <w:szCs w:val="20"/>
                <w:color w:val="auto"/>
              </w:rPr>
            </w:pPr>
            <w:r>
              <w:rPr>
                <w:rFonts w:ascii="Courier New" w:cs="Courier New" w:eastAsia="Courier New" w:hAnsi="Courier New"/>
                <w:sz w:val="15"/>
                <w:szCs w:val="15"/>
                <w:color w:val="auto"/>
              </w:rPr>
              <w:t>Chief Accounting Officer</w:t>
            </w:r>
          </w:p>
        </w:tc>
        <w:tc>
          <w:tcPr>
            <w:tcW w:w="3540" w:type="dxa"/>
            <w:vAlign w:val="bottom"/>
          </w:tcPr>
          <w:p>
            <w:pPr>
              <w:ind w:left="40"/>
              <w:spacing w:after="0"/>
              <w:rPr>
                <w:sz w:val="20"/>
                <w:szCs w:val="20"/>
                <w:color w:val="auto"/>
              </w:rPr>
            </w:pPr>
            <w:r>
              <w:rPr>
                <w:rFonts w:ascii="Courier New" w:cs="Courier New" w:eastAsia="Courier New" w:hAnsi="Courier New"/>
                <w:sz w:val="15"/>
                <w:szCs w:val="15"/>
                <w:color w:val="auto"/>
              </w:rPr>
              <w:t>Director</w:t>
            </w:r>
          </w:p>
        </w:tc>
        <w:tc>
          <w:tcPr>
            <w:tcW w:w="0" w:type="dxa"/>
            <w:vAlign w:val="bottom"/>
          </w:tcPr>
          <w:p>
            <w:pPr>
              <w:spacing w:after="0"/>
              <w:rPr>
                <w:sz w:val="1"/>
                <w:szCs w:val="1"/>
                <w:color w:val="auto"/>
              </w:rPr>
            </w:pPr>
          </w:p>
        </w:tc>
      </w:tr>
      <w:tr>
        <w:trPr>
          <w:trHeight w:val="259"/>
        </w:trPr>
        <w:tc>
          <w:tcPr>
            <w:tcW w:w="3460" w:type="dxa"/>
            <w:vAlign w:val="bottom"/>
          </w:tcPr>
          <w:p>
            <w:pPr>
              <w:ind w:left="1680"/>
              <w:spacing w:after="0"/>
              <w:rPr>
                <w:sz w:val="20"/>
                <w:szCs w:val="20"/>
                <w:color w:val="auto"/>
              </w:rPr>
            </w:pPr>
            <w:r>
              <w:rPr>
                <w:rFonts w:ascii="Courier New" w:cs="Courier New" w:eastAsia="Courier New" w:hAnsi="Courier New"/>
                <w:sz w:val="15"/>
                <w:szCs w:val="15"/>
                <w:color w:val="auto"/>
              </w:rPr>
              <w:t>*</w:t>
            </w:r>
          </w:p>
        </w:tc>
        <w:tc>
          <w:tcPr>
            <w:tcW w:w="3540" w:type="dxa"/>
            <w:vAlign w:val="bottom"/>
          </w:tcPr>
          <w:p>
            <w:pPr>
              <w:ind w:left="172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3460" w:type="dxa"/>
            <w:vAlign w:val="bottom"/>
            <w:vMerge w:val="restart"/>
          </w:tcPr>
          <w:p>
            <w:pPr>
              <w:spacing w:after="0"/>
              <w:rPr>
                <w:sz w:val="20"/>
                <w:szCs w:val="20"/>
                <w:color w:val="auto"/>
              </w:rPr>
            </w:pPr>
            <w:r>
              <w:rPr>
                <w:rFonts w:ascii="Courier New" w:cs="Courier New" w:eastAsia="Courier New" w:hAnsi="Courier New"/>
                <w:sz w:val="29"/>
                <w:szCs w:val="29"/>
                <w:color w:val="auto"/>
                <w:w w:val="75"/>
                <w:vertAlign w:val="subscript"/>
              </w:rPr>
              <w:t>John</w:t>
            </w:r>
            <w:r>
              <w:rPr>
                <w:rFonts w:ascii="Courier New" w:cs="Courier New" w:eastAsia="Courier New" w:hAnsi="Courier New"/>
                <w:sz w:val="15"/>
                <w:szCs w:val="15"/>
                <w:color w:val="auto"/>
                <w:w w:val="75"/>
              </w:rPr>
              <w:t>--------------------------------------</w:t>
            </w:r>
            <w:r>
              <w:rPr>
                <w:rFonts w:ascii="Courier New" w:cs="Courier New" w:eastAsia="Courier New" w:hAnsi="Courier New"/>
                <w:sz w:val="29"/>
                <w:szCs w:val="29"/>
                <w:color w:val="auto"/>
                <w:w w:val="75"/>
                <w:vertAlign w:val="subscript"/>
              </w:rPr>
              <w:t>Deutch</w:t>
            </w:r>
          </w:p>
        </w:tc>
        <w:tc>
          <w:tcPr>
            <w:tcW w:w="35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6"/>
              </w:rPr>
              <w:t>--------------------------------------</w:t>
            </w:r>
          </w:p>
        </w:tc>
        <w:tc>
          <w:tcPr>
            <w:tcW w:w="0" w:type="dxa"/>
            <w:vAlign w:val="bottom"/>
          </w:tcPr>
          <w:p>
            <w:pPr>
              <w:spacing w:after="0"/>
              <w:rPr>
                <w:sz w:val="1"/>
                <w:szCs w:val="1"/>
                <w:color w:val="auto"/>
              </w:rPr>
            </w:pPr>
          </w:p>
        </w:tc>
      </w:tr>
      <w:tr>
        <w:trPr>
          <w:trHeight w:val="168"/>
        </w:trPr>
        <w:tc>
          <w:tcPr>
            <w:tcW w:w="3460" w:type="dxa"/>
            <w:vAlign w:val="bottom"/>
            <w:vMerge w:val="continue"/>
          </w:tcPr>
          <w:p>
            <w:pPr>
              <w:spacing w:after="0"/>
              <w:rPr>
                <w:sz w:val="14"/>
                <w:szCs w:val="14"/>
                <w:color w:val="auto"/>
              </w:rPr>
            </w:pPr>
          </w:p>
        </w:tc>
        <w:tc>
          <w:tcPr>
            <w:tcW w:w="35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Linda G. Stuntz</w:t>
            </w:r>
          </w:p>
        </w:tc>
        <w:tc>
          <w:tcPr>
            <w:tcW w:w="0" w:type="dxa"/>
            <w:vAlign w:val="bottom"/>
          </w:tcPr>
          <w:p>
            <w:pPr>
              <w:spacing w:after="0"/>
              <w:rPr>
                <w:sz w:val="1"/>
                <w:szCs w:val="1"/>
                <w:color w:val="auto"/>
              </w:rPr>
            </w:pPr>
          </w:p>
        </w:tc>
      </w:tr>
      <w:tr>
        <w:trPr>
          <w:trHeight w:val="245"/>
        </w:trPr>
        <w:tc>
          <w:tcPr>
            <w:tcW w:w="3460" w:type="dxa"/>
            <w:vAlign w:val="bottom"/>
          </w:tcPr>
          <w:p>
            <w:pPr>
              <w:spacing w:after="0"/>
              <w:rPr>
                <w:sz w:val="20"/>
                <w:szCs w:val="20"/>
                <w:color w:val="auto"/>
              </w:rPr>
            </w:pPr>
            <w:r>
              <w:rPr>
                <w:rFonts w:ascii="Courier New" w:cs="Courier New" w:eastAsia="Courier New" w:hAnsi="Courier New"/>
                <w:sz w:val="15"/>
                <w:szCs w:val="15"/>
                <w:color w:val="auto"/>
              </w:rPr>
              <w:t>Director</w:t>
            </w:r>
          </w:p>
        </w:tc>
        <w:tc>
          <w:tcPr>
            <w:tcW w:w="3540" w:type="dxa"/>
            <w:vAlign w:val="bottom"/>
          </w:tcPr>
          <w:p>
            <w:pPr>
              <w:ind w:left="40"/>
              <w:spacing w:after="0"/>
              <w:rPr>
                <w:sz w:val="20"/>
                <w:szCs w:val="20"/>
                <w:color w:val="auto"/>
              </w:rPr>
            </w:pPr>
            <w:r>
              <w:rPr>
                <w:rFonts w:ascii="Courier New" w:cs="Courier New" w:eastAsia="Courier New" w:hAnsi="Courier New"/>
                <w:sz w:val="15"/>
                <w:szCs w:val="15"/>
                <w:color w:val="auto"/>
              </w:rPr>
              <w:t>Director</w:t>
            </w:r>
          </w:p>
        </w:tc>
        <w:tc>
          <w:tcPr>
            <w:tcW w:w="0" w:type="dxa"/>
            <w:vAlign w:val="bottom"/>
          </w:tcPr>
          <w:p>
            <w:pPr>
              <w:spacing w:after="0"/>
              <w:rPr>
                <w:sz w:val="1"/>
                <w:szCs w:val="1"/>
                <w:color w:val="auto"/>
              </w:rPr>
            </w:pPr>
          </w:p>
        </w:tc>
      </w:tr>
      <w:tr>
        <w:trPr>
          <w:trHeight w:val="259"/>
        </w:trPr>
        <w:tc>
          <w:tcPr>
            <w:tcW w:w="3460" w:type="dxa"/>
            <w:vAlign w:val="bottom"/>
          </w:tcPr>
          <w:p>
            <w:pPr>
              <w:ind w:left="1680"/>
              <w:spacing w:after="0"/>
              <w:rPr>
                <w:sz w:val="20"/>
                <w:szCs w:val="20"/>
                <w:color w:val="auto"/>
              </w:rPr>
            </w:pPr>
            <w:r>
              <w:rPr>
                <w:rFonts w:ascii="Courier New" w:cs="Courier New" w:eastAsia="Courier New" w:hAnsi="Courier New"/>
                <w:sz w:val="15"/>
                <w:szCs w:val="15"/>
                <w:color w:val="auto"/>
              </w:rPr>
              <w:t>*</w:t>
            </w:r>
          </w:p>
        </w:tc>
        <w:tc>
          <w:tcPr>
            <w:tcW w:w="3540" w:type="dxa"/>
            <w:vAlign w:val="bottom"/>
          </w:tcPr>
          <w:p>
            <w:pPr>
              <w:ind w:left="172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3460" w:type="dxa"/>
            <w:vAlign w:val="bottom"/>
            <w:vMerge w:val="restart"/>
          </w:tcPr>
          <w:p>
            <w:pPr>
              <w:spacing w:after="0"/>
              <w:rPr>
                <w:sz w:val="20"/>
                <w:szCs w:val="20"/>
                <w:color w:val="auto"/>
              </w:rPr>
            </w:pPr>
            <w:r>
              <w:rPr>
                <w:rFonts w:ascii="Courier New" w:cs="Courier New" w:eastAsia="Courier New" w:hAnsi="Courier New"/>
                <w:sz w:val="28"/>
                <w:szCs w:val="28"/>
                <w:color w:val="auto"/>
                <w:w w:val="70"/>
                <w:vertAlign w:val="subscript"/>
              </w:rPr>
              <w:t>Jamie</w:t>
            </w:r>
            <w:r>
              <w:rPr>
                <w:rFonts w:ascii="Courier New" w:cs="Courier New" w:eastAsia="Courier New" w:hAnsi="Courier New"/>
                <w:sz w:val="14"/>
                <w:szCs w:val="14"/>
                <w:color w:val="auto"/>
                <w:w w:val="70"/>
              </w:rPr>
              <w:t>--------------------------------------</w:t>
            </w:r>
            <w:r>
              <w:rPr>
                <w:rFonts w:ascii="Courier New" w:cs="Courier New" w:eastAsia="Courier New" w:hAnsi="Courier New"/>
                <w:sz w:val="28"/>
                <w:szCs w:val="28"/>
                <w:color w:val="auto"/>
                <w:w w:val="70"/>
                <w:vertAlign w:val="subscript"/>
              </w:rPr>
              <w:t>S.Gorelick</w:t>
            </w:r>
          </w:p>
        </w:tc>
        <w:tc>
          <w:tcPr>
            <w:tcW w:w="35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6"/>
              </w:rPr>
              <w:t>--------------------------------------</w:t>
            </w:r>
          </w:p>
        </w:tc>
        <w:tc>
          <w:tcPr>
            <w:tcW w:w="0" w:type="dxa"/>
            <w:vAlign w:val="bottom"/>
          </w:tcPr>
          <w:p>
            <w:pPr>
              <w:spacing w:after="0"/>
              <w:rPr>
                <w:sz w:val="1"/>
                <w:szCs w:val="1"/>
                <w:color w:val="auto"/>
              </w:rPr>
            </w:pPr>
          </w:p>
        </w:tc>
      </w:tr>
      <w:tr>
        <w:trPr>
          <w:trHeight w:val="168"/>
        </w:trPr>
        <w:tc>
          <w:tcPr>
            <w:tcW w:w="3460" w:type="dxa"/>
            <w:vAlign w:val="bottom"/>
            <w:vMerge w:val="continue"/>
          </w:tcPr>
          <w:p>
            <w:pPr>
              <w:spacing w:after="0"/>
              <w:rPr>
                <w:sz w:val="14"/>
                <w:szCs w:val="14"/>
                <w:color w:val="auto"/>
              </w:rPr>
            </w:pPr>
          </w:p>
        </w:tc>
        <w:tc>
          <w:tcPr>
            <w:tcW w:w="35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Sven Ullring</w:t>
            </w:r>
          </w:p>
        </w:tc>
        <w:tc>
          <w:tcPr>
            <w:tcW w:w="0" w:type="dxa"/>
            <w:vAlign w:val="bottom"/>
          </w:tcPr>
          <w:p>
            <w:pPr>
              <w:spacing w:after="0"/>
              <w:rPr>
                <w:sz w:val="1"/>
                <w:szCs w:val="1"/>
                <w:color w:val="auto"/>
              </w:rPr>
            </w:pPr>
          </w:p>
        </w:tc>
      </w:tr>
      <w:tr>
        <w:trPr>
          <w:trHeight w:val="245"/>
        </w:trPr>
        <w:tc>
          <w:tcPr>
            <w:tcW w:w="3460" w:type="dxa"/>
            <w:vAlign w:val="bottom"/>
          </w:tcPr>
          <w:p>
            <w:pPr>
              <w:spacing w:after="0"/>
              <w:rPr>
                <w:sz w:val="20"/>
                <w:szCs w:val="20"/>
                <w:color w:val="auto"/>
              </w:rPr>
            </w:pPr>
            <w:r>
              <w:rPr>
                <w:rFonts w:ascii="Courier New" w:cs="Courier New" w:eastAsia="Courier New" w:hAnsi="Courier New"/>
                <w:sz w:val="15"/>
                <w:szCs w:val="15"/>
                <w:color w:val="auto"/>
              </w:rPr>
              <w:t>Director</w:t>
            </w:r>
          </w:p>
        </w:tc>
        <w:tc>
          <w:tcPr>
            <w:tcW w:w="3540" w:type="dxa"/>
            <w:vAlign w:val="bottom"/>
          </w:tcPr>
          <w:p>
            <w:pPr>
              <w:ind w:left="40"/>
              <w:spacing w:after="0"/>
              <w:rPr>
                <w:sz w:val="20"/>
                <w:szCs w:val="20"/>
                <w:color w:val="auto"/>
              </w:rPr>
            </w:pPr>
            <w:r>
              <w:rPr>
                <w:rFonts w:ascii="Courier New" w:cs="Courier New" w:eastAsia="Courier New" w:hAnsi="Courier New"/>
                <w:sz w:val="15"/>
                <w:szCs w:val="15"/>
                <w:color w:val="auto"/>
              </w:rPr>
              <w:t>Director</w:t>
            </w:r>
          </w:p>
        </w:tc>
        <w:tc>
          <w:tcPr>
            <w:tcW w:w="0" w:type="dxa"/>
            <w:vAlign w:val="bottom"/>
          </w:tcPr>
          <w:p>
            <w:pPr>
              <w:spacing w:after="0"/>
              <w:rPr>
                <w:sz w:val="1"/>
                <w:szCs w:val="1"/>
                <w:color w:val="auto"/>
              </w:rPr>
            </w:pPr>
          </w:p>
        </w:tc>
      </w:tr>
      <w:tr>
        <w:trPr>
          <w:trHeight w:val="259"/>
        </w:trPr>
        <w:tc>
          <w:tcPr>
            <w:tcW w:w="3460" w:type="dxa"/>
            <w:vAlign w:val="bottom"/>
          </w:tcPr>
          <w:p>
            <w:pPr>
              <w:ind w:left="1680"/>
              <w:spacing w:after="0"/>
              <w:rPr>
                <w:sz w:val="20"/>
                <w:szCs w:val="20"/>
                <w:color w:val="auto"/>
              </w:rPr>
            </w:pPr>
            <w:r>
              <w:rPr>
                <w:rFonts w:ascii="Courier New" w:cs="Courier New" w:eastAsia="Courier New" w:hAnsi="Courier New"/>
                <w:sz w:val="15"/>
                <w:szCs w:val="15"/>
                <w:color w:val="auto"/>
              </w:rPr>
              <w:t>*</w:t>
            </w:r>
          </w:p>
        </w:tc>
        <w:tc>
          <w:tcPr>
            <w:tcW w:w="3540" w:type="dxa"/>
            <w:vAlign w:val="bottom"/>
          </w:tcPr>
          <w:p>
            <w:pPr>
              <w:ind w:left="172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3460" w:type="dxa"/>
            <w:vAlign w:val="bottom"/>
            <w:vMerge w:val="restart"/>
          </w:tcPr>
          <w:p>
            <w:pPr>
              <w:spacing w:after="0"/>
              <w:rPr>
                <w:sz w:val="20"/>
                <w:szCs w:val="20"/>
                <w:color w:val="auto"/>
              </w:rPr>
            </w:pPr>
            <w:r>
              <w:rPr>
                <w:rFonts w:ascii="Courier New" w:cs="Courier New" w:eastAsia="Courier New" w:hAnsi="Courier New"/>
                <w:sz w:val="29"/>
                <w:szCs w:val="29"/>
                <w:color w:val="auto"/>
                <w:w w:val="73"/>
                <w:vertAlign w:val="subscript"/>
              </w:rPr>
              <w:t>Andrew</w:t>
            </w:r>
            <w:r>
              <w:rPr>
                <w:rFonts w:ascii="Courier New" w:cs="Courier New" w:eastAsia="Courier New" w:hAnsi="Courier New"/>
                <w:sz w:val="15"/>
                <w:szCs w:val="15"/>
                <w:color w:val="auto"/>
                <w:w w:val="73"/>
              </w:rPr>
              <w:t>--------------------------------------</w:t>
            </w:r>
            <w:r>
              <w:rPr>
                <w:rFonts w:ascii="Courier New" w:cs="Courier New" w:eastAsia="Courier New" w:hAnsi="Courier New"/>
                <w:sz w:val="29"/>
                <w:szCs w:val="29"/>
                <w:color w:val="auto"/>
                <w:w w:val="73"/>
                <w:vertAlign w:val="subscript"/>
              </w:rPr>
              <w:t>Gould</w:t>
            </w:r>
          </w:p>
        </w:tc>
        <w:tc>
          <w:tcPr>
            <w:tcW w:w="35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6"/>
              </w:rPr>
              <w:t>--------------------------------------</w:t>
            </w:r>
          </w:p>
        </w:tc>
        <w:tc>
          <w:tcPr>
            <w:tcW w:w="0" w:type="dxa"/>
            <w:vAlign w:val="bottom"/>
          </w:tcPr>
          <w:p>
            <w:pPr>
              <w:spacing w:after="0"/>
              <w:rPr>
                <w:sz w:val="1"/>
                <w:szCs w:val="1"/>
                <w:color w:val="auto"/>
              </w:rPr>
            </w:pPr>
          </w:p>
        </w:tc>
      </w:tr>
      <w:tr>
        <w:trPr>
          <w:trHeight w:val="168"/>
        </w:trPr>
        <w:tc>
          <w:tcPr>
            <w:tcW w:w="3460" w:type="dxa"/>
            <w:vAlign w:val="bottom"/>
            <w:vMerge w:val="continue"/>
          </w:tcPr>
          <w:p>
            <w:pPr>
              <w:spacing w:after="0"/>
              <w:rPr>
                <w:sz w:val="14"/>
                <w:szCs w:val="14"/>
                <w:color w:val="auto"/>
              </w:rPr>
            </w:pPr>
          </w:p>
        </w:tc>
        <w:tc>
          <w:tcPr>
            <w:tcW w:w="35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Andre Levy-Lang</w:t>
            </w:r>
          </w:p>
        </w:tc>
        <w:tc>
          <w:tcPr>
            <w:tcW w:w="0" w:type="dxa"/>
            <w:vAlign w:val="bottom"/>
          </w:tcPr>
          <w:p>
            <w:pPr>
              <w:spacing w:after="0"/>
              <w:rPr>
                <w:sz w:val="1"/>
                <w:szCs w:val="1"/>
                <w:color w:val="auto"/>
              </w:rPr>
            </w:pPr>
          </w:p>
        </w:tc>
      </w:tr>
      <w:tr>
        <w:trPr>
          <w:trHeight w:val="245"/>
        </w:trPr>
        <w:tc>
          <w:tcPr>
            <w:tcW w:w="3460" w:type="dxa"/>
            <w:vAlign w:val="bottom"/>
          </w:tcPr>
          <w:p>
            <w:pPr>
              <w:spacing w:after="0"/>
              <w:rPr>
                <w:sz w:val="20"/>
                <w:szCs w:val="20"/>
                <w:color w:val="auto"/>
              </w:rPr>
            </w:pPr>
            <w:r>
              <w:rPr>
                <w:rFonts w:ascii="Courier New" w:cs="Courier New" w:eastAsia="Courier New" w:hAnsi="Courier New"/>
                <w:sz w:val="15"/>
                <w:szCs w:val="15"/>
                <w:color w:val="auto"/>
              </w:rPr>
              <w:t>Director</w:t>
            </w:r>
          </w:p>
        </w:tc>
        <w:tc>
          <w:tcPr>
            <w:tcW w:w="3540" w:type="dxa"/>
            <w:vAlign w:val="bottom"/>
          </w:tcPr>
          <w:p>
            <w:pPr>
              <w:ind w:left="40"/>
              <w:spacing w:after="0"/>
              <w:rPr>
                <w:sz w:val="20"/>
                <w:szCs w:val="20"/>
                <w:color w:val="auto"/>
              </w:rPr>
            </w:pPr>
            <w:r>
              <w:rPr>
                <w:rFonts w:ascii="Courier New" w:cs="Courier New" w:eastAsia="Courier New" w:hAnsi="Courier New"/>
                <w:sz w:val="15"/>
                <w:szCs w:val="15"/>
                <w:color w:val="auto"/>
              </w:rPr>
              <w:t>Director</w:t>
            </w:r>
          </w:p>
        </w:tc>
        <w:tc>
          <w:tcPr>
            <w:tcW w:w="0" w:type="dxa"/>
            <w:vAlign w:val="bottom"/>
          </w:tcPr>
          <w:p>
            <w:pPr>
              <w:spacing w:after="0"/>
              <w:rPr>
                <w:sz w:val="1"/>
                <w:szCs w:val="1"/>
                <w:color w:val="auto"/>
              </w:rPr>
            </w:pPr>
          </w:p>
        </w:tc>
      </w:tr>
    </w:tbl>
    <w:p>
      <w:pPr>
        <w:spacing w:after="0" w:line="91"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w:t>
      </w:r>
    </w:p>
    <w:p>
      <w:pPr>
        <w:spacing w:after="0" w:line="23" w:lineRule="exact"/>
        <w:rPr>
          <w:sz w:val="20"/>
          <w:szCs w:val="20"/>
          <w:color w:val="auto"/>
        </w:rPr>
      </w:pPr>
    </w:p>
    <w:p>
      <w:pPr>
        <w:ind w:left="180" w:hanging="170"/>
        <w:spacing w:after="0"/>
        <w:tabs>
          <w:tab w:leader="none" w:pos="180"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right="9099"/>
        <w:spacing w:after="0" w:line="346"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Adrian Lajous Director</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/s/ Ellen S. Summer</w:t>
      </w:r>
    </w:p>
    <w:p>
      <w:pPr>
        <w:spacing w:after="0" w:line="23"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w:t>
      </w:r>
    </w:p>
    <w:p>
      <w:pPr>
        <w:ind w:left="440"/>
        <w:spacing w:after="0" w:line="237" w:lineRule="auto"/>
        <w:rPr>
          <w:sz w:val="20"/>
          <w:szCs w:val="20"/>
          <w:color w:val="auto"/>
        </w:rPr>
      </w:pPr>
      <w:r>
        <w:rPr>
          <w:rFonts w:ascii="Courier New" w:cs="Courier New" w:eastAsia="Courier New" w:hAnsi="Courier New"/>
          <w:sz w:val="15"/>
          <w:szCs w:val="15"/>
          <w:color w:val="auto"/>
        </w:rPr>
        <w:t>Ellen S. Summer</w:t>
      </w:r>
    </w:p>
    <w:p>
      <w:pPr>
        <w:ind w:left="440"/>
        <w:spacing w:after="0" w:line="238" w:lineRule="auto"/>
        <w:rPr>
          <w:sz w:val="20"/>
          <w:szCs w:val="20"/>
          <w:color w:val="auto"/>
        </w:rPr>
      </w:pPr>
      <w:r>
        <w:rPr>
          <w:rFonts w:ascii="Courier New" w:cs="Courier New" w:eastAsia="Courier New" w:hAnsi="Courier New"/>
          <w:sz w:val="15"/>
          <w:szCs w:val="15"/>
          <w:color w:val="auto"/>
        </w:rPr>
        <w:t>Attorney-in-Fact, pursuant to Power of Attorney dated April 18, 2002</w:t>
      </w:r>
    </w:p>
    <w:p>
      <w:pPr>
        <w:ind w:left="440"/>
        <w:spacing w:after="0"/>
        <w:rPr>
          <w:sz w:val="20"/>
          <w:szCs w:val="20"/>
          <w:color w:val="auto"/>
        </w:rPr>
      </w:pPr>
      <w:r>
        <w:rPr>
          <w:rFonts w:ascii="Courier New" w:cs="Courier New" w:eastAsia="Courier New" w:hAnsi="Courier New"/>
          <w:sz w:val="15"/>
          <w:szCs w:val="15"/>
          <w:color w:val="auto"/>
        </w:rPr>
        <w:t>(filed as Exhibit 24 to this Registration Statement).</w:t>
      </w:r>
    </w:p>
    <w:p>
      <w:pPr>
        <w:spacing w:after="0" w:line="14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II-6</w:t>
      </w:r>
    </w:p>
    <w:p>
      <w:pPr>
        <w:sectPr>
          <w:pgSz w:w="11900" w:h="16838" w:orient="portrait"/>
          <w:cols w:equalWidth="0" w:num="1">
            <w:col w:w="10239"/>
          </w:cols>
          <w:pgMar w:left="220" w:top="598" w:right="1440" w:bottom="1440" w:gutter="0" w:footer="0" w:header="0"/>
        </w:sectPr>
      </w:pPr>
    </w:p>
    <w:bookmarkStart w:id="52" w:name="page53"/>
    <w:bookmarkEnd w:id="52"/>
    <w:p>
      <w:pPr>
        <w:jc w:val="right"/>
        <w:ind w:right="3239"/>
        <w:spacing w:after="0"/>
        <w:rPr>
          <w:sz w:val="20"/>
          <w:szCs w:val="20"/>
          <w:color w:val="auto"/>
        </w:rPr>
      </w:pPr>
      <w:r>
        <w:rPr>
          <w:rFonts w:ascii="Courier New" w:cs="Courier New" w:eastAsia="Courier New" w:hAnsi="Courier New"/>
          <w:sz w:val="15"/>
          <w:szCs w:val="15"/>
          <w:color w:val="auto"/>
        </w:rPr>
        <w:t>Exhibit 5</w:t>
      </w:r>
    </w:p>
    <w:p>
      <w:pPr>
        <w:spacing w:after="0" w:line="166"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August 9, 2002</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Schlumberger Limited</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153 East 53rd Street, 57th Floor</w:t>
      </w:r>
    </w:p>
    <w:p>
      <w:pPr>
        <w:spacing w:after="0"/>
        <w:rPr>
          <w:sz w:val="20"/>
          <w:szCs w:val="20"/>
          <w:color w:val="auto"/>
        </w:rPr>
      </w:pPr>
      <w:r>
        <w:rPr>
          <w:rFonts w:ascii="Courier New" w:cs="Courier New" w:eastAsia="Courier New" w:hAnsi="Courier New"/>
          <w:sz w:val="15"/>
          <w:szCs w:val="15"/>
          <w:color w:val="auto"/>
        </w:rPr>
        <w:t>New York, New York 10022-4624</w:t>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Ladies and Gentlemen:</w:t>
      </w:r>
    </w:p>
    <w:p>
      <w:pPr>
        <w:spacing w:after="0" w:line="166" w:lineRule="exact"/>
        <w:rPr>
          <w:sz w:val="20"/>
          <w:szCs w:val="20"/>
          <w:color w:val="auto"/>
        </w:rPr>
      </w:pPr>
    </w:p>
    <w:p>
      <w:pPr>
        <w:ind w:right="3239" w:firstLine="525"/>
        <w:spacing w:after="0" w:line="248" w:lineRule="auto"/>
        <w:rPr>
          <w:sz w:val="20"/>
          <w:szCs w:val="20"/>
          <w:color w:val="auto"/>
        </w:rPr>
      </w:pPr>
      <w:r>
        <w:rPr>
          <w:rFonts w:ascii="Courier New" w:cs="Courier New" w:eastAsia="Courier New" w:hAnsi="Courier New"/>
          <w:sz w:val="15"/>
          <w:szCs w:val="15"/>
          <w:color w:val="auto"/>
        </w:rPr>
        <w:t>In connection with the Registration Statement on Form S-4 (the "Registration Statement") being filed by Schlumberger Limited, a corporation organized under the laws of the Netherlands Antilles ("Schlumberger"), with the Securities and Exchange Commission (the "Commission") under the Securities Act of 1933, as amended (the "Securities Act"), relating to up to 5,000,000 shares (the "Shares") of common stock, par value $.01 per share, of Schlumberger to be offered and sold from time to time pursuant to Rule 415 of the General Rules and Regulations of the Commission promulgated under the Securities Act, certain legal matters in connection with the Shares are being passed on for you by me. At your request, this opinion is being furnished for filing as Exhibit 5 to the Registration Statement.</w:t>
      </w:r>
    </w:p>
    <w:p>
      <w:pPr>
        <w:spacing w:after="0" w:line="87" w:lineRule="exact"/>
        <w:rPr>
          <w:sz w:val="20"/>
          <w:szCs w:val="20"/>
          <w:color w:val="auto"/>
        </w:rPr>
      </w:pPr>
    </w:p>
    <w:p>
      <w:pPr>
        <w:ind w:right="3319" w:firstLine="525"/>
        <w:spacing w:after="0" w:line="280" w:lineRule="auto"/>
        <w:rPr>
          <w:sz w:val="20"/>
          <w:szCs w:val="20"/>
          <w:color w:val="auto"/>
        </w:rPr>
      </w:pPr>
      <w:r>
        <w:rPr>
          <w:rFonts w:ascii="Courier New" w:cs="Courier New" w:eastAsia="Courier New" w:hAnsi="Courier New"/>
          <w:sz w:val="14"/>
          <w:szCs w:val="14"/>
          <w:color w:val="auto"/>
        </w:rPr>
        <w:t>I am a member of the New York bar, and I am not admitted to practice in, nor do I hold myself out as an expert on the laws of, the Netherlands Antilles. I have, however, consulted with the law firm of Smeets Thesseling Van Bokhorst, counsel qualified to practice in the Netherlands Antilles. Insofar as the opinions expressed below involve conclusions as to matters governed by the laws of the Netherlands Antilles, I am relying on the opinion of such counsel.</w:t>
      </w:r>
    </w:p>
    <w:p>
      <w:pPr>
        <w:spacing w:after="0" w:line="67" w:lineRule="exact"/>
        <w:rPr>
          <w:sz w:val="20"/>
          <w:szCs w:val="20"/>
          <w:color w:val="auto"/>
        </w:rPr>
      </w:pPr>
    </w:p>
    <w:p>
      <w:pPr>
        <w:ind w:right="3239" w:firstLine="525"/>
        <w:spacing w:after="0" w:line="245" w:lineRule="auto"/>
        <w:rPr>
          <w:sz w:val="20"/>
          <w:szCs w:val="20"/>
          <w:color w:val="auto"/>
        </w:rPr>
      </w:pPr>
      <w:r>
        <w:rPr>
          <w:rFonts w:ascii="Courier New" w:cs="Courier New" w:eastAsia="Courier New" w:hAnsi="Courier New"/>
          <w:sz w:val="15"/>
          <w:szCs w:val="15"/>
          <w:color w:val="auto"/>
        </w:rPr>
        <w:t>In my capacity as Secretary and General Counsel of Schlumberger, I am familiar with the Articles of Incorporation and Bylaws of Schlumberger, each as amended to date, have familiarized myself with the matters discussed herein and have examined all statutes and other records, instruments and documents pertaining to Schlumberger and the matters discussed herein that I deem necessary to examine for the purpose of this opinion. I have assumed that all signatures on all documents examined by me are genuine, that all documents submitted to me as originals are accurate and complete, that all documents submitted to me as copies are true and correct copies of the originals thereof and that all information submitted to me was accurate and complete. In addition, I have assumed for the purpose of this opinion that the consideration received by Schlumberger for the Shares was not, in the case of treasury shares, and will not be, in the case of original issue shares, less than the par value of the Shares.</w:t>
      </w:r>
    </w:p>
    <w:p>
      <w:pPr>
        <w:spacing w:after="0" w:line="95" w:lineRule="exact"/>
        <w:rPr>
          <w:sz w:val="20"/>
          <w:szCs w:val="20"/>
          <w:color w:val="auto"/>
        </w:rPr>
      </w:pPr>
    </w:p>
    <w:p>
      <w:pPr>
        <w:ind w:right="3239" w:firstLine="525"/>
        <w:spacing w:after="0" w:line="298" w:lineRule="auto"/>
        <w:rPr>
          <w:sz w:val="20"/>
          <w:szCs w:val="20"/>
          <w:color w:val="auto"/>
        </w:rPr>
      </w:pPr>
      <w:r>
        <w:rPr>
          <w:rFonts w:ascii="Courier New" w:cs="Courier New" w:eastAsia="Courier New" w:hAnsi="Courier New"/>
          <w:sz w:val="14"/>
          <w:szCs w:val="14"/>
          <w:color w:val="auto"/>
        </w:rPr>
        <w:t>Based upon my examination as aforesaid, I am of the opinion that the Shares have been duly authorized and, when delivered to and paid for by the purchasers thereof in accordance with the terms of the agreement under which they are sold, the Shares will be validly issued, fully paid and non-assessable.</w:t>
      </w:r>
    </w:p>
    <w:p>
      <w:pPr>
        <w:sectPr>
          <w:pgSz w:w="11900" w:h="16838" w:orient="portrait"/>
          <w:cols w:equalWidth="0" w:num="1">
            <w:col w:w="10239"/>
          </w:cols>
          <w:pgMar w:left="220" w:top="452" w:right="1440" w:bottom="1440" w:gutter="0" w:footer="0" w:header="0"/>
        </w:sectPr>
      </w:pPr>
    </w:p>
    <w:bookmarkStart w:id="53" w:name="page54"/>
    <w:bookmarkEnd w:id="53"/>
    <w:p>
      <w:pPr>
        <w:ind w:right="3239" w:firstLine="525"/>
        <w:spacing w:after="0" w:line="276" w:lineRule="auto"/>
        <w:rPr>
          <w:sz w:val="20"/>
          <w:szCs w:val="20"/>
          <w:color w:val="auto"/>
        </w:rPr>
      </w:pPr>
      <w:r>
        <w:rPr>
          <w:rFonts w:ascii="Courier New" w:cs="Courier New" w:eastAsia="Courier New" w:hAnsi="Courier New"/>
          <w:sz w:val="14"/>
          <w:szCs w:val="14"/>
          <w:color w:val="auto"/>
        </w:rPr>
        <w:t>I consent to the filing of this opinion as an exhibit to the Registration Statement and the references to my name under the caption "Legal Matters" in the prospectus contained in the Registration Statement and in any prospectus supplement forming a part of the Registration Statement. In giving such consent, I do not thereby concede that I am within the category of persons whose consent is required under Section 7 of the Securities Act or the rules and regulations of the Securities and Exchange Commission promulgated thereunder.</w:t>
      </w:r>
    </w:p>
    <w:p>
      <w:pPr>
        <w:spacing w:after="0" w:line="69"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Very truly yours,</w:t>
      </w:r>
    </w:p>
    <w:p>
      <w:pPr>
        <w:spacing w:after="0" w:line="166"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/s/ Ellen S. Summer</w:t>
      </w:r>
    </w:p>
    <w:p>
      <w:pPr>
        <w:spacing w:after="0" w:line="166"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Ellen S. Summer</w:t>
      </w:r>
    </w:p>
    <w:p>
      <w:pPr>
        <w:sectPr>
          <w:pgSz w:w="11900" w:h="16838" w:orient="portrait"/>
          <w:cols w:equalWidth="0" w:num="1">
            <w:col w:w="10239"/>
          </w:cols>
          <w:pgMar w:left="220" w:top="598" w:right="1440" w:bottom="1440" w:gutter="0" w:footer="0" w:header="0"/>
        </w:sectPr>
      </w:pPr>
    </w:p>
    <w:bookmarkStart w:id="54" w:name="page55"/>
    <w:bookmarkEnd w:id="54"/>
    <w:p>
      <w:pPr>
        <w:jc w:val="right"/>
        <w:ind w:right="3239"/>
        <w:spacing w:after="0"/>
        <w:rPr>
          <w:sz w:val="20"/>
          <w:szCs w:val="20"/>
          <w:color w:val="auto"/>
        </w:rPr>
      </w:pPr>
      <w:r>
        <w:rPr>
          <w:rFonts w:ascii="Courier New" w:cs="Courier New" w:eastAsia="Courier New" w:hAnsi="Courier New"/>
          <w:sz w:val="15"/>
          <w:szCs w:val="15"/>
          <w:color w:val="auto"/>
        </w:rPr>
        <w:t>EXHIBIT 23.1</w:t>
      </w:r>
    </w:p>
    <w:p>
      <w:pPr>
        <w:spacing w:after="0" w:line="166"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CONSENT OF INDEPENDENT ACCOUNTANTS</w:t>
      </w:r>
    </w:p>
    <w:p>
      <w:pPr>
        <w:spacing w:after="0" w:line="166" w:lineRule="exact"/>
        <w:rPr>
          <w:sz w:val="20"/>
          <w:szCs w:val="20"/>
          <w:color w:val="auto"/>
        </w:rPr>
      </w:pPr>
    </w:p>
    <w:p>
      <w:pPr>
        <w:ind w:right="3239"/>
        <w:spacing w:after="0" w:line="264" w:lineRule="auto"/>
        <w:rPr>
          <w:sz w:val="20"/>
          <w:szCs w:val="20"/>
          <w:color w:val="auto"/>
        </w:rPr>
      </w:pPr>
      <w:r>
        <w:rPr>
          <w:rFonts w:ascii="Courier New" w:cs="Courier New" w:eastAsia="Courier New" w:hAnsi="Courier New"/>
          <w:sz w:val="15"/>
          <w:szCs w:val="15"/>
          <w:color w:val="auto"/>
        </w:rPr>
        <w:t>We hereby consent to the use in this Registration Statement on Form S-4 of Schlumberger Limited of our report dated January 22, 2002 relating to the financial statements of Schlumberger Limited, which appears in such Registration Statement. We also consent to the references to us under the headings "Experts" in such Registration Statement.</w:t>
      </w:r>
    </w:p>
    <w:p>
      <w:pPr>
        <w:spacing w:after="0" w:line="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PricewaterhouseCoopers LLP</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York, New York</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August 9, 2002</w:t>
      </w:r>
    </w:p>
    <w:p>
      <w:pPr>
        <w:sectPr>
          <w:pgSz w:w="11900" w:h="16838" w:orient="portrait"/>
          <w:cols w:equalWidth="0" w:num="1">
            <w:col w:w="10239"/>
          </w:cols>
          <w:pgMar w:left="220" w:top="284" w:right="1440" w:bottom="1440" w:gutter="0" w:footer="0" w:header="0"/>
        </w:sectPr>
      </w:pPr>
    </w:p>
    <w:bookmarkStart w:id="55" w:name="page56"/>
    <w:bookmarkEnd w:id="55"/>
    <w:p>
      <w:pPr>
        <w:jc w:val="right"/>
        <w:ind w:right="3239"/>
        <w:spacing w:after="0"/>
        <w:rPr>
          <w:sz w:val="20"/>
          <w:szCs w:val="20"/>
          <w:color w:val="auto"/>
        </w:rPr>
      </w:pPr>
      <w:r>
        <w:rPr>
          <w:rFonts w:ascii="Courier New" w:cs="Courier New" w:eastAsia="Courier New" w:hAnsi="Courier New"/>
          <w:sz w:val="15"/>
          <w:szCs w:val="15"/>
          <w:color w:val="auto"/>
        </w:rPr>
        <w:t>Exhibit 24</w:t>
      </w:r>
    </w:p>
    <w:p>
      <w:pPr>
        <w:spacing w:after="0" w:line="166"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POWER OF ATTORNEY</w:t>
      </w:r>
    </w:p>
    <w:p>
      <w:pPr>
        <w:spacing w:after="0" w:line="166" w:lineRule="exact"/>
        <w:rPr>
          <w:sz w:val="20"/>
          <w:szCs w:val="20"/>
          <w:color w:val="auto"/>
        </w:rPr>
      </w:pPr>
    </w:p>
    <w:p>
      <w:pPr>
        <w:ind w:right="3239" w:firstLine="875"/>
        <w:spacing w:after="0" w:line="260" w:lineRule="auto"/>
        <w:rPr>
          <w:sz w:val="20"/>
          <w:szCs w:val="20"/>
          <w:color w:val="auto"/>
        </w:rPr>
      </w:pPr>
      <w:r>
        <w:rPr>
          <w:rFonts w:ascii="Courier New" w:cs="Courier New" w:eastAsia="Courier New" w:hAnsi="Courier New"/>
          <w:sz w:val="14"/>
          <w:szCs w:val="14"/>
          <w:color w:val="auto"/>
        </w:rPr>
        <w:t>Each of the undersigned, in the capacity or capacities set forth below his or her signature as a member of the Board of Directors and/or an officer of Schlumberger Limited, a Netherlands Antilles corporation (the "Corporation"), hereby constitutes and appoints Jean-Marc Perraud and Ellen S. Summer, and each of them, the true and lawful attorneys-in-fact and agents of the undersigned, each of whom shall be authorized to act with or without the others, with full power of substitution and resubstitution, for the undersigned and in the undersigned's name, place and stead, in the undersigned's capacity as a director or officer or both, as the case may be, of the Corporation, to sign a Registration Statement on Form S-4 relating to up to 15,000,000 shares of common stock, par value $.01 per share, of the Corporation and any and all amendments (including post-effective amendments) thereto, and any and all other instruments and documents as may be necessary, advisable or appropriate to enable the Corporation to comply with the Securities Act of 1933, as amended, and all other federal and state securities laws, and to file the same or cause the same to be filed, with all exhibits thereto, with the Securities and Exchange Commission, with full power and authority to each of the attorneys-in-fact and agents to do and perform in the name and on behalf of the undersigned, in the undersigned's capacity as a director or officer, or both, as the case may be, each and every act whatsoever that is necessary, advisable or appropriate to be done, as fully and for all intents and purposes as any such director or officer, or both, as the case may be, might or could do in person.</w:t>
      </w:r>
    </w:p>
    <w:p>
      <w:pPr>
        <w:spacing w:after="0" w:line="26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Dated: April 18, 2002</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rPr>
              <w:t>/s/ D. Euan Baird</w:t>
            </w:r>
          </w:p>
        </w:tc>
        <w:tc>
          <w:tcPr>
            <w:tcW w:w="3220" w:type="dxa"/>
            <w:vAlign w:val="bottom"/>
          </w:tcPr>
          <w:p>
            <w:pPr>
              <w:ind w:left="80"/>
              <w:spacing w:after="0"/>
              <w:rPr>
                <w:sz w:val="20"/>
                <w:szCs w:val="20"/>
                <w:color w:val="auto"/>
              </w:rPr>
            </w:pPr>
            <w:r>
              <w:rPr>
                <w:rFonts w:ascii="Courier New" w:cs="Courier New" w:eastAsia="Courier New" w:hAnsi="Courier New"/>
                <w:sz w:val="15"/>
                <w:szCs w:val="15"/>
                <w:color w:val="auto"/>
              </w:rPr>
              <w:t>/s/ William T. McCormick, Jr.</w:t>
            </w:r>
          </w:p>
        </w:tc>
        <w:tc>
          <w:tcPr>
            <w:tcW w:w="0" w:type="dxa"/>
            <w:vAlign w:val="bottom"/>
          </w:tcPr>
          <w:p>
            <w:pPr>
              <w:spacing w:after="0"/>
              <w:rPr>
                <w:sz w:val="1"/>
                <w:szCs w:val="1"/>
                <w:color w:val="auto"/>
              </w:rPr>
            </w:pPr>
          </w:p>
        </w:tc>
      </w:tr>
      <w:tr>
        <w:trPr>
          <w:trHeight w:val="168"/>
        </w:trPr>
        <w:tc>
          <w:tcPr>
            <w:tcW w:w="3780" w:type="dxa"/>
            <w:vAlign w:val="bottom"/>
            <w:vMerge w:val="restart"/>
          </w:tcPr>
          <w:p>
            <w:pPr>
              <w:spacing w:after="0"/>
              <w:rPr>
                <w:sz w:val="20"/>
                <w:szCs w:val="20"/>
                <w:color w:val="auto"/>
              </w:rPr>
            </w:pPr>
            <w:r>
              <w:rPr>
                <w:rFonts w:ascii="Courier New" w:cs="Courier New" w:eastAsia="Courier New" w:hAnsi="Courier New"/>
                <w:sz w:val="29"/>
                <w:szCs w:val="29"/>
                <w:color w:val="auto"/>
                <w:w w:val="75"/>
                <w:vertAlign w:val="subscript"/>
              </w:rPr>
              <w:t>D.</w:t>
            </w:r>
            <w:r>
              <w:rPr>
                <w:rFonts w:ascii="Courier New" w:cs="Courier New" w:eastAsia="Courier New" w:hAnsi="Courier New"/>
                <w:sz w:val="15"/>
                <w:szCs w:val="15"/>
                <w:color w:val="auto"/>
                <w:w w:val="75"/>
              </w:rPr>
              <w:t>-----------------------------------------</w:t>
            </w:r>
            <w:r>
              <w:rPr>
                <w:rFonts w:ascii="Courier New" w:cs="Courier New" w:eastAsia="Courier New" w:hAnsi="Courier New"/>
                <w:sz w:val="29"/>
                <w:szCs w:val="29"/>
                <w:color w:val="auto"/>
                <w:w w:val="75"/>
                <w:vertAlign w:val="subscript"/>
              </w:rPr>
              <w:t>EuanBaird</w:t>
            </w:r>
          </w:p>
        </w:tc>
        <w:tc>
          <w:tcPr>
            <w:tcW w:w="32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6"/>
              </w:rPr>
              <w:t>----------------------------------</w:t>
            </w:r>
          </w:p>
        </w:tc>
        <w:tc>
          <w:tcPr>
            <w:tcW w:w="0" w:type="dxa"/>
            <w:vAlign w:val="bottom"/>
          </w:tcPr>
          <w:p>
            <w:pPr>
              <w:spacing w:after="0"/>
              <w:rPr>
                <w:sz w:val="1"/>
                <w:szCs w:val="1"/>
                <w:color w:val="auto"/>
              </w:rPr>
            </w:pPr>
          </w:p>
        </w:tc>
      </w:tr>
      <w:tr>
        <w:trPr>
          <w:trHeight w:val="168"/>
        </w:trPr>
        <w:tc>
          <w:tcPr>
            <w:tcW w:w="3780" w:type="dxa"/>
            <w:vAlign w:val="bottom"/>
            <w:vMerge w:val="continue"/>
          </w:tcPr>
          <w:p>
            <w:pPr>
              <w:spacing w:after="0"/>
              <w:rPr>
                <w:sz w:val="14"/>
                <w:szCs w:val="14"/>
                <w:color w:val="auto"/>
              </w:rPr>
            </w:pPr>
          </w:p>
        </w:tc>
        <w:tc>
          <w:tcPr>
            <w:tcW w:w="32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William T. McCormick, Jr.</w:t>
            </w:r>
          </w:p>
        </w:tc>
        <w:tc>
          <w:tcPr>
            <w:tcW w:w="0" w:type="dxa"/>
            <w:vAlign w:val="bottom"/>
          </w:tcPr>
          <w:p>
            <w:pPr>
              <w:spacing w:after="0"/>
              <w:rPr>
                <w:sz w:val="1"/>
                <w:szCs w:val="1"/>
                <w:color w:val="auto"/>
              </w:rPr>
            </w:pPr>
          </w:p>
        </w:tc>
      </w:tr>
      <w:tr>
        <w:trPr>
          <w:trHeight w:val="168"/>
        </w:trPr>
        <w:tc>
          <w:tcPr>
            <w:tcW w:w="3780" w:type="dxa"/>
            <w:vAlign w:val="bottom"/>
          </w:tcPr>
          <w:p>
            <w:pPr>
              <w:spacing w:after="0" w:line="168" w:lineRule="exact"/>
              <w:rPr>
                <w:sz w:val="20"/>
                <w:szCs w:val="20"/>
                <w:color w:val="auto"/>
              </w:rPr>
            </w:pPr>
            <w:r>
              <w:rPr>
                <w:rFonts w:ascii="Courier New" w:cs="Courier New" w:eastAsia="Courier New" w:hAnsi="Courier New"/>
                <w:sz w:val="15"/>
                <w:szCs w:val="15"/>
                <w:color w:val="auto"/>
              </w:rPr>
              <w:t>Director</w:t>
            </w:r>
          </w:p>
        </w:tc>
        <w:tc>
          <w:tcPr>
            <w:tcW w:w="32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Director</w:t>
            </w:r>
          </w:p>
        </w:tc>
        <w:tc>
          <w:tcPr>
            <w:tcW w:w="0" w:type="dxa"/>
            <w:vAlign w:val="bottom"/>
          </w:tcPr>
          <w:p>
            <w:pPr>
              <w:spacing w:after="0"/>
              <w:rPr>
                <w:sz w:val="1"/>
                <w:szCs w:val="1"/>
                <w:color w:val="auto"/>
              </w:rPr>
            </w:pPr>
          </w:p>
        </w:tc>
      </w:tr>
      <w:tr>
        <w:trPr>
          <w:trHeight w:val="245"/>
        </w:trPr>
        <w:tc>
          <w:tcPr>
            <w:tcW w:w="3780" w:type="dxa"/>
            <w:vAlign w:val="bottom"/>
          </w:tcPr>
          <w:p>
            <w:pPr>
              <w:spacing w:after="0"/>
              <w:rPr>
                <w:sz w:val="20"/>
                <w:szCs w:val="20"/>
                <w:color w:val="auto"/>
              </w:rPr>
            </w:pPr>
            <w:r>
              <w:rPr>
                <w:rFonts w:ascii="Courier New" w:cs="Courier New" w:eastAsia="Courier New" w:hAnsi="Courier New"/>
                <w:sz w:val="15"/>
                <w:szCs w:val="15"/>
                <w:color w:val="auto"/>
              </w:rPr>
              <w:t>Chairman and Chief Executive Officer</w:t>
            </w:r>
          </w:p>
        </w:tc>
        <w:tc>
          <w:tcPr>
            <w:tcW w:w="3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3780" w:type="dxa"/>
            <w:vAlign w:val="bottom"/>
          </w:tcPr>
          <w:p>
            <w:pPr>
              <w:spacing w:after="0"/>
              <w:rPr>
                <w:sz w:val="20"/>
                <w:szCs w:val="20"/>
                <w:color w:val="auto"/>
              </w:rPr>
            </w:pPr>
            <w:r>
              <w:rPr>
                <w:rFonts w:ascii="Courier New" w:cs="Courier New" w:eastAsia="Courier New" w:hAnsi="Courier New"/>
                <w:sz w:val="15"/>
                <w:szCs w:val="15"/>
                <w:color w:val="auto"/>
              </w:rPr>
              <w:t>/s/ John Deutch</w:t>
            </w:r>
          </w:p>
        </w:tc>
        <w:tc>
          <w:tcPr>
            <w:tcW w:w="3220" w:type="dxa"/>
            <w:vAlign w:val="bottom"/>
          </w:tcPr>
          <w:p>
            <w:pPr>
              <w:ind w:left="80"/>
              <w:spacing w:after="0"/>
              <w:rPr>
                <w:sz w:val="20"/>
                <w:szCs w:val="20"/>
                <w:color w:val="auto"/>
              </w:rPr>
            </w:pPr>
            <w:r>
              <w:rPr>
                <w:rFonts w:ascii="Courier New" w:cs="Courier New" w:eastAsia="Courier New" w:hAnsi="Courier New"/>
                <w:sz w:val="15"/>
                <w:szCs w:val="15"/>
                <w:color w:val="auto"/>
              </w:rPr>
              <w:t>/s/ Didier Primat</w:t>
            </w:r>
          </w:p>
        </w:tc>
        <w:tc>
          <w:tcPr>
            <w:tcW w:w="0" w:type="dxa"/>
            <w:vAlign w:val="bottom"/>
          </w:tcPr>
          <w:p>
            <w:pPr>
              <w:spacing w:after="0"/>
              <w:rPr>
                <w:sz w:val="1"/>
                <w:szCs w:val="1"/>
                <w:color w:val="auto"/>
              </w:rPr>
            </w:pPr>
          </w:p>
        </w:tc>
      </w:tr>
      <w:tr>
        <w:trPr>
          <w:trHeight w:val="168"/>
        </w:trPr>
        <w:tc>
          <w:tcPr>
            <w:tcW w:w="3780" w:type="dxa"/>
            <w:vAlign w:val="bottom"/>
            <w:vMerge w:val="restart"/>
          </w:tcPr>
          <w:p>
            <w:pPr>
              <w:spacing w:after="0"/>
              <w:rPr>
                <w:sz w:val="20"/>
                <w:szCs w:val="20"/>
                <w:color w:val="auto"/>
              </w:rPr>
            </w:pPr>
            <w:r>
              <w:rPr>
                <w:rFonts w:ascii="Courier New" w:cs="Courier New" w:eastAsia="Courier New" w:hAnsi="Courier New"/>
                <w:sz w:val="29"/>
                <w:szCs w:val="29"/>
                <w:color w:val="auto"/>
                <w:w w:val="77"/>
                <w:vertAlign w:val="subscript"/>
              </w:rPr>
              <w:t>John</w:t>
            </w:r>
            <w:r>
              <w:rPr>
                <w:rFonts w:ascii="Courier New" w:cs="Courier New" w:eastAsia="Courier New" w:hAnsi="Courier New"/>
                <w:sz w:val="15"/>
                <w:szCs w:val="15"/>
                <w:color w:val="auto"/>
                <w:w w:val="77"/>
              </w:rPr>
              <w:t>-----------------------------------------</w:t>
            </w:r>
            <w:r>
              <w:rPr>
                <w:rFonts w:ascii="Courier New" w:cs="Courier New" w:eastAsia="Courier New" w:hAnsi="Courier New"/>
                <w:sz w:val="29"/>
                <w:szCs w:val="29"/>
                <w:color w:val="auto"/>
                <w:w w:val="77"/>
                <w:vertAlign w:val="subscript"/>
              </w:rPr>
              <w:t>Deutch</w:t>
            </w:r>
          </w:p>
        </w:tc>
        <w:tc>
          <w:tcPr>
            <w:tcW w:w="32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6"/>
              </w:rPr>
              <w:t>----------------------------------</w:t>
            </w:r>
          </w:p>
        </w:tc>
        <w:tc>
          <w:tcPr>
            <w:tcW w:w="0" w:type="dxa"/>
            <w:vAlign w:val="bottom"/>
          </w:tcPr>
          <w:p>
            <w:pPr>
              <w:spacing w:after="0"/>
              <w:rPr>
                <w:sz w:val="1"/>
                <w:szCs w:val="1"/>
                <w:color w:val="auto"/>
              </w:rPr>
            </w:pPr>
          </w:p>
        </w:tc>
      </w:tr>
      <w:tr>
        <w:trPr>
          <w:trHeight w:val="168"/>
        </w:trPr>
        <w:tc>
          <w:tcPr>
            <w:tcW w:w="3780" w:type="dxa"/>
            <w:vAlign w:val="bottom"/>
            <w:vMerge w:val="continue"/>
          </w:tcPr>
          <w:p>
            <w:pPr>
              <w:spacing w:after="0"/>
              <w:rPr>
                <w:sz w:val="14"/>
                <w:szCs w:val="14"/>
                <w:color w:val="auto"/>
              </w:rPr>
            </w:pPr>
          </w:p>
        </w:tc>
        <w:tc>
          <w:tcPr>
            <w:tcW w:w="32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Didier Primat</w:t>
            </w:r>
          </w:p>
        </w:tc>
        <w:tc>
          <w:tcPr>
            <w:tcW w:w="0" w:type="dxa"/>
            <w:vAlign w:val="bottom"/>
          </w:tcPr>
          <w:p>
            <w:pPr>
              <w:spacing w:after="0"/>
              <w:rPr>
                <w:sz w:val="1"/>
                <w:szCs w:val="1"/>
                <w:color w:val="auto"/>
              </w:rPr>
            </w:pPr>
          </w:p>
        </w:tc>
      </w:tr>
      <w:tr>
        <w:trPr>
          <w:trHeight w:val="245"/>
        </w:trPr>
        <w:tc>
          <w:tcPr>
            <w:tcW w:w="3780" w:type="dxa"/>
            <w:vAlign w:val="bottom"/>
          </w:tcPr>
          <w:p>
            <w:pPr>
              <w:spacing w:after="0"/>
              <w:rPr>
                <w:sz w:val="20"/>
                <w:szCs w:val="20"/>
                <w:color w:val="auto"/>
              </w:rPr>
            </w:pPr>
            <w:r>
              <w:rPr>
                <w:rFonts w:ascii="Courier New" w:cs="Courier New" w:eastAsia="Courier New" w:hAnsi="Courier New"/>
                <w:sz w:val="15"/>
                <w:szCs w:val="15"/>
                <w:color w:val="auto"/>
              </w:rPr>
              <w:t>Director</w:t>
            </w:r>
          </w:p>
        </w:tc>
        <w:tc>
          <w:tcPr>
            <w:tcW w:w="3220" w:type="dxa"/>
            <w:vAlign w:val="bottom"/>
          </w:tcPr>
          <w:p>
            <w:pPr>
              <w:ind w:left="80"/>
              <w:spacing w:after="0"/>
              <w:rPr>
                <w:sz w:val="20"/>
                <w:szCs w:val="20"/>
                <w:color w:val="auto"/>
              </w:rPr>
            </w:pPr>
            <w:r>
              <w:rPr>
                <w:rFonts w:ascii="Courier New" w:cs="Courier New" w:eastAsia="Courier New" w:hAnsi="Courier New"/>
                <w:sz w:val="15"/>
                <w:szCs w:val="15"/>
                <w:color w:val="auto"/>
              </w:rPr>
              <w:t>Director</w:t>
            </w:r>
          </w:p>
        </w:tc>
        <w:tc>
          <w:tcPr>
            <w:tcW w:w="0" w:type="dxa"/>
            <w:vAlign w:val="bottom"/>
          </w:tcPr>
          <w:p>
            <w:pPr>
              <w:spacing w:after="0"/>
              <w:rPr>
                <w:sz w:val="1"/>
                <w:szCs w:val="1"/>
                <w:color w:val="auto"/>
              </w:rPr>
            </w:pPr>
          </w:p>
        </w:tc>
      </w:tr>
      <w:tr>
        <w:trPr>
          <w:trHeight w:val="259"/>
        </w:trPr>
        <w:tc>
          <w:tcPr>
            <w:tcW w:w="3780" w:type="dxa"/>
            <w:vAlign w:val="bottom"/>
          </w:tcPr>
          <w:p>
            <w:pPr>
              <w:spacing w:after="0"/>
              <w:rPr>
                <w:sz w:val="20"/>
                <w:szCs w:val="20"/>
                <w:color w:val="auto"/>
              </w:rPr>
            </w:pPr>
            <w:r>
              <w:rPr>
                <w:rFonts w:ascii="Courier New" w:cs="Courier New" w:eastAsia="Courier New" w:hAnsi="Courier New"/>
                <w:sz w:val="15"/>
                <w:szCs w:val="15"/>
                <w:color w:val="auto"/>
              </w:rPr>
              <w:t>/s/ Jamie S. Gorelick</w:t>
            </w:r>
          </w:p>
        </w:tc>
        <w:tc>
          <w:tcPr>
            <w:tcW w:w="3220" w:type="dxa"/>
            <w:vAlign w:val="bottom"/>
          </w:tcPr>
          <w:p>
            <w:pPr>
              <w:ind w:left="80"/>
              <w:spacing w:after="0"/>
              <w:rPr>
                <w:sz w:val="20"/>
                <w:szCs w:val="20"/>
                <w:color w:val="auto"/>
              </w:rPr>
            </w:pPr>
            <w:r>
              <w:rPr>
                <w:rFonts w:ascii="Courier New" w:cs="Courier New" w:eastAsia="Courier New" w:hAnsi="Courier New"/>
                <w:sz w:val="15"/>
                <w:szCs w:val="15"/>
                <w:color w:val="auto"/>
              </w:rPr>
              <w:t>/s/ Nicolas Seydoux</w:t>
            </w:r>
          </w:p>
        </w:tc>
        <w:tc>
          <w:tcPr>
            <w:tcW w:w="0" w:type="dxa"/>
            <w:vAlign w:val="bottom"/>
          </w:tcPr>
          <w:p>
            <w:pPr>
              <w:spacing w:after="0"/>
              <w:rPr>
                <w:sz w:val="1"/>
                <w:szCs w:val="1"/>
                <w:color w:val="auto"/>
              </w:rPr>
            </w:pPr>
          </w:p>
        </w:tc>
      </w:tr>
      <w:tr>
        <w:trPr>
          <w:trHeight w:val="168"/>
        </w:trPr>
        <w:tc>
          <w:tcPr>
            <w:tcW w:w="3780" w:type="dxa"/>
            <w:vAlign w:val="bottom"/>
            <w:vMerge w:val="restart"/>
          </w:tcPr>
          <w:p>
            <w:pPr>
              <w:spacing w:after="0"/>
              <w:rPr>
                <w:sz w:val="20"/>
                <w:szCs w:val="20"/>
                <w:color w:val="auto"/>
              </w:rPr>
            </w:pPr>
            <w:r>
              <w:rPr>
                <w:rFonts w:ascii="Courier New" w:cs="Courier New" w:eastAsia="Courier New" w:hAnsi="Courier New"/>
                <w:sz w:val="28"/>
                <w:szCs w:val="28"/>
                <w:color w:val="auto"/>
                <w:w w:val="73"/>
                <w:vertAlign w:val="subscript"/>
              </w:rPr>
              <w:t>Jamie</w:t>
            </w:r>
            <w:r>
              <w:rPr>
                <w:rFonts w:ascii="Courier New" w:cs="Courier New" w:eastAsia="Courier New" w:hAnsi="Courier New"/>
                <w:sz w:val="14"/>
                <w:szCs w:val="14"/>
                <w:color w:val="auto"/>
                <w:w w:val="73"/>
              </w:rPr>
              <w:t>-----------------------------------------</w:t>
            </w:r>
            <w:r>
              <w:rPr>
                <w:rFonts w:ascii="Courier New" w:cs="Courier New" w:eastAsia="Courier New" w:hAnsi="Courier New"/>
                <w:sz w:val="28"/>
                <w:szCs w:val="28"/>
                <w:color w:val="auto"/>
                <w:w w:val="73"/>
                <w:vertAlign w:val="subscript"/>
              </w:rPr>
              <w:t>S.Gorelick</w:t>
            </w:r>
          </w:p>
        </w:tc>
        <w:tc>
          <w:tcPr>
            <w:tcW w:w="32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6"/>
              </w:rPr>
              <w:t>----------------------------------</w:t>
            </w:r>
          </w:p>
        </w:tc>
        <w:tc>
          <w:tcPr>
            <w:tcW w:w="0" w:type="dxa"/>
            <w:vAlign w:val="bottom"/>
          </w:tcPr>
          <w:p>
            <w:pPr>
              <w:spacing w:after="0"/>
              <w:rPr>
                <w:sz w:val="1"/>
                <w:szCs w:val="1"/>
                <w:color w:val="auto"/>
              </w:rPr>
            </w:pPr>
          </w:p>
        </w:tc>
      </w:tr>
      <w:tr>
        <w:trPr>
          <w:trHeight w:val="168"/>
        </w:trPr>
        <w:tc>
          <w:tcPr>
            <w:tcW w:w="3780" w:type="dxa"/>
            <w:vAlign w:val="bottom"/>
            <w:vMerge w:val="continue"/>
          </w:tcPr>
          <w:p>
            <w:pPr>
              <w:spacing w:after="0"/>
              <w:rPr>
                <w:sz w:val="14"/>
                <w:szCs w:val="14"/>
                <w:color w:val="auto"/>
              </w:rPr>
            </w:pPr>
          </w:p>
        </w:tc>
        <w:tc>
          <w:tcPr>
            <w:tcW w:w="32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Nicolas Seydoux</w:t>
            </w:r>
          </w:p>
        </w:tc>
        <w:tc>
          <w:tcPr>
            <w:tcW w:w="0" w:type="dxa"/>
            <w:vAlign w:val="bottom"/>
          </w:tcPr>
          <w:p>
            <w:pPr>
              <w:spacing w:after="0"/>
              <w:rPr>
                <w:sz w:val="1"/>
                <w:szCs w:val="1"/>
                <w:color w:val="auto"/>
              </w:rPr>
            </w:pPr>
          </w:p>
        </w:tc>
      </w:tr>
      <w:tr>
        <w:trPr>
          <w:trHeight w:val="245"/>
        </w:trPr>
        <w:tc>
          <w:tcPr>
            <w:tcW w:w="3780" w:type="dxa"/>
            <w:vAlign w:val="bottom"/>
          </w:tcPr>
          <w:p>
            <w:pPr>
              <w:spacing w:after="0"/>
              <w:rPr>
                <w:sz w:val="20"/>
                <w:szCs w:val="20"/>
                <w:color w:val="auto"/>
              </w:rPr>
            </w:pPr>
            <w:r>
              <w:rPr>
                <w:rFonts w:ascii="Courier New" w:cs="Courier New" w:eastAsia="Courier New" w:hAnsi="Courier New"/>
                <w:sz w:val="15"/>
                <w:szCs w:val="15"/>
                <w:color w:val="auto"/>
              </w:rPr>
              <w:t>Director</w:t>
            </w:r>
          </w:p>
        </w:tc>
        <w:tc>
          <w:tcPr>
            <w:tcW w:w="3220" w:type="dxa"/>
            <w:vAlign w:val="bottom"/>
          </w:tcPr>
          <w:p>
            <w:pPr>
              <w:ind w:left="80"/>
              <w:spacing w:after="0"/>
              <w:rPr>
                <w:sz w:val="20"/>
                <w:szCs w:val="20"/>
                <w:color w:val="auto"/>
              </w:rPr>
            </w:pPr>
            <w:r>
              <w:rPr>
                <w:rFonts w:ascii="Courier New" w:cs="Courier New" w:eastAsia="Courier New" w:hAnsi="Courier New"/>
                <w:sz w:val="15"/>
                <w:szCs w:val="15"/>
                <w:color w:val="auto"/>
              </w:rPr>
              <w:t>Director</w:t>
            </w:r>
          </w:p>
        </w:tc>
        <w:tc>
          <w:tcPr>
            <w:tcW w:w="0" w:type="dxa"/>
            <w:vAlign w:val="bottom"/>
          </w:tcPr>
          <w:p>
            <w:pPr>
              <w:spacing w:after="0"/>
              <w:rPr>
                <w:sz w:val="1"/>
                <w:szCs w:val="1"/>
                <w:color w:val="auto"/>
              </w:rPr>
            </w:pPr>
          </w:p>
        </w:tc>
      </w:tr>
      <w:tr>
        <w:trPr>
          <w:trHeight w:val="259"/>
        </w:trPr>
        <w:tc>
          <w:tcPr>
            <w:tcW w:w="3780" w:type="dxa"/>
            <w:vAlign w:val="bottom"/>
          </w:tcPr>
          <w:p>
            <w:pPr>
              <w:spacing w:after="0"/>
              <w:rPr>
                <w:sz w:val="20"/>
                <w:szCs w:val="20"/>
                <w:color w:val="auto"/>
              </w:rPr>
            </w:pPr>
            <w:r>
              <w:rPr>
                <w:rFonts w:ascii="Courier New" w:cs="Courier New" w:eastAsia="Courier New" w:hAnsi="Courier New"/>
                <w:sz w:val="15"/>
                <w:szCs w:val="15"/>
                <w:color w:val="auto"/>
              </w:rPr>
              <w:t>/s/ Andrew Gould</w:t>
            </w:r>
          </w:p>
        </w:tc>
        <w:tc>
          <w:tcPr>
            <w:tcW w:w="3220" w:type="dxa"/>
            <w:vAlign w:val="bottom"/>
          </w:tcPr>
          <w:p>
            <w:pPr>
              <w:ind w:left="80"/>
              <w:spacing w:after="0"/>
              <w:rPr>
                <w:sz w:val="20"/>
                <w:szCs w:val="20"/>
                <w:color w:val="auto"/>
              </w:rPr>
            </w:pPr>
            <w:r>
              <w:rPr>
                <w:rFonts w:ascii="Courier New" w:cs="Courier New" w:eastAsia="Courier New" w:hAnsi="Courier New"/>
                <w:sz w:val="15"/>
                <w:szCs w:val="15"/>
                <w:color w:val="auto"/>
              </w:rPr>
              <w:t>/s/ Linda G. Stuntz</w:t>
            </w:r>
          </w:p>
        </w:tc>
        <w:tc>
          <w:tcPr>
            <w:tcW w:w="0" w:type="dxa"/>
            <w:vAlign w:val="bottom"/>
          </w:tcPr>
          <w:p>
            <w:pPr>
              <w:spacing w:after="0"/>
              <w:rPr>
                <w:sz w:val="1"/>
                <w:szCs w:val="1"/>
                <w:color w:val="auto"/>
              </w:rPr>
            </w:pPr>
          </w:p>
        </w:tc>
      </w:tr>
      <w:tr>
        <w:trPr>
          <w:trHeight w:val="168"/>
        </w:trPr>
        <w:tc>
          <w:tcPr>
            <w:tcW w:w="3780" w:type="dxa"/>
            <w:vAlign w:val="bottom"/>
            <w:vMerge w:val="restart"/>
          </w:tcPr>
          <w:p>
            <w:pPr>
              <w:spacing w:after="0"/>
              <w:rPr>
                <w:sz w:val="20"/>
                <w:szCs w:val="20"/>
                <w:color w:val="auto"/>
              </w:rPr>
            </w:pPr>
            <w:r>
              <w:rPr>
                <w:rFonts w:ascii="Courier New" w:cs="Courier New" w:eastAsia="Courier New" w:hAnsi="Courier New"/>
                <w:sz w:val="29"/>
                <w:szCs w:val="29"/>
                <w:color w:val="auto"/>
                <w:w w:val="75"/>
                <w:vertAlign w:val="subscript"/>
              </w:rPr>
              <w:t>Andrew</w:t>
            </w:r>
            <w:r>
              <w:rPr>
                <w:rFonts w:ascii="Courier New" w:cs="Courier New" w:eastAsia="Courier New" w:hAnsi="Courier New"/>
                <w:sz w:val="15"/>
                <w:szCs w:val="15"/>
                <w:color w:val="auto"/>
                <w:w w:val="75"/>
              </w:rPr>
              <w:t>-----------------------------------------</w:t>
            </w:r>
            <w:r>
              <w:rPr>
                <w:rFonts w:ascii="Courier New" w:cs="Courier New" w:eastAsia="Courier New" w:hAnsi="Courier New"/>
                <w:sz w:val="29"/>
                <w:szCs w:val="29"/>
                <w:color w:val="auto"/>
                <w:w w:val="75"/>
                <w:vertAlign w:val="subscript"/>
              </w:rPr>
              <w:t>Gould</w:t>
            </w:r>
          </w:p>
        </w:tc>
        <w:tc>
          <w:tcPr>
            <w:tcW w:w="32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6"/>
              </w:rPr>
              <w:t>----------------------------------</w:t>
            </w:r>
          </w:p>
        </w:tc>
        <w:tc>
          <w:tcPr>
            <w:tcW w:w="0" w:type="dxa"/>
            <w:vAlign w:val="bottom"/>
          </w:tcPr>
          <w:p>
            <w:pPr>
              <w:spacing w:after="0"/>
              <w:rPr>
                <w:sz w:val="1"/>
                <w:szCs w:val="1"/>
                <w:color w:val="auto"/>
              </w:rPr>
            </w:pPr>
          </w:p>
        </w:tc>
      </w:tr>
      <w:tr>
        <w:trPr>
          <w:trHeight w:val="168"/>
        </w:trPr>
        <w:tc>
          <w:tcPr>
            <w:tcW w:w="3780" w:type="dxa"/>
            <w:vAlign w:val="bottom"/>
            <w:vMerge w:val="continue"/>
          </w:tcPr>
          <w:p>
            <w:pPr>
              <w:spacing w:after="0"/>
              <w:rPr>
                <w:sz w:val="14"/>
                <w:szCs w:val="14"/>
                <w:color w:val="auto"/>
              </w:rPr>
            </w:pPr>
          </w:p>
        </w:tc>
        <w:tc>
          <w:tcPr>
            <w:tcW w:w="32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Linda G. Stuntz</w:t>
            </w:r>
          </w:p>
        </w:tc>
        <w:tc>
          <w:tcPr>
            <w:tcW w:w="0" w:type="dxa"/>
            <w:vAlign w:val="bottom"/>
          </w:tcPr>
          <w:p>
            <w:pPr>
              <w:spacing w:after="0"/>
              <w:rPr>
                <w:sz w:val="1"/>
                <w:szCs w:val="1"/>
                <w:color w:val="auto"/>
              </w:rPr>
            </w:pPr>
          </w:p>
        </w:tc>
      </w:tr>
      <w:tr>
        <w:trPr>
          <w:trHeight w:val="168"/>
        </w:trPr>
        <w:tc>
          <w:tcPr>
            <w:tcW w:w="3780" w:type="dxa"/>
            <w:vAlign w:val="bottom"/>
          </w:tcPr>
          <w:p>
            <w:pPr>
              <w:spacing w:after="0" w:line="168" w:lineRule="exact"/>
              <w:rPr>
                <w:sz w:val="20"/>
                <w:szCs w:val="20"/>
                <w:color w:val="auto"/>
              </w:rPr>
            </w:pPr>
            <w:r>
              <w:rPr>
                <w:rFonts w:ascii="Courier New" w:cs="Courier New" w:eastAsia="Courier New" w:hAnsi="Courier New"/>
                <w:sz w:val="15"/>
                <w:szCs w:val="15"/>
                <w:color w:val="auto"/>
              </w:rPr>
              <w:t>Director</w:t>
            </w:r>
          </w:p>
        </w:tc>
        <w:tc>
          <w:tcPr>
            <w:tcW w:w="32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Director</w:t>
            </w:r>
          </w:p>
        </w:tc>
        <w:tc>
          <w:tcPr>
            <w:tcW w:w="0" w:type="dxa"/>
            <w:vAlign w:val="bottom"/>
          </w:tcPr>
          <w:p>
            <w:pPr>
              <w:spacing w:after="0"/>
              <w:rPr>
                <w:sz w:val="1"/>
                <w:szCs w:val="1"/>
                <w:color w:val="auto"/>
              </w:rPr>
            </w:pPr>
          </w:p>
        </w:tc>
      </w:tr>
      <w:tr>
        <w:trPr>
          <w:trHeight w:val="245"/>
        </w:trPr>
        <w:tc>
          <w:tcPr>
            <w:tcW w:w="3780" w:type="dxa"/>
            <w:vAlign w:val="bottom"/>
          </w:tcPr>
          <w:p>
            <w:pPr>
              <w:spacing w:after="0"/>
              <w:rPr>
                <w:sz w:val="20"/>
                <w:szCs w:val="20"/>
                <w:color w:val="auto"/>
              </w:rPr>
            </w:pPr>
            <w:r>
              <w:rPr>
                <w:rFonts w:ascii="Courier New" w:cs="Courier New" w:eastAsia="Courier New" w:hAnsi="Courier New"/>
                <w:sz w:val="15"/>
                <w:szCs w:val="15"/>
                <w:color w:val="auto"/>
              </w:rPr>
              <w:t>President and Chief Operating Officer</w:t>
            </w:r>
          </w:p>
        </w:tc>
        <w:tc>
          <w:tcPr>
            <w:tcW w:w="3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3780" w:type="dxa"/>
            <w:vAlign w:val="bottom"/>
          </w:tcPr>
          <w:p>
            <w:pPr>
              <w:spacing w:after="0"/>
              <w:rPr>
                <w:sz w:val="20"/>
                <w:szCs w:val="20"/>
                <w:color w:val="auto"/>
              </w:rPr>
            </w:pPr>
            <w:r>
              <w:rPr>
                <w:rFonts w:ascii="Courier New" w:cs="Courier New" w:eastAsia="Courier New" w:hAnsi="Courier New"/>
                <w:sz w:val="15"/>
                <w:szCs w:val="15"/>
                <w:color w:val="auto"/>
              </w:rPr>
              <w:t>/s/ Adrian Lajous</w:t>
            </w:r>
          </w:p>
        </w:tc>
        <w:tc>
          <w:tcPr>
            <w:tcW w:w="3220" w:type="dxa"/>
            <w:vAlign w:val="bottom"/>
          </w:tcPr>
          <w:p>
            <w:pPr>
              <w:ind w:left="80"/>
              <w:spacing w:after="0"/>
              <w:rPr>
                <w:sz w:val="20"/>
                <w:szCs w:val="20"/>
                <w:color w:val="auto"/>
              </w:rPr>
            </w:pPr>
            <w:r>
              <w:rPr>
                <w:rFonts w:ascii="Courier New" w:cs="Courier New" w:eastAsia="Courier New" w:hAnsi="Courier New"/>
                <w:sz w:val="15"/>
                <w:szCs w:val="15"/>
                <w:color w:val="auto"/>
              </w:rPr>
              <w:t>/s/ Sven Ullring</w:t>
            </w:r>
          </w:p>
        </w:tc>
        <w:tc>
          <w:tcPr>
            <w:tcW w:w="0" w:type="dxa"/>
            <w:vAlign w:val="bottom"/>
          </w:tcPr>
          <w:p>
            <w:pPr>
              <w:spacing w:after="0"/>
              <w:rPr>
                <w:sz w:val="1"/>
                <w:szCs w:val="1"/>
                <w:color w:val="auto"/>
              </w:rPr>
            </w:pPr>
          </w:p>
        </w:tc>
      </w:tr>
      <w:tr>
        <w:trPr>
          <w:trHeight w:val="168"/>
        </w:trPr>
        <w:tc>
          <w:tcPr>
            <w:tcW w:w="3780" w:type="dxa"/>
            <w:vAlign w:val="bottom"/>
            <w:vMerge w:val="restart"/>
          </w:tcPr>
          <w:p>
            <w:pPr>
              <w:spacing w:after="0"/>
              <w:rPr>
                <w:sz w:val="20"/>
                <w:szCs w:val="20"/>
                <w:color w:val="auto"/>
              </w:rPr>
            </w:pPr>
            <w:r>
              <w:rPr>
                <w:rFonts w:ascii="Courier New" w:cs="Courier New" w:eastAsia="Courier New" w:hAnsi="Courier New"/>
                <w:sz w:val="29"/>
                <w:szCs w:val="29"/>
                <w:color w:val="auto"/>
                <w:w w:val="73"/>
                <w:vertAlign w:val="subscript"/>
              </w:rPr>
              <w:t>Adrian</w:t>
            </w:r>
            <w:r>
              <w:rPr>
                <w:rFonts w:ascii="Courier New" w:cs="Courier New" w:eastAsia="Courier New" w:hAnsi="Courier New"/>
                <w:sz w:val="15"/>
                <w:szCs w:val="15"/>
                <w:color w:val="auto"/>
                <w:w w:val="73"/>
              </w:rPr>
              <w:t>-----------------------------------------</w:t>
            </w:r>
            <w:r>
              <w:rPr>
                <w:rFonts w:ascii="Courier New" w:cs="Courier New" w:eastAsia="Courier New" w:hAnsi="Courier New"/>
                <w:sz w:val="29"/>
                <w:szCs w:val="29"/>
                <w:color w:val="auto"/>
                <w:w w:val="73"/>
                <w:vertAlign w:val="subscript"/>
              </w:rPr>
              <w:t>Lajous</w:t>
            </w:r>
          </w:p>
        </w:tc>
        <w:tc>
          <w:tcPr>
            <w:tcW w:w="32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3780" w:type="dxa"/>
            <w:vAlign w:val="bottom"/>
            <w:vMerge w:val="continue"/>
          </w:tcPr>
          <w:p>
            <w:pPr>
              <w:spacing w:after="0"/>
              <w:rPr>
                <w:sz w:val="14"/>
                <w:szCs w:val="14"/>
                <w:color w:val="auto"/>
              </w:rPr>
            </w:pPr>
          </w:p>
        </w:tc>
        <w:tc>
          <w:tcPr>
            <w:tcW w:w="32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Sven Ullring</w:t>
            </w:r>
          </w:p>
        </w:tc>
        <w:tc>
          <w:tcPr>
            <w:tcW w:w="0" w:type="dxa"/>
            <w:vAlign w:val="bottom"/>
          </w:tcPr>
          <w:p>
            <w:pPr>
              <w:spacing w:after="0"/>
              <w:rPr>
                <w:sz w:val="1"/>
                <w:szCs w:val="1"/>
                <w:color w:val="auto"/>
              </w:rPr>
            </w:pPr>
          </w:p>
        </w:tc>
      </w:tr>
      <w:tr>
        <w:trPr>
          <w:trHeight w:val="245"/>
        </w:trPr>
        <w:tc>
          <w:tcPr>
            <w:tcW w:w="3780" w:type="dxa"/>
            <w:vAlign w:val="bottom"/>
          </w:tcPr>
          <w:p>
            <w:pPr>
              <w:spacing w:after="0"/>
              <w:rPr>
                <w:sz w:val="20"/>
                <w:szCs w:val="20"/>
                <w:color w:val="auto"/>
              </w:rPr>
            </w:pPr>
            <w:r>
              <w:rPr>
                <w:rFonts w:ascii="Courier New" w:cs="Courier New" w:eastAsia="Courier New" w:hAnsi="Courier New"/>
                <w:sz w:val="15"/>
                <w:szCs w:val="15"/>
                <w:color w:val="auto"/>
              </w:rPr>
              <w:t>Director</w:t>
            </w:r>
          </w:p>
        </w:tc>
        <w:tc>
          <w:tcPr>
            <w:tcW w:w="3220" w:type="dxa"/>
            <w:vAlign w:val="bottom"/>
          </w:tcPr>
          <w:p>
            <w:pPr>
              <w:ind w:left="80"/>
              <w:spacing w:after="0"/>
              <w:rPr>
                <w:sz w:val="20"/>
                <w:szCs w:val="20"/>
                <w:color w:val="auto"/>
              </w:rPr>
            </w:pPr>
            <w:r>
              <w:rPr>
                <w:rFonts w:ascii="Courier New" w:cs="Courier New" w:eastAsia="Courier New" w:hAnsi="Courier New"/>
                <w:sz w:val="15"/>
                <w:szCs w:val="15"/>
                <w:color w:val="auto"/>
              </w:rPr>
              <w:t>Director</w:t>
            </w:r>
          </w:p>
        </w:tc>
        <w:tc>
          <w:tcPr>
            <w:tcW w:w="0" w:type="dxa"/>
            <w:vAlign w:val="bottom"/>
          </w:tcPr>
          <w:p>
            <w:pPr>
              <w:spacing w:after="0"/>
              <w:rPr>
                <w:sz w:val="1"/>
                <w:szCs w:val="1"/>
                <w:color w:val="auto"/>
              </w:rPr>
            </w:pPr>
          </w:p>
        </w:tc>
      </w:tr>
    </w:tbl>
    <w:p>
      <w:pPr>
        <w:spacing w:after="0" w:line="9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Andre Levy-Lang</w:t>
      </w:r>
    </w:p>
    <w:p>
      <w:pPr>
        <w:spacing w:after="0" w:line="23" w:lineRule="exact"/>
        <w:rPr>
          <w:sz w:val="20"/>
          <w:szCs w:val="20"/>
          <w:color w:val="auto"/>
        </w:rPr>
      </w:pPr>
    </w:p>
    <w:p>
      <w:pPr>
        <w:ind w:left="180" w:hanging="170"/>
        <w:spacing w:after="0"/>
        <w:tabs>
          <w:tab w:leader="none" w:pos="180"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right="8919"/>
        <w:spacing w:after="0" w:line="30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Andre Levy-Lang Director</w:t>
      </w:r>
    </w:p>
    <w:sectPr>
      <w:pgSz w:w="11900" w:h="16838" w:orient="portrait"/>
      <w:cols w:equalWidth="0" w:num="1">
        <w:col w:w="10239"/>
      </w:cols>
      <w:pgMar w:left="220" w:top="45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D4ED43B"/>
    <w:multiLevelType w:val="hybridMultilevel"/>
    <w:lvl w:ilvl="0">
      <w:lvlJc w:val="left"/>
      <w:lvlText w:val="(%1)"/>
      <w:numFmt w:val="decimal"/>
      <w:start w:val="1"/>
    </w:lvl>
  </w:abstractNum>
  <w:abstractNum w:abstractNumId="1">
    <w:nsid w:val="725A06FB"/>
    <w:multiLevelType w:val="hybridMultilevel"/>
    <w:lvl w:ilvl="0">
      <w:lvlJc w:val="left"/>
      <w:lvlText w:val="."/>
      <w:numFmt w:val="bullet"/>
      <w:start w:val="1"/>
    </w:lvl>
  </w:abstractNum>
  <w:abstractNum w:abstractNumId="2">
    <w:nsid w:val="2CD89A32"/>
    <w:multiLevelType w:val="hybridMultilevel"/>
    <w:lvl w:ilvl="0">
      <w:lvlJc w:val="left"/>
      <w:lvlText w:val="."/>
      <w:numFmt w:val="bullet"/>
      <w:start w:val="1"/>
    </w:lvl>
  </w:abstractNum>
  <w:abstractNum w:abstractNumId="3">
    <w:nsid w:val="57E4CCAF"/>
    <w:multiLevelType w:val="hybridMultilevel"/>
    <w:lvl w:ilvl="0">
      <w:lvlJc w:val="left"/>
      <w:lvlText w:val="."/>
      <w:numFmt w:val="bullet"/>
      <w:start w:val="1"/>
    </w:lvl>
  </w:abstractNum>
  <w:abstractNum w:abstractNumId="4">
    <w:nsid w:val="7A6D8D3C"/>
    <w:multiLevelType w:val="hybridMultilevel"/>
    <w:lvl w:ilvl="0">
      <w:lvlJc w:val="left"/>
      <w:lvlText w:val="."/>
      <w:numFmt w:val="bullet"/>
      <w:start w:val="1"/>
    </w:lvl>
  </w:abstractNum>
  <w:abstractNum w:abstractNumId="5">
    <w:nsid w:val="4B588F54"/>
    <w:multiLevelType w:val="hybridMultilevel"/>
    <w:lvl w:ilvl="0">
      <w:lvlJc w:val="left"/>
      <w:lvlText w:val="."/>
      <w:numFmt w:val="bullet"/>
      <w:start w:val="1"/>
    </w:lvl>
  </w:abstractNum>
  <w:abstractNum w:abstractNumId="6">
    <w:nsid w:val="542289EC"/>
    <w:multiLevelType w:val="hybridMultilevel"/>
    <w:lvl w:ilvl="0">
      <w:lvlJc w:val="left"/>
      <w:lvlText w:val="."/>
      <w:numFmt w:val="bullet"/>
      <w:start w:val="1"/>
    </w:lvl>
  </w:abstractNum>
  <w:abstractNum w:abstractNumId="7">
    <w:nsid w:val="6DE91B18"/>
    <w:multiLevelType w:val="hybridMultilevel"/>
    <w:lvl w:ilvl="0">
      <w:lvlJc w:val="left"/>
      <w:lvlText w:val="."/>
      <w:numFmt w:val="bullet"/>
      <w:start w:val="1"/>
    </w:lvl>
  </w:abstractNum>
  <w:abstractNum w:abstractNumId="8">
    <w:nsid w:val="38437FDB"/>
    <w:multiLevelType w:val="hybridMultilevel"/>
    <w:lvl w:ilvl="0">
      <w:lvlJc w:val="left"/>
      <w:lvlText w:val="."/>
      <w:numFmt w:val="bullet"/>
      <w:start w:val="1"/>
    </w:lvl>
  </w:abstractNum>
  <w:abstractNum w:abstractNumId="9">
    <w:nsid w:val="7644A45C"/>
    <w:multiLevelType w:val="hybridMultilevel"/>
    <w:lvl w:ilvl="0">
      <w:lvlJc w:val="left"/>
      <w:lvlText w:val="."/>
      <w:numFmt w:val="bullet"/>
      <w:start w:val="1"/>
    </w:lvl>
  </w:abstractNum>
  <w:abstractNum w:abstractNumId="10">
    <w:nsid w:val="32FFF902"/>
    <w:multiLevelType w:val="hybridMultilevel"/>
    <w:lvl w:ilvl="0">
      <w:lvlJc w:val="left"/>
      <w:lvlText w:val="."/>
      <w:numFmt w:val="bullet"/>
      <w:start w:val="1"/>
    </w:lvl>
  </w:abstractNum>
  <w:abstractNum w:abstractNumId="11">
    <w:nsid w:val="684A481A"/>
    <w:multiLevelType w:val="hybridMultilevel"/>
    <w:lvl w:ilvl="0">
      <w:lvlJc w:val="left"/>
      <w:lvlText w:val="."/>
      <w:numFmt w:val="bullet"/>
      <w:start w:val="1"/>
    </w:lvl>
  </w:abstractNum>
  <w:abstractNum w:abstractNumId="12">
    <w:nsid w:val="579478FE"/>
    <w:multiLevelType w:val="hybridMultilevel"/>
    <w:lvl w:ilvl="0">
      <w:lvlJc w:val="left"/>
      <w:lvlText w:val="."/>
      <w:numFmt w:val="bullet"/>
      <w:start w:val="1"/>
    </w:lvl>
  </w:abstractNum>
  <w:abstractNum w:abstractNumId="13">
    <w:nsid w:val="749ABB43"/>
    <w:multiLevelType w:val="hybridMultilevel"/>
    <w:lvl w:ilvl="0">
      <w:lvlJc w:val="left"/>
      <w:lvlText w:val="."/>
      <w:numFmt w:val="bullet"/>
      <w:start w:val="1"/>
    </w:lvl>
  </w:abstractNum>
  <w:abstractNum w:abstractNumId="14">
    <w:nsid w:val="3DC240FB"/>
    <w:multiLevelType w:val="hybridMultilevel"/>
    <w:lvl w:ilvl="0">
      <w:lvlJc w:val="left"/>
      <w:lvlText w:val="."/>
      <w:numFmt w:val="bullet"/>
      <w:start w:val="1"/>
    </w:lvl>
  </w:abstractNum>
  <w:abstractNum w:abstractNumId="15">
    <w:nsid w:val="1BA026FA"/>
    <w:multiLevelType w:val="hybridMultilevel"/>
    <w:lvl w:ilvl="0">
      <w:lvlJc w:val="left"/>
      <w:lvlText w:val="."/>
      <w:numFmt w:val="bullet"/>
      <w:start w:val="1"/>
    </w:lvl>
  </w:abstractNum>
  <w:abstractNum w:abstractNumId="16">
    <w:nsid w:val="79A1DEAA"/>
    <w:multiLevelType w:val="hybridMultilevel"/>
    <w:lvl w:ilvl="0">
      <w:lvlJc w:val="left"/>
      <w:lvlText w:val="."/>
      <w:numFmt w:val="bullet"/>
      <w:start w:val="1"/>
    </w:lvl>
  </w:abstractNum>
  <w:abstractNum w:abstractNumId="17">
    <w:nsid w:val="75C6C33A"/>
    <w:multiLevelType w:val="hybridMultilevel"/>
    <w:lvl w:ilvl="0">
      <w:lvlJc w:val="left"/>
      <w:lvlText w:val="."/>
      <w:numFmt w:val="bullet"/>
      <w:start w:val="1"/>
    </w:lvl>
  </w:abstractNum>
  <w:abstractNum w:abstractNumId="18">
    <w:nsid w:val="12E685FB"/>
    <w:multiLevelType w:val="hybridMultilevel"/>
    <w:lvl w:ilvl="0">
      <w:lvlJc w:val="left"/>
      <w:lvlText w:val="."/>
      <w:numFmt w:val="bullet"/>
      <w:start w:val="1"/>
    </w:lvl>
  </w:abstractNum>
  <w:abstractNum w:abstractNumId="19">
    <w:nsid w:val="70C6A529"/>
    <w:multiLevelType w:val="hybridMultilevel"/>
    <w:lvl w:ilvl="0">
      <w:lvlJc w:val="left"/>
      <w:lvlText w:val="."/>
      <w:numFmt w:val="bullet"/>
      <w:start w:val="1"/>
    </w:lvl>
  </w:abstractNum>
  <w:abstractNum w:abstractNumId="20">
    <w:nsid w:val="520EEDD1"/>
    <w:multiLevelType w:val="hybridMultilevel"/>
    <w:lvl w:ilvl="0">
      <w:lvlJc w:val="left"/>
      <w:lvlText w:val="."/>
      <w:numFmt w:val="bullet"/>
      <w:start w:val="1"/>
    </w:lvl>
  </w:abstractNum>
  <w:abstractNum w:abstractNumId="21">
    <w:nsid w:val="374A3FE6"/>
    <w:multiLevelType w:val="hybridMultilevel"/>
    <w:lvl w:ilvl="0">
      <w:lvlJc w:val="left"/>
      <w:lvlText w:val="."/>
      <w:numFmt w:val="bullet"/>
      <w:start w:val="1"/>
    </w:lvl>
  </w:abstractNum>
  <w:abstractNum w:abstractNumId="22">
    <w:nsid w:val="4F4EF005"/>
    <w:multiLevelType w:val="hybridMultilevel"/>
    <w:lvl w:ilvl="0">
      <w:lvlJc w:val="left"/>
      <w:lvlText w:val="."/>
      <w:numFmt w:val="bullet"/>
      <w:start w:val="1"/>
    </w:lvl>
  </w:abstractNum>
  <w:abstractNum w:abstractNumId="23">
    <w:nsid w:val="23F9C13C"/>
    <w:multiLevelType w:val="hybridMultilevel"/>
    <w:lvl w:ilvl="0">
      <w:lvlJc w:val="left"/>
      <w:lvlText w:val="."/>
      <w:numFmt w:val="bullet"/>
      <w:start w:val="1"/>
    </w:lvl>
  </w:abstractNum>
  <w:abstractNum w:abstractNumId="24">
    <w:nsid w:val="649BB77C"/>
    <w:multiLevelType w:val="hybridMultilevel"/>
    <w:lvl w:ilvl="0">
      <w:lvlJc w:val="left"/>
      <w:lvlText w:val="."/>
      <w:numFmt w:val="bullet"/>
      <w:start w:val="1"/>
    </w:lvl>
  </w:abstractNum>
  <w:abstractNum w:abstractNumId="25">
    <w:nsid w:val="275AC794"/>
    <w:multiLevelType w:val="hybridMultilevel"/>
    <w:lvl w:ilvl="0">
      <w:lvlJc w:val="left"/>
      <w:lvlText w:val="."/>
      <w:numFmt w:val="bullet"/>
      <w:start w:val="1"/>
    </w:lvl>
  </w:abstractNum>
  <w:abstractNum w:abstractNumId="26">
    <w:nsid w:val="39386575"/>
    <w:multiLevelType w:val="hybridMultilevel"/>
    <w:lvl w:ilvl="0">
      <w:lvlJc w:val="left"/>
      <w:lvlText w:val="."/>
      <w:numFmt w:val="bullet"/>
      <w:start w:val="1"/>
    </w:lvl>
  </w:abstractNum>
  <w:abstractNum w:abstractNumId="27">
    <w:nsid w:val="1CF10FD8"/>
    <w:multiLevelType w:val="hybridMultilevel"/>
    <w:lvl w:ilvl="0">
      <w:lvlJc w:val="left"/>
      <w:lvlText w:val="."/>
      <w:numFmt w:val="bullet"/>
      <w:start w:val="1"/>
    </w:lvl>
  </w:abstractNum>
  <w:abstractNum w:abstractNumId="28">
    <w:nsid w:val="180115BE"/>
    <w:multiLevelType w:val="hybridMultilevel"/>
    <w:lvl w:ilvl="0">
      <w:lvlJc w:val="left"/>
      <w:lvlText w:val="."/>
      <w:numFmt w:val="bullet"/>
      <w:start w:val="1"/>
    </w:lvl>
  </w:abstractNum>
  <w:abstractNum w:abstractNumId="29">
    <w:nsid w:val="235BA861"/>
    <w:multiLevelType w:val="hybridMultilevel"/>
    <w:lvl w:ilvl="0">
      <w:lvlJc w:val="left"/>
      <w:lvlText w:val="."/>
      <w:numFmt w:val="bullet"/>
      <w:start w:val="1"/>
    </w:lvl>
  </w:abstractNum>
  <w:abstractNum w:abstractNumId="30">
    <w:nsid w:val="47398C89"/>
    <w:multiLevelType w:val="hybridMultilevel"/>
    <w:lvl w:ilvl="0">
      <w:lvlJc w:val="left"/>
      <w:lvlText w:val="."/>
      <w:numFmt w:val="bullet"/>
      <w:start w:val="1"/>
    </w:lvl>
  </w:abstractNum>
  <w:abstractNum w:abstractNumId="31">
    <w:nsid w:val="354FE9F9"/>
    <w:multiLevelType w:val="hybridMultilevel"/>
    <w:lvl w:ilvl="0">
      <w:lvlJc w:val="left"/>
      <w:lvlText w:val="."/>
      <w:numFmt w:val="bullet"/>
      <w:start w:val="1"/>
    </w:lvl>
  </w:abstractNum>
  <w:abstractNum w:abstractNumId="32">
    <w:nsid w:val="15B5AF5C"/>
    <w:multiLevelType w:val="hybridMultilevel"/>
    <w:lvl w:ilvl="0">
      <w:lvlJc w:val="left"/>
      <w:lvlText w:val="."/>
      <w:numFmt w:val="bullet"/>
      <w:start w:val="1"/>
    </w:lvl>
  </w:abstractNum>
  <w:abstractNum w:abstractNumId="33">
    <w:nsid w:val="741226BB"/>
    <w:multiLevelType w:val="hybridMultilevel"/>
    <w:lvl w:ilvl="0">
      <w:lvlJc w:val="left"/>
      <w:lvlText w:val="."/>
      <w:numFmt w:val="bullet"/>
      <w:start w:val="1"/>
    </w:lvl>
  </w:abstractNum>
  <w:abstractNum w:abstractNumId="34">
    <w:nsid w:val="D34B6A8"/>
    <w:multiLevelType w:val="hybridMultilevel"/>
    <w:lvl w:ilvl="0">
      <w:lvlJc w:val="left"/>
      <w:lvlText w:val="."/>
      <w:numFmt w:val="bullet"/>
      <w:start w:val="1"/>
    </w:lvl>
  </w:abstractNum>
  <w:abstractNum w:abstractNumId="35">
    <w:nsid w:val="10233C99"/>
    <w:multiLevelType w:val="hybridMultilevel"/>
    <w:lvl w:ilvl="0">
      <w:lvlJc w:val="left"/>
      <w:lvlText w:val="."/>
      <w:numFmt w:val="bullet"/>
      <w:start w:val="1"/>
    </w:lvl>
  </w:abstractNum>
  <w:abstractNum w:abstractNumId="36">
    <w:nsid w:val="3F6AB60F"/>
    <w:multiLevelType w:val="hybridMultilevel"/>
    <w:lvl w:ilvl="0">
      <w:lvlJc w:val="left"/>
      <w:lvlText w:val="."/>
      <w:numFmt w:val="bullet"/>
      <w:start w:val="1"/>
    </w:lvl>
  </w:abstractNum>
  <w:abstractNum w:abstractNumId="37">
    <w:nsid w:val="61574095"/>
    <w:multiLevelType w:val="hybridMultilevel"/>
    <w:lvl w:ilvl="0">
      <w:lvlJc w:val="left"/>
      <w:lvlText w:val="(%1)"/>
      <w:numFmt w:val="decimal"/>
      <w:start w:val="212"/>
    </w:lvl>
  </w:abstractNum>
  <w:abstractNum w:abstractNumId="38">
    <w:nsid w:val="7E0C57B1"/>
    <w:multiLevelType w:val="hybridMultilevel"/>
    <w:lvl w:ilvl="0">
      <w:lvlJc w:val="left"/>
      <w:lvlText w:val="."/>
      <w:numFmt w:val="bullet"/>
      <w:start w:val="1"/>
    </w:lvl>
  </w:abstractNum>
  <w:abstractNum w:abstractNumId="39">
    <w:nsid w:val="77AE35EB"/>
    <w:multiLevelType w:val="hybridMultilevel"/>
    <w:lvl w:ilvl="0">
      <w:lvlJc w:val="left"/>
      <w:lvlText w:val="-"/>
      <w:numFmt w:val="bullet"/>
      <w:start w:val="1"/>
    </w:lvl>
  </w:abstractNum>
  <w:abstractNum w:abstractNumId="40">
    <w:nsid w:val="579BE4F1"/>
    <w:multiLevelType w:val="hybridMultilevel"/>
    <w:lvl w:ilvl="0">
      <w:lvlJc w:val="left"/>
      <w:lvlText w:val="."/>
      <w:numFmt w:val="bullet"/>
      <w:start w:val="1"/>
    </w:lvl>
  </w:abstractNum>
  <w:abstractNum w:abstractNumId="41">
    <w:nsid w:val="310C50B3"/>
    <w:multiLevelType w:val="hybridMultilevel"/>
    <w:lvl w:ilvl="0">
      <w:lvlJc w:val="left"/>
      <w:lvlText w:val="."/>
      <w:numFmt w:val="bullet"/>
      <w:start w:val="1"/>
    </w:lvl>
  </w:abstractNum>
  <w:abstractNum w:abstractNumId="42">
    <w:nsid w:val="5FF87E05"/>
    <w:multiLevelType w:val="hybridMultilevel"/>
    <w:lvl w:ilvl="0">
      <w:lvlJc w:val="left"/>
      <w:lvlText w:val="."/>
      <w:numFmt w:val="bullet"/>
      <w:start w:val="1"/>
    </w:lvl>
  </w:abstractNum>
  <w:abstractNum w:abstractNumId="43">
    <w:nsid w:val="2F305DEF"/>
    <w:multiLevelType w:val="hybridMultilevel"/>
    <w:lvl w:ilvl="0">
      <w:lvlJc w:val="left"/>
      <w:lvlText w:val="."/>
      <w:numFmt w:val="bullet"/>
      <w:start w:val="1"/>
    </w:lvl>
  </w:abstractNum>
  <w:abstractNum w:abstractNumId="44">
    <w:nsid w:val="25A70BF7"/>
    <w:multiLevelType w:val="hybridMultilevel"/>
    <w:lvl w:ilvl="0">
      <w:lvlJc w:val="left"/>
      <w:lvlText w:val="."/>
      <w:numFmt w:val="bullet"/>
      <w:start w:val="1"/>
    </w:lvl>
  </w:abstractNum>
  <w:abstractNum w:abstractNumId="45">
    <w:nsid w:val="1DBABF00"/>
    <w:multiLevelType w:val="hybridMultilevel"/>
    <w:lvl w:ilvl="0">
      <w:lvlJc w:val="left"/>
      <w:lvlText w:val="."/>
      <w:numFmt w:val="bullet"/>
      <w:start w:val="1"/>
    </w:lvl>
  </w:abstractNum>
  <w:abstractNum w:abstractNumId="46">
    <w:nsid w:val="4AD084E9"/>
    <w:multiLevelType w:val="hybridMultilevel"/>
    <w:lvl w:ilvl="0">
      <w:lvlJc w:val="left"/>
      <w:lvlText w:val="."/>
      <w:numFmt w:val="bullet"/>
      <w:start w:val="1"/>
    </w:lvl>
  </w:abstractNum>
  <w:abstractNum w:abstractNumId="47">
    <w:nsid w:val="1F48EAA1"/>
    <w:multiLevelType w:val="hybridMultilevel"/>
    <w:lvl w:ilvl="0">
      <w:lvlJc w:val="left"/>
      <w:lvlText w:val="."/>
      <w:numFmt w:val="bullet"/>
      <w:start w:val="1"/>
    </w:lvl>
  </w:abstractNum>
  <w:abstractNum w:abstractNumId="48">
    <w:nsid w:val="1381823A"/>
    <w:multiLevelType w:val="hybridMultilevel"/>
    <w:lvl w:ilvl="0">
      <w:lvlJc w:val="left"/>
      <w:lvlText w:val="."/>
      <w:numFmt w:val="bullet"/>
      <w:start w:val="1"/>
    </w:lvl>
  </w:abstractNum>
  <w:abstractNum w:abstractNumId="49">
    <w:nsid w:val="5DB70AE5"/>
    <w:multiLevelType w:val="hybridMultilevel"/>
    <w:lvl w:ilvl="0">
      <w:lvlJc w:val="left"/>
      <w:lvlText w:val="."/>
      <w:numFmt w:val="bullet"/>
      <w:start w:val="1"/>
    </w:lvl>
  </w:abstractNum>
  <w:abstractNum w:abstractNumId="50">
    <w:nsid w:val="100F8FCA"/>
    <w:multiLevelType w:val="hybridMultilevel"/>
    <w:lvl w:ilvl="0">
      <w:lvlJc w:val="left"/>
      <w:lvlText w:val="."/>
      <w:numFmt w:val="bullet"/>
      <w:start w:val="1"/>
    </w:lvl>
  </w:abstractNum>
  <w:abstractNum w:abstractNumId="51">
    <w:nsid w:val="6590700B"/>
    <w:multiLevelType w:val="hybridMultilevel"/>
    <w:lvl w:ilvl="0">
      <w:lvlJc w:val="left"/>
      <w:lvlText w:val="."/>
      <w:numFmt w:val="bullet"/>
      <w:start w:val="1"/>
    </w:lvl>
  </w:abstractNum>
  <w:abstractNum w:abstractNumId="52">
    <w:nsid w:val="15014ACB"/>
    <w:multiLevelType w:val="hybridMultilevel"/>
    <w:lvl w:ilvl="0">
      <w:lvlJc w:val="left"/>
      <w:lvlText w:val="."/>
      <w:numFmt w:val="bullet"/>
      <w:start w:val="1"/>
    </w:lvl>
  </w:abstractNum>
  <w:abstractNum w:abstractNumId="53">
    <w:nsid w:val="5F5E7FD0"/>
    <w:multiLevelType w:val="hybridMultilevel"/>
    <w:lvl w:ilvl="0">
      <w:lvlJc w:val="left"/>
      <w:lvlText w:val="."/>
      <w:numFmt w:val="bullet"/>
      <w:start w:val="1"/>
    </w:lvl>
  </w:abstractNum>
  <w:abstractNum w:abstractNumId="54">
    <w:nsid w:val="98A3148"/>
    <w:multiLevelType w:val="hybridMultilevel"/>
    <w:lvl w:ilvl="0">
      <w:lvlJc w:val="left"/>
      <w:lvlText w:val="."/>
      <w:numFmt w:val="bullet"/>
      <w:start w:val="1"/>
    </w:lvl>
  </w:abstractNum>
  <w:abstractNum w:abstractNumId="55">
    <w:nsid w:val="799D0247"/>
    <w:multiLevelType w:val="hybridMultilevel"/>
    <w:lvl w:ilvl="0">
      <w:lvlJc w:val="left"/>
      <w:lvlText w:val="-"/>
      <w:numFmt w:val="bullet"/>
      <w:start w:val="1"/>
    </w:lvl>
  </w:abstractNum>
  <w:abstractNum w:abstractNumId="56">
    <w:nsid w:val="6B94764"/>
    <w:multiLevelType w:val="hybridMultilevel"/>
    <w:lvl w:ilvl="0">
      <w:lvlJc w:val="left"/>
      <w:lvlText w:val="%1."/>
      <w:numFmt w:val="decimal"/>
      <w:start w:val="1"/>
    </w:lvl>
  </w:abstractNum>
  <w:abstractNum w:abstractNumId="57">
    <w:nsid w:val="42C296BD"/>
    <w:multiLevelType w:val="hybridMultilevel"/>
    <w:lvl w:ilvl="0">
      <w:lvlJc w:val="left"/>
      <w:lvlText w:val="."/>
      <w:numFmt w:val="bullet"/>
      <w:start w:val="1"/>
    </w:lvl>
  </w:abstractNum>
  <w:abstractNum w:abstractNumId="58">
    <w:nsid w:val="168E121F"/>
    <w:multiLevelType w:val="hybridMultilevel"/>
    <w:lvl w:ilvl="0">
      <w:lvlJc w:val="left"/>
      <w:lvlText w:val="."/>
      <w:numFmt w:val="bullet"/>
      <w:start w:val="1"/>
    </w:lvl>
  </w:abstractNum>
  <w:abstractNum w:abstractNumId="59">
    <w:nsid w:val="1EBA5D23"/>
    <w:multiLevelType w:val="hybridMultilevel"/>
    <w:lvl w:ilvl="0">
      <w:lvlJc w:val="left"/>
      <w:lvlText w:val="."/>
      <w:numFmt w:val="bullet"/>
      <w:start w:val="1"/>
    </w:lvl>
  </w:abstractNum>
  <w:abstractNum w:abstractNumId="60">
    <w:nsid w:val="661E3F1E"/>
    <w:multiLevelType w:val="hybridMultilevel"/>
    <w:lvl w:ilvl="0">
      <w:lvlJc w:val="left"/>
      <w:lvlText w:val="."/>
      <w:numFmt w:val="bullet"/>
      <w:start w:val="1"/>
    </w:lvl>
  </w:abstractNum>
  <w:abstractNum w:abstractNumId="61">
    <w:nsid w:val="5DC79EA8"/>
    <w:multiLevelType w:val="hybridMultilevel"/>
    <w:lvl w:ilvl="0">
      <w:lvlJc w:val="left"/>
      <w:lvlText w:val="."/>
      <w:numFmt w:val="bullet"/>
      <w:start w:val="1"/>
    </w:lvl>
  </w:abstractNum>
  <w:abstractNum w:abstractNumId="62">
    <w:nsid w:val="540A471C"/>
    <w:multiLevelType w:val="hybridMultilevel"/>
    <w:lvl w:ilvl="0">
      <w:lvlJc w:val="left"/>
      <w:lvlText w:val="."/>
      <w:numFmt w:val="bullet"/>
      <w:start w:val="1"/>
    </w:lvl>
  </w:abstractNum>
  <w:abstractNum w:abstractNumId="63">
    <w:nsid w:val="7BD3EE7B"/>
    <w:multiLevelType w:val="hybridMultilevel"/>
    <w:lvl w:ilvl="0">
      <w:lvlJc w:val="left"/>
      <w:lvlText w:val="."/>
      <w:numFmt w:val="bullet"/>
      <w:start w:val="1"/>
    </w:lvl>
  </w:abstractNum>
  <w:abstractNum w:abstractNumId="64">
    <w:nsid w:val="51D9C564"/>
    <w:multiLevelType w:val="hybridMultilevel"/>
    <w:lvl w:ilvl="0">
      <w:lvlJc w:val="left"/>
      <w:lvlText w:val="."/>
      <w:numFmt w:val="bullet"/>
      <w:start w:val="1"/>
    </w:lvl>
  </w:abstractNum>
  <w:abstractNum w:abstractNumId="65">
    <w:nsid w:val="613EFDC5"/>
    <w:multiLevelType w:val="hybridMultilevel"/>
    <w:lvl w:ilvl="0">
      <w:lvlJc w:val="left"/>
      <w:lvlText w:val="."/>
      <w:numFmt w:val="bullet"/>
      <w:start w:val="1"/>
    </w:lvl>
  </w:abstractNum>
  <w:abstractNum w:abstractNumId="66">
    <w:nsid w:val="BF72B14"/>
    <w:multiLevelType w:val="hybridMultilevel"/>
    <w:lvl w:ilvl="0">
      <w:lvlJc w:val="left"/>
      <w:lvlText w:val="."/>
      <w:numFmt w:val="bullet"/>
      <w:start w:val="1"/>
    </w:lvl>
  </w:abstractNum>
  <w:abstractNum w:abstractNumId="67">
    <w:nsid w:val="11447B73"/>
    <w:multiLevelType w:val="hybridMultilevel"/>
    <w:lvl w:ilvl="0">
      <w:lvlJc w:val="left"/>
      <w:lvlText w:val="(%1)"/>
      <w:numFmt w:val="decimal"/>
      <w:start w:val="1"/>
    </w:lvl>
  </w:abstractNum>
  <w:abstractNum w:abstractNumId="68">
    <w:nsid w:val="42963E5A"/>
    <w:multiLevelType w:val="hybridMultilevel"/>
    <w:lvl w:ilvl="0">
      <w:lvlJc w:val="left"/>
      <w:lvlText w:val="(%1)"/>
      <w:numFmt w:val="decimal"/>
      <w:start w:val="1"/>
    </w:lvl>
  </w:abstractNum>
  <w:abstractNum w:abstractNumId="69">
    <w:nsid w:val="A0382C5"/>
    <w:multiLevelType w:val="hybridMultilevel"/>
    <w:lvl w:ilvl="0">
      <w:lvlJc w:val="left"/>
      <w:lvlText w:val="(%1)"/>
      <w:numFmt w:val="decimal"/>
      <w:start w:val="1"/>
    </w:lvl>
  </w:abstractNum>
  <w:abstractNum w:abstractNumId="70">
    <w:nsid w:val="8F2B15E"/>
    <w:multiLevelType w:val="hybridMultilevel"/>
    <w:lvl w:ilvl="0">
      <w:lvlJc w:val="left"/>
      <w:lvlText w:val="-"/>
      <w:numFmt w:val="bullet"/>
      <w:start w:val="1"/>
    </w:lvl>
  </w:abstractNum>
  <w:abstractNum w:abstractNumId="71">
    <w:nsid w:val="1A32234B"/>
    <w:multiLevelType w:val="hybridMultilevel"/>
    <w:lvl w:ilvl="0">
      <w:lvlJc w:val="left"/>
      <w:lvlText w:val="-"/>
      <w:numFmt w:val="bullet"/>
      <w:start w:val="1"/>
    </w:lvl>
  </w:abstractNum>
  <w:abstractNum w:abstractNumId="72">
    <w:nsid w:val="3B0FD379"/>
    <w:multiLevelType w:val="hybridMultilevel"/>
    <w:lvl w:ilvl="0">
      <w:lvlJc w:val="left"/>
      <w:lvlText w:val="1"/>
      <w:numFmt w:val="bullet"/>
      <w:start w:val="1"/>
    </w:lvl>
  </w:abstractNum>
  <w:abstractNum w:abstractNumId="73">
    <w:nsid w:val="68EB2F63"/>
    <w:multiLevelType w:val="hybridMultilevel"/>
    <w:lvl w:ilvl="0">
      <w:lvlJc w:val="left"/>
      <w:lvlText w:val="2"/>
      <w:numFmt w:val="bullet"/>
      <w:start w:val="1"/>
    </w:lvl>
  </w:abstractNum>
  <w:abstractNum w:abstractNumId="74">
    <w:nsid w:val="4962813B"/>
    <w:multiLevelType w:val="hybridMultilevel"/>
    <w:lvl w:ilvl="0">
      <w:lvlJc w:val="left"/>
      <w:lvlText w:val="3"/>
      <w:numFmt w:val="bullet"/>
      <w:start w:val="1"/>
    </w:lvl>
  </w:abstractNum>
  <w:abstractNum w:abstractNumId="75">
    <w:nsid w:val="60B6DF70"/>
    <w:multiLevelType w:val="hybridMultilevel"/>
    <w:lvl w:ilvl="0">
      <w:lvlJc w:val="left"/>
      <w:lvlText w:val="(%1)"/>
      <w:numFmt w:val="lowerRoman"/>
      <w:start w:val="1"/>
    </w:lvl>
  </w:abstractNum>
  <w:abstractNum w:abstractNumId="76">
    <w:nsid w:val="6A5EE64"/>
    <w:multiLevelType w:val="hybridMultilevel"/>
    <w:lvl w:ilvl="0">
      <w:lvlJc w:val="left"/>
      <w:lvlText w:val="(%1)"/>
      <w:numFmt w:val="lowerLetter"/>
      <w:start w:val="1"/>
    </w:lvl>
  </w:abstractNum>
  <w:abstractNum w:abstractNumId="77">
    <w:nsid w:val="14330624"/>
    <w:multiLevelType w:val="hybridMultilevel"/>
    <w:lvl w:ilvl="0">
      <w:lvlJc w:val="left"/>
      <w:lvlText w:val="5"/>
      <w:numFmt w:val="bullet"/>
      <w:start w:val="1"/>
    </w:lvl>
  </w:abstractNum>
  <w:abstractNum w:abstractNumId="78">
    <w:nsid w:val="7FFFCA11"/>
    <w:multiLevelType w:val="hybridMultilevel"/>
    <w:lvl w:ilvl="0">
      <w:lvlJc w:val="left"/>
      <w:lvlText w:val="(%1)"/>
      <w:numFmt w:val="lowerLetter"/>
      <w:start w:val="2"/>
    </w:lvl>
  </w:abstractNum>
  <w:abstractNum w:abstractNumId="79">
    <w:nsid w:val="1A27709E"/>
    <w:multiLevelType w:val="hybridMultilevel"/>
    <w:lvl w:ilvl="0">
      <w:lvlJc w:val="left"/>
      <w:lvlText w:val="(%1)"/>
      <w:numFmt w:val="lowerRoman"/>
      <w:start w:val="1"/>
    </w:lvl>
  </w:abstractNum>
  <w:abstractNum w:abstractNumId="80">
    <w:nsid w:val="71EA1109"/>
    <w:multiLevelType w:val="hybridMultilevel"/>
    <w:lvl w:ilvl="0">
      <w:lvlJc w:val="left"/>
      <w:lvlText w:val="(%1)"/>
      <w:numFmt w:val="decimal"/>
      <w:start w:val="2"/>
    </w:lvl>
  </w:abstractNum>
  <w:abstractNum w:abstractNumId="81">
    <w:nsid w:val="100F59DC"/>
    <w:multiLevelType w:val="hybridMultilevel"/>
    <w:lvl w:ilvl="0">
      <w:lvlJc w:val="left"/>
      <w:lvlText w:val="(%1)"/>
      <w:numFmt w:val="lowerLetter"/>
      <w:start w:val="2"/>
    </w:lvl>
  </w:abstractNum>
  <w:abstractNum w:abstractNumId="82">
    <w:nsid w:val="7FB7E0AA"/>
    <w:multiLevelType w:val="hybridMultilevel"/>
    <w:lvl w:ilvl="0">
      <w:lvlJc w:val="left"/>
      <w:lvlText w:val="(%1)"/>
      <w:numFmt w:val="decimal"/>
      <w:start w:val="2"/>
    </w:lvl>
  </w:abstractNum>
  <w:abstractNum w:abstractNumId="83">
    <w:nsid w:val="6EB5BD4"/>
    <w:multiLevelType w:val="hybridMultilevel"/>
    <w:lvl w:ilvl="0">
      <w:lvlJc w:val="left"/>
      <w:lvlText w:val="(%1)"/>
      <w:numFmt w:val="lowerLetter"/>
      <w:start w:val="5"/>
    </w:lvl>
  </w:abstractNum>
  <w:abstractNum w:abstractNumId="84">
    <w:nsid w:val="6F6DD9AC"/>
    <w:multiLevelType w:val="hybridMultilevel"/>
    <w:lvl w:ilvl="0">
      <w:lvlJc w:val="left"/>
      <w:lvlText w:val="-"/>
      <w:numFmt w:val="bullet"/>
      <w:start w:val="1"/>
    </w:lvl>
  </w:abstractNum>
  <w:abstractNum w:abstractNumId="85">
    <w:nsid w:val="94211F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2019-12-13T06:30:18Z</dcterms:created>
  <dcterms:modified xsi:type="dcterms:W3CDTF">2019-12-13T06:30:18Z</dcterms:modified>
</cp:coreProperties>
</file>