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183515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172085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700" w:hanging="4"/>
        <w:spacing w:after="0" w:line="420"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8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Fourth-Quarter and Full-Year 2023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January 19, 2024.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04" w:lineRule="exact"/>
        <w:rPr>
          <w:sz w:val="20"/>
          <w:szCs w:val="20"/>
          <w:color w:val="auto"/>
        </w:rPr>
      </w:pPr>
    </w:p>
    <w:p>
      <w:pPr>
        <w:ind w:left="4" w:right="120" w:firstLine="440"/>
        <w:spacing w:after="0" w:line="247" w:lineRule="auto"/>
        <w:rPr>
          <w:sz w:val="20"/>
          <w:szCs w:val="20"/>
          <w:color w:val="auto"/>
        </w:rPr>
      </w:pPr>
      <w:r>
        <w:rPr>
          <w:rFonts w:ascii="Arial" w:cs="Arial" w:eastAsia="Arial" w:hAnsi="Arial"/>
          <w:sz w:val="18"/>
          <w:szCs w:val="18"/>
          <w:color w:val="auto"/>
        </w:rPr>
        <w:t>On January 19, 2024,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Fourth-Quarter and Full-Year 2023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6" w:right="4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99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2024</w:t>
      </w:r>
    </w:p>
    <w:p>
      <w:pPr>
        <w:sectPr>
          <w:pgSz w:w="11900" w:h="16838" w:orient="portrait"/>
          <w:cols w:equalWidth="0" w:num="1">
            <w:col w:w="10900"/>
          </w:cols>
          <w:pgMar w:left="440" w:top="296"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6077585</wp:posOffset>
            </wp:positionH>
            <wp:positionV relativeFrom="paragraph">
              <wp:posOffset>163195</wp:posOffset>
            </wp:positionV>
            <wp:extent cx="91757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7575" cy="5486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News Release</w:t>
      </w: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Fourth-Quarter and Full-Year 2023 Results and Raises Quarterly Dividend by 10%</w:t>
      </w:r>
    </w:p>
    <w:p>
      <w:pPr>
        <w:spacing w:after="0" w:line="117"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$8.99 billion increased 8% sequentially and 14%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of $0.77 decreased 1% sequentially and increased 4%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$0.86 increased 10% sequentially and 21%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was $3.02 billion and free cash flow was $2.28 billion</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a 10% increase in quarterly cash dividend to $0.275 per share</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revenue of $33.14 billion increased 18%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GAAP EPS of $2.91 increased 22%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EPS, excluding charges and credits, of $2.98 increased 37%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net income attributable to SLB of $4.20 billion increased 22%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adjusted EBITDA of $8.11 billion increased 25%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cash flow from operations was $6.64 billion and free cash flow was $4.04 billion</w:t>
      </w:r>
    </w:p>
    <w:p>
      <w:pPr>
        <w:spacing w:after="0" w:line="320" w:lineRule="exact"/>
        <w:rPr>
          <w:sz w:val="20"/>
          <w:szCs w:val="20"/>
          <w:color w:val="auto"/>
        </w:rPr>
      </w:pPr>
    </w:p>
    <w:p>
      <w:pPr>
        <w:ind w:left="4" w:right="1720"/>
        <w:spacing w:after="0" w:line="406" w:lineRule="auto"/>
        <w:rPr>
          <w:sz w:val="20"/>
          <w:szCs w:val="20"/>
          <w:color w:val="auto"/>
        </w:rPr>
      </w:pPr>
      <w:r>
        <w:rPr>
          <w:rFonts w:ascii="Arial" w:cs="Arial" w:eastAsia="Arial" w:hAnsi="Arial"/>
          <w:sz w:val="18"/>
          <w:szCs w:val="18"/>
          <w:b w:val="1"/>
          <w:bCs w:val="1"/>
          <w:color w:val="auto"/>
        </w:rPr>
        <w:t>HOUSTON, January 19, 2024—</w:t>
      </w:r>
      <w:r>
        <w:rPr>
          <w:rFonts w:ascii="Arial" w:cs="Arial" w:eastAsia="Arial" w:hAnsi="Arial"/>
          <w:sz w:val="18"/>
          <w:szCs w:val="18"/>
          <w:color w:val="auto"/>
        </w:rPr>
        <w:t>SLB (NYSE: SLB) today announced results for the fourth-quarter and full-year 2023.</w:t>
      </w:r>
      <w:r>
        <w:rPr>
          <w:rFonts w:ascii="Arial" w:cs="Arial" w:eastAsia="Arial" w:hAnsi="Arial"/>
          <w:sz w:val="18"/>
          <w:szCs w:val="18"/>
          <w:b w:val="1"/>
          <w:bCs w:val="1"/>
          <w:color w:val="auto"/>
        </w:rPr>
        <w:t xml:space="preserve"> Fourth-Quarter Results</w:t>
      </w:r>
    </w:p>
    <w:p>
      <w:pPr>
        <w:spacing w:after="0" w:line="6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60" w:type="dxa"/>
            <w:vAlign w:val="bottom"/>
            <w:gridSpan w:val="7"/>
          </w:tcPr>
          <w:p>
            <w:pPr>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8"/>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Dec. 31,</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8,990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8,310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7,879</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1,433</w:t>
            </w:r>
          </w:p>
        </w:tc>
        <w:tc>
          <w:tcPr>
            <w:tcW w:w="26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1,395</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1,347</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17.1%</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-85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 bps</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1,113</w:t>
            </w:r>
          </w:p>
        </w:tc>
        <w:tc>
          <w:tcPr>
            <w:tcW w:w="26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1,123</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1,065</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0.77</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0.74</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2,277</w:t>
            </w:r>
          </w:p>
        </w:tc>
        <w:tc>
          <w:tcPr>
            <w:tcW w:w="26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2,081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1,921</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24.4%</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29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 bps</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1,868</w:t>
            </w:r>
          </w:p>
        </w:tc>
        <w:tc>
          <w:tcPr>
            <w:tcW w:w="26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1,683</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1,557</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19.8%</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52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 bps</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1,242</w:t>
            </w:r>
          </w:p>
        </w:tc>
        <w:tc>
          <w:tcPr>
            <w:tcW w:w="26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1,123</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1,026</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0.86</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0.71</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7,293</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6,614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6,194</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1,641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1,643</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1,633</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8,990</w:t>
            </w:r>
          </w:p>
        </w:tc>
        <w:tc>
          <w:tcPr>
            <w:tcW w:w="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
              <w:spacing w:after="0"/>
              <w:rPr>
                <w:sz w:val="20"/>
                <w:szCs w:val="20"/>
                <w:color w:val="auto"/>
              </w:rPr>
            </w:pPr>
            <w:r>
              <w:rPr>
                <w:rFonts w:ascii="Arial" w:cs="Arial" w:eastAsia="Arial" w:hAnsi="Arial"/>
                <w:sz w:val="18"/>
                <w:szCs w:val="18"/>
                <w:color w:val="auto"/>
                <w:w w:val="93"/>
              </w:rPr>
              <w:t>8,310</w:t>
            </w:r>
          </w:p>
        </w:tc>
        <w:tc>
          <w:tcPr>
            <w:tcW w:w="4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7,879</w:t>
            </w:r>
          </w:p>
        </w:tc>
        <w:tc>
          <w:tcPr>
            <w:tcW w:w="400" w:type="dxa"/>
            <w:vAlign w:val="bottom"/>
            <w:vMerge w:val="continue"/>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right="1320" w:hanging="4"/>
        <w:spacing w:after="0" w:line="271"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“Divisions” and “Supplementary Information” for details. n/m = not meaningful</w:t>
      </w:r>
    </w:p>
    <w:p>
      <w:pPr>
        <w:sectPr>
          <w:pgSz w:w="11900" w:h="16838" w:orient="portrait"/>
          <w:cols w:equalWidth="0" w:num="1">
            <w:col w:w="11024"/>
          </w:cols>
          <w:pgMar w:left="436" w:top="122"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11"/>
          </w:tcPr>
          <w:p>
            <w:pPr>
              <w:jc w:val="center"/>
              <w:ind w:left="21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Dec. 31,</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5"/>
          </w:tcPr>
          <w:p>
            <w:pPr>
              <w:jc w:val="center"/>
              <w:ind w:right="80"/>
              <w:spacing w:after="0" w:line="147" w:lineRule="exact"/>
              <w:rPr>
                <w:sz w:val="20"/>
                <w:szCs w:val="20"/>
                <w:color w:val="auto"/>
              </w:rPr>
            </w:pPr>
            <w:r>
              <w:rPr>
                <w:rFonts w:ascii="Arial" w:cs="Arial" w:eastAsia="Arial" w:hAnsi="Arial"/>
                <w:sz w:val="14"/>
                <w:szCs w:val="14"/>
                <w:color w:val="auto"/>
              </w:rPr>
              <w:t>Sept. 30,</w:t>
            </w: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7" w:lineRule="exact"/>
              <w:rPr>
                <w:sz w:val="20"/>
                <w:szCs w:val="20"/>
                <w:color w:val="auto"/>
              </w:rPr>
            </w:pPr>
            <w:r>
              <w:rPr>
                <w:rFonts w:ascii="Arial" w:cs="Arial" w:eastAsia="Arial" w:hAnsi="Arial"/>
                <w:sz w:val="14"/>
                <w:szCs w:val="14"/>
                <w:color w:val="auto"/>
                <w:w w:val="99"/>
              </w:rPr>
              <w:t>Dec. 31,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3"/>
          </w:tcPr>
          <w:p>
            <w:pPr>
              <w:jc w:val="center"/>
              <w:ind w:right="1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color w:val="auto"/>
                <w:w w:val="89"/>
              </w:rPr>
              <w:t>2022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640" w:type="dxa"/>
            <w:vAlign w:val="bottom"/>
            <w:gridSpan w:val="2"/>
          </w:tcPr>
          <w:p>
            <w:pPr>
              <w:ind w:left="54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1,049</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982</w:t>
            </w:r>
          </w:p>
        </w:tc>
        <w:tc>
          <w:tcPr>
            <w:tcW w:w="104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$1,012</w:t>
            </w:r>
          </w:p>
        </w:tc>
        <w:tc>
          <w:tcPr>
            <w:tcW w:w="260" w:type="dxa"/>
            <w:vAlign w:val="bottom"/>
          </w:tcPr>
          <w:p>
            <w:pPr>
              <w:spacing w:after="0"/>
              <w:rPr>
                <w:sz w:val="17"/>
                <w:szCs w:val="17"/>
                <w:color w:val="auto"/>
              </w:rPr>
            </w:pPr>
          </w:p>
        </w:tc>
        <w:tc>
          <w:tcPr>
            <w:tcW w:w="1140" w:type="dxa"/>
            <w:vAlign w:val="bottom"/>
            <w:gridSpan w:val="3"/>
          </w:tcPr>
          <w:p>
            <w:pPr>
              <w:jc w:val="right"/>
              <w:ind w:right="16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1,735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1,680</w:t>
            </w:r>
          </w:p>
        </w:tc>
        <w:tc>
          <w:tcPr>
            <w:tcW w:w="10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1,554</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3,426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w w:val="97"/>
              </w:rPr>
              <w:t>3,430</w:t>
            </w:r>
          </w:p>
        </w:tc>
        <w:tc>
          <w:tcPr>
            <w:tcW w:w="104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3,229</w:t>
            </w:r>
          </w:p>
        </w:tc>
        <w:tc>
          <w:tcPr>
            <w:tcW w:w="260" w:type="dxa"/>
            <w:vAlign w:val="bottom"/>
          </w:tcPr>
          <w:p>
            <w:pPr>
              <w:spacing w:after="0"/>
              <w:rPr>
                <w:sz w:val="17"/>
                <w:szCs w:val="17"/>
                <w:color w:val="auto"/>
              </w:rPr>
            </w:pPr>
          </w:p>
        </w:tc>
        <w:tc>
          <w:tcPr>
            <w:tcW w:w="1140" w:type="dxa"/>
            <w:vAlign w:val="bottom"/>
            <w:gridSpan w:val="3"/>
          </w:tcPr>
          <w:p>
            <w:pPr>
              <w:jc w:val="right"/>
              <w:ind w:right="168"/>
              <w:spacing w:after="0" w:line="202" w:lineRule="exact"/>
              <w:rPr>
                <w:sz w:val="20"/>
                <w:szCs w:val="20"/>
                <w:color w:val="auto"/>
              </w:rPr>
            </w:pPr>
            <w:r>
              <w:rPr>
                <w:rFonts w:ascii="Arial" w:cs="Arial" w:eastAsia="Arial" w:hAnsi="Arial"/>
                <w:sz w:val="18"/>
                <w:szCs w:val="18"/>
                <w:b w:val="1"/>
                <w:bCs w:val="1"/>
                <w:color w:val="auto"/>
              </w:rPr>
              <w:t>0%</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2,944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2,367</w:t>
            </w:r>
          </w:p>
        </w:tc>
        <w:tc>
          <w:tcPr>
            <w:tcW w:w="10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2,215</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24%</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1140" w:type="dxa"/>
            <w:vAlign w:val="bottom"/>
            <w:gridSpan w:val="3"/>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8,990</w:t>
            </w:r>
          </w:p>
        </w:tc>
        <w:tc>
          <w:tcPr>
            <w:tcW w:w="780" w:type="dxa"/>
            <w:vAlign w:val="bottom"/>
            <w:gridSpan w:val="6"/>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$ 8,310</w:t>
            </w:r>
          </w:p>
        </w:tc>
        <w:tc>
          <w:tcPr>
            <w:tcW w:w="10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7,879</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6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356</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344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282</w:t>
            </w:r>
          </w:p>
        </w:tc>
        <w:tc>
          <w:tcPr>
            <w:tcW w:w="260" w:type="dxa"/>
            <w:vAlign w:val="bottom"/>
          </w:tcPr>
          <w:p>
            <w:pPr>
              <w:spacing w:after="0"/>
              <w:rPr>
                <w:sz w:val="17"/>
                <w:szCs w:val="17"/>
                <w:color w:val="auto"/>
              </w:rPr>
            </w:pPr>
          </w:p>
        </w:tc>
        <w:tc>
          <w:tcPr>
            <w:tcW w:w="1140" w:type="dxa"/>
            <w:vAlign w:val="bottom"/>
            <w:gridSpan w:val="3"/>
          </w:tcPr>
          <w:p>
            <w:pPr>
              <w:jc w:val="right"/>
              <w:ind w:right="16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679</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319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238</w:t>
            </w:r>
          </w:p>
        </w:tc>
        <w:tc>
          <w:tcPr>
            <w:tcW w:w="260" w:type="dxa"/>
            <w:vAlign w:val="bottom"/>
          </w:tcPr>
          <w:p>
            <w:pPr>
              <w:spacing w:after="0"/>
              <w:rPr>
                <w:sz w:val="17"/>
                <w:szCs w:val="17"/>
                <w:color w:val="auto"/>
              </w:rPr>
            </w:pPr>
          </w:p>
        </w:tc>
        <w:tc>
          <w:tcPr>
            <w:tcW w:w="1140" w:type="dxa"/>
            <w:vAlign w:val="bottom"/>
            <w:gridSpan w:val="3"/>
          </w:tcPr>
          <w:p>
            <w:pPr>
              <w:jc w:val="right"/>
              <w:ind w:right="168"/>
              <w:spacing w:after="0" w:line="202" w:lineRule="exact"/>
              <w:rPr>
                <w:sz w:val="20"/>
                <w:szCs w:val="20"/>
                <w:color w:val="auto"/>
              </w:rPr>
            </w:pPr>
            <w:r>
              <w:rPr>
                <w:rFonts w:ascii="Arial" w:cs="Arial" w:eastAsia="Arial" w:hAnsi="Arial"/>
                <w:sz w:val="18"/>
                <w:szCs w:val="18"/>
                <w:b w:val="1"/>
                <w:bCs w:val="1"/>
                <w:color w:val="auto"/>
              </w:rPr>
              <w:t>38%</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3"/>
              </w:rPr>
              <w:t>(53)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1,868</w:t>
            </w:r>
          </w:p>
        </w:tc>
        <w:tc>
          <w:tcPr>
            <w:tcW w:w="2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gridSpan w:val="4"/>
          </w:tcPr>
          <w:p>
            <w:pPr>
              <w:spacing w:after="0"/>
              <w:rPr>
                <w:sz w:val="20"/>
                <w:szCs w:val="20"/>
                <w:color w:val="auto"/>
              </w:rPr>
            </w:pPr>
            <w:r>
              <w:rPr>
                <w:rFonts w:ascii="Arial" w:cs="Arial" w:eastAsia="Arial" w:hAnsi="Arial"/>
                <w:sz w:val="18"/>
                <w:szCs w:val="18"/>
                <w:color w:val="auto"/>
                <w:w w:val="93"/>
              </w:rPr>
              <w:t>$ 1,683</w:t>
            </w:r>
          </w:p>
        </w:tc>
        <w:tc>
          <w:tcPr>
            <w:tcW w:w="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1,557</w:t>
            </w:r>
          </w:p>
        </w:tc>
        <w:tc>
          <w:tcPr>
            <w:tcW w:w="1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gridSpan w:val="3"/>
          </w:tcPr>
          <w:p>
            <w:pPr>
              <w:jc w:val="right"/>
              <w:ind w:right="168"/>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5"/>
          </w:tcPr>
          <w:p>
            <w:pPr>
              <w:jc w:val="right"/>
              <w:ind w:right="171"/>
              <w:spacing w:after="0" w:line="202" w:lineRule="exact"/>
              <w:rPr>
                <w:sz w:val="20"/>
                <w:szCs w:val="20"/>
                <w:color w:val="auto"/>
              </w:rPr>
            </w:pPr>
            <w:r>
              <w:rPr>
                <w:rFonts w:ascii="Arial" w:cs="Arial" w:eastAsia="Arial" w:hAnsi="Arial"/>
                <w:sz w:val="18"/>
                <w:szCs w:val="18"/>
                <w:color w:val="auto"/>
              </w:rPr>
              <w:t>32.0%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56"/>
              <w:spacing w:after="0" w:line="202" w:lineRule="exact"/>
              <w:rPr>
                <w:sz w:val="20"/>
                <w:szCs w:val="20"/>
                <w:color w:val="auto"/>
              </w:rPr>
            </w:pPr>
            <w:r>
              <w:rPr>
                <w:rFonts w:ascii="Arial" w:cs="Arial" w:eastAsia="Arial" w:hAnsi="Arial"/>
                <w:sz w:val="18"/>
                <w:szCs w:val="18"/>
                <w:color w:val="auto"/>
              </w:rPr>
              <w:t>37.7%</w:t>
            </w:r>
          </w:p>
        </w:tc>
        <w:tc>
          <w:tcPr>
            <w:tcW w:w="1140" w:type="dxa"/>
            <w:vAlign w:val="bottom"/>
            <w:gridSpan w:val="3"/>
          </w:tcPr>
          <w:p>
            <w:pPr>
              <w:jc w:val="right"/>
              <w:ind w:right="328"/>
              <w:spacing w:after="0" w:line="202" w:lineRule="exact"/>
              <w:rPr>
                <w:sz w:val="20"/>
                <w:szCs w:val="20"/>
                <w:color w:val="auto"/>
              </w:rPr>
            </w:pPr>
            <w:r>
              <w:rPr>
                <w:rFonts w:ascii="Arial" w:cs="Arial" w:eastAsia="Arial" w:hAnsi="Arial"/>
                <w:sz w:val="18"/>
                <w:szCs w:val="18"/>
                <w:b w:val="1"/>
                <w:bCs w:val="1"/>
                <w:color w:val="auto"/>
              </w:rPr>
              <w:t>197 bps</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-375 bps</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18.2%</w:t>
            </w:r>
          </w:p>
        </w:tc>
        <w:tc>
          <w:tcPr>
            <w:tcW w:w="114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88 bps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319 bps</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5"/>
          </w:tcPr>
          <w:p>
            <w:pPr>
              <w:jc w:val="right"/>
              <w:ind w:right="171"/>
              <w:spacing w:after="0" w:line="202" w:lineRule="exact"/>
              <w:rPr>
                <w:sz w:val="20"/>
                <w:szCs w:val="20"/>
                <w:color w:val="auto"/>
              </w:rPr>
            </w:pPr>
            <w:r>
              <w:rPr>
                <w:rFonts w:ascii="Arial" w:cs="Arial" w:eastAsia="Arial" w:hAnsi="Arial"/>
                <w:sz w:val="18"/>
                <w:szCs w:val="18"/>
                <w:color w:val="auto"/>
              </w:rPr>
              <w:t>22.1%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56"/>
              <w:spacing w:after="0" w:line="202" w:lineRule="exact"/>
              <w:rPr>
                <w:sz w:val="20"/>
                <w:szCs w:val="20"/>
                <w:color w:val="auto"/>
              </w:rPr>
            </w:pPr>
            <w:r>
              <w:rPr>
                <w:rFonts w:ascii="Arial" w:cs="Arial" w:eastAsia="Arial" w:hAnsi="Arial"/>
                <w:sz w:val="18"/>
                <w:szCs w:val="18"/>
                <w:color w:val="auto"/>
              </w:rPr>
              <w:t>21.0%</w:t>
            </w:r>
          </w:p>
        </w:tc>
        <w:tc>
          <w:tcPr>
            <w:tcW w:w="1140" w:type="dxa"/>
            <w:vAlign w:val="bottom"/>
            <w:gridSpan w:val="3"/>
          </w:tcPr>
          <w:p>
            <w:pPr>
              <w:jc w:val="right"/>
              <w:ind w:right="328"/>
              <w:spacing w:after="0" w:line="202" w:lineRule="exact"/>
              <w:rPr>
                <w:sz w:val="20"/>
                <w:szCs w:val="20"/>
                <w:color w:val="auto"/>
              </w:rPr>
            </w:pPr>
            <w:r>
              <w:rPr>
                <w:rFonts w:ascii="Arial" w:cs="Arial" w:eastAsia="Arial" w:hAnsi="Arial"/>
                <w:sz w:val="18"/>
                <w:szCs w:val="18"/>
                <w:b w:val="1"/>
                <w:bCs w:val="1"/>
                <w:color w:val="auto"/>
              </w:rPr>
              <w:t>35 bps</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143 bps</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10.8%</w:t>
            </w:r>
          </w:p>
        </w:tc>
        <w:tc>
          <w:tcPr>
            <w:tcW w:w="114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153 bps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426 bps</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n/m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n/m</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316"/>
              <w:spacing w:after="0" w:line="202" w:lineRule="exact"/>
              <w:rPr>
                <w:sz w:val="20"/>
                <w:szCs w:val="20"/>
                <w:color w:val="auto"/>
              </w:rPr>
            </w:pPr>
            <w:r>
              <w:rPr>
                <w:rFonts w:ascii="Arial" w:cs="Arial" w:eastAsia="Arial" w:hAnsi="Arial"/>
                <w:sz w:val="18"/>
                <w:szCs w:val="18"/>
                <w:color w:val="auto"/>
              </w:rPr>
              <w:t>n/m</w:t>
            </w:r>
          </w:p>
        </w:tc>
        <w:tc>
          <w:tcPr>
            <w:tcW w:w="1140" w:type="dxa"/>
            <w:vAlign w:val="bottom"/>
            <w:gridSpan w:val="3"/>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19.8%</w:t>
            </w:r>
          </w:p>
        </w:tc>
        <w:tc>
          <w:tcPr>
            <w:tcW w:w="114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52 bps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 bps</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n/m = not meaningful</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3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360" w:type="dxa"/>
            <w:vAlign w:val="bottom"/>
          </w:tcPr>
          <w:p>
            <w:pPr>
              <w:spacing w:after="0"/>
              <w:rPr>
                <w:sz w:val="20"/>
                <w:szCs w:val="20"/>
                <w:color w:val="auto"/>
              </w:rPr>
            </w:pPr>
            <w:r>
              <w:rPr>
                <w:rFonts w:ascii="Arial" w:cs="Arial" w:eastAsia="Arial" w:hAnsi="Arial"/>
                <w:sz w:val="18"/>
                <w:szCs w:val="18"/>
                <w:b w:val="1"/>
                <w:bCs w:val="1"/>
                <w:color w:val="auto"/>
              </w:rPr>
              <w:t>Full-Year Results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11"/>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9"/>
          </w:tcPr>
          <w:p>
            <w:pPr>
              <w:jc w:val="right"/>
              <w:ind w:right="868"/>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4"/>
                <w:szCs w:val="14"/>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Dec. 31, 2023</w:t>
            </w:r>
          </w:p>
        </w:tc>
        <w:tc>
          <w:tcPr>
            <w:tcW w:w="2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Dec. 31, 2022</w:t>
            </w:r>
          </w:p>
        </w:tc>
        <w:tc>
          <w:tcPr>
            <w:tcW w:w="480" w:type="dxa"/>
            <w:vAlign w:val="bottom"/>
            <w:tcBorders>
              <w:bottom w:val="single" w:sz="8" w:color="CCEEFF"/>
            </w:tcBorders>
            <w:gridSpan w:val="2"/>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33,135</w:t>
            </w: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28,091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5,282</w:t>
            </w:r>
          </w:p>
        </w:tc>
        <w:tc>
          <w:tcPr>
            <w:tcW w:w="8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4,271</w:t>
            </w:r>
          </w:p>
        </w:tc>
        <w:tc>
          <w:tcPr>
            <w:tcW w:w="4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15.9%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74 bps</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4,203</w:t>
            </w:r>
          </w:p>
        </w:tc>
        <w:tc>
          <w:tcPr>
            <w:tcW w:w="8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3,441</w:t>
            </w:r>
          </w:p>
        </w:tc>
        <w:tc>
          <w:tcPr>
            <w:tcW w:w="4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2.91</w:t>
            </w:r>
          </w:p>
        </w:tc>
        <w:tc>
          <w:tcPr>
            <w:tcW w:w="820" w:type="dxa"/>
            <w:vAlign w:val="bottom"/>
            <w:gridSpan w:val="3"/>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Adjusted EBITDA*</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8,107</w:t>
            </w:r>
          </w:p>
        </w:tc>
        <w:tc>
          <w:tcPr>
            <w:tcW w:w="8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6,462</w:t>
            </w:r>
          </w:p>
        </w:tc>
        <w:tc>
          <w:tcPr>
            <w:tcW w:w="4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24.5%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147 bps</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6,523</w:t>
            </w:r>
          </w:p>
        </w:tc>
        <w:tc>
          <w:tcPr>
            <w:tcW w:w="8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5,011</w:t>
            </w:r>
          </w:p>
        </w:tc>
        <w:tc>
          <w:tcPr>
            <w:tcW w:w="4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185 bps</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4,305</w:t>
            </w:r>
          </w:p>
        </w:tc>
        <w:tc>
          <w:tcPr>
            <w:tcW w:w="8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3,138</w:t>
            </w:r>
          </w:p>
        </w:tc>
        <w:tc>
          <w:tcPr>
            <w:tcW w:w="4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2.98</w:t>
            </w:r>
          </w:p>
        </w:tc>
        <w:tc>
          <w:tcPr>
            <w:tcW w:w="820" w:type="dxa"/>
            <w:vAlign w:val="bottom"/>
            <w:gridSpan w:val="3"/>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Revenue by Geography</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26,188</w:t>
            </w:r>
          </w:p>
        </w:tc>
        <w:tc>
          <w:tcPr>
            <w:tcW w:w="820" w:type="dxa"/>
            <w:vAlign w:val="bottom"/>
            <w:gridSpan w:val="3"/>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21,895</w:t>
            </w:r>
          </w:p>
        </w:tc>
        <w:tc>
          <w:tcPr>
            <w:tcW w:w="4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6,727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5,995</w:t>
            </w:r>
          </w:p>
        </w:tc>
        <w:tc>
          <w:tcPr>
            <w:tcW w:w="4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33,135</w:t>
            </w:r>
          </w:p>
        </w:tc>
        <w:tc>
          <w:tcPr>
            <w:tcW w:w="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28,091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00" w:hanging="424"/>
        <w:spacing w:after="0" w:line="24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“Supplemental Information” for details.</w:t>
      </w: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279"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6"/>
            <w:vMerge w:val="restart"/>
          </w:tcPr>
          <w:p>
            <w:pPr>
              <w:jc w:val="right"/>
              <w:ind w:right="1120"/>
              <w:spacing w:after="0"/>
              <w:rPr>
                <w:sz w:val="20"/>
                <w:szCs w:val="20"/>
                <w:color w:val="auto"/>
              </w:rPr>
            </w:pPr>
            <w:r>
              <w:rPr>
                <w:rFonts w:ascii="Arial" w:cs="Arial" w:eastAsia="Arial" w:hAnsi="Arial"/>
                <w:sz w:val="14"/>
                <w:szCs w:val="14"/>
                <w:b w:val="1"/>
                <w:bCs w:val="1"/>
                <w:color w:val="auto"/>
              </w:rPr>
              <w:t>Twelve Months Ended</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6"/>
            <w:vMerge w:val="continue"/>
          </w:tcPr>
          <w:p>
            <w:pPr>
              <w:spacing w:after="0"/>
              <w:rPr>
                <w:sz w:val="12"/>
                <w:szCs w:val="12"/>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13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 31, 2023</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Dec. 31, 2022</w:t>
            </w:r>
          </w:p>
        </w:tc>
        <w:tc>
          <w:tcPr>
            <w:tcW w:w="6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24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3,871</w:t>
            </w:r>
          </w:p>
        </w:tc>
        <w:tc>
          <w:tcPr>
            <w:tcW w:w="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3,725</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6,561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5,553</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13,478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11,397</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9,831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7,862</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(606)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(446)</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33,135</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28,091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1,257</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1,357</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1,263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881</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2,932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2,202</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1,245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748</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(174)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(177)</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6,523</w:t>
            </w:r>
          </w:p>
        </w:tc>
        <w:tc>
          <w:tcPr>
            <w:tcW w:w="4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5,011</w:t>
            </w:r>
          </w:p>
        </w:tc>
        <w:tc>
          <w:tcPr>
            <w:tcW w:w="64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Margin</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36.4%</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-397 bps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19.2%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15.9%</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338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21.8%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19.3%</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243 bps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9.5%</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315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n/m</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19.7%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17.8%</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185 bps</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1,847</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1,872</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1,646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1,233</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3,514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2,701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1,569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1,047</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102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95</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8,678</w:t>
            </w:r>
          </w:p>
        </w:tc>
        <w:tc>
          <w:tcPr>
            <w:tcW w:w="4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6,948</w:t>
            </w:r>
          </w:p>
        </w:tc>
        <w:tc>
          <w:tcPr>
            <w:tcW w:w="64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(571)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(486)</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8,107</w:t>
            </w:r>
          </w:p>
        </w:tc>
        <w:tc>
          <w:tcPr>
            <w:tcW w:w="4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6,462</w:t>
            </w:r>
          </w:p>
        </w:tc>
        <w:tc>
          <w:tcPr>
            <w:tcW w:w="64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47.7%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50.3%</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-255 bps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25.1%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22.2%</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287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26.1%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23.7%</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237 bps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16.0%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13.3%</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264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n/m</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26.2%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24.7%</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146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n/m</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24.5%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23.0%</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147 bps</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6"/>
            <w:vMerge w:val="restart"/>
          </w:tcPr>
          <w:p>
            <w:pPr>
              <w:jc w:val="right"/>
              <w:ind w:right="1120"/>
              <w:spacing w:after="0"/>
              <w:rPr>
                <w:sz w:val="20"/>
                <w:szCs w:val="20"/>
                <w:color w:val="auto"/>
              </w:rPr>
            </w:pPr>
            <w:r>
              <w:rPr>
                <w:rFonts w:ascii="Arial" w:cs="Arial" w:eastAsia="Arial" w:hAnsi="Arial"/>
                <w:sz w:val="14"/>
                <w:szCs w:val="14"/>
                <w:b w:val="1"/>
                <w:bCs w:val="1"/>
                <w:color w:val="auto"/>
              </w:rPr>
              <w:t>Twelve Months Ended</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6"/>
            <w:vMerge w:val="continue"/>
          </w:tcPr>
          <w:p>
            <w:pPr>
              <w:spacing w:after="0"/>
              <w:rPr>
                <w:sz w:val="12"/>
                <w:szCs w:val="12"/>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13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 31, 2023</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Dec. 31, 2022</w:t>
            </w:r>
          </w:p>
        </w:tc>
        <w:tc>
          <w:tcPr>
            <w:tcW w:w="6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Geography</w:t>
            </w: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6,727</w:t>
            </w:r>
          </w:p>
        </w:tc>
        <w:tc>
          <w:tcPr>
            <w:tcW w:w="4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5,995</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6,645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5,661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Europe &amp; Africa*</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8,524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7,201</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Middle East &amp; Asia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11,019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9,033</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220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201</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33,135</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28,091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26,188</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21,895</w:t>
            </w:r>
          </w:p>
        </w:tc>
        <w:tc>
          <w:tcPr>
            <w:tcW w:w="640" w:type="dxa"/>
            <w:vAlign w:val="bottom"/>
          </w:tcPr>
          <w:p>
            <w:pPr>
              <w:spacing w:after="0"/>
              <w:rPr>
                <w:sz w:val="17"/>
                <w:szCs w:val="17"/>
                <w:color w:val="auto"/>
              </w:rPr>
            </w:pPr>
          </w:p>
        </w:tc>
        <w:tc>
          <w:tcPr>
            <w:tcW w:w="142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6,727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5,995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220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201</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33,135</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28,091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5,486</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4,063</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1,157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1,106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(120)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(158)</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6,523</w:t>
            </w:r>
          </w:p>
        </w:tc>
        <w:tc>
          <w:tcPr>
            <w:tcW w:w="4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5,011</w:t>
            </w:r>
          </w:p>
        </w:tc>
        <w:tc>
          <w:tcPr>
            <w:tcW w:w="64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Income Margin</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20.9%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18.6%</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239 bps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18.4%</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-124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n/m</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19.7%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17.8%</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185 bps</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6,988</w:t>
            </w:r>
          </w:p>
        </w:tc>
        <w:tc>
          <w:tcPr>
            <w:tcW w:w="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5,425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1,559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1,470</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131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53</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8,678</w:t>
            </w:r>
          </w:p>
        </w:tc>
        <w:tc>
          <w:tcPr>
            <w:tcW w:w="4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6,948</w:t>
            </w:r>
          </w:p>
        </w:tc>
        <w:tc>
          <w:tcPr>
            <w:tcW w:w="64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(571)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(486)</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8,107</w:t>
            </w:r>
          </w:p>
        </w:tc>
        <w:tc>
          <w:tcPr>
            <w:tcW w:w="4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6,462</w:t>
            </w:r>
          </w:p>
        </w:tc>
        <w:tc>
          <w:tcPr>
            <w:tcW w:w="64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26.7%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24.8%</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191 bps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23.2%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24.5%</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-135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n/m</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26.2%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24.7%</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146 bps</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24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n/m</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24.5%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23.0%</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147 bps</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7420" w:hanging="4"/>
        <w:spacing w:after="0" w:line="271"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ectPr>
          <w:pgSz w:w="11900" w:h="16838" w:orient="portrait"/>
          <w:cols w:equalWidth="0" w:num="1">
            <w:col w:w="11024"/>
          </w:cols>
          <w:pgMar w:left="436" w:top="27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Impressive Fourth-Quarter and Full-Year Performance</w:t>
      </w:r>
    </w:p>
    <w:p>
      <w:pPr>
        <w:spacing w:after="0" w:line="104"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SLB CEO Olivier Le Peuch commented, “We have concluded a remarkable year marked by widespread revenue growth, margin expansion, and exceptional free cash flow. Year on year, we grew revenue and EBITDA 18% and 25%, respectively, and we delivered $4.0 billion of free cash flow—allowing us to reduce net debt by $1.4 billion and return $2.0 billion to shareholders this year through dividends and stock repurchases. These results showcase our continued ability to deliver superior earnings, generate impressive cash flows, and maintain a strong balance sheet.</w:t>
      </w:r>
    </w:p>
    <w:p>
      <w:pPr>
        <w:spacing w:after="0" w:line="176"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“Sequentially, fourth-quarter revenue rose 8%, EPS (excluding charges and credits) increased 10% to $0.86, and adjusted EBITDA margins reached another cycle high. Notably, the acquired Aker subsea business accounted for approximately 70% of the sequential revenue growth, while the legacy portfolio continued its growth trajectory in the international markets.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“Compared to the same quarter last year, international revenue outpaced North America, growing 18% while North America was relatively flat. Excluding the acquired Aker subsea business, international revenue grew 10% year on year, marking the 10th consecutive quarter of double-digit growth. Our global pretax segment operating margin increased year on year for the 12th consecutive quarter, and we exited the year with a quarterly international margin reaching a new high in the cycle.”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Remarkable Year of Broad, Resilient, and Durable Growth</w:t>
      </w:r>
    </w:p>
    <w:p>
      <w:pPr>
        <w:spacing w:after="0" w:line="10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concluded the year with 37% growth in EPS (excluding charges and credits) and expanded adjusted EBITDA margin by 147 basis points (bps). Additionally, we generated $6.64 billion in cash flow from operations and delivered return on capital employed (ROCE) of 16%, the highest level since 2014—a result of our returns-focused strategy.</w:t>
      </w:r>
    </w:p>
    <w:p>
      <w:pPr>
        <w:spacing w:after="0" w:line="169"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“Our strong full-year performance was fueled by substantial international growth, with approximately 90% of our international GeoUnits posting year-on-year increases, complemented by sustained performance in North America.</w:t>
      </w:r>
    </w:p>
    <w:p>
      <w:pPr>
        <w:spacing w:after="0" w:line="15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“International revenue grew 20% year on year—by more than $4 billion—and pretax segment operating margins expanded by 239 bps. Notably, we achieved our highest-ever revenue in the Middle East, led by impressive growth in Saudi Arabia, the United Arab Emirates, and Egypt &amp; East Mediterranean GeoUnits.</w:t>
      </w:r>
    </w:p>
    <w:p>
      <w:pPr>
        <w:spacing w:after="0" w:line="16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the offshore basins, we benefited from long-cycle developments, capacity expansions, and exploration and appraisal activities with remarkable growth in Brazil and Angola and very solid increases in the US Gulf of Mexico, Guyana, and Norway.</w:t>
      </w:r>
    </w:p>
    <w:p>
      <w:pPr>
        <w:spacing w:after="0" w:line="154"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“In North America, while activity moderated as expected in the second half of the year, revenue increased by 12% year on year, outpacing the rig count. This outperformance was driven by our technology-leveraged portfolio in both US land and the US Gulf of Mexico.</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a divisional basis, our Core business—comprising Reservoir Performance, Well Construction, and Production Systems—accelerated, growing revenue 20% year on year and expanding pretax segment operating margin 277 bps.</w:t>
      </w:r>
    </w:p>
    <w:p>
      <w:pPr>
        <w:spacing w:after="0" w:line="15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“Digital &amp; Integration revenue increased 4% year on year. This was led by Digital, which continued strong growth momentum, delivering more than $2 billion in revenue while APS revenue declined. Our success in Digital was driven by further adoption of Delfi™ technology and customers embracing our connected and autonomous drilling, data, and AI solutions.</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also saw continued adoption of our Transition Technologies™ portfolio as customers look to enhance efficiency and reduce emissions. The imperative to operate more sustainably is translating into tangible investments by our customers, resulting in the portfolio generating more than $1.0 billion of revenue.</w:t>
      </w:r>
    </w:p>
    <w:p>
      <w:pPr>
        <w:spacing w:after="0" w:line="16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are also very pleased to see our strategic focus on customer centricity continue to translate into customer satisfaction, with our performance and value creation achieving recognition in various industry surveys.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am extremely proud of our full-year results, and I would like to thank the entire SLB team for delivering this outstanding performance.”</w:t>
      </w:r>
    </w:p>
    <w:p>
      <w:pPr>
        <w:sectPr>
          <w:pgSz w:w="11900" w:h="16838" w:orient="portrait"/>
          <w:cols w:equalWidth="0" w:num="1">
            <w:col w:w="10940"/>
          </w:cols>
          <w:pgMar w:left="440" w:top="269"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International Growth and Shareholder Returns Ahead</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“As global energy demand continues to increase, international production is expected to play a key role in meeting supply through the end of the decade. Notably, we anticipate record investment levels in the Middle East extending beyond 2025, with significant expansion in Saudi Arabia, the United Arab Emirates, Iraq, and Kuwait. Offshore remains another distinct attribute of this durable growth cycle, serving as an important source for production growth and capacity additions, and we expect strong activity to continue in Brazil, West Africa, the Eastern Mediterranean, the Middle East, and Southeast Asia.</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international environment, despite elevated geopolitical tensions in various regions, we do not anticipate a significant impact on the sector’s overall activity, absent any escalation. Furthermore, we expect the long-cycle investments across the Middle East, global offshore, and gas resource plays to be largely decoupled from short-term commodity price fluctuations.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2024, we will experience another year of strong growth driven by the international markets. Benefiting from these market dynamics, we foresee further growth led by Production Systems, strengthened by the additional subsea opportunities from our OneSubsea joint venture. Sustained momentum is expected in Reservoir Performance, accompanied by increased activity in Well Construction. Additionally, we expect continued customer adoption of our Digital business, particularly in our new technology platforms.</w:t>
      </w:r>
    </w:p>
    <w:p>
      <w:pPr>
        <w:spacing w:after="0" w:line="17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“Our performance and returns-focused strategy, combined with our differentiated market positioning and digital capabilities, will drive profitable growth and further margin expansion, setting a strong foundation for long-term outperformance.</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“With confidence in the strength and longevity of the cycle and visibility into sustained strong cash flows, we are pleased to announce that our Board of Directors has approved a 10% increase to our quarterly dividend. Additionally, we plan to increase share repurchases in 2024, visibly enhancing returns to shareholders for the full year.</w:t>
      </w:r>
    </w:p>
    <w:p>
      <w:pPr>
        <w:spacing w:after="0" w:line="1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“With a clear strategy, a uniquely positioned portfolio, and the right team in place, we look forward to delivering value for our customers and our shareholders in the years ahead.”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quarter, SLB repurchased 1.8 million shares of its common stock at an average price of $54.46 per share for a total purchase price of $100 million.</w:t>
      </w:r>
    </w:p>
    <w:p>
      <w:pPr>
        <w:spacing w:after="0" w:line="154"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On January 18, 2024, SLB’s Board of Directors approved a 10% increase in SLB’s quarterly cash dividend from $0.250 per share of outstanding common stock to $0.275 per share, beginning with the dividend payable on April 4, 2024, to stockholders of record on February 7, 2024.</w:t>
      </w:r>
    </w:p>
    <w:p>
      <w:pPr>
        <w:sectPr>
          <w:pgSz w:w="11900" w:h="16838" w:orient="portrait"/>
          <w:cols w:equalWidth="0" w:num="1">
            <w:col w:w="11000"/>
          </w:cols>
          <w:pgMar w:left="440" w:top="26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7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Dec. 31,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rPr>
              <w:t>Sept. 30,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Dec.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40" w:type="dxa"/>
            <w:vAlign w:val="bottom"/>
            <w:gridSpan w:val="2"/>
          </w:tcPr>
          <w:p>
            <w:pPr>
              <w:jc w:val="center"/>
              <w:ind w:left="93"/>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4"/>
                <w:szCs w:val="14"/>
                <w:color w:val="auto"/>
              </w:rPr>
            </w:pP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$1,641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$ 1,643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$1,633</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1,722</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1,681</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1,619</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2,429</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2,091</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2,067</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Middle East &amp; Asia</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3,141</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2,842</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2,508</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57</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8,990</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$ 8,310</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7,879</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rPr>
              <w:t>7,292</w:t>
            </w:r>
          </w:p>
        </w:tc>
        <w:tc>
          <w:tcPr>
            <w:tcW w:w="92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$ 6,614</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$6,194</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602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$1,641</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$ 1,643</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$1,633</w:t>
            </w:r>
          </w:p>
        </w:tc>
        <w:tc>
          <w:tcPr>
            <w:tcW w:w="12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780" w:type="dxa"/>
            <w:vAlign w:val="bottom"/>
          </w:tcPr>
          <w:p>
            <w:pPr>
              <w:ind w:left="180"/>
              <w:spacing w:after="0"/>
              <w:rPr>
                <w:sz w:val="20"/>
                <w:szCs w:val="20"/>
                <w:color w:val="auto"/>
              </w:rPr>
            </w:pPr>
            <w:r>
              <w:rPr>
                <w:rFonts w:ascii="Arial" w:cs="Arial" w:eastAsia="Arial" w:hAnsi="Arial"/>
                <w:sz w:val="18"/>
                <w:szCs w:val="18"/>
                <w:color w:val="auto"/>
              </w:rPr>
              <w:t>Includes Russia and the Caspian region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Revenue in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of $1.72 billion increased 2% sequentially due mainly to the Aker subsea acquisition driving growth in Brazil. Year on year, fourth-quarter revenue grew 6%, fueled by heightened sales of production systems and the impact of the acquired Aker subsea business. Increased intervention, stimulation, and drilling activity in Argentina also contributed to the year-on-year revenue growth.</w:t>
      </w:r>
    </w:p>
    <w:p>
      <w:pPr>
        <w:spacing w:after="0" w:line="15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$2.43 billion increased 16% sequentially mainly driven by the acquired Aker subsea business,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most of the sequential revenue growth, primarily in Scandinavia. The growth was further boosted by intensified offshore exploration, drilling, and production activity in the Angola, Central &amp; East Africa GeoUnit. Year on year, fourth-quarter revenue grew 18%, with revenue offshore Africa nearly doubling, driven by heightened exploration, drilling, and production activities. The Aker subsea business in the Scandinavia GeoUnit also contributed to the year-on-year revenue surge, offset in part by reduced revenue in Russia.</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Revenue in the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of $3.14 billion increased 11% sequentially fueled by robust activity growth in Saudi Arabia, the United Arab Emirates, Qatar, Egypt &amp; East Mediterranean, East Asia, and Oman GeoUnits. This increase was driven by higher drilling, intervention, stimulation, and evaluation activity, both on land and offshore. Year on year, fourth-quarter revenue increased 25%, propelled by significant growth in Saudi Arabia, the United Arab Emirates, Egypt &amp; East Mediterranean, Kuwait, Oman, and East Asia GeoUnits.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$1.64 billion was flat sequentially as reduced drilling activity in US land and Canada was offset by higher</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revenue in the US Gulf of Mexico. Offshore revenue increased as a result of higher subsea production systems sales and the acquisition of the Aker subsea business. Year on year, North America revenue was flat as reduced drilling activity in US land and lower APS project revenue in Canada were offset by higher revenue offshore.</w:t>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4"/>
                <w:szCs w:val="1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737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723</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288</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1,049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1,012</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356</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314</w:t>
            </w:r>
          </w:p>
        </w:tc>
        <w:tc>
          <w:tcPr>
            <w:tcW w:w="4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382</w:t>
            </w:r>
          </w:p>
        </w:tc>
        <w:tc>
          <w:tcPr>
            <w:tcW w:w="480" w:type="dxa"/>
            <w:vAlign w:val="bottom"/>
          </w:tcPr>
          <w:p>
            <w:pPr>
              <w:spacing w:after="0"/>
              <w:rPr>
                <w:sz w:val="17"/>
                <w:szCs w:val="17"/>
                <w:color w:val="auto"/>
              </w:rPr>
            </w:pP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34.0%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37.7%</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197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Digital &amp; Integration revenue of $1.05 billion increased 7% sequentially due to increased Digital revenue across all areas led by the Middle East &amp; Asia and Europe &amp; Africa, including higher exploration data sales in North America. Year on year, revenue increased 4% due to strong international growth in Digital revenue despite lower exploration data sales in the US Gulf of Mexico, due to licensing round delays, partially offset by lower APS revenue in Canada.</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Digital &amp; Integration pretax operating margin of 34% expanded 197 bps sequentially due to improved profitability in Digital. Year on year, pretax operating margin decreased 375 bps due to reduced profitability in APS, which was impacted by lower commodity prices in Canada.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4"/>
                <w:szCs w:val="1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w w:val="97"/>
              </w:rPr>
              <w:t>1,611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1,554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1,430</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123</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1,735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1,680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1,554</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371</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344</w:t>
            </w:r>
          </w:p>
        </w:tc>
        <w:tc>
          <w:tcPr>
            <w:tcW w:w="4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282</w:t>
            </w:r>
          </w:p>
        </w:tc>
        <w:tc>
          <w:tcPr>
            <w:tcW w:w="480" w:type="dxa"/>
            <w:vAlign w:val="bottom"/>
          </w:tcPr>
          <w:p>
            <w:pPr>
              <w:spacing w:after="0"/>
              <w:rPr>
                <w:sz w:val="17"/>
                <w:szCs w:val="17"/>
                <w:color w:val="auto"/>
              </w:rPr>
            </w:pP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21.4%</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18.2%</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88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319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Reservoir Performance revenue of $1.73 billion grew 3% sequentially primarily due to increased stimulation, intervention, and evaluation activity internationally, mainly in the Middle East and Africa. Strong growth occurred in Qatar and Saudi Arabia on higher evaluation and stimulation activity, respectively.</w:t>
      </w:r>
    </w:p>
    <w:p>
      <w:pPr>
        <w:spacing w:after="0" w:line="16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Year on year, revenue increased 12% across all international areas, led by the Middle East &amp; Asia and supported by higher evaluation, intervention, and stimulation activity.</w:t>
      </w:r>
    </w:p>
    <w:p>
      <w:pPr>
        <w:spacing w:after="0" w:line="15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Reservoir Performance pretax operating margin of 21% expanded 88 bps sequentially and 319 bps year on year, representing the highest level of pretax operating margin in this cycle. These increases were primarily driven by higher activity, pricing, and improved operating leverage across evaluation and stimulation. New technology deployment also contributed to the margin expansion, particularly in the Middle East and Europe.</w:t>
      </w:r>
    </w:p>
    <w:p>
      <w:pPr>
        <w:sectPr>
          <w:pgSz w:w="11900" w:h="16838" w:orient="portrait"/>
          <w:cols w:equalWidth="0" w:num="1">
            <w:col w:w="11020"/>
          </w:cols>
          <w:pgMar w:left="440" w:top="269"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448"/>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4"/>
                <w:szCs w:val="1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rPr>
              <w:t>2,748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2,707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2,522</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614</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652</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5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55</w:t>
            </w:r>
          </w:p>
        </w:tc>
        <w:tc>
          <w:tcPr>
            <w:tcW w:w="120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3,426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3,430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3,229</w:t>
            </w:r>
          </w:p>
        </w:tc>
        <w:tc>
          <w:tcPr>
            <w:tcW w:w="120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770</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759</w:t>
            </w:r>
          </w:p>
        </w:tc>
        <w:tc>
          <w:tcPr>
            <w:tcW w:w="4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679</w:t>
            </w:r>
          </w:p>
        </w:tc>
        <w:tc>
          <w:tcPr>
            <w:tcW w:w="480" w:type="dxa"/>
            <w:vAlign w:val="bottom"/>
          </w:tcPr>
          <w:p>
            <w:pPr>
              <w:spacing w:after="0"/>
              <w:rPr>
                <w:sz w:val="17"/>
                <w:szCs w:val="17"/>
                <w:color w:val="auto"/>
              </w:rPr>
            </w:pP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w w:val="98"/>
              </w:rPr>
              <w:t>22.472%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35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143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Well Construction revenue of $ 3.43 billion was flat sequentially with international growth being offset by a decline in North America revenue. International revenue increased 2% driven primarily by strong growth in the Middle East &amp; Asia and Africa. Year on year, revenue increased 6%, driven by strong growth in the Middle East &amp; Asia and Africa due to very strong measurements, fluids, and equipment sales activity. This increase was partially offset by declines in North America, Latin America, and Russia.</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Well Construction pretax operating margin of 22% expanded 35 bps sequentially driven by improved profitability from increased activity in the Middle East &amp; Asia and Africa. This was partially offset by the decline in activity in North America and the onset of seasonal effects in the Northern Hemisphere. Year on year, pretax operating margin expanded 143 bps with profitability improving in measurements and fluids as a result of higher activity in the Middle East &amp; Asia and Africa.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left="25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120" w:type="dxa"/>
            <w:vAlign w:val="bottom"/>
            <w:gridSpan w:val="2"/>
          </w:tcPr>
          <w:p>
            <w:pPr>
              <w:ind w:left="200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7"/>
              </w:rPr>
              <w:t>2,276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1,740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1,638</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31%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666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575</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2,944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2,367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2,215</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3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319</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238</w:t>
            </w:r>
          </w:p>
        </w:tc>
        <w:tc>
          <w:tcPr>
            <w:tcW w:w="4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b w:val="1"/>
                <w:bCs w:val="1"/>
                <w:color w:val="auto"/>
              </w:rPr>
              <w:t>38%</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10.8%</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153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426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Production Systems revenue of $ 2.94 billion increased 24% sequentially and 33% year on year, mainly due to the acquired Aker subsea business. Excluding the acquired Aker subsea business, revenue grew 4% sequentially and 11% year on year driven by strong international sales. Organic sequential growth was due to strong international sales of midstream, artificial lift, and subsea production systems, partially offset by reduced sales of completions. Organic year-on-year growth was driven by strong international sales of subsea production systems, completions, and artificial lift.</w:t>
      </w:r>
    </w:p>
    <w:p>
      <w:pPr>
        <w:spacing w:after="0" w:line="17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Production Systems pretax operating margin expanded 153 bps sequentially to 15%, its highest level in this cycle. The expansion was driven primarily by higher sales of midstream, artificial lift, and subsea production systems. Year on year, pretax operating margin expanded 426 bps led by improved profitability in completions, surface production systems, artificial lift, and subsea production systems and driven by an improved activity mix, pricing, and the easing of supply chain constraints.</w:t>
      </w:r>
    </w:p>
    <w:p>
      <w:pPr>
        <w:sectPr>
          <w:pgSz w:w="11900" w:h="16838" w:orient="portrait"/>
          <w:cols w:equalWidth="0" w:num="1">
            <w:col w:w="11020"/>
          </w:cols>
          <w:pgMar w:left="440" w:top="26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Contract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continues to win new contract awards that align with SLB’s core strengths, particularly in the international and offshore basins.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0" w:right="580" w:hanging="316"/>
        <w:spacing w:after="0" w:line="271"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Canada, offshore Newfoundland and Labrador, Cenovus Energy awarded SLB a five-year contract for well construction and associated services. SLB will provide drilling and completion fluid work in the West White Rose field.</w:t>
      </w:r>
    </w:p>
    <w:p>
      <w:pPr>
        <w:spacing w:after="0" w:line="59" w:lineRule="exact"/>
        <w:rPr>
          <w:rFonts w:ascii="Arial" w:cs="Arial" w:eastAsia="Arial" w:hAnsi="Arial"/>
          <w:sz w:val="18"/>
          <w:szCs w:val="18"/>
          <w:color w:val="auto"/>
        </w:rPr>
      </w:pPr>
    </w:p>
    <w:p>
      <w:pPr>
        <w:ind w:left="420" w:right="500" w:hanging="316"/>
        <w:spacing w:after="0" w:line="271"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Mexico, SLB was awarded two contracts covering a period of more than two years for our main customer in Mexico. The first contract is for wellheads and trees and the second is for mudline systems.</w:t>
      </w:r>
    </w:p>
    <w:p>
      <w:pPr>
        <w:spacing w:after="0" w:line="59" w:lineRule="exact"/>
        <w:rPr>
          <w:rFonts w:ascii="Arial" w:cs="Arial" w:eastAsia="Arial" w:hAnsi="Arial"/>
          <w:sz w:val="18"/>
          <w:szCs w:val="18"/>
          <w:color w:val="auto"/>
        </w:rPr>
      </w:pPr>
    </w:p>
    <w:p>
      <w:pPr>
        <w:ind w:left="420" w:right="100" w:hanging="316"/>
        <w:spacing w:after="0" w:line="24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Argentina, Energía Argentina awarded SLB a contract for valves for the Presidente Nestor Kirchner (GPNK) gas pipeline. The GPNK pipeline will increase the gas transport capacity from the Vaca Muerta gas field to consumption centers in northern Argentina. Additionally, due to strong performance, Energía Argentina awarded SLB an extension of the current contract for the northern gas pipeline reversion. The pipeline will replace 2.4 billion cubic meters per year of imported liquified natural gas and liquid fuels with Argentine fuels.</w:t>
      </w:r>
    </w:p>
    <w:p>
      <w:pPr>
        <w:spacing w:after="0" w:line="81" w:lineRule="exact"/>
        <w:rPr>
          <w:rFonts w:ascii="Arial" w:cs="Arial" w:eastAsia="Arial" w:hAnsi="Arial"/>
          <w:sz w:val="18"/>
          <w:szCs w:val="18"/>
          <w:color w:val="auto"/>
        </w:rPr>
      </w:pPr>
    </w:p>
    <w:p>
      <w:pPr>
        <w:ind w:left="420" w:right="140" w:hanging="316"/>
        <w:spacing w:after="0" w:line="24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Libya, Repsol awarded SLB and partner National Oil Wells Drilling &amp; Workover Company a contract for integrated well construction services. The contract scope includes project management and all drilling and well testing services, including SLB core and rig services and products. The contract is for two exploration wells plus one optional well. SLB will deploy its integration expertise and technology workflows with the objective of de-risking the exploration well delivery and improving the exploration and appraisal success rate for Repsol.</w:t>
      </w:r>
    </w:p>
    <w:p>
      <w:pPr>
        <w:spacing w:after="0" w:line="81" w:lineRule="exact"/>
        <w:rPr>
          <w:rFonts w:ascii="Arial" w:cs="Arial" w:eastAsia="Arial" w:hAnsi="Arial"/>
          <w:sz w:val="18"/>
          <w:szCs w:val="18"/>
          <w:color w:val="auto"/>
        </w:rPr>
      </w:pPr>
    </w:p>
    <w:p>
      <w:pPr>
        <w:ind w:left="420" w:right="20" w:hanging="316"/>
        <w:spacing w:after="0" w:line="242"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in Libya, Nafusah awarded SLB a three-year contract for the engineering, procurement, and commissioning (EPC), as well as startup and operations of an early production facility using one of SLB’s Production ExPRESS™ rapid production response solutions. Located in North Hamada Area 47, the project will be capable of processing up to 10,000 barrels of fluid per day. The Production ExPRESS design is a fit-for-purpose mobile and efficient solution that will allow Nafusah to acquire additional reservoir information and fast-track hydrocarbon production with a reduced capex over the additional EPC project’s design while preserving cash flow and continuous well deliverability.</w:t>
      </w:r>
    </w:p>
    <w:p>
      <w:pPr>
        <w:spacing w:after="0" w:line="84" w:lineRule="exact"/>
        <w:rPr>
          <w:rFonts w:ascii="Arial" w:cs="Arial" w:eastAsia="Arial" w:hAnsi="Arial"/>
          <w:sz w:val="18"/>
          <w:szCs w:val="18"/>
          <w:color w:val="auto"/>
        </w:rPr>
      </w:pPr>
    </w:p>
    <w:p>
      <w:pPr>
        <w:ind w:left="420" w:right="160" w:hanging="316"/>
        <w:spacing w:after="0" w:line="253"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Kingdom of Saudi Arabia, Saipem awarded SLB a contract for high-pressure shallow-water subsea Grove™ top entry ball valves, RING-O™ swing check valves, and LEDEEN™ actuators for the Qatif, Marjan, Abu Safah, and Safaniyah fields. The valves and actuators are to be installed in shallow-water subsea lines that are critical for permanent downhole monitoring.</w:t>
      </w:r>
    </w:p>
    <w:p>
      <w:pPr>
        <w:spacing w:after="0" w:line="74" w:lineRule="exact"/>
        <w:rPr>
          <w:rFonts w:ascii="Arial" w:cs="Arial" w:eastAsia="Arial" w:hAnsi="Arial"/>
          <w:sz w:val="18"/>
          <w:szCs w:val="18"/>
          <w:color w:val="auto"/>
        </w:rPr>
      </w:pPr>
    </w:p>
    <w:p>
      <w:pPr>
        <w:ind w:left="420" w:right="60" w:hanging="316"/>
        <w:spacing w:after="0" w:line="24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Kazakhstan, the national oil company subsidiary OzenMunaiGas awarded SLB a performance-based contract for rental of electric submersible pumps (ESP) and associated services for 150 wells in the Ozen Field. SLB will provide technological solutions to address challenges such as depleted reservoirs, scaling, corrosion, and paraffin deposition, while targeting an increase in production and equipment performance.</w:t>
      </w:r>
    </w:p>
    <w:p>
      <w:pPr>
        <w:spacing w:after="0" w:line="79" w:lineRule="exact"/>
        <w:rPr>
          <w:rFonts w:ascii="Arial" w:cs="Arial" w:eastAsia="Arial" w:hAnsi="Arial"/>
          <w:sz w:val="18"/>
          <w:szCs w:val="18"/>
          <w:color w:val="auto"/>
        </w:rPr>
      </w:pPr>
    </w:p>
    <w:p>
      <w:pPr>
        <w:ind w:left="420" w:right="60" w:hanging="316"/>
        <w:spacing w:after="0" w:line="24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Malaysia, PETRONAS Carigali Sdn Bhd (PCSB) awarded SLB a five-year contract to deploy coiled tubing drilling services on PCSB operations. PCSB aims to increase its efficiency and production, while simultaneously reducing emissions and cost. The contract will start with candidate studies, in which PCSB and SLB will collaborate to identify wells that are applicable for coiled tubing drilling operations.</w:t>
      </w:r>
    </w:p>
    <w:p>
      <w:pPr>
        <w:spacing w:after="0" w:line="79" w:lineRule="exact"/>
        <w:rPr>
          <w:rFonts w:ascii="Arial" w:cs="Arial" w:eastAsia="Arial" w:hAnsi="Arial"/>
          <w:sz w:val="18"/>
          <w:szCs w:val="18"/>
          <w:color w:val="auto"/>
        </w:rPr>
      </w:pPr>
    </w:p>
    <w:p>
      <w:pPr>
        <w:jc w:val="both"/>
        <w:ind w:left="420" w:right="140" w:hanging="316"/>
        <w:spacing w:after="0" w:line="253"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northwest China, Sinopec Northwest China Petroleum Bureau awarded SLB a contract for engineering analysis and a full suite of rotary steerable solutions for three extended reach wells. This followed a successful run in a 10,000-meter, high-temperature, highly deviated well.</w:t>
      </w:r>
    </w:p>
    <w:p>
      <w:pPr>
        <w:spacing w:after="0" w:line="74" w:lineRule="exact"/>
        <w:rPr>
          <w:rFonts w:ascii="Arial" w:cs="Arial" w:eastAsia="Arial" w:hAnsi="Arial"/>
          <w:sz w:val="18"/>
          <w:szCs w:val="18"/>
          <w:color w:val="auto"/>
        </w:rPr>
      </w:pPr>
    </w:p>
    <w:p>
      <w:pPr>
        <w:ind w:left="420" w:hanging="316"/>
        <w:spacing w:after="0" w:line="24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Australia, Woodside Energy contracted with the OneSubsea integrated field development group to identify the appropriate development concept for Phase 3 of the Julimar-Brunello project, adding a tieback for additional wells for production to the Wheatstone platform. The collaborative approach enabled the rapid creation of a compelling business case for advancing the project. The collaboration between Woodside and OneSubsea is an example of the OneSubsea Agile SPS development approach for subsea production systems, which facilitates efficient decision making and optimizes subsea development.</w:t>
      </w:r>
    </w:p>
    <w:p>
      <w:pPr>
        <w:sectPr>
          <w:pgSz w:w="11900" w:h="16838" w:orient="portrait"/>
          <w:cols w:equalWidth="0" w:num="1">
            <w:col w:w="11020"/>
          </w:cols>
          <w:pgMar w:left="440" w:top="26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0" w:right="60" w:hanging="316"/>
        <w:spacing w:after="0" w:line="24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Turkey, SLB and Zorlu Enerji deployed a Reda Thermal™ power-efficient geothermal ESP in the deepest and hottest condition for an ESP, with a pump setting depth of 1,700 meters and bottomhole temperature of 230°C. The ESP deployment enabled generation of 2.98 megawatts of zero-carbon electricity in a previously untapped well, a further achievement to the Kizildere geothermal power facility project in which Zorlu Enerji and SLB have completed more than 10 high-enthalpy geothermal wells with the Reda Thermal ESP technology.</w:t>
      </w:r>
    </w:p>
    <w:p>
      <w:pPr>
        <w:spacing w:after="0" w:line="81" w:lineRule="exact"/>
        <w:rPr>
          <w:rFonts w:ascii="Arial" w:cs="Arial" w:eastAsia="Arial" w:hAnsi="Arial"/>
          <w:sz w:val="18"/>
          <w:szCs w:val="18"/>
          <w:color w:val="auto"/>
        </w:rPr>
      </w:pPr>
    </w:p>
    <w:p>
      <w:pPr>
        <w:ind w:left="420" w:right="40" w:hanging="316"/>
        <w:spacing w:after="0" w:line="24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Libya, Mellitah Oil &amp; Gas awarded SLB a new stimulation campaign based on the application of the OneSTEP EF™ efficient, low-risk sandstone stimulation solution in three wells in the giant Bu Attifel Field. After stimulation of the three wells, total oil and gas production increased 180% and 140%, respectively. The simplified operations of OneSTEP EF resulted in 50% less fluid volume required for the stimulation job compared to conventional stimulation volumes, thereby increasing safety and reducing environmental impact with a smaller operational footprint and less volume of disposed fluid.</w:t>
      </w:r>
    </w:p>
    <w:p>
      <w:pPr>
        <w:spacing w:after="0" w:line="81" w:lineRule="exact"/>
        <w:rPr>
          <w:rFonts w:ascii="Arial" w:cs="Arial" w:eastAsia="Arial" w:hAnsi="Arial"/>
          <w:sz w:val="18"/>
          <w:szCs w:val="18"/>
          <w:color w:val="auto"/>
        </w:rPr>
      </w:pPr>
    </w:p>
    <w:p>
      <w:pPr>
        <w:ind w:left="420" w:right="60" w:hanging="316"/>
        <w:spacing w:after="0" w:line="242"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Indonesia, SLB provided well construction and reservoir performance services and the subsea landing string for the Geng North-1 exploration well located in Makassar Strait. The deployment of multiple SLB technologies enabled testing of the massive reservoir accurately and efficiently, with up to 88% savings in time compared to conventional technology. Deployment in the harsh high-pressure deepwater environment proved the robustness and value of these high-end technologies, which included the Saturn™ 3D radial probe with the InSitu Fluid Analyzer™ real-time downhole fluid analysis system and the subsequent deployment of multiple Symphony™ live downhole reservoir testing interfaces for the first time in Indonesia.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Decarbonization</w:t>
      </w:r>
    </w:p>
    <w:p>
      <w:pPr>
        <w:spacing w:after="0" w:line="10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SLB is focused on developing and implementing technologies that can reduce emissions and environmental impact with practical, quantifiably proven solutions both in our Core operations and in adjacent industries. An example includes the following:</w:t>
      </w:r>
    </w:p>
    <w:p>
      <w:pPr>
        <w:spacing w:after="0" w:line="59" w:lineRule="exact"/>
        <w:rPr>
          <w:sz w:val="20"/>
          <w:szCs w:val="20"/>
          <w:color w:val="auto"/>
        </w:rPr>
      </w:pPr>
    </w:p>
    <w:p>
      <w:pPr>
        <w:ind w:left="420" w:hanging="31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SLB End-to-end Emissions Solutions (SEES) has been selected by integrated energy company Eni to deliver comprehensive fugitive methane emissions measurement and reporting plans for Eni’s global operating facilities. The project, which is already in progress, aligns with the reporting standards of the Oil &amp; Gas Methane Partnership 2.0—the flagship methane reporting and mitigation program of the United Nations Environment Programme. It aims to provide Eni with an accurate account of its fugitive methane emissions for transparent reporting purposes and to inform Eni’s strategic efforts to reduce fugitive emissions. Methane is a potent greenhouse gas that has a climate change impact up to 84 times greater than carbon dioxide over a 20-year timescale and represents about half of the oil and gas sector’s operational emissions.</w:t>
      </w:r>
    </w:p>
    <w:p>
      <w:pPr>
        <w:sectPr>
          <w:pgSz w:w="11900" w:h="16838" w:orient="portrait"/>
          <w:cols w:equalWidth="0" w:num="1">
            <w:col w:w="11000"/>
          </w:cols>
          <w:pgMar w:left="440" w:top="26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SLB is deploying digital technology at scale, partnering with customers to migrate their technology and workflows into the cloud, embrace new AI-enabled capabilities, and leverage insights to elevate their performance. Notable highlights include the following:</w:t>
      </w:r>
    </w:p>
    <w:p>
      <w:pPr>
        <w:spacing w:after="0" w:line="59" w:lineRule="exact"/>
        <w:rPr>
          <w:sz w:val="20"/>
          <w:szCs w:val="20"/>
          <w:color w:val="auto"/>
        </w:rPr>
      </w:pPr>
    </w:p>
    <w:p>
      <w:pPr>
        <w:ind w:left="420" w:right="40" w:hanging="316"/>
        <w:spacing w:after="0" w:line="24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and Geminus AI announced an investment and technology partnership agreement to deploy the first physics-informed AI model builder for oil and gas operations. The Geminus model builder fuses physics-based approaches with process data to produce highly accurate AI models that can be deployed at scale, far faster and at much lower cost than traditional AI approaches. Data scientists and modeling engineers can use the platform to predict the behavior of complex reservoir systems and make informed real-time decisions.</w:t>
      </w:r>
    </w:p>
    <w:p>
      <w:pPr>
        <w:spacing w:after="0" w:line="81" w:lineRule="exact"/>
        <w:rPr>
          <w:rFonts w:ascii="Arial" w:cs="Arial" w:eastAsia="Arial" w:hAnsi="Arial"/>
          <w:sz w:val="18"/>
          <w:szCs w:val="18"/>
          <w:color w:val="auto"/>
        </w:rPr>
      </w:pPr>
    </w:p>
    <w:p>
      <w:pPr>
        <w:ind w:left="420" w:hanging="316"/>
        <w:spacing w:after="0" w:line="245"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and Nabors Industries announced a collaboration to scale the adoption of automated drilling solutions for oil and gas operators and drilling contractors. The agreement will enable customers to seamlessly integrate the companies’ drilling automation applications and rig operating systems to deliver improved well construction performance and efficiency. The new integration provides customers with access to a broader suite of drilling automation technologies and greater flexibility to utilize their existing rig control systems and equipment on either SLB’s PRECISE™ or Nabors’ SmartROS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rig operating systems.</w:t>
      </w:r>
    </w:p>
    <w:p>
      <w:pPr>
        <w:spacing w:after="0" w:line="1" w:lineRule="exact"/>
        <w:rPr>
          <w:rFonts w:ascii="Arial" w:cs="Arial" w:eastAsia="Arial" w:hAnsi="Arial"/>
          <w:sz w:val="18"/>
          <w:szCs w:val="18"/>
          <w:color w:val="auto"/>
        </w:rPr>
      </w:pPr>
    </w:p>
    <w:p>
      <w:pPr>
        <w:ind w:left="420" w:right="40" w:hanging="316"/>
        <w:spacing w:after="0" w:line="259"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Azule Energy, a joint venture of bp and Eni Angola, the largest independent energy producer in Angola, has awarded SLB a contract to deploy the Delfi digital platform. The contract scope covers the digital transformation of Azule across exploration and production operations, including moving subsurface workflows to the cloud. Azule is targeting improvements in business operations and productivity by using AI and machine learning to drive increased insights from data, accelerating workflows and decision-making.</w:t>
      </w:r>
    </w:p>
    <w:p>
      <w:pPr>
        <w:spacing w:after="0" w:line="69" w:lineRule="exact"/>
        <w:rPr>
          <w:rFonts w:ascii="Arial" w:cs="Arial" w:eastAsia="Arial" w:hAnsi="Arial"/>
          <w:sz w:val="17"/>
          <w:szCs w:val="17"/>
          <w:color w:val="auto"/>
        </w:rPr>
      </w:pPr>
    </w:p>
    <w:p>
      <w:pPr>
        <w:ind w:left="420" w:right="160" w:hanging="316"/>
        <w:spacing w:after="0" w:line="25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Colombia, Lewis Energy Colombia Inc. awarded SLB a three-year software-as-a-service contract to deploy the Delfi digital platform. Lewis will migrate and integrate data from Studio™ E&amp;P knowledge software into digital subsurface workflows in the Delfi platform to improve the performance and efficiency of its operations and enable effective responses to daily challenges.</w:t>
      </w:r>
    </w:p>
    <w:p>
      <w:pPr>
        <w:spacing w:after="0" w:line="74" w:lineRule="exact"/>
        <w:rPr>
          <w:rFonts w:ascii="Arial" w:cs="Arial" w:eastAsia="Arial" w:hAnsi="Arial"/>
          <w:sz w:val="18"/>
          <w:szCs w:val="18"/>
          <w:color w:val="auto"/>
        </w:rPr>
      </w:pPr>
    </w:p>
    <w:p>
      <w:pPr>
        <w:ind w:left="420" w:right="100" w:hanging="316"/>
        <w:spacing w:after="0" w:line="24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Kuwait, the Kuwait Drilling Company (KDC) entered into a contract with SLB to deploy the DrillPlan™ coherent well design and engineering solution on Delfi as the planning environment for its directional drilling services. The DrillPlan solution enables KDC to produce better drilling plans quickly and efficiently by using AI, machine learning, and the high-performance computing environment on the cloud.</w:t>
      </w:r>
    </w:p>
    <w:p>
      <w:pPr>
        <w:spacing w:after="0" w:line="79" w:lineRule="exact"/>
        <w:rPr>
          <w:rFonts w:ascii="Arial" w:cs="Arial" w:eastAsia="Arial" w:hAnsi="Arial"/>
          <w:sz w:val="18"/>
          <w:szCs w:val="18"/>
          <w:color w:val="auto"/>
        </w:rPr>
      </w:pPr>
    </w:p>
    <w:p>
      <w:pPr>
        <w:ind w:left="420" w:right="140" w:hanging="316"/>
        <w:spacing w:after="0" w:line="242"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in Kuwait, Kuwait Oil Company (KOC) partnered with SLB INNOVATION FACTORI to develop and deploy AI and machine learning-based drilling, production, and subsurface workflows for its multiple assets utilizing Dataiku’s AI platform and SLB Petrel™ subsurface software and Techlog™ wellbore software. SLB and KOC worked together to develop a novel process to automate mud loss analysis and forecast potential losses and their severity in planned wells, using machine learning. This predictive capability reduces nonproductive time and mitigates associated costs for well control, including rig expenses, lost circulation material, and cement plugs.</w:t>
      </w:r>
    </w:p>
    <w:p>
      <w:pPr>
        <w:sectPr>
          <w:pgSz w:w="11900" w:h="16838" w:orient="portrait"/>
          <w:cols w:equalWidth="0" w:num="1">
            <w:col w:w="10980"/>
          </w:cols>
          <w:pgMar w:left="440" w:top="26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ENERGY</w:t>
      </w:r>
    </w:p>
    <w:p>
      <w:pPr>
        <w:spacing w:after="0" w:line="104"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0" w:right="60" w:hanging="316"/>
        <w:spacing w:after="0" w:line="24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North Sea, SLB and Northern Lights Joint Venture have signed a memorandum of understanding with Microsoft to optimize integrated cloud-based workflows for the operation of Northern Lights, one of the first CO</w:t>
      </w:r>
      <w:r>
        <w:rPr>
          <w:rFonts w:ascii="Arial" w:cs="Arial" w:eastAsia="Arial" w:hAnsi="Arial"/>
          <w:sz w:val="13"/>
          <w:szCs w:val="13"/>
          <w:color w:val="auto"/>
        </w:rPr>
        <w:t>2</w:t>
      </w:r>
      <w:r>
        <w:rPr>
          <w:rFonts w:ascii="Arial" w:cs="Arial" w:eastAsia="Arial" w:hAnsi="Arial"/>
          <w:sz w:val="18"/>
          <w:szCs w:val="18"/>
          <w:color w:val="auto"/>
        </w:rPr>
        <w:t xml:space="preserve"> transport and storage providers for cross-border carbon capture and storage (CCS). The collaboration will contribute to the development of scalable and cost-efficient digital solutions for the emerging CCS industry. In the initial phases of the collaboration, SLB will extend its digital CCS workflows and numerical simulation systems on Delfi, which was deployed to streamline the subsurface workflows of Northern Lights in 2022.</w:t>
      </w:r>
    </w:p>
    <w:p>
      <w:pPr>
        <w:spacing w:after="0" w:line="81" w:lineRule="exact"/>
        <w:rPr>
          <w:rFonts w:ascii="Arial" w:cs="Arial" w:eastAsia="Arial" w:hAnsi="Arial"/>
          <w:sz w:val="18"/>
          <w:szCs w:val="18"/>
          <w:color w:val="auto"/>
        </w:rPr>
      </w:pPr>
    </w:p>
    <w:p>
      <w:pPr>
        <w:ind w:left="420" w:right="100" w:hanging="316"/>
        <w:spacing w:after="0" w:line="24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United Arab Emirates, Sharjah National Oil Corporation awarded SLB a CCS consultancy project with the objective to inject CO</w:t>
      </w:r>
      <w:r>
        <w:rPr>
          <w:rFonts w:ascii="Arial" w:cs="Arial" w:eastAsia="Arial" w:hAnsi="Arial"/>
          <w:sz w:val="13"/>
          <w:szCs w:val="13"/>
          <w:color w:val="auto"/>
        </w:rPr>
        <w:t>2</w:t>
      </w:r>
      <w:r>
        <w:rPr>
          <w:rFonts w:ascii="Arial" w:cs="Arial" w:eastAsia="Arial" w:hAnsi="Arial"/>
          <w:sz w:val="18"/>
          <w:szCs w:val="18"/>
          <w:color w:val="auto"/>
        </w:rPr>
        <w:t xml:space="preserve"> and other gases into mature onshore Sharjah gas fields. SLB will leverage its storage site evaluation solution, which incorporates measurement, monitoring, and verification planning, and will apply SLB technical expertise and experience in reservoir management and subsurface technologies to evaluate capacity, injectivity, and containment. The project will assess the carbon storage potential for reliability, economics, and sustainability and provide consultation on the injection and monitoring strategy.</w:t>
      </w:r>
    </w:p>
    <w:p>
      <w:pPr>
        <w:spacing w:after="0" w:line="81"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Japan, INPEX and JOGMEC completed a carbon capture, utilization, and storage pilot test in the Minami-aga depleted oil and gas field with SLB technology providing support for two injection wells and a short-term injection test. In the drilling phase, Sonic Scanner™ acoustic scanning platform and MDT™ modular formation dynamics testing data were instrumental in containment evaluation, and WellWatcher™ permanent monitoring systems were deployed. For the injection test, SLB designed and executed CO</w:t>
      </w:r>
      <w:r>
        <w:rPr>
          <w:rFonts w:ascii="Arial" w:cs="Arial" w:eastAsia="Arial" w:hAnsi="Arial"/>
          <w:sz w:val="13"/>
          <w:szCs w:val="13"/>
          <w:color w:val="auto"/>
        </w:rPr>
        <w:t>2</w:t>
      </w:r>
      <w:r>
        <w:rPr>
          <w:rFonts w:ascii="Arial" w:cs="Arial" w:eastAsia="Arial" w:hAnsi="Arial"/>
          <w:sz w:val="18"/>
          <w:szCs w:val="18"/>
          <w:color w:val="auto"/>
        </w:rPr>
        <w:t xml:space="preserve"> pumping and delivered integrated services for coiled tubing, surface testing, and cased-hole wireline logging. The Pulsar™ multifunction spectroscopy service was employed for near-wellbore CO</w:t>
      </w:r>
      <w:r>
        <w:rPr>
          <w:rFonts w:ascii="Arial" w:cs="Arial" w:eastAsia="Arial" w:hAnsi="Arial"/>
          <w:sz w:val="13"/>
          <w:szCs w:val="13"/>
          <w:color w:val="auto"/>
        </w:rPr>
        <w:t>2</w:t>
      </w:r>
      <w:r>
        <w:rPr>
          <w:rFonts w:ascii="Arial" w:cs="Arial" w:eastAsia="Arial" w:hAnsi="Arial"/>
          <w:sz w:val="18"/>
          <w:szCs w:val="18"/>
          <w:color w:val="auto"/>
        </w:rPr>
        <w:t xml:space="preserve"> monitoring. Before and after CO</w:t>
      </w:r>
      <w:r>
        <w:rPr>
          <w:rFonts w:ascii="Arial" w:cs="Arial" w:eastAsia="Arial" w:hAnsi="Arial"/>
          <w:sz w:val="13"/>
          <w:szCs w:val="13"/>
          <w:color w:val="auto"/>
        </w:rPr>
        <w:t>2</w:t>
      </w:r>
      <w:r>
        <w:rPr>
          <w:rFonts w:ascii="Arial" w:cs="Arial" w:eastAsia="Arial" w:hAnsi="Arial"/>
          <w:sz w:val="18"/>
          <w:szCs w:val="18"/>
          <w:color w:val="auto"/>
        </w:rPr>
        <w:t xml:space="preserve"> injection, an Optiq™ fiber-optic solutions workflow was used for temperature and acoustic monitoring.</w:t>
      </w:r>
    </w:p>
    <w:p>
      <w:pPr>
        <w:sectPr>
          <w:pgSz w:w="11900" w:h="16838" w:orient="portrait"/>
          <w:cols w:equalWidth="0" w:num="1">
            <w:col w:w="10980"/>
          </w:cols>
          <w:pgMar w:left="440" w:top="269"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0" w:type="dxa"/>
            <w:vAlign w:val="bottom"/>
            <w:gridSpan w:val="13"/>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100" w:type="dxa"/>
            <w:vAlign w:val="bottom"/>
          </w:tcPr>
          <w:p>
            <w:pPr>
              <w:spacing w:after="0"/>
              <w:rPr>
                <w:sz w:val="14"/>
                <w:szCs w:val="14"/>
                <w:color w:val="auto"/>
              </w:rPr>
            </w:pPr>
          </w:p>
        </w:tc>
        <w:tc>
          <w:tcPr>
            <w:tcW w:w="1360" w:type="dxa"/>
            <w:vAlign w:val="bottom"/>
            <w:gridSpan w:val="5"/>
          </w:tcPr>
          <w:p>
            <w:pPr>
              <w:ind w:left="80"/>
              <w:spacing w:after="0"/>
              <w:rPr>
                <w:sz w:val="20"/>
                <w:szCs w:val="20"/>
                <w:color w:val="auto"/>
              </w:rPr>
            </w:pPr>
            <w:r>
              <w:rPr>
                <w:rFonts w:ascii="Arial" w:cs="Arial" w:eastAsia="Arial" w:hAnsi="Arial"/>
                <w:sz w:val="14"/>
                <w:szCs w:val="14"/>
                <w:color w:val="auto"/>
              </w:rPr>
              <w:t>Fourth Quarter</w:t>
            </w:r>
          </w:p>
        </w:tc>
        <w:tc>
          <w:tcPr>
            <w:tcW w:w="100" w:type="dxa"/>
            <w:vAlign w:val="bottom"/>
          </w:tcPr>
          <w:p>
            <w:pPr>
              <w:spacing w:after="0"/>
              <w:rPr>
                <w:sz w:val="14"/>
                <w:szCs w:val="14"/>
                <w:color w:val="auto"/>
              </w:rPr>
            </w:pPr>
          </w:p>
        </w:tc>
        <w:tc>
          <w:tcPr>
            <w:tcW w:w="1440" w:type="dxa"/>
            <w:vAlign w:val="bottom"/>
            <w:gridSpan w:val="6"/>
          </w:tcPr>
          <w:p>
            <w:pPr>
              <w:ind w:left="16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62"/>
        </w:trPr>
        <w:tc>
          <w:tcPr>
            <w:tcW w:w="802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2022</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8,990</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7,879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33,135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28,091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7,194</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6,308</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26,572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22,930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and integration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Income before taxes </w:t>
            </w:r>
            <w:r>
              <w:rPr>
                <w:rFonts w:ascii="Arial" w:cs="Arial" w:eastAsia="Arial" w:hAnsi="Arial"/>
                <w:sz w:val="23"/>
                <w:szCs w:val="23"/>
                <w:color w:val="auto"/>
                <w:vertAlign w:val="superscript"/>
              </w:rPr>
              <w:t>(1)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1,347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5,282</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284</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97"/>
              </w:rPr>
              <w:t>1,149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7"/>
              </w:rPr>
              <w:t>1,083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4,275</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SLB </w:t>
            </w:r>
            <w:r>
              <w:rPr>
                <w:rFonts w:ascii="Arial" w:cs="Arial" w:eastAsia="Arial" w:hAnsi="Arial"/>
                <w:sz w:val="23"/>
                <w:szCs w:val="23"/>
                <w:color w:val="auto"/>
                <w:vertAlign w:val="superscript"/>
              </w:rPr>
              <w:t>(1)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1,113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1,065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4,203</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Diluted earnings per share of SLB </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0.77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97"/>
              </w:rPr>
              <w:t>1,429</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7"/>
              </w:rPr>
              <w:t>1,420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1,425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1,446</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1,442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1,443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Depreciation &amp; amortization included in expenses </w:t>
            </w:r>
            <w:r>
              <w:rPr>
                <w:rFonts w:ascii="Arial" w:cs="Arial" w:eastAsia="Arial" w:hAnsi="Arial"/>
                <w:sz w:val="22"/>
                <w:szCs w:val="22"/>
                <w:color w:val="auto"/>
                <w:vertAlign w:val="superscript"/>
              </w:rPr>
              <w:t>(2)</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609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2,312</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left="5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94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9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3,989</w:t>
            </w:r>
          </w:p>
        </w:tc>
        <w:tc>
          <w:tcPr>
            <w:tcW w:w="240" w:type="dxa"/>
            <w:vAlign w:val="bottom"/>
            <w:gridSpan w:val="2"/>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3"/>
        </w:trPr>
        <w:tc>
          <w:tcPr>
            <w:tcW w:w="9480" w:type="dxa"/>
            <w:vAlign w:val="bottom"/>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7,812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4,387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0"/>
        </w:trPr>
        <w:tc>
          <w:tcPr>
            <w:tcW w:w="9480" w:type="dxa"/>
            <w:vAlign w:val="bottom"/>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17,718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15,003</w:t>
            </w:r>
          </w:p>
        </w:tc>
        <w:tc>
          <w:tcPr>
            <w:tcW w:w="0" w:type="dxa"/>
            <w:vAlign w:val="bottom"/>
          </w:tcPr>
          <w:p>
            <w:pPr>
              <w:spacing w:after="0"/>
              <w:rPr>
                <w:sz w:val="1"/>
                <w:szCs w:val="1"/>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7,240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14,084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12,982</w:t>
            </w: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3,239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9"/>
        </w:trPr>
        <w:tc>
          <w:tcPr>
            <w:tcW w:w="94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47,957</w:t>
            </w:r>
          </w:p>
        </w:tc>
        <w:tc>
          <w:tcPr>
            <w:tcW w:w="240" w:type="dxa"/>
            <w:vAlign w:val="bottom"/>
            <w:gridSpan w:val="2"/>
            <w:shd w:val="clear" w:color="auto" w:fill="CCEEFF"/>
          </w:tcPr>
          <w:p>
            <w:pPr>
              <w:jc w:val="center"/>
              <w:ind w:left="50"/>
              <w:spacing w:after="0" w:line="202" w:lineRule="exact"/>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43,135</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10,904</w:t>
            </w:r>
          </w:p>
        </w:tc>
        <w:tc>
          <w:tcPr>
            <w:tcW w:w="2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3"/>
        </w:trPr>
        <w:tc>
          <w:tcPr>
            <w:tcW w:w="948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9"/>
        </w:trPr>
        <w:tc>
          <w:tcPr>
            <w:tcW w:w="9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13,395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10,842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10,594</w:t>
            </w:r>
          </w:p>
        </w:tc>
        <w:tc>
          <w:tcPr>
            <w:tcW w:w="0" w:type="dxa"/>
            <w:vAlign w:val="bottom"/>
          </w:tcPr>
          <w:p>
            <w:pPr>
              <w:spacing w:after="0"/>
              <w:rPr>
                <w:sz w:val="1"/>
                <w:szCs w:val="1"/>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2,186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9"/>
        </w:trPr>
        <w:tc>
          <w:tcPr>
            <w:tcW w:w="9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26,598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21,359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17,989</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47,957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154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6500" w:type="dxa"/>
            <w:vAlign w:val="bottom"/>
            <w:gridSpan w:val="2"/>
            <w:vMerge w:val="restart"/>
          </w:tcPr>
          <w:p>
            <w:pPr>
              <w:spacing w:after="0"/>
              <w:rPr>
                <w:sz w:val="14"/>
                <w:szCs w:val="14"/>
                <w:color w:val="auto"/>
              </w:rPr>
            </w:pPr>
          </w:p>
        </w:tc>
        <w:tc>
          <w:tcPr>
            <w:tcW w:w="10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14"/>
                <w:szCs w:val="14"/>
                <w:color w:val="auto"/>
              </w:rPr>
            </w:pPr>
          </w:p>
        </w:tc>
        <w:tc>
          <w:tcPr>
            <w:tcW w:w="960" w:type="dxa"/>
            <w:vAlign w:val="bottom"/>
            <w:gridSpan w:val="5"/>
          </w:tcPr>
          <w:p>
            <w:pPr>
              <w:jc w:val="right"/>
              <w:ind w:right="241"/>
              <w:spacing w:after="0"/>
              <w:rPr>
                <w:sz w:val="20"/>
                <w:szCs w:val="20"/>
                <w:color w:val="auto"/>
              </w:rPr>
            </w:pPr>
            <w:r>
              <w:rPr>
                <w:rFonts w:ascii="Arial" w:cs="Arial" w:eastAsia="Arial" w:hAnsi="Arial"/>
                <w:sz w:val="14"/>
                <w:szCs w:val="14"/>
                <w:color w:val="auto"/>
              </w:rPr>
              <w:t>Sept. 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61"/>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6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35"/>
              <w:spacing w:after="0" w:line="158"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15"/>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52"/>
              <w:spacing w:after="0" w:line="158"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3,989</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3,735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2,894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Pr>
          <w:p>
            <w:pPr>
              <w:spacing w:after="0"/>
              <w:rPr>
                <w:sz w:val="17"/>
                <w:szCs w:val="17"/>
                <w:color w:val="auto"/>
              </w:rPr>
            </w:pPr>
          </w:p>
        </w:tc>
        <w:tc>
          <w:tcPr>
            <w:tcW w:w="940" w:type="dxa"/>
            <w:vAlign w:val="bottom"/>
            <w:gridSpan w:val="3"/>
          </w:tcPr>
          <w:p>
            <w:pPr>
              <w:jc w:val="right"/>
              <w:ind w:right="170"/>
              <w:spacing w:after="0" w:line="202" w:lineRule="exact"/>
              <w:rPr>
                <w:sz w:val="20"/>
                <w:szCs w:val="20"/>
                <w:color w:val="auto"/>
              </w:rPr>
            </w:pPr>
            <w:r>
              <w:rPr>
                <w:rFonts w:ascii="Arial" w:cs="Arial" w:eastAsia="Arial" w:hAnsi="Arial"/>
                <w:sz w:val="18"/>
                <w:szCs w:val="18"/>
                <w:b w:val="1"/>
                <w:bCs w:val="1"/>
                <w:color w:val="auto"/>
              </w:rPr>
              <w:t>(1,123)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w w:val="98"/>
              </w:rPr>
              <w:t>(10,842)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(10,594)</w:t>
            </w:r>
          </w:p>
        </w:tc>
        <w:tc>
          <w:tcPr>
            <w:tcW w:w="0" w:type="dxa"/>
            <w:vAlign w:val="bottom"/>
          </w:tcPr>
          <w:p>
            <w:pPr>
              <w:spacing w:after="0"/>
              <w:rPr>
                <w:sz w:val="1"/>
                <w:szCs w:val="1"/>
                <w:color w:val="auto"/>
              </w:rPr>
            </w:pPr>
          </w:p>
        </w:tc>
      </w:tr>
      <w:tr>
        <w:trPr>
          <w:trHeight w:val="209"/>
        </w:trPr>
        <w:tc>
          <w:tcPr>
            <w:tcW w:w="8040" w:type="dxa"/>
            <w:vAlign w:val="bottom"/>
            <w:gridSpan w:val="3"/>
          </w:tcPr>
          <w:p>
            <w:pPr>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(7,976</w:t>
            </w:r>
          </w:p>
        </w:tc>
        <w:tc>
          <w:tcPr>
            <w:tcW w:w="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Twelve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61"/>
              <w:spacing w:after="0"/>
              <w:rPr>
                <w:sz w:val="20"/>
                <w:szCs w:val="20"/>
                <w:color w:val="auto"/>
              </w:rPr>
            </w:pPr>
            <w:r>
              <w:rPr>
                <w:rFonts w:ascii="Arial" w:cs="Arial" w:eastAsia="Arial" w:hAnsi="Arial"/>
                <w:sz w:val="14"/>
                <w:szCs w:val="14"/>
                <w:color w:val="auto"/>
              </w:rPr>
              <w:t>Twelve</w:t>
            </w:r>
          </w:p>
        </w:tc>
        <w:tc>
          <w:tcPr>
            <w:tcW w:w="0" w:type="dxa"/>
            <w:vAlign w:val="bottom"/>
          </w:tcPr>
          <w:p>
            <w:pPr>
              <w:spacing w:after="0"/>
              <w:rPr>
                <w:sz w:val="1"/>
                <w:szCs w:val="1"/>
                <w:color w:val="auto"/>
              </w:rPr>
            </w:pPr>
          </w:p>
        </w:tc>
      </w:tr>
      <w:tr>
        <w:trPr>
          <w:trHeight w:val="162"/>
        </w:trPr>
        <w:tc>
          <w:tcPr>
            <w:tcW w:w="804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65"/>
        </w:trPr>
        <w:tc>
          <w:tcPr>
            <w:tcW w:w="8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211"/>
              <w:spacing w:after="0" w:line="158"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left="151"/>
              <w:spacing w:after="0" w:line="158"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2"/>
              <w:spacing w:after="0" w:line="158"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$ 4,275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ind w:right="61"/>
              <w:spacing w:after="0" w:line="202" w:lineRule="exact"/>
              <w:rPr>
                <w:sz w:val="20"/>
                <w:szCs w:val="20"/>
                <w:color w:val="auto"/>
              </w:rPr>
            </w:pPr>
            <w:r>
              <w:rPr>
                <w:rFonts w:ascii="Arial" w:cs="Arial" w:eastAsia="Arial" w:hAnsi="Arial"/>
                <w:sz w:val="18"/>
                <w:szCs w:val="18"/>
                <w:b w:val="1"/>
                <w:bCs w:val="1"/>
                <w:color w:val="auto"/>
              </w:rPr>
              <w:t>$ 1,149</w:t>
            </w:r>
          </w:p>
        </w:tc>
        <w:tc>
          <w:tcPr>
            <w:tcW w:w="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rPr>
              <w:t>609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ind w:right="61"/>
              <w:spacing w:after="0" w:line="202" w:lineRule="exact"/>
              <w:rPr>
                <w:sz w:val="20"/>
                <w:szCs w:val="20"/>
                <w:color w:val="auto"/>
              </w:rPr>
            </w:pPr>
            <w:r>
              <w:rPr>
                <w:rFonts w:ascii="Arial" w:cs="Arial" w:eastAsia="Arial" w:hAnsi="Arial"/>
                <w:sz w:val="18"/>
                <w:szCs w:val="18"/>
                <w:b w:val="1"/>
                <w:bCs w:val="1"/>
                <w:color w:val="auto"/>
              </w:rPr>
              <w:t>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 in working capital</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(215)</w:t>
            </w:r>
          </w:p>
        </w:tc>
        <w:tc>
          <w:tcPr>
            <w:tcW w:w="860" w:type="dxa"/>
            <w:vAlign w:val="bottom"/>
            <w:gridSpan w:val="4"/>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rPr>
              <w:t>1,138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US federal tax refund</w:t>
            </w:r>
          </w:p>
        </w:tc>
        <w:tc>
          <w:tcPr>
            <w:tcW w:w="12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ind w:right="61"/>
              <w:spacing w:after="0" w:line="202" w:lineRule="exact"/>
              <w:rPr>
                <w:sz w:val="20"/>
                <w:szCs w:val="20"/>
                <w:color w:val="auto"/>
              </w:rPr>
            </w:pPr>
            <w:r>
              <w:rPr>
                <w:rFonts w:ascii="Arial" w:cs="Arial" w:eastAsia="Arial" w:hAnsi="Arial"/>
                <w:sz w:val="18"/>
                <w:szCs w:val="18"/>
                <w:b w:val="1"/>
                <w:bCs w:val="1"/>
                <w:color w:val="auto"/>
              </w:rPr>
              <w:t>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(180)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Cash flow from operations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(1,939)</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(594)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APS investments</w:t>
            </w:r>
          </w:p>
        </w:tc>
        <w:tc>
          <w:tcPr>
            <w:tcW w:w="120" w:type="dxa"/>
            <w:vAlign w:val="bottom"/>
          </w:tcPr>
          <w:p>
            <w:pPr>
              <w:spacing w:after="0"/>
              <w:rPr>
                <w:sz w:val="17"/>
                <w:szCs w:val="17"/>
                <w:color w:val="auto"/>
              </w:rPr>
            </w:pPr>
          </w:p>
        </w:tc>
        <w:tc>
          <w:tcPr>
            <w:tcW w:w="106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rPr>
              <w:t>(507)</w:t>
            </w:r>
          </w:p>
        </w:tc>
        <w:tc>
          <w:tcPr>
            <w:tcW w:w="860" w:type="dxa"/>
            <w:vAlign w:val="bottom"/>
            <w:gridSpan w:val="4"/>
          </w:tcPr>
          <w:p>
            <w:pPr>
              <w:jc w:val="right"/>
              <w:ind w:right="1"/>
              <w:spacing w:after="0" w:line="202" w:lineRule="exact"/>
              <w:rPr>
                <w:sz w:val="20"/>
                <w:szCs w:val="20"/>
                <w:color w:val="auto"/>
              </w:rPr>
            </w:pPr>
            <w:r>
              <w:rPr>
                <w:rFonts w:ascii="Arial" w:cs="Arial" w:eastAsia="Arial" w:hAnsi="Arial"/>
                <w:sz w:val="18"/>
                <w:szCs w:val="18"/>
                <w:b w:val="1"/>
                <w:bCs w:val="1"/>
                <w:color w:val="auto"/>
              </w:rPr>
              <w:t>(116)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color w:val="auto"/>
                <w:vertAlign w:val="superscript"/>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(1,317)</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(356)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Stock repurchase program</w:t>
            </w:r>
          </w:p>
        </w:tc>
        <w:tc>
          <w:tcPr>
            <w:tcW w:w="120" w:type="dxa"/>
            <w:vAlign w:val="bottom"/>
          </w:tcPr>
          <w:p>
            <w:pPr>
              <w:spacing w:after="0"/>
              <w:rPr>
                <w:sz w:val="17"/>
                <w:szCs w:val="17"/>
                <w:color w:val="auto"/>
              </w:rPr>
            </w:pPr>
          </w:p>
        </w:tc>
        <w:tc>
          <w:tcPr>
            <w:tcW w:w="106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rPr>
              <w:t>(694)</w:t>
            </w:r>
          </w:p>
        </w:tc>
        <w:tc>
          <w:tcPr>
            <w:tcW w:w="860" w:type="dxa"/>
            <w:vAlign w:val="bottom"/>
            <w:gridSpan w:val="4"/>
          </w:tcPr>
          <w:p>
            <w:pPr>
              <w:jc w:val="right"/>
              <w:ind w:right="1"/>
              <w:spacing w:after="0" w:line="202" w:lineRule="exact"/>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120" w:type="dxa"/>
            <w:vAlign w:val="bottom"/>
          </w:tcPr>
          <w:p>
            <w:pPr>
              <w:spacing w:after="0"/>
              <w:rPr>
                <w:sz w:val="17"/>
                <w:szCs w:val="17"/>
                <w:color w:val="auto"/>
              </w:rPr>
            </w:pPr>
          </w:p>
        </w:tc>
        <w:tc>
          <w:tcPr>
            <w:tcW w:w="106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rPr>
              <w:t>(330)</w:t>
            </w:r>
          </w:p>
        </w:tc>
        <w:tc>
          <w:tcPr>
            <w:tcW w:w="860" w:type="dxa"/>
            <w:vAlign w:val="bottom"/>
            <w:gridSpan w:val="4"/>
          </w:tcPr>
          <w:p>
            <w:pPr>
              <w:jc w:val="right"/>
              <w:ind w:right="1"/>
              <w:spacing w:after="0" w:line="202" w:lineRule="exact"/>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ADC shares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61"/>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real estate</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120" w:type="dxa"/>
            <w:vAlign w:val="bottom"/>
          </w:tcPr>
          <w:p>
            <w:pPr>
              <w:spacing w:after="0"/>
              <w:rPr>
                <w:sz w:val="17"/>
                <w:szCs w:val="17"/>
                <w:color w:val="auto"/>
              </w:rPr>
            </w:pPr>
          </w:p>
        </w:tc>
        <w:tc>
          <w:tcPr>
            <w:tcW w:w="106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rPr>
              <w:t>(185)</w:t>
            </w:r>
          </w:p>
        </w:tc>
        <w:tc>
          <w:tcPr>
            <w:tcW w:w="860" w:type="dxa"/>
            <w:vAlign w:val="bottom"/>
            <w:gridSpan w:val="4"/>
          </w:tcPr>
          <w:p>
            <w:pPr>
              <w:jc w:val="right"/>
              <w:ind w:right="1"/>
              <w:spacing w:after="0" w:line="202" w:lineRule="exact"/>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120" w:type="dxa"/>
            <w:vAlign w:val="bottom"/>
          </w:tcPr>
          <w:p>
            <w:pPr>
              <w:spacing w:after="0"/>
              <w:rPr>
                <w:sz w:val="17"/>
                <w:szCs w:val="17"/>
                <w:color w:val="auto"/>
              </w:rPr>
            </w:pPr>
          </w:p>
        </w:tc>
        <w:tc>
          <w:tcPr>
            <w:tcW w:w="106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860" w:type="dxa"/>
            <w:vAlign w:val="bottom"/>
            <w:gridSpan w:val="4"/>
          </w:tcPr>
          <w:p>
            <w:pPr>
              <w:jc w:val="right"/>
              <w:ind w:right="1"/>
              <w:spacing w:after="0" w:line="202" w:lineRule="exact"/>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(195)</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Decrease in net debt before impact of changes in foreign exchange rates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(307)</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(327)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Decrease in Net Debt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12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(9,332)</w:t>
            </w:r>
          </w:p>
        </w:tc>
        <w:tc>
          <w:tcPr>
            <w:tcW w:w="860" w:type="dxa"/>
            <w:vAlign w:val="bottom"/>
            <w:gridSpan w:val="4"/>
            <w:shd w:val="clear" w:color="auto" w:fill="CCEEFF"/>
          </w:tcPr>
          <w:p>
            <w:pPr>
              <w:jc w:val="right"/>
              <w:ind w:right="1"/>
              <w:spacing w:after="0" w:line="202" w:lineRule="exact"/>
              <w:rPr>
                <w:sz w:val="20"/>
                <w:szCs w:val="20"/>
                <w:color w:val="auto"/>
              </w:rPr>
            </w:pPr>
            <w:r>
              <w:rPr>
                <w:rFonts w:ascii="Arial" w:cs="Arial" w:eastAsia="Arial" w:hAnsi="Arial"/>
                <w:sz w:val="18"/>
                <w:szCs w:val="18"/>
                <w:b w:val="1"/>
                <w:bCs w:val="1"/>
                <w:color w:val="auto"/>
              </w:rPr>
              <w:t>(9,410)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(11,056)</w:t>
            </w:r>
          </w:p>
        </w:tc>
        <w:tc>
          <w:tcPr>
            <w:tcW w:w="0" w:type="dxa"/>
            <w:vAlign w:val="bottom"/>
          </w:tcPr>
          <w:p>
            <w:pPr>
              <w:spacing w:after="0"/>
              <w:rPr>
                <w:sz w:val="1"/>
                <w:szCs w:val="1"/>
                <w:color w:val="auto"/>
              </w:rPr>
            </w:pPr>
          </w:p>
        </w:tc>
      </w:tr>
      <w:tr>
        <w:trPr>
          <w:trHeight w:val="210"/>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(7,976</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(7,976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13"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100" w:hanging="424"/>
        <w:spacing w:after="0" w:line="221"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24"/>
          </w:cols>
          <w:pgMar w:left="436" w:top="26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fourth-quarter 2023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10).</w:t>
      </w:r>
    </w:p>
    <w:p>
      <w:pPr>
        <w:sectPr>
          <w:pgSz w:w="11900" w:h="16838" w:orient="portrait"/>
          <w:cols w:equalWidth="0" w:num="1">
            <w:col w:w="11020"/>
          </w:cols>
          <w:pgMar w:left="440" w:top="2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SLB net income (GAAP basis)</w:t>
      </w:r>
    </w:p>
    <w:p>
      <w:pPr>
        <w:ind w:left="360"/>
        <w:spacing w:after="0" w:line="195" w:lineRule="auto"/>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26"/>
          <w:szCs w:val="26"/>
          <w:color w:val="auto"/>
          <w:vertAlign w:val="superscript"/>
        </w:rPr>
        <w:t>(1)</w:t>
      </w:r>
    </w:p>
    <w:p>
      <w:pPr>
        <w:ind w:left="360"/>
        <w:spacing w:after="0" w:line="195" w:lineRule="auto"/>
        <w:rPr>
          <w:sz w:val="20"/>
          <w:szCs w:val="20"/>
          <w:color w:val="auto"/>
        </w:rPr>
      </w:pPr>
      <w:r>
        <w:rPr>
          <w:rFonts w:ascii="Arial" w:cs="Arial" w:eastAsia="Arial" w:hAnsi="Arial"/>
          <w:sz w:val="18"/>
          <w:szCs w:val="18"/>
          <w:color w:val="auto"/>
        </w:rPr>
        <w:t xml:space="preserve">Argentina devaluation </w:t>
      </w:r>
      <w:r>
        <w:rPr>
          <w:rFonts w:ascii="Arial" w:cs="Arial" w:eastAsia="Arial" w:hAnsi="Arial"/>
          <w:sz w:val="26"/>
          <w:szCs w:val="26"/>
          <w:color w:val="auto"/>
          <w:vertAlign w:val="superscript"/>
        </w:rPr>
        <w:t>(2)</w:t>
      </w:r>
    </w:p>
    <w:p>
      <w:pPr>
        <w:spacing w:after="0"/>
        <w:rPr>
          <w:sz w:val="20"/>
          <w:szCs w:val="20"/>
          <w:color w:val="auto"/>
        </w:rPr>
      </w:pPr>
      <w:r>
        <w:rPr>
          <w:rFonts w:ascii="Arial" w:cs="Arial" w:eastAsia="Arial" w:hAnsi="Arial"/>
          <w:sz w:val="17"/>
          <w:szCs w:val="17"/>
          <w:color w:val="auto"/>
        </w:rPr>
        <w:t>SLB net income, excluding charges &amp; credits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(Stated in millions, except per share amounts)</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Fourth Quarter 2023</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Noncont.</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Pretax</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EPS</w:t>
            </w:r>
          </w:p>
        </w:tc>
      </w:tr>
      <w:tr>
        <w:trPr>
          <w:trHeight w:val="191"/>
        </w:trPr>
        <w:tc>
          <w:tcPr>
            <w:tcW w:w="20" w:type="dxa"/>
            <w:vAlign w:val="bottom"/>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8"/>
              </w:rPr>
              <w:t>$1,433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284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2"/>
              <w:spacing w:after="0" w:line="191"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3"/>
              </w:rPr>
              <w:t>$ 1,113</w:t>
            </w:r>
          </w:p>
        </w:tc>
        <w:tc>
          <w:tcPr>
            <w:tcW w:w="2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0.77</w:t>
            </w:r>
          </w:p>
        </w:tc>
        <w:tc>
          <w:tcPr>
            <w:tcW w:w="20" w:type="dxa"/>
            <w:vAlign w:val="bottom"/>
          </w:tcPr>
          <w:p>
            <w:pPr>
              <w:spacing w:after="0"/>
              <w:rPr>
                <w:sz w:val="16"/>
                <w:szCs w:val="16"/>
                <w:color w:val="auto"/>
              </w:rPr>
            </w:pPr>
          </w:p>
        </w:tc>
      </w:tr>
      <w:tr>
        <w:trPr>
          <w:trHeight w:val="216"/>
        </w:trPr>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21"/>
        </w:trPr>
        <w:tc>
          <w:tcPr>
            <w:tcW w:w="2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r>
      <w:tr>
        <w:trPr>
          <w:trHeight w:val="223"/>
        </w:trPr>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3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-590550</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-316230</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3940"/>
          </w:cols>
          <w:pgMar w:left="440" w:top="269" w:right="4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Fourth Quarter 2022</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Pretax</w:t>
            </w:r>
          </w:p>
        </w:tc>
        <w:tc>
          <w:tcPr>
            <w:tcW w:w="14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EPS</w:t>
            </w: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$1,347</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$264</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89"/>
              </w:rPr>
              <w:t>18</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$1,065</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$ 0.74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000" w:type="dxa"/>
            <w:vAlign w:val="bottom"/>
          </w:tcPr>
          <w:p>
            <w:pPr>
              <w:ind w:left="360"/>
              <w:spacing w:after="0" w:line="202" w:lineRule="exact"/>
              <w:rPr>
                <w:sz w:val="20"/>
                <w:szCs w:val="20"/>
                <w:color w:val="auto"/>
              </w:rPr>
            </w:pPr>
            <w:r>
              <w:rPr>
                <w:rFonts w:ascii="Arial" w:cs="Arial" w:eastAsia="Arial" w:hAnsi="Arial"/>
                <w:sz w:val="18"/>
                <w:szCs w:val="18"/>
                <w:color w:val="auto"/>
              </w:rPr>
              <w:t>Gain on ADC equity investment</w:t>
            </w:r>
          </w:p>
        </w:tc>
        <w:tc>
          <w:tcPr>
            <w:tcW w:w="76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(107)</w:t>
            </w:r>
          </w:p>
        </w:tc>
        <w:tc>
          <w:tcPr>
            <w:tcW w:w="8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7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76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w:t>
            </w:r>
          </w:p>
        </w:tc>
        <w:tc>
          <w:tcPr>
            <w:tcW w:w="8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(0.05)</w:t>
            </w:r>
          </w:p>
        </w:tc>
      </w:tr>
      <w:tr>
        <w:trPr>
          <w:trHeight w:val="203"/>
        </w:trPr>
        <w:tc>
          <w:tcPr>
            <w:tcW w:w="7000" w:type="dxa"/>
            <w:vAlign w:val="bottom"/>
          </w:tcPr>
          <w:p>
            <w:pPr>
              <w:ind w:left="360"/>
              <w:spacing w:after="0" w:line="202" w:lineRule="exact"/>
              <w:rPr>
                <w:sz w:val="20"/>
                <w:szCs w:val="20"/>
                <w:color w:val="auto"/>
              </w:rPr>
            </w:pPr>
            <w:r>
              <w:rPr>
                <w:rFonts w:ascii="Arial" w:cs="Arial" w:eastAsia="Arial" w:hAnsi="Arial"/>
                <w:sz w:val="18"/>
                <w:szCs w:val="18"/>
                <w:color w:val="auto"/>
              </w:rPr>
              <w:t>Gain on repurchase of bonds</w:t>
            </w:r>
          </w:p>
        </w:tc>
        <w:tc>
          <w:tcPr>
            <w:tcW w:w="76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8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02"/>
        </w:trPr>
        <w:tc>
          <w:tcPr>
            <w:tcW w:w="7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Blue Chip Swap transactions</w:t>
            </w:r>
          </w:p>
        </w:tc>
        <w:tc>
          <w:tcPr>
            <w:tcW w:w="5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0.10</w:t>
            </w: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1,284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240</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1,026</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$ 0.71</w:t>
            </w:r>
          </w:p>
        </w:tc>
        <w:tc>
          <w:tcPr>
            <w:tcW w:w="12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type w:val="continuous"/>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16"/>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1"/>
          </w:tcPr>
          <w:p>
            <w:pPr>
              <w:jc w:val="right"/>
              <w:ind w:right="660"/>
              <w:spacing w:after="0"/>
              <w:rPr>
                <w:sz w:val="20"/>
                <w:szCs w:val="20"/>
                <w:color w:val="auto"/>
              </w:rPr>
            </w:pPr>
            <w:r>
              <w:rPr>
                <w:rFonts w:ascii="Arial" w:cs="Arial" w:eastAsia="Arial" w:hAnsi="Arial"/>
                <w:sz w:val="14"/>
                <w:szCs w:val="14"/>
                <w:b w:val="1"/>
                <w:bCs w:val="1"/>
                <w:color w:val="auto"/>
              </w:rPr>
              <w:t>Twelve Months 2023</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$5,282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1,007</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$4,203</w:t>
            </w: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i w:val="1"/>
                <w:iCs w:val="1"/>
                <w:color w:val="auto"/>
              </w:rPr>
              <w:t>Fourth Quarter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78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9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(2)</w:t>
            </w:r>
          </w:p>
        </w:tc>
        <w:tc>
          <w:tcPr>
            <w:tcW w:w="78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First Quarter</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(3)</w:t>
            </w:r>
          </w:p>
        </w:tc>
        <w:tc>
          <w:tcPr>
            <w:tcW w:w="40" w:type="dxa"/>
            <w:vAlign w:val="bottom"/>
            <w:gridSpan w:val="2"/>
          </w:tcPr>
          <w:p>
            <w:pPr>
              <w:spacing w:after="0"/>
              <w:rPr>
                <w:sz w:val="17"/>
                <w:szCs w:val="17"/>
                <w:color w:val="auto"/>
              </w:rPr>
            </w:pP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78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5,392</w:t>
            </w:r>
          </w:p>
        </w:tc>
        <w:tc>
          <w:tcPr>
            <w:tcW w:w="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1,007</w:t>
            </w:r>
          </w:p>
        </w:tc>
        <w:tc>
          <w:tcPr>
            <w:tcW w:w="34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w:t>
            </w:r>
          </w:p>
        </w:tc>
        <w:tc>
          <w:tcPr>
            <w:tcW w:w="9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4,305</w:t>
            </w:r>
          </w:p>
        </w:tc>
        <w:tc>
          <w:tcPr>
            <w:tcW w:w="80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$ 2.98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1"/>
          </w:tcPr>
          <w:p>
            <w:pPr>
              <w:jc w:val="right"/>
              <w:ind w:right="680"/>
              <w:spacing w:after="0"/>
              <w:rPr>
                <w:sz w:val="20"/>
                <w:szCs w:val="20"/>
                <w:color w:val="auto"/>
              </w:rPr>
            </w:pPr>
            <w:r>
              <w:rPr>
                <w:rFonts w:ascii="Arial" w:cs="Arial" w:eastAsia="Arial" w:hAnsi="Arial"/>
                <w:sz w:val="14"/>
                <w:szCs w:val="14"/>
                <w:b w:val="1"/>
                <w:bCs w:val="1"/>
                <w:color w:val="auto"/>
              </w:rPr>
              <w:t>Twelve Months 2022</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$4,271</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$3,441</w:t>
            </w: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ADC equity investment</w:t>
            </w:r>
          </w:p>
        </w:tc>
        <w:tc>
          <w:tcPr>
            <w:tcW w:w="7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Gain on sale of Liberty shares</w:t>
            </w:r>
          </w:p>
        </w:tc>
        <w:tc>
          <w:tcPr>
            <w:tcW w:w="780" w:type="dxa"/>
            <w:vAlign w:val="bottom"/>
            <w:gridSpan w:val="5"/>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repurchase of bonds</w:t>
            </w:r>
          </w:p>
        </w:tc>
        <w:tc>
          <w:tcPr>
            <w:tcW w:w="7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Loss on Blue Chip Swap transactions</w:t>
            </w: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Second Quarter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Gain on sale of Liberty shares</w:t>
            </w:r>
          </w:p>
        </w:tc>
        <w:tc>
          <w:tcPr>
            <w:tcW w:w="780" w:type="dxa"/>
            <w:vAlign w:val="bottom"/>
            <w:gridSpan w:val="5"/>
          </w:tcPr>
          <w:p>
            <w:pPr>
              <w:jc w:val="right"/>
              <w:ind w:right="16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certain real estate</w:t>
            </w:r>
          </w:p>
        </w:tc>
        <w:tc>
          <w:tcPr>
            <w:tcW w:w="7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i w:val="1"/>
                <w:iCs w:val="1"/>
                <w:color w:val="auto"/>
              </w:rPr>
              <w:t>First Quarter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Liberty shares</w:t>
            </w: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SLB net income, excluding charges &amp; credits</w:t>
            </w:r>
          </w:p>
        </w:tc>
        <w:tc>
          <w:tcPr>
            <w:tcW w:w="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3,924</w:t>
            </w:r>
          </w:p>
        </w:tc>
        <w:tc>
          <w:tcPr>
            <w:tcW w:w="1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9"/>
                <w:szCs w:val="19"/>
                <w:color w:val="auto"/>
              </w:rPr>
            </w:pPr>
          </w:p>
        </w:tc>
        <w:tc>
          <w:tcPr>
            <w:tcW w:w="3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3,138</w:t>
            </w:r>
          </w:p>
        </w:tc>
        <w:tc>
          <w:tcPr>
            <w:tcW w:w="2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20" w:hanging="424"/>
        <w:spacing w:after="0" w:line="196"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$45 million of these charges were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4" w:lineRule="auto"/>
        <w:tabs>
          <w:tab w:leader="none" w:pos="424"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were no charges or credits during the third quarter of 2023.</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All Charges &amp; Credits for the full year 2022 are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p>
    <w:p>
      <w:pPr>
        <w:spacing w:after="0" w:line="239"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add due to rounding.</w:t>
      </w:r>
    </w:p>
    <w:p>
      <w:pPr>
        <w:sectPr>
          <w:pgSz w:w="11900" w:h="16838" w:orient="portrait"/>
          <w:cols w:equalWidth="0" w:num="1">
            <w:col w:w="11024"/>
          </w:cols>
          <w:pgMar w:left="436" w:top="27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10"/>
            <w:vMerge w:val="restart"/>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10"/>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9"/>
          </w:tcPr>
          <w:p>
            <w:pPr>
              <w:jc w:val="right"/>
              <w:ind w:right="248"/>
              <w:spacing w:after="0" w:line="155" w:lineRule="exact"/>
              <w:rPr>
                <w:sz w:val="20"/>
                <w:szCs w:val="20"/>
                <w:color w:val="auto"/>
              </w:rPr>
            </w:pPr>
            <w:r>
              <w:rPr>
                <w:rFonts w:ascii="Arial" w:cs="Arial" w:eastAsia="Arial" w:hAnsi="Arial"/>
                <w:sz w:val="14"/>
                <w:szCs w:val="14"/>
                <w:b w:val="1"/>
                <w:bCs w:val="1"/>
                <w:color w:val="auto"/>
              </w:rPr>
              <w:t>Dec. 31, 2023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8"/>
          </w:tcPr>
          <w:p>
            <w:pPr>
              <w:jc w:val="right"/>
              <w:ind w:right="300"/>
              <w:spacing w:after="0" w:line="155" w:lineRule="exact"/>
              <w:rPr>
                <w:sz w:val="20"/>
                <w:szCs w:val="20"/>
                <w:color w:val="auto"/>
              </w:rPr>
            </w:pPr>
            <w:r>
              <w:rPr>
                <w:rFonts w:ascii="Arial" w:cs="Arial" w:eastAsia="Arial" w:hAnsi="Arial"/>
                <w:sz w:val="14"/>
                <w:szCs w:val="14"/>
                <w:color w:val="auto"/>
              </w:rPr>
              <w:t>Sept. 30, 2023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6"/>
          </w:tcPr>
          <w:p>
            <w:pPr>
              <w:jc w:val="right"/>
              <w:ind w:right="150"/>
              <w:spacing w:after="0" w:line="155" w:lineRule="exact"/>
              <w:rPr>
                <w:sz w:val="20"/>
                <w:szCs w:val="20"/>
                <w:color w:val="auto"/>
              </w:rPr>
            </w:pPr>
            <w:r>
              <w:rPr>
                <w:rFonts w:ascii="Arial" w:cs="Arial" w:eastAsia="Arial" w:hAnsi="Arial"/>
                <w:sz w:val="14"/>
                <w:szCs w:val="14"/>
                <w:color w:val="auto"/>
              </w:rPr>
              <w:t>Dec. 31, 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5"/>
          </w:tcPr>
          <w:p>
            <w:pPr>
              <w:ind w:left="20"/>
              <w:spacing w:after="0" w:line="147"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right"/>
              <w:spacing w:after="0" w:line="147" w:lineRule="exact"/>
              <w:rPr>
                <w:sz w:val="20"/>
                <w:szCs w:val="20"/>
                <w:color w:val="auto"/>
              </w:rPr>
            </w:pPr>
            <w:r>
              <w:rPr>
                <w:rFonts w:ascii="Arial" w:cs="Arial" w:eastAsia="Arial" w:hAnsi="Arial"/>
                <w:sz w:val="14"/>
                <w:szCs w:val="14"/>
                <w:color w:val="auto"/>
              </w:rPr>
              <w:t>Income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6"/>
          </w:tcPr>
          <w:p>
            <w:pPr>
              <w:ind w:left="40"/>
              <w:spacing w:after="0"/>
              <w:rPr>
                <w:sz w:val="20"/>
                <w:szCs w:val="20"/>
                <w:color w:val="auto"/>
              </w:rPr>
            </w:pPr>
            <w:r>
              <w:rPr>
                <w:rFonts w:ascii="Arial" w:cs="Arial" w:eastAsia="Arial" w:hAnsi="Arial"/>
                <w:sz w:val="14"/>
                <w:szCs w:val="14"/>
                <w:b w:val="1"/>
                <w:bCs w:val="1"/>
                <w:color w:val="auto"/>
              </w:rPr>
              <w:t>Before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5"/>
          </w:tcPr>
          <w:p>
            <w:pPr>
              <w:jc w:val="right"/>
              <w:ind w:right="140"/>
              <w:spacing w:after="0"/>
              <w:rPr>
                <w:sz w:val="20"/>
                <w:szCs w:val="20"/>
                <w:color w:val="auto"/>
              </w:rPr>
            </w:pPr>
            <w:r>
              <w:rPr>
                <w:rFonts w:ascii="Arial" w:cs="Arial" w:eastAsia="Arial" w:hAnsi="Arial"/>
                <w:sz w:val="14"/>
                <w:szCs w:val="14"/>
                <w:color w:val="auto"/>
              </w:rPr>
              <w:t>Before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62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Taxes</w:t>
            </w:r>
          </w:p>
        </w:tc>
        <w:tc>
          <w:tcPr>
            <w:tcW w:w="160" w:type="dxa"/>
            <w:vAlign w:val="bottom"/>
          </w:tcPr>
          <w:p>
            <w:pPr>
              <w:spacing w:after="0"/>
              <w:rPr>
                <w:sz w:val="14"/>
                <w:szCs w:val="14"/>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color w:val="auto"/>
                <w:w w:val="99"/>
              </w:rPr>
              <w:t>Revenue</w:t>
            </w:r>
          </w:p>
        </w:tc>
        <w:tc>
          <w:tcPr>
            <w:tcW w:w="640" w:type="dxa"/>
            <w:vAlign w:val="bottom"/>
            <w:gridSpan w:val="5"/>
          </w:tcPr>
          <w:p>
            <w:pPr>
              <w:ind w:left="10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4"/>
                <w:szCs w:val="14"/>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$ 1,049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982</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314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lef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1,735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371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1,680</w:t>
            </w:r>
          </w:p>
        </w:tc>
        <w:tc>
          <w:tcPr>
            <w:tcW w:w="240" w:type="dxa"/>
            <w:vAlign w:val="bottom"/>
          </w:tcPr>
          <w:p>
            <w:pPr>
              <w:spacing w:after="0"/>
              <w:rPr>
                <w:sz w:val="17"/>
                <w:szCs w:val="17"/>
                <w:color w:val="auto"/>
              </w:rPr>
            </w:pPr>
          </w:p>
        </w:tc>
        <w:tc>
          <w:tcPr>
            <w:tcW w:w="64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3,430</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759</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2,944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442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2,367</w:t>
            </w:r>
          </w:p>
        </w:tc>
        <w:tc>
          <w:tcPr>
            <w:tcW w:w="240" w:type="dxa"/>
            <w:vAlign w:val="bottom"/>
          </w:tcPr>
          <w:p>
            <w:pPr>
              <w:spacing w:after="0"/>
              <w:rPr>
                <w:sz w:val="17"/>
                <w:szCs w:val="17"/>
                <w:color w:val="auto"/>
              </w:rPr>
            </w:pPr>
          </w:p>
        </w:tc>
        <w:tc>
          <w:tcPr>
            <w:tcW w:w="64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319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2,215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(53)</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1,868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(182)</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(126)</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w w:val="96"/>
              </w:rPr>
              <w:t>$ 8,990</w:t>
            </w:r>
          </w:p>
        </w:tc>
        <w:tc>
          <w:tcPr>
            <w:tcW w:w="80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1,433</w:t>
            </w: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$ 8,310</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1,395</w:t>
            </w:r>
          </w:p>
        </w:tc>
        <w:tc>
          <w:tcPr>
            <w:tcW w:w="82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$ 7,879</w:t>
            </w:r>
          </w:p>
        </w:tc>
        <w:tc>
          <w:tcPr>
            <w:tcW w:w="260" w:type="dxa"/>
            <w:vAlign w:val="bottom"/>
            <w:gridSpan w:val="2"/>
            <w:shd w:val="clear" w:color="auto" w:fill="CCEEFF"/>
          </w:tcPr>
          <w:p>
            <w:pPr>
              <w:jc w:val="center"/>
              <w:ind w:left="42"/>
              <w:spacing w:after="0" w:line="202" w:lineRule="exact"/>
              <w:rPr>
                <w:sz w:val="20"/>
                <w:szCs w:val="20"/>
                <w:color w:val="auto"/>
              </w:rPr>
            </w:pPr>
            <w:r>
              <w:rPr>
                <w:rFonts w:ascii="Arial" w:cs="Arial" w:eastAsia="Arial" w:hAnsi="Arial"/>
                <w:sz w:val="18"/>
                <w:szCs w:val="18"/>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1,347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11"/>
            <w:vMerge w:val="restart"/>
          </w:tcPr>
          <w:p>
            <w:pPr>
              <w:ind w:left="560"/>
              <w:spacing w:after="0"/>
              <w:rPr>
                <w:sz w:val="20"/>
                <w:szCs w:val="20"/>
                <w:color w:val="auto"/>
              </w:rPr>
            </w:pPr>
            <w:r>
              <w:rPr>
                <w:rFonts w:ascii="Arial" w:cs="Arial" w:eastAsia="Arial" w:hAnsi="Arial"/>
                <w:sz w:val="14"/>
                <w:szCs w:val="14"/>
                <w:b w:val="1"/>
                <w:bCs w:val="1"/>
                <w:color w:val="auto"/>
              </w:rPr>
              <w:t>Full Year 2023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7"/>
          </w:tcPr>
          <w:p>
            <w:pPr>
              <w:jc w:val="center"/>
              <w:ind w:left="17"/>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11"/>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7"/>
          </w:tcPr>
          <w:p>
            <w:pPr>
              <w:ind w:left="20"/>
              <w:spacing w:after="0" w:line="147" w:lineRule="exact"/>
              <w:rPr>
                <w:sz w:val="20"/>
                <w:szCs w:val="20"/>
                <w:color w:val="auto"/>
              </w:rPr>
            </w:pPr>
            <w:r>
              <w:rPr>
                <w:rFonts w:ascii="Arial" w:cs="Arial" w:eastAsia="Arial" w:hAnsi="Arial"/>
                <w:sz w:val="14"/>
                <w:szCs w:val="14"/>
                <w:b w:val="1"/>
                <w:bCs w:val="1"/>
                <w:color w:val="auto"/>
              </w:rPr>
              <w:t>Net Interest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right"/>
              <w:ind w:right="620"/>
              <w:spacing w:after="0" w:line="158" w:lineRule="exact"/>
              <w:rPr>
                <w:sz w:val="20"/>
                <w:szCs w:val="20"/>
                <w:color w:val="auto"/>
              </w:rPr>
            </w:pPr>
            <w:r>
              <w:rPr>
                <w:rFonts w:ascii="Arial" w:cs="Arial" w:eastAsia="Arial" w:hAnsi="Arial"/>
                <w:sz w:val="14"/>
                <w:szCs w:val="14"/>
                <w:b w:val="1"/>
                <w:bCs w:val="1"/>
                <w:color w:val="auto"/>
              </w:rPr>
              <w:t>Income</w:t>
            </w:r>
          </w:p>
        </w:tc>
        <w:tc>
          <w:tcPr>
            <w:tcW w:w="120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6"/>
          </w:tcPr>
          <w:p>
            <w:pPr>
              <w:jc w:val="right"/>
              <w:ind w:right="420"/>
              <w:spacing w:after="0" w:line="158"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3"/>
                <w:szCs w:val="13"/>
                <w:color w:val="auto"/>
              </w:rPr>
            </w:pPr>
          </w:p>
        </w:tc>
        <w:tc>
          <w:tcPr>
            <w:tcW w:w="800" w:type="dxa"/>
            <w:vAlign w:val="bottom"/>
            <w:gridSpan w:val="6"/>
          </w:tcPr>
          <w:p>
            <w:pPr>
              <w:jc w:val="right"/>
              <w:ind w:right="59"/>
              <w:spacing w:after="0" w:line="158" w:lineRule="exact"/>
              <w:rPr>
                <w:sz w:val="20"/>
                <w:szCs w:val="20"/>
                <w:color w:val="auto"/>
              </w:rPr>
            </w:pPr>
            <w:r>
              <w:rPr>
                <w:rFonts w:ascii="Arial" w:cs="Arial" w:eastAsia="Arial" w:hAnsi="Arial"/>
                <w:sz w:val="14"/>
                <w:szCs w:val="14"/>
                <w:b w:val="1"/>
                <w:bCs w:val="1"/>
                <w:color w:val="auto"/>
              </w:rPr>
              <w:t>Adjusted</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320"/>
              <w:spacing w:after="0" w:line="158"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Revenue</w:t>
            </w:r>
          </w:p>
        </w:tc>
        <w:tc>
          <w:tcPr>
            <w:tcW w:w="1340" w:type="dxa"/>
            <w:vAlign w:val="bottom"/>
            <w:gridSpan w:val="5"/>
          </w:tcPr>
          <w:p>
            <w:pPr>
              <w:ind w:left="20"/>
              <w:spacing w:after="0"/>
              <w:rPr>
                <w:sz w:val="20"/>
                <w:szCs w:val="20"/>
                <w:color w:val="auto"/>
              </w:rPr>
            </w:pPr>
            <w:r>
              <w:rPr>
                <w:rFonts w:ascii="Arial" w:cs="Arial" w:eastAsia="Arial" w:hAnsi="Arial"/>
                <w:sz w:val="14"/>
                <w:szCs w:val="14"/>
                <w:b w:val="1"/>
                <w:bCs w:val="1"/>
                <w:color w:val="auto"/>
              </w:rPr>
              <w:t>Before Taxes</w:t>
            </w:r>
          </w:p>
        </w:tc>
        <w:tc>
          <w:tcPr>
            <w:tcW w:w="1200" w:type="dxa"/>
            <w:vAlign w:val="bottom"/>
            <w:gridSpan w:val="6"/>
          </w:tcPr>
          <w:p>
            <w:pPr>
              <w:jc w:val="right"/>
              <w:ind w:right="10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7"/>
          </w:tcPr>
          <w:p>
            <w:pPr>
              <w:ind w:left="2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00" w:type="dxa"/>
            <w:vAlign w:val="bottom"/>
          </w:tcPr>
          <w:p>
            <w:pPr>
              <w:spacing w:after="0"/>
              <w:rPr>
                <w:sz w:val="15"/>
                <w:szCs w:val="15"/>
                <w:color w:val="auto"/>
              </w:rPr>
            </w:pPr>
          </w:p>
        </w:tc>
        <w:tc>
          <w:tcPr>
            <w:tcW w:w="800" w:type="dxa"/>
            <w:vAlign w:val="bottom"/>
            <w:gridSpan w:val="6"/>
          </w:tcPr>
          <w:p>
            <w:pPr>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320" w:type="dxa"/>
            <w:vAlign w:val="bottom"/>
          </w:tcPr>
          <w:p>
            <w:pPr>
              <w:spacing w:after="0"/>
              <w:rPr>
                <w:sz w:val="15"/>
                <w:szCs w:val="15"/>
                <w:color w:val="auto"/>
              </w:rPr>
            </w:pPr>
          </w:p>
        </w:tc>
        <w:tc>
          <w:tcPr>
            <w:tcW w:w="1080" w:type="dxa"/>
            <w:vAlign w:val="bottom"/>
            <w:gridSpan w:val="6"/>
          </w:tcPr>
          <w:p>
            <w:pPr>
              <w:ind w:left="20"/>
              <w:spacing w:after="0" w:line="175" w:lineRule="exact"/>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$ 3,871</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1,257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3"/>
              </w:rPr>
              <w:t>578</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1,847</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660</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6,561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1,263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w w:val="93"/>
              </w:rPr>
              <w:t>387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1,646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514</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13,478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2,932</w:t>
            </w: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3"/>
              </w:rPr>
              <w:t>587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3,514</w:t>
            </w: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908</w:t>
            </w: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9,831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1,245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w w:val="93"/>
              </w:rPr>
              <w:t>325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1,569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(606)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(174)</w:t>
            </w: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3"/>
              </w:rPr>
              <w:t>277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8,678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(729)</w:t>
            </w: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3"/>
              </w:rPr>
              <w:t>158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(571)</w:t>
            </w: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(489)</w:t>
            </w: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33,135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5,282</w:t>
            </w: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2,312</w:t>
            </w:r>
          </w:p>
        </w:tc>
        <w:tc>
          <w:tcPr>
            <w:tcW w:w="460" w:type="dxa"/>
            <w:vAlign w:val="bottom"/>
            <w:gridSpan w:val="4"/>
            <w:shd w:val="clear" w:color="auto" w:fill="CCEEFF"/>
          </w:tcPr>
          <w:p>
            <w:pPr>
              <w:ind w:left="340"/>
              <w:spacing w:after="0" w:line="202" w:lineRule="exact"/>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w:t>
            </w:r>
          </w:p>
        </w:tc>
        <w:tc>
          <w:tcPr>
            <w:tcW w:w="240" w:type="dxa"/>
            <w:vAlign w:val="bottom"/>
            <w:tcBorders>
              <w:left w:val="single" w:sz="8" w:color="CCEEFF"/>
            </w:tcBorders>
            <w:shd w:val="clear" w:color="auto" w:fill="CCEEFF"/>
          </w:tcPr>
          <w:p>
            <w:pPr>
              <w:spacing w:after="0"/>
              <w:rPr>
                <w:sz w:val="17"/>
                <w:szCs w:val="17"/>
                <w:color w:val="auto"/>
              </w:rPr>
            </w:pPr>
          </w:p>
        </w:tc>
        <w:tc>
          <w:tcPr>
            <w:tcW w:w="2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8,107</w:t>
            </w:r>
          </w:p>
        </w:tc>
        <w:tc>
          <w:tcPr>
            <w:tcW w:w="80" w:type="dxa"/>
            <w:vAlign w:val="bottom"/>
            <w:tcBorders>
              <w:lef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2,599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rPr>
              <w:t>Full Year 2022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7"/>
          </w:tcPr>
          <w:p>
            <w:pPr>
              <w:jc w:val="center"/>
              <w:ind w:left="17"/>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9"/>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Net Interest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380"/>
              <w:spacing w:after="0" w:line="158"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3"/>
                <w:szCs w:val="13"/>
                <w:color w:val="auto"/>
              </w:rPr>
            </w:pPr>
          </w:p>
        </w:tc>
        <w:tc>
          <w:tcPr>
            <w:tcW w:w="1460" w:type="dxa"/>
            <w:vAlign w:val="bottom"/>
            <w:gridSpan w:val="9"/>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980" w:type="dxa"/>
            <w:vAlign w:val="bottom"/>
            <w:gridSpan w:val="5"/>
          </w:tcPr>
          <w:p>
            <w:pPr>
              <w:jc w:val="right"/>
              <w:ind w:right="280"/>
              <w:spacing w:after="0" w:line="158"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Adjusted</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320"/>
              <w:spacing w:after="0" w:line="158"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Before Taxes</w:t>
            </w:r>
          </w:p>
        </w:tc>
        <w:tc>
          <w:tcPr>
            <w:tcW w:w="200" w:type="dxa"/>
            <w:vAlign w:val="bottom"/>
          </w:tcPr>
          <w:p>
            <w:pPr>
              <w:spacing w:after="0"/>
              <w:rPr>
                <w:sz w:val="15"/>
                <w:szCs w:val="15"/>
                <w:color w:val="auto"/>
              </w:rPr>
            </w:pPr>
          </w:p>
        </w:tc>
        <w:tc>
          <w:tcPr>
            <w:tcW w:w="1460" w:type="dxa"/>
            <w:vAlign w:val="bottom"/>
            <w:gridSpan w:val="9"/>
          </w:tcPr>
          <w:p>
            <w:pPr>
              <w:jc w:val="right"/>
              <w:ind w:right="288"/>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980" w:type="dxa"/>
            <w:vAlign w:val="bottom"/>
            <w:gridSpan w:val="5"/>
          </w:tcPr>
          <w:p>
            <w:pPr>
              <w:ind w:left="2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5"/>
          </w:tcPr>
          <w:p>
            <w:pPr>
              <w:jc w:val="right"/>
              <w:spacing w:after="0" w:line="175" w:lineRule="exact"/>
              <w:rPr>
                <w:sz w:val="20"/>
                <w:szCs w:val="20"/>
                <w:color w:val="auto"/>
              </w:rPr>
            </w:pPr>
            <w:r>
              <w:rPr>
                <w:rFonts w:ascii="Arial" w:cs="Arial" w:eastAsia="Arial" w:hAnsi="Arial"/>
                <w:sz w:val="14"/>
                <w:szCs w:val="14"/>
                <w:b w:val="1"/>
                <w:bCs w:val="1"/>
                <w:color w:val="auto"/>
                <w:w w:val="93"/>
              </w:rPr>
              <w:t xml:space="preserve">EBITDA </w:t>
            </w:r>
            <w:r>
              <w:rPr>
                <w:rFonts w:ascii="Arial" w:cs="Arial" w:eastAsia="Arial" w:hAnsi="Arial"/>
                <w:sz w:val="20"/>
                <w:szCs w:val="20"/>
                <w:b w:val="1"/>
                <w:bCs w:val="1"/>
                <w:color w:val="auto"/>
                <w:w w:val="93"/>
                <w:vertAlign w:val="superscript"/>
              </w:rPr>
              <w:t>(5)</w:t>
            </w:r>
          </w:p>
        </w:tc>
        <w:tc>
          <w:tcPr>
            <w:tcW w:w="320" w:type="dxa"/>
            <w:vAlign w:val="bottom"/>
          </w:tcPr>
          <w:p>
            <w:pPr>
              <w:spacing w:after="0"/>
              <w:rPr>
                <w:sz w:val="15"/>
                <w:szCs w:val="15"/>
                <w:color w:val="auto"/>
              </w:rPr>
            </w:pPr>
          </w:p>
        </w:tc>
        <w:tc>
          <w:tcPr>
            <w:tcW w:w="1080" w:type="dxa"/>
            <w:vAlign w:val="bottom"/>
            <w:gridSpan w:val="6"/>
          </w:tcPr>
          <w:p>
            <w:pPr>
              <w:ind w:left="20"/>
              <w:spacing w:after="0" w:line="175" w:lineRule="exact"/>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$ 3,725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1,357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1,872</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689</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8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5,553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b w:val="1"/>
                <w:bCs w:val="1"/>
                <w:color w:val="auto"/>
              </w:rPr>
              <w:t>881</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5"/>
          </w:tcPr>
          <w:p>
            <w:pPr>
              <w:jc w:val="right"/>
              <w:ind w:right="160"/>
              <w:spacing w:after="0" w:line="202" w:lineRule="exact"/>
              <w:rPr>
                <w:sz w:val="20"/>
                <w:szCs w:val="20"/>
                <w:color w:val="auto"/>
              </w:rPr>
            </w:pPr>
            <w:r>
              <w:rPr>
                <w:rFonts w:ascii="Arial" w:cs="Arial" w:eastAsia="Arial" w:hAnsi="Arial"/>
                <w:sz w:val="18"/>
                <w:szCs w:val="18"/>
                <w:b w:val="1"/>
                <w:bCs w:val="1"/>
                <w:color w:val="auto"/>
              </w:rPr>
              <w:t>386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1,233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478</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11,397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2,202</w:t>
            </w: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524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2,701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8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7,862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b w:val="1"/>
                <w:bCs w:val="1"/>
                <w:color w:val="auto"/>
              </w:rPr>
              <w:t>748</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5"/>
          </w:tcPr>
          <w:p>
            <w:pPr>
              <w:jc w:val="right"/>
              <w:ind w:right="160"/>
              <w:spacing w:after="0" w:line="202" w:lineRule="exact"/>
              <w:rPr>
                <w:sz w:val="20"/>
                <w:szCs w:val="20"/>
                <w:color w:val="auto"/>
              </w:rPr>
            </w:pPr>
            <w:r>
              <w:rPr>
                <w:rFonts w:ascii="Arial" w:cs="Arial" w:eastAsia="Arial" w:hAnsi="Arial"/>
                <w:sz w:val="18"/>
                <w:szCs w:val="18"/>
                <w:b w:val="1"/>
                <w:bCs w:val="1"/>
                <w:color w:val="auto"/>
              </w:rPr>
              <w:t>311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1,047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0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(446)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(177)</w:t>
            </w: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1,996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6,948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(637)</w:t>
            </w: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151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197"/>
              <w:spacing w:after="0" w:line="202" w:lineRule="exact"/>
              <w:rPr>
                <w:sz w:val="20"/>
                <w:szCs w:val="20"/>
                <w:color w:val="auto"/>
              </w:rPr>
            </w:pPr>
            <w:r>
              <w:rPr>
                <w:rFonts w:ascii="Arial" w:cs="Arial" w:eastAsia="Arial" w:hAnsi="Arial"/>
                <w:sz w:val="18"/>
                <w:szCs w:val="18"/>
                <w:b w:val="1"/>
                <w:bCs w:val="1"/>
                <w:color w:val="auto"/>
              </w:rPr>
              <w:t>(486)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(477)</w:t>
            </w: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b w:val="1"/>
                <w:bCs w:val="1"/>
                <w:color w:val="auto"/>
              </w:rPr>
              <w:t>347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28,091</w:t>
            </w:r>
          </w:p>
        </w:tc>
        <w:tc>
          <w:tcPr>
            <w:tcW w:w="4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4,271</w:t>
            </w: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2,147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(60)</w:t>
            </w:r>
          </w:p>
        </w:tc>
        <w:tc>
          <w:tcPr>
            <w:tcW w:w="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6,462</w:t>
            </w: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2,302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87" w:lineRule="auto"/>
        <w:tabs>
          <w:tab w:leader="none" w:pos="42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Capital investments includes capital expenditures, APS investments, and exploration data costs capitalized.</w:t>
      </w:r>
    </w:p>
    <w:p>
      <w:pPr>
        <w:sectPr>
          <w:pgSz w:w="11900" w:h="16838" w:orient="portrait"/>
          <w:cols w:equalWidth="0" w:num="1">
            <w:col w:w="11024"/>
          </w:cols>
          <w:pgMar w:left="436" w:top="269" w:right="4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Geographical</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Full Year 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3"/>
                <w:szCs w:val="13"/>
                <w:color w:val="auto"/>
              </w:rPr>
            </w:pPr>
          </w:p>
        </w:tc>
        <w:tc>
          <w:tcPr>
            <w:tcW w:w="8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Before Taxes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center"/>
              <w:ind w:right="260"/>
              <w:spacing w:after="0" w:line="175" w:lineRule="exact"/>
              <w:rPr>
                <w:sz w:val="20"/>
                <w:szCs w:val="20"/>
                <w:color w:val="auto"/>
              </w:rPr>
            </w:pPr>
            <w:r>
              <w:rPr>
                <w:rFonts w:ascii="Arial" w:cs="Arial" w:eastAsia="Arial" w:hAnsi="Arial"/>
                <w:sz w:val="14"/>
                <w:szCs w:val="14"/>
                <w:b w:val="1"/>
                <w:bCs w:val="1"/>
                <w:color w:val="auto"/>
                <w:w w:val="99"/>
              </w:rPr>
              <w:t xml:space="preserve">(Income) </w:t>
            </w:r>
            <w:r>
              <w:rPr>
                <w:rFonts w:ascii="Arial" w:cs="Arial" w:eastAsia="Arial" w:hAnsi="Arial"/>
                <w:sz w:val="20"/>
                <w:szCs w:val="20"/>
                <w:b w:val="1"/>
                <w:bCs w:val="1"/>
                <w:color w:val="auto"/>
                <w:w w:val="99"/>
                <w:vertAlign w:val="superscript"/>
              </w:rPr>
              <w:t>(4)</w:t>
            </w:r>
          </w:p>
        </w:tc>
        <w:tc>
          <w:tcPr>
            <w:tcW w:w="180" w:type="dxa"/>
            <w:vAlign w:val="bottom"/>
          </w:tcPr>
          <w:p>
            <w:pPr>
              <w:spacing w:after="0"/>
              <w:rPr>
                <w:sz w:val="15"/>
                <w:szCs w:val="15"/>
                <w:color w:val="auto"/>
              </w:rPr>
            </w:pPr>
          </w:p>
        </w:tc>
        <w:tc>
          <w:tcPr>
            <w:tcW w:w="840" w:type="dxa"/>
            <w:vAlign w:val="bottom"/>
            <w:gridSpan w:val="3"/>
          </w:tcPr>
          <w:p>
            <w:pPr>
              <w:ind w:left="20"/>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1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$26,188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5,486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1,513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6,988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b w:val="1"/>
                <w:bCs w:val="1"/>
                <w:color w:val="auto"/>
              </w:rPr>
              <w:t>North America</w:t>
            </w:r>
          </w:p>
        </w:tc>
        <w:tc>
          <w:tcPr>
            <w:tcW w:w="2480" w:type="dxa"/>
            <w:vAlign w:val="bottom"/>
            <w:gridSpan w:val="4"/>
          </w:tcPr>
          <w:p>
            <w:pPr>
              <w:jc w:val="right"/>
              <w:ind w:right="180"/>
              <w:spacing w:after="0" w:line="202" w:lineRule="exact"/>
              <w:rPr>
                <w:sz w:val="20"/>
                <w:szCs w:val="20"/>
                <w:color w:val="auto"/>
              </w:rPr>
            </w:pPr>
            <w:r>
              <w:rPr>
                <w:rFonts w:ascii="Arial" w:cs="Arial" w:eastAsia="Arial" w:hAnsi="Arial"/>
                <w:sz w:val="18"/>
                <w:szCs w:val="18"/>
                <w:b w:val="1"/>
                <w:bCs w:val="1"/>
                <w:color w:val="auto"/>
              </w:rPr>
              <w:t>6,727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1,157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389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1,559</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Eliminations &amp; other</w:t>
            </w:r>
          </w:p>
        </w:tc>
        <w:tc>
          <w:tcPr>
            <w:tcW w:w="24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252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&amp; other</w:t>
            </w: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(729)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158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(571)</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23"/>
                <w:szCs w:val="23"/>
                <w:b w:val="1"/>
                <w:bCs w:val="1"/>
                <w:color w:val="auto"/>
                <w:vertAlign w:val="superscript"/>
              </w:rPr>
              <w:t>(1)</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Charges &amp; credits </w:t>
            </w:r>
            <w:r>
              <w:rPr>
                <w:rFonts w:ascii="Arial" w:cs="Arial" w:eastAsia="Arial" w:hAnsi="Arial"/>
                <w:sz w:val="23"/>
                <w:szCs w:val="23"/>
                <w:b w:val="1"/>
                <w:bCs w:val="1"/>
                <w:color w:val="auto"/>
                <w:vertAlign w:val="superscript"/>
              </w:rPr>
              <w:t>(2)</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shd w:val="clear" w:color="auto" w:fill="CCEEFF"/>
          </w:tcPr>
          <w:p>
            <w:pPr>
              <w:spacing w:after="0"/>
              <w:rPr>
                <w:sz w:val="17"/>
                <w:szCs w:val="17"/>
                <w:color w:val="auto"/>
              </w:rPr>
            </w:pPr>
          </w:p>
        </w:tc>
        <w:tc>
          <w:tcPr>
            <w:tcW w:w="24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33,135</w:t>
            </w:r>
          </w:p>
        </w:tc>
        <w:tc>
          <w:tcPr>
            <w:tcW w:w="3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5,282</w:t>
            </w:r>
          </w:p>
        </w:tc>
        <w:tc>
          <w:tcPr>
            <w:tcW w:w="6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2,312</w:t>
            </w:r>
          </w:p>
        </w:tc>
        <w:tc>
          <w:tcPr>
            <w:tcW w:w="42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8,107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Full Year 2022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rPr>
              <w:t>Net 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3"/>
                <w:szCs w:val="13"/>
                <w:color w:val="auto"/>
              </w:rPr>
            </w:pPr>
          </w:p>
        </w:tc>
        <w:tc>
          <w:tcPr>
            <w:tcW w:w="13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3"/>
                <w:szCs w:val="13"/>
                <w:color w:val="auto"/>
              </w:rPr>
            </w:pPr>
          </w:p>
        </w:tc>
        <w:tc>
          <w:tcPr>
            <w:tcW w:w="8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5"/>
                <w:szCs w:val="15"/>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Before Taxes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ind w:left="4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80" w:type="dxa"/>
            <w:vAlign w:val="bottom"/>
          </w:tcPr>
          <w:p>
            <w:pPr>
              <w:spacing w:after="0"/>
              <w:rPr>
                <w:sz w:val="15"/>
                <w:szCs w:val="15"/>
                <w:color w:val="auto"/>
              </w:rPr>
            </w:pPr>
          </w:p>
        </w:tc>
        <w:tc>
          <w:tcPr>
            <w:tcW w:w="1060" w:type="dxa"/>
            <w:vAlign w:val="bottom"/>
            <w:gridSpan w:val="4"/>
          </w:tcPr>
          <w:p>
            <w:pPr>
              <w:jc w:val="center"/>
              <w:ind w:right="240"/>
              <w:spacing w:after="0" w:line="175" w:lineRule="exact"/>
              <w:rPr>
                <w:sz w:val="20"/>
                <w:szCs w:val="20"/>
                <w:color w:val="auto"/>
              </w:rPr>
            </w:pPr>
            <w:r>
              <w:rPr>
                <w:rFonts w:ascii="Arial" w:cs="Arial" w:eastAsia="Arial" w:hAnsi="Arial"/>
                <w:sz w:val="14"/>
                <w:szCs w:val="14"/>
                <w:b w:val="1"/>
                <w:bCs w:val="1"/>
                <w:color w:val="auto"/>
                <w:w w:val="99"/>
              </w:rPr>
              <w:t xml:space="preserve">(Income) </w:t>
            </w:r>
            <w:r>
              <w:rPr>
                <w:rFonts w:ascii="Arial" w:cs="Arial" w:eastAsia="Arial" w:hAnsi="Arial"/>
                <w:sz w:val="20"/>
                <w:szCs w:val="20"/>
                <w:b w:val="1"/>
                <w:bCs w:val="1"/>
                <w:color w:val="auto"/>
                <w:w w:val="99"/>
                <w:vertAlign w:val="superscript"/>
              </w:rPr>
              <w:t>(4)</w:t>
            </w:r>
          </w:p>
        </w:tc>
        <w:tc>
          <w:tcPr>
            <w:tcW w:w="180" w:type="dxa"/>
            <w:vAlign w:val="bottom"/>
          </w:tcPr>
          <w:p>
            <w:pPr>
              <w:spacing w:after="0"/>
              <w:rPr>
                <w:sz w:val="15"/>
                <w:szCs w:val="15"/>
                <w:color w:val="auto"/>
              </w:rPr>
            </w:pPr>
          </w:p>
        </w:tc>
        <w:tc>
          <w:tcPr>
            <w:tcW w:w="840" w:type="dxa"/>
            <w:vAlign w:val="bottom"/>
            <w:gridSpan w:val="3"/>
          </w:tcPr>
          <w:p>
            <w:pPr>
              <w:ind w:left="20"/>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1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$21,895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4,063</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1,433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b w:val="1"/>
                <w:bCs w:val="1"/>
                <w:color w:val="auto"/>
              </w:rPr>
              <w:t>North America</w:t>
            </w:r>
          </w:p>
        </w:tc>
        <w:tc>
          <w:tcPr>
            <w:tcW w:w="23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5,995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1,470</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Eliminations &amp; other</w:t>
            </w:r>
          </w:p>
        </w:tc>
        <w:tc>
          <w:tcPr>
            <w:tcW w:w="23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(158)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&amp; other</w:t>
            </w: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(637)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(486)</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23"/>
                <w:szCs w:val="23"/>
                <w:b w:val="1"/>
                <w:bCs w:val="1"/>
                <w:color w:val="auto"/>
                <w:vertAlign w:val="superscript"/>
              </w:rPr>
              <w:t>(1)</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Charges &amp; credits </w:t>
            </w:r>
            <w:r>
              <w:rPr>
                <w:rFonts w:ascii="Arial" w:cs="Arial" w:eastAsia="Arial" w:hAnsi="Arial"/>
                <w:sz w:val="23"/>
                <w:szCs w:val="23"/>
                <w:b w:val="1"/>
                <w:bCs w:val="1"/>
                <w:color w:val="auto"/>
                <w:vertAlign w:val="superscript"/>
              </w:rPr>
              <w:t>(2)</w:t>
            </w:r>
          </w:p>
        </w:tc>
        <w:tc>
          <w:tcPr>
            <w:tcW w:w="1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rPr>
                <w:sz w:val="17"/>
                <w:szCs w:val="17"/>
                <w:color w:val="auto"/>
              </w:rPr>
            </w:pPr>
          </w:p>
        </w:tc>
        <w:tc>
          <w:tcPr>
            <w:tcW w:w="23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28,091</w:t>
            </w:r>
          </w:p>
        </w:tc>
        <w:tc>
          <w:tcPr>
            <w:tcW w:w="1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4,271</w:t>
            </w:r>
          </w:p>
        </w:tc>
        <w:tc>
          <w:tcPr>
            <w:tcW w:w="2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2,147</w:t>
            </w:r>
          </w:p>
        </w:tc>
        <w:tc>
          <w:tcPr>
            <w:tcW w:w="18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(60)</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6,462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96" w:lineRule="auto"/>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ectPr>
          <w:pgSz w:w="11900" w:h="16838" w:orient="portrait"/>
          <w:cols w:equalWidth="0" w:num="1">
            <w:col w:w="11024"/>
          </w:cols>
          <w:pgMar w:left="436" w:top="269" w:right="43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2024?</w:t>
      </w:r>
    </w:p>
    <w:p>
      <w:pPr>
        <w:spacing w:after="0" w:line="103"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2024 is expected to be approximately $2.6 billion, which is the same level as the full-year 2023.</w:t>
      </w:r>
    </w:p>
    <w:p>
      <w:pPr>
        <w:spacing w:after="0" w:line="18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fourth quarter of 2023?</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2023 was $3.02 billion and free cash flow was $2.28 billion.</w:t>
      </w:r>
    </w:p>
    <w:p>
      <w:pPr>
        <w:spacing w:after="0" w:line="238"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full year 2023?</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2023 was $6.64 billion and free cash flow was $4.04 billion.</w:t>
      </w:r>
    </w:p>
    <w:p>
      <w:pPr>
        <w:spacing w:after="0" w:line="238"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fourth quarter of 2023?</w:t>
      </w:r>
    </w:p>
    <w:p>
      <w:pPr>
        <w:spacing w:after="0" w:line="103"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fourth quarter of 2023 was $95 million. This consisted of interest income of $41 million and earnings of equity method investments of $54 million.</w:t>
      </w:r>
    </w:p>
    <w:p>
      <w:pPr>
        <w:spacing w:after="0" w:line="18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2023?</w:t>
      </w:r>
    </w:p>
    <w:p>
      <w:pPr>
        <w:spacing w:after="0" w:line="103" w:lineRule="exact"/>
        <w:rPr>
          <w:rFonts w:ascii="Arial" w:cs="Arial" w:eastAsia="Arial" w:hAnsi="Arial"/>
          <w:sz w:val="18"/>
          <w:szCs w:val="18"/>
          <w:b w:val="1"/>
          <w:bCs w:val="1"/>
          <w:color w:val="auto"/>
        </w:rPr>
      </w:pPr>
    </w:p>
    <w:p>
      <w:pPr>
        <w:ind w:left="444" w:right="4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$41 million for the fourth quarter of 2023 increased $20 million sequentially. Interest expense of $130 million increased $1 million sequentially.</w:t>
      </w:r>
    </w:p>
    <w:p>
      <w:pPr>
        <w:spacing w:after="0" w:line="18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195"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2023?</w:t>
      </w:r>
    </w:p>
    <w:p>
      <w:pPr>
        <w:spacing w:after="0" w:line="103" w:lineRule="exact"/>
        <w:rPr>
          <w:rFonts w:ascii="Arial" w:cs="Arial" w:eastAsia="Arial" w:hAnsi="Arial"/>
          <w:sz w:val="18"/>
          <w:szCs w:val="18"/>
          <w:b w:val="1"/>
          <w:bCs w:val="1"/>
          <w:color w:val="auto"/>
        </w:rPr>
      </w:pPr>
    </w:p>
    <w:p>
      <w:pPr>
        <w:jc w:val="both"/>
        <w:ind w:left="444"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2023, calculated in accordance with GAAP, was 19.9% as compared to 18.6% for the third quarter of 2023. Excluding charges and credits, the ETR for the fourth quarter of 2023 was 18.5%. There were no charges or credits during the third quarter of 2023.</w:t>
      </w:r>
    </w:p>
    <w:p>
      <w:pPr>
        <w:spacing w:after="0" w:line="195" w:lineRule="exact"/>
        <w:rPr>
          <w:rFonts w:ascii="Arial" w:cs="Arial" w:eastAsia="Arial" w:hAnsi="Arial"/>
          <w:sz w:val="18"/>
          <w:szCs w:val="18"/>
          <w:b w:val="1"/>
          <w:bCs w:val="1"/>
          <w:color w:val="auto"/>
        </w:rPr>
      </w:pPr>
    </w:p>
    <w:p>
      <w:pPr>
        <w:ind w:left="424" w:right="220" w:hanging="424"/>
        <w:spacing w:after="0" w:line="281"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2023,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1.427 billion shares of common stock outstanding as of December 31, 2023, and 1.423 billion shares outstanding as of September 30, 2023.</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September 30, 2023</w:t>
            </w: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on acquisition of Aker subsea</w:t>
            </w: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December 31, 2023</w:t>
            </w: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4"/>
          </w:cols>
          <w:pgMar w:left="436" w:top="269" w:right="499" w:bottom="1440" w:gutter="0" w:footer="0" w:header="0"/>
        </w:sectPr>
      </w:pPr>
    </w:p>
    <w:bookmarkStart w:id="24" w:name="page25"/>
    <w:bookmarkEnd w:id="24"/>
    <w:p>
      <w:pPr>
        <w:jc w:val="both"/>
        <w:ind w:left="424" w:right="40" w:hanging="424"/>
        <w:spacing w:after="0" w:line="257"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fourth quarter of 2023 and third quarter of 2023?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jc w:val="both"/>
        <w:ind w:left="444" w:right="1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1.429 billion during the fourth quarter of 2023 and 1.424 billion during the third quarter of 2023.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7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Fourth Quarter</w:t>
            </w:r>
          </w:p>
        </w:tc>
        <w:tc>
          <w:tcPr>
            <w:tcW w:w="7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Third Quarter</w:t>
            </w:r>
          </w:p>
        </w:tc>
      </w:tr>
      <w:tr>
        <w:trPr>
          <w:trHeight w:val="171"/>
        </w:trPr>
        <w:tc>
          <w:tcPr>
            <w:tcW w:w="5720" w:type="dxa"/>
            <w:vAlign w:val="bottom"/>
          </w:tcPr>
          <w:p>
            <w:pPr>
              <w:spacing w:after="0"/>
              <w:rPr>
                <w:sz w:val="14"/>
                <w:szCs w:val="14"/>
                <w:color w:val="auto"/>
              </w:rPr>
            </w:pPr>
          </w:p>
        </w:tc>
        <w:tc>
          <w:tcPr>
            <w:tcW w:w="10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560" w:type="dxa"/>
            <w:vAlign w:val="bottom"/>
            <w:gridSpan w:val="2"/>
          </w:tcPr>
          <w:p>
            <w:pPr>
              <w:jc w:val="right"/>
              <w:ind w:right="196"/>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4"/>
                <w:szCs w:val="14"/>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1,429</w:t>
            </w: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1,424</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w:t>
            </w: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40"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fourth quarter of 2023, the third quarter of 2023, the fourth quarter of 2022, the full-year 2023, and the full-year 2022?</w:t>
      </w:r>
    </w:p>
    <w:p>
      <w:pPr>
        <w:spacing w:after="0" w:line="28" w:lineRule="exact"/>
        <w:rPr>
          <w:rFonts w:ascii="Arial" w:cs="Arial" w:eastAsia="Arial" w:hAnsi="Arial"/>
          <w:sz w:val="18"/>
          <w:szCs w:val="18"/>
          <w:b w:val="1"/>
          <w:bCs w:val="1"/>
          <w:color w:val="auto"/>
        </w:rPr>
      </w:pPr>
    </w:p>
    <w:p>
      <w:pPr>
        <w:ind w:left="444" w:right="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$2.277 billion in the fourth quarter of 2023, $2.081 billion in the third quarter of 2023, and $1.921 billion in the fourth quarter of 2022,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4"/>
                <w:szCs w:val="14"/>
                <w:color w:val="auto"/>
              </w:rPr>
              <w:t>(Stated in millions)</w:t>
            </w: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00" w:type="dxa"/>
            <w:vAlign w:val="bottom"/>
            <w:gridSpan w:val="4"/>
          </w:tcPr>
          <w:p>
            <w:pPr>
              <w:ind w:left="500"/>
              <w:spacing w:after="0"/>
              <w:rPr>
                <w:sz w:val="20"/>
                <w:szCs w:val="20"/>
                <w:color w:val="auto"/>
              </w:rPr>
            </w:pPr>
            <w:r>
              <w:rPr>
                <w:rFonts w:ascii="Arial" w:cs="Arial" w:eastAsia="Arial" w:hAnsi="Arial"/>
                <w:sz w:val="14"/>
                <w:szCs w:val="14"/>
                <w:b w:val="1"/>
                <w:bCs w:val="1"/>
                <w:color w:val="auto"/>
              </w:rPr>
              <w:t>Fourth Quarter</w:t>
            </w:r>
          </w:p>
        </w:tc>
        <w:tc>
          <w:tcPr>
            <w:tcW w:w="1420" w:type="dxa"/>
            <w:vAlign w:val="bottom"/>
            <w:gridSpan w:val="4"/>
          </w:tcPr>
          <w:p>
            <w:pPr>
              <w:ind w:left="300"/>
              <w:spacing w:after="0"/>
              <w:rPr>
                <w:sz w:val="20"/>
                <w:szCs w:val="20"/>
                <w:color w:val="auto"/>
              </w:rPr>
            </w:pPr>
            <w:r>
              <w:rPr>
                <w:rFonts w:ascii="Arial" w:cs="Arial" w:eastAsia="Arial" w:hAnsi="Arial"/>
                <w:sz w:val="14"/>
                <w:szCs w:val="14"/>
                <w:color w:val="auto"/>
              </w:rPr>
              <w:t>Third Quarter</w:t>
            </w:r>
          </w:p>
        </w:tc>
        <w:tc>
          <w:tcPr>
            <w:tcW w:w="1500" w:type="dxa"/>
            <w:vAlign w:val="bottom"/>
            <w:gridSpan w:val="4"/>
          </w:tcPr>
          <w:p>
            <w:pPr>
              <w:ind w:left="420"/>
              <w:spacing w:after="0"/>
              <w:rPr>
                <w:sz w:val="20"/>
                <w:szCs w:val="20"/>
                <w:color w:val="auto"/>
              </w:rPr>
            </w:pPr>
            <w:r>
              <w:rPr>
                <w:rFonts w:ascii="Arial" w:cs="Arial" w:eastAsia="Arial" w:hAnsi="Arial"/>
                <w:sz w:val="14"/>
                <w:szCs w:val="14"/>
                <w:color w:val="auto"/>
              </w:rPr>
              <w:t>Fourth Quarter</w:t>
            </w: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1,113</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1,123</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284</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7"/>
                <w:szCs w:val="17"/>
                <w:color w:val="auto"/>
              </w:rPr>
            </w:pPr>
          </w:p>
        </w:tc>
      </w:tr>
      <w:tr>
        <w:trPr>
          <w:trHeight w:val="209"/>
        </w:trPr>
        <w:tc>
          <w:tcPr>
            <w:tcW w:w="44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5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w:t>
            </w: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0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2,277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2,081</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500"/>
        <w:spacing w:after="0" w:line="271" w:lineRule="auto"/>
        <w:rPr>
          <w:sz w:val="20"/>
          <w:szCs w:val="20"/>
          <w:color w:val="auto"/>
        </w:rPr>
      </w:pPr>
      <w:r>
        <w:rPr>
          <w:rFonts w:ascii="Arial" w:cs="Arial" w:eastAsia="Arial" w:hAnsi="Arial"/>
          <w:sz w:val="18"/>
          <w:szCs w:val="18"/>
          <w:color w:val="auto"/>
        </w:rPr>
        <w:t>SLB’s adjusted EBITDA was $8.107 billion in the full-year 2023 and $6.462 billion for the full-year 2022, and was calculated as follows:</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162"/>
        </w:trPr>
        <w:tc>
          <w:tcPr>
            <w:tcW w:w="4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Twelve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Twelve</w:t>
            </w:r>
          </w:p>
        </w:tc>
      </w:tr>
      <w:tr>
        <w:trPr>
          <w:trHeight w:val="171"/>
        </w:trPr>
        <w:tc>
          <w:tcPr>
            <w:tcW w:w="4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Months 2023</w:t>
            </w:r>
          </w:p>
        </w:tc>
        <w:tc>
          <w:tcPr>
            <w:tcW w:w="4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w w:val="98"/>
              </w:rPr>
              <w:t>Months 2022</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4,203</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72</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1,007</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779</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Income before taxes</w:t>
            </w:r>
          </w:p>
        </w:tc>
        <w:tc>
          <w:tcPr>
            <w:tcW w:w="9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5,282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8"/>
                <w:szCs w:val="18"/>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Charges&amp; credits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110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(347)</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2,312</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2,147</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503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(100)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w:t>
            </w:r>
          </w:p>
        </w:tc>
      </w:tr>
      <w:tr>
        <w:trPr>
          <w:trHeight w:val="27"/>
        </w:trPr>
        <w:tc>
          <w:tcPr>
            <w:tcW w:w="4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14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8,107</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6,462</w:t>
            </w:r>
          </w:p>
        </w:tc>
      </w:tr>
      <w:tr>
        <w:trPr>
          <w:trHeight w:val="20"/>
        </w:trPr>
        <w:tc>
          <w:tcPr>
            <w:tcW w:w="4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984"/>
          </w:cols>
          <w:pgMar w:left="436" w:top="269" w:right="479" w:bottom="1440" w:gutter="0" w:footer="0" w:header="0"/>
        </w:sectPr>
      </w:pPr>
    </w:p>
    <w:bookmarkStart w:id="25" w:name="page26"/>
    <w:bookmarkEnd w:id="25"/>
    <w:p>
      <w:pPr>
        <w:ind w:left="424" w:right="240" w:hanging="424"/>
        <w:spacing w:after="0" w:line="281"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fourth quarter of 2023, the third quarter of 2023, and the fourth quarter of 2022?</w:t>
      </w:r>
    </w:p>
    <w:p>
      <w:pPr>
        <w:spacing w:after="0" w:line="28" w:lineRule="exact"/>
        <w:rPr>
          <w:rFonts w:ascii="Arial" w:cs="Arial" w:eastAsia="Arial" w:hAnsi="Arial"/>
          <w:sz w:val="18"/>
          <w:szCs w:val="18"/>
          <w:b w:val="1"/>
          <w:bCs w:val="1"/>
          <w:color w:val="auto"/>
        </w:rPr>
      </w:pPr>
    </w:p>
    <w:p>
      <w:pPr>
        <w:ind w:left="444" w:right="1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fourth quarter of 2023, the third quarter of 2023, and the fourth quarter of 2022 were as follows:</w:t>
      </w:r>
    </w:p>
    <w:p>
      <w:pPr>
        <w:sectPr>
          <w:pgSz w:w="11900" w:h="16838" w:orient="portrait"/>
          <w:cols w:equalWidth="0" w:num="1">
            <w:col w:w="10844"/>
          </w:cols>
          <w:pgMar w:left="436" w:top="26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580" w:type="dxa"/>
            <w:vAlign w:val="bottom"/>
            <w:gridSpan w:val="3"/>
          </w:tcPr>
          <w:p>
            <w:pPr>
              <w:ind w:left="720"/>
              <w:spacing w:after="0"/>
              <w:rPr>
                <w:sz w:val="20"/>
                <w:szCs w:val="20"/>
                <w:color w:val="auto"/>
              </w:rPr>
            </w:pPr>
            <w:r>
              <w:rPr>
                <w:rFonts w:ascii="Arial" w:cs="Arial" w:eastAsia="Arial" w:hAnsi="Arial"/>
                <w:sz w:val="14"/>
                <w:szCs w:val="14"/>
                <w:color w:val="auto"/>
              </w:rPr>
              <w:t>Third Quarter</w:t>
            </w:r>
          </w:p>
        </w:tc>
        <w:tc>
          <w:tcPr>
            <w:tcW w:w="1680" w:type="dxa"/>
            <w:vAlign w:val="bottom"/>
            <w:gridSpan w:val="3"/>
          </w:tcPr>
          <w:p>
            <w:pPr>
              <w:ind w:left="720"/>
              <w:spacing w:after="0"/>
              <w:rPr>
                <w:sz w:val="20"/>
                <w:szCs w:val="20"/>
                <w:color w:val="auto"/>
              </w:rPr>
            </w:pPr>
            <w:r>
              <w:rPr>
                <w:rFonts w:ascii="Arial" w:cs="Arial" w:eastAsia="Arial" w:hAnsi="Arial"/>
                <w:sz w:val="14"/>
                <w:szCs w:val="14"/>
                <w:color w:val="auto"/>
              </w:rPr>
              <w:t>Fourth Quarter</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2023</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2022</w:t>
            </w:r>
          </w:p>
        </w:tc>
      </w:tr>
      <w:tr>
        <w:trPr>
          <w:trHeight w:val="177"/>
        </w:trPr>
        <w:tc>
          <w:tcPr>
            <w:tcW w:w="2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380</w:t>
            </w:r>
          </w:p>
        </w:tc>
        <w:tc>
          <w:tcPr>
            <w:tcW w:w="720" w:type="dxa"/>
            <w:vAlign w:val="bottom"/>
          </w:tcPr>
          <w:p>
            <w:pPr>
              <w:spacing w:after="0"/>
              <w:rPr>
                <w:sz w:val="15"/>
                <w:szCs w:val="15"/>
                <w:color w:val="auto"/>
              </w:rPr>
            </w:pPr>
          </w:p>
        </w:tc>
        <w:tc>
          <w:tcPr>
            <w:tcW w:w="18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365</w:t>
            </w:r>
          </w:p>
        </w:tc>
        <w:tc>
          <w:tcPr>
            <w:tcW w:w="74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347</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21"/>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-693420</wp:posOffset>
            </wp:positionV>
            <wp:extent cx="587184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-427990</wp:posOffset>
            </wp:positionV>
            <wp:extent cx="587184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-153670</wp:posOffset>
            </wp:positionV>
            <wp:extent cx="587184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5064" w:space="720"/>
            <w:col w:w="5060"/>
          </w:cols>
          <w:pgMar w:left="436" w:top="269" w:right="619" w:bottom="1440" w:gutter="0" w:footer="0" w:header="0"/>
          <w:type w:val="continuous"/>
        </w:sectPr>
      </w:pPr>
    </w:p>
    <w:p>
      <w:pPr>
        <w:ind w:left="424" w:right="160" w:hanging="424"/>
        <w:spacing w:after="0" w:line="281" w:lineRule="auto"/>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was their revenue and pretax operating income for the full-year 2023 and full-year 2022?</w:t>
      </w:r>
    </w:p>
    <w:p>
      <w:pPr>
        <w:spacing w:after="0" w:line="28" w:lineRule="exact"/>
        <w:rPr>
          <w:rFonts w:ascii="Arial" w:cs="Arial" w:eastAsia="Arial" w:hAnsi="Arial"/>
          <w:sz w:val="18"/>
          <w:szCs w:val="18"/>
          <w:b w:val="1"/>
          <w:bCs w:val="1"/>
          <w:color w:val="auto"/>
        </w:rPr>
      </w:pPr>
    </w:p>
    <w:p>
      <w:pPr>
        <w:ind w:left="444" w:righ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full-year 2023 and full-year 2022 are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 31,</w:t>
            </w:r>
          </w:p>
        </w:tc>
        <w:tc>
          <w:tcPr>
            <w:tcW w:w="52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 31,</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6,561</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5,553</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13,478</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11,397</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9,831</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7,862</w:t>
            </w:r>
          </w:p>
        </w:tc>
        <w:tc>
          <w:tcPr>
            <w:tcW w:w="5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29,870</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24,812</w:t>
            </w:r>
          </w:p>
        </w:tc>
        <w:tc>
          <w:tcPr>
            <w:tcW w:w="1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1,263</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881</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2,202</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1,245</w:t>
            </w:r>
          </w:p>
        </w:tc>
        <w:tc>
          <w:tcPr>
            <w:tcW w:w="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748</w:t>
            </w:r>
          </w:p>
        </w:tc>
        <w:tc>
          <w:tcPr>
            <w:tcW w:w="5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5,440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3,831</w:t>
            </w:r>
          </w:p>
        </w:tc>
        <w:tc>
          <w:tcPr>
            <w:tcW w:w="5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884"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19.2%</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15.9%</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21.8%</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19.3%</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12.7%</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9.5%</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
        </w:trPr>
        <w:tc>
          <w:tcPr>
            <w:tcW w:w="5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9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18.2%</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15.4%</w:t>
            </w:r>
          </w:p>
        </w:tc>
        <w:tc>
          <w:tcPr>
            <w:tcW w:w="9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277 bps</w:t>
            </w:r>
          </w:p>
        </w:tc>
      </w:tr>
      <w:tr>
        <w:trPr>
          <w:trHeight w:val="20"/>
        </w:trPr>
        <w:tc>
          <w:tcPr>
            <w:tcW w:w="5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SLB calculate ROCE (return on capital employed)?</w:t>
      </w:r>
    </w:p>
    <w:p>
      <w:pPr>
        <w:spacing w:after="0" w:line="103" w:lineRule="exact"/>
        <w:rPr>
          <w:rFonts w:ascii="Arial" w:cs="Arial" w:eastAsia="Arial" w:hAnsi="Arial"/>
          <w:sz w:val="18"/>
          <w:szCs w:val="18"/>
          <w:b w:val="1"/>
          <w:bCs w:val="1"/>
          <w:color w:val="auto"/>
        </w:rPr>
      </w:pPr>
    </w:p>
    <w:p>
      <w:pPr>
        <w:ind w:left="444"/>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SLB calculates ROCE as a ratio, the numerator of which is (a) net income,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ROCE is a measure of the efficiency of our capital employed and is a comprehensive indicator of long-term company and management performance.</w:t>
      </w:r>
    </w:p>
    <w:p>
      <w:pPr>
        <w:sectPr>
          <w:pgSz w:w="11900" w:h="16838" w:orient="portrait"/>
          <w:cols w:equalWidth="0" w:num="1">
            <w:col w:w="10844"/>
          </w:cols>
          <w:pgMar w:left="436" w:top="269" w:right="6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will hold a conference call to discuss the earnings press release and business outlook on Friday, January 19, 2024.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February 19, 2024, by dialing +1 (866) 207-1041 within North America, or +1 (402) 970-0847 outside North America, and providing the access code 8122009. The conference call will be webcast simultaneously at www.slb.com/irwebcast on a listen-only basis. A replay of the webcast will also be available at the same website until February 19, 2024.</w:t>
      </w:r>
    </w:p>
    <w:p>
      <w:pPr>
        <w:sectPr>
          <w:pgSz w:w="11900" w:h="16838" w:orient="portrait"/>
          <w:cols w:equalWidth="0" w:num="1">
            <w:col w:w="10880"/>
          </w:cols>
          <w:pgMar w:left="440" w:top="269" w:right="5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4640"/>
        <w:spacing w:after="0"/>
        <w:rPr>
          <w:sz w:val="20"/>
          <w:szCs w:val="20"/>
          <w:color w:val="auto"/>
        </w:rPr>
      </w:pPr>
      <w:r>
        <w:rPr>
          <w:rFonts w:ascii="Arial" w:cs="Arial" w:eastAsia="Arial" w:hAnsi="Arial"/>
          <w:sz w:val="17"/>
          <w:szCs w:val="17"/>
          <w:b w:val="1"/>
          <w:bCs w:val="1"/>
          <w:color w:val="auto"/>
        </w:rPr>
        <w:t>Media</w:t>
      </w:r>
    </w:p>
    <w:p>
      <w:pPr>
        <w:spacing w:after="0" w:line="115" w:lineRule="exact"/>
        <w:rPr>
          <w:sz w:val="20"/>
          <w:szCs w:val="20"/>
          <w:color w:val="auto"/>
        </w:rPr>
      </w:pPr>
    </w:p>
    <w:p>
      <w:pPr>
        <w:sectPr>
          <w:pgSz w:w="11900" w:h="16838" w:orient="portrait"/>
          <w:cols w:equalWidth="0" w:num="2">
            <w:col w:w="5020" w:space="720"/>
            <w:col w:w="5140"/>
          </w:cols>
          <w:pgMar w:left="440" w:top="269" w:right="579" w:bottom="1440" w:gutter="0" w:footer="0" w:header="0"/>
          <w:type w:val="continuous"/>
        </w:sectPr>
      </w:pPr>
    </w:p>
    <w:p>
      <w:pPr>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SLB</w:t>
      </w:r>
    </w:p>
    <w:p>
      <w:pPr>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Josh Byerly – Vice President of Communications, SLB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0" w:space="200"/>
            <w:col w:w="5140"/>
          </w:cols>
          <w:pgMar w:left="440" w:top="269" w:right="579" w:bottom="1440" w:gutter="0" w:footer="0" w:header="0"/>
          <w:type w:val="continuous"/>
        </w:sectPr>
      </w:pP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880"/>
          </w:cols>
          <w:pgMar w:left="440" w:top="269" w:right="579" w:bottom="1440" w:gutter="0" w:footer="0" w:header="0"/>
          <w:type w:val="continuous"/>
        </w:sectPr>
      </w:pPr>
    </w:p>
    <w:bookmarkStart w:id="27" w:name="page28"/>
    <w:bookmarkEnd w:id="27"/>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fourth-quarter and full-year 2023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1"/>
      <w:numFmt w:val="decimal"/>
      <w:start w:val="99"/>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9"/>
    </w:lvl>
  </w:abstractNum>
  <w:abstractNum w:abstractNumId="20">
    <w:nsid w:val="2443A858"/>
    <w:multiLevelType w:val="hybridMultilevel"/>
    <w:lvl w:ilvl="0">
      <w:lvlJc w:val="left"/>
      <w:lvlText w:val="%1)"/>
      <w:numFmt w:val="decimal"/>
      <w:start w:val="10"/>
    </w:lvl>
  </w:abstractNum>
  <w:abstractNum w:abstractNumId="21">
    <w:nsid w:val="2D1D5AE9"/>
    <w:multiLevelType w:val="hybridMultilevel"/>
    <w:lvl w:ilvl="0">
      <w:lvlJc w:val="left"/>
      <w:lvlText w:val="%1)"/>
      <w:numFmt w:val="decimal"/>
      <w:start w:val="11"/>
    </w:lvl>
  </w:abstractNum>
  <w:abstractNum w:abstractNumId="22">
    <w:nsid w:val="6763845E"/>
    <w:multiLevelType w:val="hybridMultilevel"/>
    <w:lvl w:ilvl="0">
      <w:lvlJc w:val="left"/>
      <w:lvlText w:val="%1)"/>
      <w:numFmt w:val="decimal"/>
      <w:start w:val="12"/>
    </w:lvl>
  </w:abstractNum>
  <w:abstractNum w:abstractNumId="23">
    <w:nsid w:val="75A2A8D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2024-01-19T06:11:09Z</dcterms:created>
  <dcterms:modified xsi:type="dcterms:W3CDTF">2024-01-19T06:11:09Z</dcterms:modified>
</cp:coreProperties>
</file>