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April 20,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First-Quarter 2007 Press Release furnished as Exhibit 99.1 hereto and the Supplemental Information regarding First-Quarter 2007 Results furnished as Exhibit 99.2 hereto, were posted on the Schlumberger internet web site (www.slb.com/ir) on April 20, 2007.</w:t>
      </w:r>
    </w:p>
    <w:p>
      <w:pPr>
        <w:spacing w:after="0" w:line="132"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First-Quarter 2007 Press Release and Supplemental Information, these documents also include the following non-GAAP financial measures (as defined under the SEC’s Regulation G):</w:t>
      </w:r>
    </w:p>
    <w:p>
      <w:pPr>
        <w:spacing w:after="0" w:line="59" w:lineRule="exact"/>
        <w:rPr>
          <w:sz w:val="20"/>
          <w:szCs w:val="20"/>
          <w:color w:val="auto"/>
        </w:rPr>
      </w:pPr>
    </w:p>
    <w:p>
      <w:pPr>
        <w:jc w:val="both"/>
        <w:ind w:left="900" w:right="100" w:hanging="325"/>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debt: </w:t>
      </w:r>
      <w:r>
        <w:rPr>
          <w:rFonts w:ascii="Arial" w:cs="Arial" w:eastAsia="Arial" w:hAnsi="Arial"/>
          <w:sz w:val="16"/>
          <w:szCs w:val="16"/>
          <w:color w:val="auto"/>
        </w:rPr>
        <w:t>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25" w:lineRule="exact"/>
        <w:rPr>
          <w:rFonts w:ascii="Arial" w:cs="Arial" w:eastAsia="Arial" w:hAnsi="Arial"/>
          <w:sz w:val="16"/>
          <w:szCs w:val="16"/>
          <w:color w:val="auto"/>
        </w:rPr>
      </w:pPr>
    </w:p>
    <w:p>
      <w:pPr>
        <w:ind w:left="900" w:right="140" w:hanging="325"/>
        <w:spacing w:after="0" w:line="25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on Capital Employed: </w:t>
      </w:r>
      <w:r>
        <w:rPr>
          <w:rFonts w:ascii="Arial" w:cs="Arial" w:eastAsia="Arial" w:hAnsi="Arial"/>
          <w:sz w:val="18"/>
          <w:szCs w:val="18"/>
          <w:color w:val="auto"/>
        </w:rPr>
        <w:t>Return on capital employed (ROCE) is computed as (1) net income excluding charges and credits plus minority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plus interest expense minus interest income minus tax benefit on interest expense, divided by (2) the quarterly average of (stockholders’ equity plus net debt plus minority interest). Management believes that ROCE provides useful information regarding the value Schlumberger creates for the providers of capital, namely stockholders and bondholders, by reflecting the level of net income generated by continuing operations using a given level of capital.</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First-Quarter 2007 Press Release dated April 20, 2007.</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Supplemental Information regarding First-Quarter 2007 Results.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10795</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2007</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118110</wp:posOffset>
            </wp:positionV>
            <wp:extent cx="5231130" cy="608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3113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First-Quarter 2007 Results</w:t>
      </w:r>
    </w:p>
    <w:p>
      <w:pPr>
        <w:spacing w:after="0" w:line="17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 xml:space="preserve">HOUSTON, </w:t>
      </w:r>
      <w:r>
        <w:rPr>
          <w:rFonts w:ascii="Arial" w:cs="Arial" w:eastAsia="Arial" w:hAnsi="Arial"/>
          <w:sz w:val="18"/>
          <w:szCs w:val="18"/>
          <w:color w:val="auto"/>
        </w:rPr>
        <w:t>April 20, 2007 – Schlumberger Limited (NYSE:SLB) today reported first-quarter operating revenue of $5.46 billion versus $5.35 billion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of 2006, and $4.24 billion in the first quarter of 2006.</w:t>
      </w:r>
    </w:p>
    <w:p>
      <w:pPr>
        <w:spacing w:after="0" w:line="12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Net income reached $1.18 billion—an increase of 4% sequentially and 63% year-on-year. Diluted earnings-per-share were $0.96 versus $0.92 in the previous quarter, and $0.59 in the first quarter of 2006.</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Oilfield Services revenue of $4.76 billion increased 3% sequentially and 28% year-on-year. Pretax business segment operating income of $1.41 billion increased 6% sequentially and 47% year-on-year.</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WesternGeco revenue of $706 million decreased 2% sequentially but increased 33% year-on-year. Pretax business segment operating income of $266 million increased 2% sequentially and 79% year-on-year.</w:t>
      </w:r>
    </w:p>
    <w:p>
      <w:pPr>
        <w:spacing w:after="0" w:line="13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Schlumberger Chairman and CEO Andrew Gould commented, “First-quarter sequential revenue growth was driven by acceleration of international activity in GeoMarkets in Europe, Africa, the Middle East and Asia. In North America moderate sequential seasonal growth in Canada and strong exploration activity in Alaska partly offset slowing activity on land in the US and a change in service mix in the US Gulf Coast. Strong revenues were recorded in Latin America as negotiations with PDVSA related to certain rig management and engineering contracts were completed, enabling recognition of previously deferred revenue. Increasing demand for Wireline, Drilling &amp; Measurements and Well Testing technologies, as well as for WesternGeco services, contributed to the highly satisfactory overall financial performance.</w:t>
      </w:r>
    </w:p>
    <w:p>
      <w:pPr>
        <w:spacing w:after="0" w:line="14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colder weather late in the North American winter resulted in natural gas storage levels falling somewhat below those anticipated. The evolution of Canadian gas production after the lower winter peak rig count and earlier spring break-up, coupled with high decline rates and the poorer quality reservoirs now being drilled in the US leads us to believe that the fundamentals for reinforced natural gas activity in North America are becoming apparent. New equipment capacity however, particularly in pressure pumping, will limit service pricing power except where new technology brings clear improvements in both the efficiency and productivity of unconventional gas wells.</w:t>
      </w:r>
    </w:p>
    <w:p>
      <w:pPr>
        <w:spacing w:after="0" w:line="143"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Internationally, as well as in the remaining frontier provinces of North America, we expect activity to continue to strengthen in the coming months underpinning strong demand for quality measurements and services that improve performance and reduce technical risk. However, in the second quarter a number of scheduled dry dock inspections and vessel transits will momentarily slow WesternGeco growth which should resume when the seventh Q vessel is commissioned in May.</w:t>
      </w:r>
    </w:p>
    <w:p>
      <w:pPr>
        <w:spacing w:after="0" w:line="8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OPEC supply cuts applied late in 2006 coupled with stronger demand and continuing weak non-OPEC supply performance has caused a significant rebound in oil prices. We continue to believe the most fragile element of current supply projections is the age of the existing production base and the consequent failure of current activity levels to slow decline rates. This environment, coupled with delays in the increasingly complex projects that operators are undertaking, means that the supply response to create adequate levels of spare production will take longer than we originally anticipated. Absent any severe economic recession that would impact hydrocarbon demand, Schlumberger remains exceptionally well placed to benefit from this environment.”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Results, page 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9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part of the current 40 million-share buy-back program approved in the second quarter of 2006, Schlumberger repurchased 5.2 million shares during the first quarter for a total amount of $332 million, at an average price of $64.19 per share. Under this buy-back program 18.7 million shares, for a total amount of $1.15 billion, have been repurchased to date.</w:t>
      </w:r>
    </w:p>
    <w:p>
      <w:pPr>
        <w:sectPr>
          <w:pgSz w:w="11900" w:h="16838" w:orient="portrait"/>
          <w:cols w:equalWidth="0" w:num="1">
            <w:col w:w="11320"/>
          </w:cols>
          <w:pgMar w:left="240" w:top="27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Results, page 3</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Statement of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5"/>
          </w:tcPr>
          <w:p>
            <w:pPr>
              <w:jc w:val="right"/>
              <w:ind w:right="180"/>
              <w:spacing w:after="0"/>
              <w:rPr>
                <w:sz w:val="20"/>
                <w:szCs w:val="20"/>
                <w:color w:val="auto"/>
              </w:rPr>
            </w:pPr>
            <w:r>
              <w:rPr>
                <w:rFonts w:ascii="Arial" w:cs="Arial" w:eastAsia="Arial" w:hAnsi="Arial"/>
                <w:sz w:val="14"/>
                <w:szCs w:val="14"/>
                <w:b w:val="1"/>
                <w:bCs w:val="1"/>
                <w:i w:val="1"/>
                <w:iCs w:val="1"/>
                <w:color w:val="auto"/>
                <w:w w:val="82"/>
              </w:rPr>
              <w:t>(Stated in thousands except per share amounts)</w:t>
            </w:r>
          </w:p>
        </w:tc>
        <w:tc>
          <w:tcPr>
            <w:tcW w:w="0" w:type="dxa"/>
            <w:vAlign w:val="bottom"/>
          </w:tcPr>
          <w:p>
            <w:pPr>
              <w:spacing w:after="0"/>
              <w:rPr>
                <w:sz w:val="1"/>
                <w:szCs w:val="1"/>
                <w:color w:val="auto"/>
              </w:rPr>
            </w:pPr>
          </w:p>
        </w:tc>
      </w:tr>
      <w:tr>
        <w:trPr>
          <w:trHeight w:val="161"/>
        </w:trPr>
        <w:tc>
          <w:tcPr>
            <w:tcW w:w="9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Three Months</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6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i w:val="1"/>
                <w:iCs w:val="1"/>
                <w:color w:val="auto"/>
              </w:rPr>
              <w:t>For Periods Ended March 31</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line="156" w:lineRule="exact"/>
              <w:rPr>
                <w:sz w:val="20"/>
                <w:szCs w:val="20"/>
                <w:color w:val="auto"/>
              </w:rPr>
            </w:pPr>
            <w:r>
              <w:rPr>
                <w:rFonts w:ascii="Arial" w:cs="Arial" w:eastAsia="Arial" w:hAnsi="Arial"/>
                <w:sz w:val="12"/>
                <w:szCs w:val="12"/>
                <w:b w:val="1"/>
                <w:bCs w:val="1"/>
                <w:color w:val="auto"/>
              </w:rPr>
              <w:t>2006</w:t>
            </w:r>
            <w:r>
              <w:rPr>
                <w:rFonts w:ascii="Arial" w:cs="Arial" w:eastAsia="Arial" w:hAnsi="Arial"/>
                <w:sz w:val="18"/>
                <w:szCs w:val="18"/>
                <w:b w:val="1"/>
                <w:bCs w:val="1"/>
                <w:color w:val="auto"/>
                <w:vertAlign w:val="superscript"/>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60" w:type="dxa"/>
            <w:vAlign w:val="bottom"/>
            <w:tcBorders>
              <w:right w:val="single" w:sz="8" w:color="CCEEFF"/>
            </w:tcBorders>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revenue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5,464,405</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260" w:type="dxa"/>
            <w:vAlign w:val="bottom"/>
          </w:tcPr>
          <w:p>
            <w:pPr>
              <w:spacing w:after="0" w:line="217" w:lineRule="exact"/>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22"/>
                <w:szCs w:val="22"/>
                <w:i w:val="1"/>
                <w:iCs w:val="1"/>
                <w:color w:val="auto"/>
                <w:vertAlign w:val="superscript"/>
              </w:rPr>
              <w:t>(2)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83,623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right w:val="single" w:sz="8" w:color="CCEEFF"/>
            </w:tcBorders>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260" w:type="dxa"/>
            <w:vAlign w:val="bottom"/>
          </w:tcPr>
          <w:p>
            <w:pPr>
              <w:ind w:left="400"/>
              <w:spacing w:after="0"/>
              <w:rPr>
                <w:sz w:val="20"/>
                <w:szCs w:val="20"/>
                <w:color w:val="auto"/>
              </w:rPr>
            </w:pPr>
            <w:r>
              <w:rPr>
                <w:rFonts w:ascii="Arial" w:cs="Arial" w:eastAsia="Arial" w:hAnsi="Arial"/>
                <w:sz w:val="18"/>
                <w:szCs w:val="18"/>
                <w:color w:val="auto"/>
              </w:rPr>
              <w:t>Cost of goods sold and services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3,617,424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2,991,891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right w:val="single" w:sz="8" w:color="CCEEFF"/>
            </w:tcBorders>
          </w:tcPr>
          <w:p>
            <w:pPr>
              <w:spacing w:after="0"/>
              <w:rPr>
                <w:sz w:val="18"/>
                <w:szCs w:val="18"/>
                <w:color w:val="auto"/>
              </w:rPr>
            </w:pPr>
          </w:p>
        </w:tc>
        <w:tc>
          <w:tcPr>
            <w:tcW w:w="6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&amp; engineering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167,098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260" w:type="dxa"/>
            <w:vAlign w:val="bottom"/>
          </w:tcPr>
          <w:p>
            <w:pPr>
              <w:ind w:left="400"/>
              <w:spacing w:after="0"/>
              <w:rPr>
                <w:sz w:val="20"/>
                <w:szCs w:val="20"/>
                <w:color w:val="auto"/>
              </w:rPr>
            </w:pPr>
            <w:r>
              <w:rPr>
                <w:rFonts w:ascii="Arial" w:cs="Arial" w:eastAsia="Arial" w:hAnsi="Arial"/>
                <w:sz w:val="18"/>
                <w:szCs w:val="18"/>
                <w:color w:val="auto"/>
              </w:rPr>
              <w:t>Marketing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16,683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right w:val="single" w:sz="8" w:color="CCEEFF"/>
            </w:tcBorders>
          </w:tcPr>
          <w:p>
            <w:pPr>
              <w:spacing w:after="0"/>
              <w:rPr>
                <w:sz w:val="18"/>
                <w:szCs w:val="18"/>
                <w:color w:val="auto"/>
              </w:rPr>
            </w:pPr>
          </w:p>
        </w:tc>
        <w:tc>
          <w:tcPr>
            <w:tcW w:w="6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&amp; administrative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124,170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6260" w:type="dxa"/>
            <w:vAlign w:val="bottom"/>
          </w:tcPr>
          <w:p>
            <w:pPr>
              <w:ind w:left="40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68,147</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Borders>
              <w:right w:val="single" w:sz="8" w:color="CCEEFF"/>
            </w:tcBorders>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before taxes and minority interest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1,554,506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Taxes on income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373,679</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Borders>
              <w:right w:val="single" w:sz="8" w:color="CCEEFF"/>
            </w:tcBorders>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before minority interest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1,180,827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Minority interest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(42,913)</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tcBorders>
              <w:right w:val="single" w:sz="8" w:color="CCEEFF"/>
            </w:tcBorders>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1,180,827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722,511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0.96</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Borders>
              <w:right w:val="single" w:sz="8" w:color="CCEEFF"/>
            </w:tcBorders>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1,178,453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1,236,491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right w:val="single" w:sz="8" w:color="CCEEFF"/>
            </w:tcBorders>
          </w:tcPr>
          <w:p>
            <w:pPr>
              <w:spacing w:after="0"/>
              <w:rPr>
                <w:sz w:val="18"/>
                <w:szCs w:val="18"/>
                <w:color w:val="auto"/>
              </w:rPr>
            </w:pPr>
          </w:p>
        </w:tc>
        <w:tc>
          <w:tcPr>
            <w:tcW w:w="62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2"/>
                <w:szCs w:val="22"/>
                <w:color w:val="auto"/>
                <w:vertAlign w:val="superscript"/>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440,977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items from the prior year have been reclassified to conform to the current year presentation.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interest income of: 2007—$35 million (2006—$35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ectPr>
          <w:pgSz w:w="11900" w:h="16838" w:orient="portrait"/>
          <w:cols w:equalWidth="0" w:num="1">
            <w:col w:w="10500"/>
          </w:cols>
          <w:pgMar w:left="240" w:top="274" w:right="11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Results, page 4</w:t>
      </w:r>
    </w:p>
    <w:p>
      <w:pPr>
        <w:spacing w:after="0" w:line="15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Condensed Balance Sheet</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1"/>
              </w:rPr>
              <w:t>(Stated in thousands)</w:t>
            </w:r>
          </w:p>
        </w:tc>
        <w:tc>
          <w:tcPr>
            <w:tcW w:w="0" w:type="dxa"/>
            <w:vAlign w:val="bottom"/>
          </w:tcPr>
          <w:p>
            <w:pPr>
              <w:spacing w:after="0"/>
              <w:rPr>
                <w:sz w:val="1"/>
                <w:szCs w:val="1"/>
                <w:color w:val="auto"/>
              </w:rPr>
            </w:pPr>
          </w:p>
        </w:tc>
      </w:tr>
      <w:tr>
        <w:trPr>
          <w:trHeight w:val="161"/>
        </w:trPr>
        <w:tc>
          <w:tcPr>
            <w:tcW w:w="696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 31, 2007</w:t>
            </w:r>
          </w:p>
        </w:tc>
        <w:tc>
          <w:tcPr>
            <w:tcW w:w="140" w:type="dxa"/>
            <w:vAlign w:val="bottom"/>
          </w:tcPr>
          <w:p>
            <w:pPr>
              <w:spacing w:after="0"/>
              <w:rPr>
                <w:sz w:val="14"/>
                <w:szCs w:val="14"/>
                <w:color w:val="auto"/>
              </w:rPr>
            </w:pPr>
          </w:p>
        </w:tc>
        <w:tc>
          <w:tcPr>
            <w:tcW w:w="1040" w:type="dxa"/>
            <w:vAlign w:val="bottom"/>
          </w:tcPr>
          <w:p>
            <w:pPr>
              <w:jc w:val="right"/>
              <w:ind w:right="133"/>
              <w:spacing w:after="0"/>
              <w:rPr>
                <w:sz w:val="20"/>
                <w:szCs w:val="20"/>
                <w:color w:val="auto"/>
              </w:rPr>
            </w:pPr>
            <w:r>
              <w:rPr>
                <w:rFonts w:ascii="Arial" w:cs="Arial" w:eastAsia="Arial" w:hAnsi="Arial"/>
                <w:sz w:val="14"/>
                <w:szCs w:val="14"/>
                <w:b w:val="1"/>
                <w:bCs w:val="1"/>
                <w:color w:val="auto"/>
                <w:w w:val="90"/>
              </w:rPr>
              <w:t>Dec. 31, 2006</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7"/>
              </w:rPr>
              <w:t>2,590,905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2,998,873</w:t>
            </w:r>
          </w:p>
        </w:tc>
        <w:tc>
          <w:tcPr>
            <w:tcW w:w="0" w:type="dxa"/>
            <w:vAlign w:val="bottom"/>
          </w:tcPr>
          <w:p>
            <w:pPr>
              <w:spacing w:after="0"/>
              <w:rPr>
                <w:sz w:val="1"/>
                <w:szCs w:val="1"/>
                <w:color w:val="auto"/>
              </w:rPr>
            </w:pPr>
          </w:p>
        </w:tc>
      </w:tr>
      <w:tr>
        <w:trPr>
          <w:trHeight w:val="223"/>
        </w:trPr>
        <w:tc>
          <w:tcPr>
            <w:tcW w:w="696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6,880,722</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6,186,789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7"/>
              </w:rPr>
              <w:t>9,471,627</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9,185,662</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216,001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153,000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7"/>
              </w:rPr>
              <w:t>5,805,745</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5,576,041</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i w:val="1"/>
                <w:iCs w:val="1"/>
                <w:color w:val="auto"/>
              </w:rPr>
              <w:t>Multiclient seismic data</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224,355</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226,681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7"/>
              </w:rPr>
              <w:t>4,992,700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4,988,558</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2,798,356</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2,702,196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6"/>
              </w:rPr>
              <w:t>23,508,784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22,832,138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3,647,048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3,848,017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7"/>
              </w:rPr>
              <w:t>1,093,566</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1,136,529</w:t>
            </w:r>
          </w:p>
        </w:tc>
        <w:tc>
          <w:tcPr>
            <w:tcW w:w="0" w:type="dxa"/>
            <w:vAlign w:val="bottom"/>
          </w:tcPr>
          <w:p>
            <w:pPr>
              <w:spacing w:after="0"/>
              <w:rPr>
                <w:sz w:val="1"/>
                <w:szCs w:val="1"/>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Bank loans and current portion of long-term debt</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959,907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1,321,529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207,641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148,720</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5,908,162</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6,454,795</w:t>
            </w: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Convertible debentures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7"/>
              </w:rPr>
              <w:t>1,424,987</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1,424,990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i w:val="1"/>
                <w:iCs w:val="1"/>
                <w:color w:val="auto"/>
              </w:rPr>
              <w:t>Other long-term debt</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3,194,689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3,238,952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7"/>
              </w:rPr>
              <w:t>1,036,269</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1,036,169</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584,625</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257,349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6"/>
              </w:rPr>
              <w:t>12,148,732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12,412,255</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11,360,052</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10,419,883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6"/>
              </w:rPr>
              <w:t>23,508,784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22,832,138</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00"/>
          </w:cols>
          <w:pgMar w:left="240" w:top="274" w:right="11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Results, page 5</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Net Debt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Details of the Net Debt follow: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Three Months</w:t>
            </w:r>
          </w:p>
        </w:tc>
        <w:tc>
          <w:tcPr>
            <w:tcW w:w="7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7"/>
              </w:rPr>
              <w:t>(Stated in millions)</w:t>
            </w:r>
          </w:p>
        </w:tc>
        <w:tc>
          <w:tcPr>
            <w:tcW w:w="0" w:type="dxa"/>
            <w:vAlign w:val="bottom"/>
          </w:tcPr>
          <w:p>
            <w:pPr>
              <w:spacing w:after="0"/>
              <w:rPr>
                <w:sz w:val="1"/>
                <w:szCs w:val="1"/>
                <w:color w:val="auto"/>
              </w:rPr>
            </w:pPr>
          </w:p>
        </w:tc>
      </w:tr>
      <w:tr>
        <w:trPr>
          <w:trHeight w:val="148"/>
        </w:trPr>
        <w:tc>
          <w:tcPr>
            <w:tcW w:w="70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14"/>
              <w:spacing w:after="0" w:line="148"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Debt, January 1, 2007</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(1)</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Proceeds from employee stock plans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Business acquisitions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Translation effect on Net Debt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Debt, March 31, 2007</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Mar. 31, 2007</w:t>
            </w:r>
          </w:p>
        </w:tc>
        <w:tc>
          <w:tcPr>
            <w:tcW w:w="3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 31, 2006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2,591</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Convertible debentures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(1,425)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(2,773)</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Including Multiclient seismic data expenditure.</w:t>
      </w:r>
    </w:p>
    <w:p>
      <w:pPr>
        <w:sectPr>
          <w:pgSz w:w="11900" w:h="16838" w:orient="portrait"/>
          <w:cols w:equalWidth="0" w:num="1">
            <w:col w:w="11280"/>
          </w:cols>
          <w:pgMar w:left="240" w:top="27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Results, page 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240" w:type="dxa"/>
            <w:vAlign w:val="bottom"/>
            <w:gridSpan w:val="3"/>
          </w:tcPr>
          <w:p>
            <w:pPr>
              <w:jc w:val="right"/>
              <w:ind w:right="259"/>
              <w:spacing w:after="0"/>
              <w:rPr>
                <w:sz w:val="20"/>
                <w:szCs w:val="20"/>
                <w:color w:val="auto"/>
              </w:rPr>
            </w:pPr>
            <w:r>
              <w:rPr>
                <w:rFonts w:ascii="Arial" w:cs="Arial" w:eastAsia="Arial" w:hAnsi="Arial"/>
                <w:sz w:val="18"/>
                <w:szCs w:val="18"/>
                <w:b w:val="1"/>
                <w:bCs w:val="1"/>
                <w:color w:val="auto"/>
              </w:rPr>
              <w:t>Business Review</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4"/>
              </w:rPr>
              <w:t>Business Segments</w:t>
            </w:r>
          </w:p>
        </w:tc>
        <w:tc>
          <w:tcPr>
            <w:tcW w:w="2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40" w:type="dxa"/>
            <w:vAlign w:val="bottom"/>
            <w:gridSpan w:val="5"/>
          </w:tcPr>
          <w:p>
            <w:pPr>
              <w:spacing w:after="0"/>
              <w:rPr>
                <w:sz w:val="20"/>
                <w:szCs w:val="20"/>
                <w:color w:val="auto"/>
              </w:rPr>
            </w:pPr>
            <w:r>
              <w:rPr>
                <w:rFonts w:ascii="Arial" w:cs="Arial" w:eastAsia="Arial" w:hAnsi="Arial"/>
                <w:sz w:val="14"/>
                <w:szCs w:val="14"/>
                <w:b w:val="1"/>
                <w:bCs w:val="1"/>
                <w:color w:val="auto"/>
              </w:rPr>
              <w:t>(Stated in millions)</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w w:val="91"/>
              </w:rPr>
              <w:t>Three Months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5"/>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w w:val="88"/>
              </w:rPr>
              <w:t>Oilfield Services</w:t>
            </w:r>
          </w:p>
        </w:tc>
        <w:tc>
          <w:tcPr>
            <w:tcW w:w="2260" w:type="dxa"/>
            <w:vAlign w:val="bottom"/>
            <w:tcBorders>
              <w:bottom w:val="single" w:sz="8" w:color="CCEEFF"/>
            </w:tcBorders>
            <w:gridSpan w:val="2"/>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Operating Revenue</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3,711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84"/>
        </w:trPr>
        <w:tc>
          <w:tcPr>
            <w:tcW w:w="3440" w:type="dxa"/>
            <w:vAlign w:val="bottom"/>
            <w:gridSpan w:val="5"/>
          </w:tcPr>
          <w:p>
            <w:pPr>
              <w:spacing w:after="0"/>
              <w:rPr>
                <w:sz w:val="20"/>
                <w:szCs w:val="20"/>
                <w:color w:val="auto"/>
              </w:rPr>
            </w:pPr>
            <w:r>
              <w:rPr>
                <w:rFonts w:ascii="Arial" w:cs="Arial" w:eastAsia="Arial" w:hAnsi="Arial"/>
                <w:sz w:val="18"/>
                <w:szCs w:val="18"/>
                <w:i w:val="1"/>
                <w:iCs w:val="1"/>
                <w:color w:val="auto"/>
              </w:rPr>
              <w:t>WesternGeco</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Pretax Operating Income</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Effective January 1, 2007, a GeoMarket*, which had been included in the Middle East &amp; Asia Area, was reassigned to the Europe/CIS/Africa Area. Certain activities have also been reallocated between Oilfield Services and WesternGeco. Prior period data has been reclassified to conform to the current organizational structure.</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Pretax operating income represents the business segments’ income before taxes and minority interest. The pretax operating income excludes corporate expenses, interest income, interest expense, amortization of certain intangible assets, interest on postretirement benefits and stock-based compensation costs, as these items are not allocated to the segments.</w:t>
      </w:r>
    </w:p>
    <w:p>
      <w:pPr>
        <w:sectPr>
          <w:pgSz w:w="11900" w:h="16838" w:orient="portrait"/>
          <w:cols w:equalWidth="0" w:num="1">
            <w:col w:w="11320"/>
          </w:cols>
          <w:pgMar w:left="240" w:top="27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Results, page 7</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First-quarter revenue of $4.76 billion was 3% higher sequentially and 28% higher year-on-year.</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Sequential revenue increases were highest in the West and South Africa, Arabian, North Sea and Eastern Mediterranean GeoMarkets. Double-digit growth rates were also experienced in Alaska, Australia/Papua New Guinea, Thailand/Vietnam, North Africa and India. Across all Oilfield Services Areas demand was particularly strong for Drilling &amp; Measurements, Wireline, Well Testing and Data &amp; Consulting Services technologies. However, growth was partially offset by lower Schlumberger Information Solutions (SIS) and Artificial Lift Systems sales following seasonal highs in the prior quarter.</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Pretax operating income of $1.41 billion increased 6% sequentially and 47% year-on-year. The sequential increase was mainly driven by higher overall activity and a favorable technology mix in the West and South Africa, Eastern Mediterranean, Arabian, North Sea and Australia/Papua New Guinea GeoMarkets; by increased rig count in Canada, Alaska, North Africa and Thailand/Vietnam; and by efficiency gains in the North America Area. This resulted in Oilfield Services pretax operating margins reaching 29.5%.</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During the quarter the Contact* family of multistage fracturing and completion services was introduced at the first Society of Petroleum Engineers technical conference wholly devoted to hydraulic fracturing technology. Integrating stimulation technologies such as CoilFRAC* and RapidSTIM*, the Contact family provides operators with a broader range of efficient and effective fracturing services that are of particular value when placing multiple fractures in a single well. Deployed across multiple regions during the quarter, this new stimulation technology has proven instrumental to improving production.</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Industry acceptance of the Scanner Family* of wireline logging services continued at a rapid pace. With nearly 1,000 operations completed in 2006 and more than 300 logs run since the start of 2007, the Scanner suite of downhole rock and fluid characterization measurements services is now active across all Areas. In regions where Scanner technologies have been deployed, their use has brought increased certainty in reservoir modeling to reduce the risk often associated with the development of smaller, more difficult and more complex reservoirs.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Revenue of $1.37 billion decreased 4% sequentially but increased 12% year-on-year. Pretax operating income of $431 million decreased 2% sequentially but increased 15% year-on-year.</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Sequentially, the Alaska GeoMarket recorded strong revenue growth resulting from increased exploration activity and increased demand for Drilling &amp; Measurements, Well Testing and Well Services technologies. Seasonal growth in Canada was moderate due partly to project slowdowns in the East, but mainly as a result of declining activity in the regions of shallow gas and coalbed methane production. However, the growth in the Alaska and Canada GeoMarkets was more than offset by a lower overall Area rig count; the seasonal land-access restrictions and weather activity in US Land; and a change in service mix in the US Gulf Coast.</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Sequential pretax operating margins were driven by the favorable activity mix in Alaska and by overall efficiency gains in the Area to reach 31.4% in spite of the lower activity levels seen in US Land, and the less favorable service mix in the US Gulf Coast.</w:t>
      </w:r>
    </w:p>
    <w:p>
      <w:pPr>
        <w:spacing w:after="0" w:line="132" w:lineRule="exact"/>
        <w:rPr>
          <w:sz w:val="20"/>
          <w:szCs w:val="20"/>
          <w:color w:val="auto"/>
        </w:rPr>
      </w:pPr>
    </w:p>
    <w:p>
      <w:pPr>
        <w:ind w:right="960"/>
        <w:spacing w:after="0" w:line="370" w:lineRule="auto"/>
        <w:rPr>
          <w:sz w:val="20"/>
          <w:szCs w:val="20"/>
          <w:color w:val="auto"/>
        </w:rPr>
      </w:pPr>
      <w:r>
        <w:rPr>
          <w:rFonts w:ascii="Arial" w:cs="Arial" w:eastAsia="Arial" w:hAnsi="Arial"/>
          <w:sz w:val="15"/>
          <w:szCs w:val="15"/>
          <w:color w:val="auto"/>
        </w:rPr>
        <w:t>In East Texas, Contact technology enabled Goodrich Petroleum to improve production, save natural gas time-to-market and reduce cost in a growing unconventional gas play. Streaming hydraulic fracture-mapping data to the customer’s Houston office permitted real-time stimulation optimization.</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Results, page 8</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fifth horizontal well steered using PeriScope15* technology was completed in a tar-bearing reservoir in a Californian field, resulting in a cumulative five-fold increase in oil production and a five-fold decrease in water production across the five wells. PeriScope technology provides directional, deep imaging-while-drilling measurements to enable optimal well placements. Based on these results the customer now plans to deploy this technology to drill an additional 14 horizontal wells in 2007.</w:t>
      </w:r>
    </w:p>
    <w:p>
      <w:pPr>
        <w:spacing w:after="0" w:line="14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the US Gulf of Mexico, the first StethoScope 475* service for slimhole applications was run for Murphy Exploration and Production Company. The new technology enabled the customer to acquire critical pressures for reservoir evaluation and gradients for zonal connectivity. StethoScope 475 technology expands the formation pressure-while-drilling capabilities of Drilling &amp; Measurements to include all wellbore sizes from 6 to 15 inches.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SIS released the Avocet* Production Surveillance software solution designed to increase the value and reliability of high-frequency data for production managers by putting production monitoring and alerts in the context of wells and their dynamic behavior. The solution leverages a unique combination of real-time data management technology and production domain knowledge.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of $728 million increased 8% sequentially and 23% year-on-year. Pretax operating income of $163 million increased 15% sequentially and 70% year-on-year.</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During the quarter, the drilling and engineering contracts associated with the drilling barges in Venezuela were finalized, resulting in certain previously deferred revenues and related costs being recognized. This accounted for the majority of the Area’s sequential revenue growth, but had only a marginal impact on the Area’s pretax operating income. Discussions regarding finalization of two remaining contracts are ongoing.</w:t>
      </w:r>
    </w:p>
    <w:p>
      <w:pPr>
        <w:spacing w:after="0" w:line="10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Sequential pretax operating margins improved by 136 basis points (bps) as a result of a more favorable activity mix in the Mexico GeoMarket; increased Drilling &amp; Measurements and Well Testing activities in Peru/Colombia/Ecuador; together with higher Wireline, Well Services and Well Testing services and higher Artificial Lift Systems sales in Latin America South.</w:t>
      </w:r>
    </w:p>
    <w:p>
      <w:pPr>
        <w:spacing w:after="0" w:line="140"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In Mexico, the CleanGEL* and FiberFRAC* fracturing fluid systems were deployed for Pemex in the Burgos Basin in a stimulation program in which 80 fracturing treatments were pumped. The two technologies enabled the use of lower polymer load, resulting in cleaner fracturing fluids and increased well productivity.</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Venezuela, the introduction of PhaseWatcher* gas mode multiphase flowmeter technology lead to a service and maintenance contract for multiple PhaseWatcher meters to be installed in the Quiriquire field for Repsol YPF. With an increasing gas volume fraction affecting output in the field, two units will be used to monitor gas production. Multiphase Vx* technology—part of the PhaseWatcher system—enables continuous production monitoring to optimize well performance, resulting in greater production efficiency.</w:t>
      </w:r>
    </w:p>
    <w:p>
      <w:pPr>
        <w:spacing w:after="0" w:line="14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BP’s Florena field in the Colombian Piedmonte Llanero region, PowerDrive Vortex* rotary-steerable technology drilled 5,658 ft in a single run in 262 hours. Combined with PowerPulse* MWD and PERFORM* real-time drilling optimization services, PowerDrive Vortex technology enabled the customer to improve the rate of penetration from a planned rate of 15 ft/hr to 34 ft/hr, saving more than eight days of rig time.</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Brazil, project collaboration focused on heavy and extra-heavy oil exploration and production challenges will now be facilitated with the opening of the Heavy Oil Competence Center in Vitória. A partnership among the Petrobras research arm CENPES, Espírito Santo Federal University (UFES) and Schlumberger, the center is located on the campus of UFES and is equipped with a magnetic resonance imaging laboratory for hydrocarbon typing.</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Results, page 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of $1.52 billion increased 6% sequentially and 45% year-on-year. Pretax operating income of $430 million increased 12% sequentially and 87% year-on-year.</w:t>
      </w:r>
    </w:p>
    <w:p>
      <w:pPr>
        <w:spacing w:after="0" w:line="132"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Sequential revenue growth was driven by higher activity in the West and South Africa, North Sea, North Africa, Nigeria and Libya GeoMarkets. This was partially offset by weather-related seasonal drilling activity slowdowns in Russia, coupled with seasonal drilling shutdowns in northern Russia and offshore Sakhalin, as well as lower activity in the Caspian GeoMarket. Across the Area demand was particularly strong for Drilling &amp; Measurements, Wireline, Well Services and Well Testing technologies.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Sequential pretax operating margins grew by 150 bps driven by demand for exploration-related services in West and South Africa and Libya; increased demand for Drilling &amp; Measurements technologies in the North Sea; and new technology Well Testing services in North Africa. This growth was partially offset by lower SIS and Completions sales across the Area and the seasonal weather activity slowdown in Russia.</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Gabon, Schlumberger performed the world’s first offshore stimulation using the StageFRAC* multistage fracturing technology for Perenco. Part of the Contact family of fracturing services, StageFRAC delivers effective stimulation of multi-layered reservoirs ensuring optimal treatment of each zone, while reducing total treatment time. Four wells were treated, with initial post-treatment well performance revealing a substantial increase in well productivity.</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North Africa, Schlumberger opened an OSC* Operation Support Center for Eni Oil. This marks the first fully dedicated real-time drilling center in the region. The center is staffed by Drilling &amp; Measurements experts and supported by SIS and Data &amp; Consulting Services personnel to provide around the clock monitoring of up to 10 remote rigs.</w:t>
      </w:r>
    </w:p>
    <w:p>
      <w:pPr>
        <w:spacing w:after="0" w:line="14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Petrel* seismic-to-simulation software continued gaining operator acceptance as Hydro selected the technology as its standard workflow tool for subsurface reservoir characterization. Hydro exploration and production asset teams worldwide will use Petrel software to develop and refine workflows across multiple technical disciplines.</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Italy, an innovative, self-healing cement system to maintain zonal isolation was deployed for Stogit, a subsidiary of Eni responsible for gas storage. The technology will be used in a three-year cementing campaign to develop gas storage wells for Stogit.</w:t>
      </w:r>
    </w:p>
    <w:p>
      <w:pPr>
        <w:spacing w:after="0" w:line="13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the quarter, Schlumberger Artificial Lift Systems won multiple contracts for the supply of 40 subsea XLift* gas lift systems, notably in Norway, Angola and Nigeria. XLift artificial lift technology enables reliable high-pressure gas lift operations in deepwater subsea wells by increasing the operating gas-injection depth, improving efficiency and increasing production with optimal performance.</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Results, page 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$1.09 billion increased 5% sequentially and 34% year-on-year. Pretax operating income of $374 million increased 11% sequentially and 49% year-on-year.</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sequential growth in revenue resulted from increasing exploration activity in the Australia/Papua New Guinea and Thailand/Vietnam GeoMarkets, stronger deepwater activity in East Mediterranean and India, together with higher activity levels in the Arabian GeoMarket. This growth was dampened by lower activity levels in Brunei/Malaysia/Philippines and a weather-related activity slowdown in China. Strong demand for Drilling &amp; Measurements, Well Services and Well Testing technologies, together with double-digit growth in Completions product sales were recorded in the quarter, but this was partially offset by lower SIS and Artificial Lift Systems sales in the Area.</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Sequential pretax operating margins grew by 165 bps to reach 34.3% driven by exploration-related activity in Australia/Papua New Guinea, Thailand/Vietnam and deepwater India, together with strong demand for new technology Drilling &amp; Measurements, Well Services and Well Testing services in the Arabian GeoMarket.</w:t>
      </w:r>
    </w:p>
    <w:p>
      <w:pPr>
        <w:spacing w:after="0" w:line="140" w:lineRule="exact"/>
        <w:rPr>
          <w:sz w:val="20"/>
          <w:szCs w:val="20"/>
          <w:color w:val="auto"/>
        </w:rPr>
      </w:pPr>
    </w:p>
    <w:p>
      <w:pPr>
        <w:jc w:val="both"/>
        <w:ind w:right="80"/>
        <w:spacing w:after="0" w:line="332" w:lineRule="auto"/>
        <w:rPr>
          <w:sz w:val="20"/>
          <w:szCs w:val="20"/>
          <w:color w:val="auto"/>
        </w:rPr>
      </w:pPr>
      <w:r>
        <w:rPr>
          <w:rFonts w:ascii="Arial" w:cs="Arial" w:eastAsia="Arial" w:hAnsi="Arial"/>
          <w:sz w:val="16"/>
          <w:szCs w:val="16"/>
          <w:color w:val="auto"/>
        </w:rPr>
        <w:t>In a Kuwait field, StageFRAC* fracturing technology was deployed resulting in a production rate five times higher than that of the average producing well in the field. StageFRAC was used to place a VDA* Viscoelastic Diverting Acid treatment on a carbonate reservoir in eight separate sections of the wellbore in one trip.</w:t>
      </w:r>
    </w:p>
    <w:p>
      <w:pPr>
        <w:spacing w:after="0" w:line="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India, Reliance Industries Ltd. awarded Schlumberger a two-year contract to manage their OSC Operation Support Center for up to eight offshore rigs operating predominately in deep water. Schlumberger will provide Drilling &amp; Measurements experts, software and technology—including drilling optimization applications; Petrel geomodeling software; the InterACT* wellsite monitoring and data delivery system; and reservoir modeling and interpretation through Data &amp; Consulting Services for all rigs.</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Australia, the Wireline Quicksilver Probe* technology, used in conjunction with a high-temperature dual packer, produced exceptionally low contamination levels in the acquired samples for Woodside Energy Ltd., enabling sampling of formation fluids in a fraction of the time it takes with conventional sampling techniques.</w:t>
      </w:r>
    </w:p>
    <w:p>
      <w:pPr>
        <w:spacing w:after="0" w:line="14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China, PetroChina Dagang awarded Schlumberger a two-year multi-well contract to provide extended-reach drilling services in the shallow water area of Bohai Bay, a region where integrating geomechanics expertise and PowerDrive* rotary-steerable technology has been of considerable value.</w:t>
      </w:r>
    </w:p>
    <w:p>
      <w:pPr>
        <w:spacing w:after="0" w:line="8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the UAE, the PURE* perforating system was deployed on four wells in a carbonate reservoir for Abu Dhabi Marine Operating Company. Typically such wells require acid stimulation after perforation resulting in significant time delays from completion to production. PURE technology enabled immediate production from the wells, improved production rates following subsequent stimulation, and increased overall operational efficiency.</w:t>
      </w:r>
    </w:p>
    <w:p>
      <w:pPr>
        <w:spacing w:after="0" w:line="1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Also in the UAE, Abu Dhabi National Oil Company (ADNOC) awarded SIS a three-year contract for Eclipse* reservoir simulation software, which is used throughout the ADNOC group.</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Results, page 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First-quarter revenue of $706 million decreased 2% sequentially but increased 33% compared to the same period last year. Pretax operating income of $266 million increased 2% sequentially and 79% year-on-year.</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Sequentially, Multiclient continued to register growth due to high demand for E-surveys in the US Gulf of Mexico. However, this growth was more than offset by the decline in Marine due to vessel transits; lower Land activity associated with project completions and new project start-up delays; together with lower Data Processing revenue following the reassignment of resources toward processing Multiclient surveys.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Pretax operating margins improved sequentially by 142 bps to reach 37.7% driven by increased higher margin Multiclient sales in North America and improved efficiencies in Land and Data Processing.</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second phase of acquisition in the E-Octopus wide-azimuth towed-streamer survey in the Gulf of Mexico neared completion. Located in the deepwater Walker Ridge and Keathley Canyon areas, the E-Octopus project is part of the family of E-surveys, which utilize the most advanced acquisition and processing technologies in the industry. The family also includes reprocessed surveys such as the E-Cat and E-Dog deepwater projects, and the shallow-water shelf E-Dragon project offshore Louisiana.</w:t>
      </w:r>
    </w:p>
    <w:p>
      <w:pPr>
        <w:spacing w:after="0" w:line="14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BP Exploration extended the current contract in Algeria to acquire a third high-quality exploration survey using Q-Land* technology</w:t>
      </w:r>
      <w:r>
        <w:rPr>
          <w:rFonts w:ascii="Arial" w:cs="Arial" w:eastAsia="Arial" w:hAnsi="Arial"/>
          <w:sz w:val="18"/>
          <w:szCs w:val="18"/>
          <w:i w:val="1"/>
          <w:iCs w:val="1"/>
          <w:color w:val="auto"/>
        </w:rPr>
        <w:t>.</w:t>
      </w:r>
      <w:r>
        <w:rPr>
          <w:rFonts w:ascii="Arial" w:cs="Arial" w:eastAsia="Arial" w:hAnsi="Arial"/>
          <w:sz w:val="18"/>
          <w:szCs w:val="18"/>
          <w:color w:val="auto"/>
        </w:rPr>
        <w:t xml:space="preserve"> Utilizing the unique single-sensor acquisition and processing technology of Q-Land, high-quality 3D migrated images from more than 23,000 channels will be delivered shortly after survey completion.</w:t>
      </w:r>
    </w:p>
    <w:p>
      <w:pPr>
        <w:spacing w:after="0" w:line="140" w:lineRule="exact"/>
        <w:rPr>
          <w:sz w:val="20"/>
          <w:szCs w:val="20"/>
          <w:color w:val="auto"/>
        </w:rPr>
      </w:pPr>
    </w:p>
    <w:p>
      <w:pPr>
        <w:jc w:val="both"/>
        <w:ind w:right="80"/>
        <w:spacing w:after="0" w:line="332" w:lineRule="auto"/>
        <w:rPr>
          <w:sz w:val="20"/>
          <w:szCs w:val="20"/>
          <w:color w:val="auto"/>
        </w:rPr>
      </w:pPr>
      <w:r>
        <w:rPr>
          <w:rFonts w:ascii="Arial" w:cs="Arial" w:eastAsia="Arial" w:hAnsi="Arial"/>
          <w:sz w:val="16"/>
          <w:szCs w:val="16"/>
          <w:color w:val="auto"/>
        </w:rPr>
        <w:t xml:space="preserve">In the Turkish sector of the Black Sea the </w:t>
      </w:r>
      <w:r>
        <w:rPr>
          <w:rFonts w:ascii="Arial" w:cs="Arial" w:eastAsia="Arial" w:hAnsi="Arial"/>
          <w:sz w:val="16"/>
          <w:szCs w:val="16"/>
          <w:i w:val="1"/>
          <w:iCs w:val="1"/>
          <w:color w:val="auto"/>
        </w:rPr>
        <w:t>Western Pride</w:t>
      </w:r>
      <w:r>
        <w:rPr>
          <w:rFonts w:ascii="Arial" w:cs="Arial" w:eastAsia="Arial" w:hAnsi="Arial"/>
          <w:sz w:val="16"/>
          <w:szCs w:val="16"/>
          <w:color w:val="auto"/>
        </w:rPr>
        <w:t xml:space="preserve"> completed a Q-Marine* exploration survey for Turkiye Petrolleri A.O. This high-quality survey over the deepwater Sinop and Kozlu blocks was initially 4,500 sq km but was extended in size by a further 40%. This marks the fourth Q-Marine survey in the Black Sea.</w:t>
      </w:r>
    </w:p>
    <w:p>
      <w:pPr>
        <w:spacing w:after="0" w:line="8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 xml:space="preserve">In Nigeria, Total contracted WesternGeco to carry out a high-resolution 3D survey using Q-Marine acquisition and processing. The two-month survey will be acquired with the vessel </w:t>
      </w:r>
      <w:r>
        <w:rPr>
          <w:rFonts w:ascii="Arial" w:cs="Arial" w:eastAsia="Arial" w:hAnsi="Arial"/>
          <w:sz w:val="16"/>
          <w:szCs w:val="16"/>
          <w:i w:val="1"/>
          <w:iCs w:val="1"/>
          <w:color w:val="auto"/>
        </w:rPr>
        <w:t>Western Pride</w:t>
      </w:r>
      <w:r>
        <w:rPr>
          <w:rFonts w:ascii="Arial" w:cs="Arial" w:eastAsia="Arial" w:hAnsi="Arial"/>
          <w:sz w:val="16"/>
          <w:szCs w:val="16"/>
          <w:color w:val="auto"/>
        </w:rPr>
        <w:t>. The specifications are such that the survey is designed as a baseline for future 4D repeat monitor surveys.</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First-Quarter Results, page 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information solutions and integrated project management that optimize reservoir performance for customers working in the oil and gas industry. The company employs more than 70,000 people of over 140 nationalities working in approximately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2006, Schlumberger operating revenue was $19.23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on Friday, April 20, 2007, at 9:00 am Eastern, 8:00 am Central (2:00 pm London/3:00 pm Paris). To access the call, which is open to the public, please contact the conference call operator at +1-888-428-4480 (toll free) for North America, or +1-612-234-9960 outside of North America, approximately 10 minutes prior to the scheduled start time. Ask for the “Schlumberger Earnings Conference Call.” A replay will be available through May 18, 2007, by dialing +1-800-475-6701 in North America, or +1-320-365-3844 outside of North America, and providing the access code 866488.</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Jean-François Poupeau, Vice President of Communications and Investor Relations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Debashis Gupta, Investor Relations Manager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+1-713-375-3535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ectPr>
          <w:pgSz w:w="11900" w:h="16838" w:orient="portrait"/>
          <w:cols w:equalWidth="0" w:num="1">
            <w:col w:w="11240"/>
          </w:cols>
          <w:pgMar w:left="240" w:top="274" w:right="41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First-Quarter 2007 Results—Supplemental Information</w:t>
      </w:r>
    </w:p>
    <w:p>
      <w:pPr>
        <w:spacing w:after="0" w:line="212" w:lineRule="exact"/>
        <w:rPr>
          <w:sz w:val="20"/>
          <w:szCs w:val="20"/>
          <w:color w:val="auto"/>
        </w:rPr>
      </w:pPr>
    </w:p>
    <w:p>
      <w:pPr>
        <w:ind w:left="680" w:right="260" w:hanging="679"/>
        <w:spacing w:after="0" w:line="262" w:lineRule="auto"/>
        <w:tabs>
          <w:tab w:leader="none" w:pos="66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8"/>
          <w:szCs w:val="18"/>
          <w:b w:val="1"/>
          <w:bCs w:val="1"/>
          <w:color w:val="auto"/>
        </w:rPr>
        <w:t>Effective January 1, 2007, a GeoMarket, which had been included in the Middle East &amp; Asia Area, was reassigned to the Europe/CIS/Africa Area and certain activities have also been reallocated between Oilfield Services and WesternGeco. Where can I find historical information reflecting these changes?</w:t>
      </w:r>
    </w:p>
    <w:p>
      <w:pPr>
        <w:spacing w:after="0" w:line="57" w:lineRule="exact"/>
        <w:rPr>
          <w:sz w:val="20"/>
          <w:szCs w:val="20"/>
          <w:color w:val="auto"/>
        </w:rPr>
      </w:pPr>
    </w:p>
    <w:p>
      <w:pPr>
        <w:ind w:left="700" w:right="280"/>
        <w:spacing w:after="0" w:line="332" w:lineRule="auto"/>
        <w:rPr>
          <w:sz w:val="20"/>
          <w:szCs w:val="20"/>
          <w:color w:val="auto"/>
        </w:rPr>
      </w:pPr>
      <w:r>
        <w:rPr>
          <w:rFonts w:ascii="Arial" w:cs="Arial" w:eastAsia="Arial" w:hAnsi="Arial"/>
          <w:sz w:val="16"/>
          <w:szCs w:val="16"/>
          <w:color w:val="auto"/>
        </w:rPr>
        <w:t xml:space="preserve">Historical information reflecting these changes for the periods beginning January 1, 2006, can be found in the document titled “Revenue and Income from Operations”, which has been posted on our website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in the Quarterly Results section under Financial News.</w:t>
      </w:r>
    </w:p>
    <w:p>
      <w:pPr>
        <w:spacing w:after="0" w:line="201"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8"/>
          <w:szCs w:val="18"/>
          <w:b w:val="1"/>
          <w:bCs w:val="1"/>
          <w:color w:val="auto"/>
        </w:rPr>
        <w:t>What was the Oilfield Services pretax return on sales for the quarter?</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Oilfield Services pretax return on sales for the first quarter of 2007 was 29.5% versus 28.7% in the fourth quarter of 2006.</w:t>
      </w:r>
    </w:p>
    <w:p>
      <w:pPr>
        <w:spacing w:after="0" w:line="20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8"/>
          <w:szCs w:val="18"/>
          <w:b w:val="1"/>
          <w:bCs w:val="1"/>
          <w:color w:val="auto"/>
        </w:rPr>
        <w:t>What is the capex guidance for 2007?</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Oilfield Services capex is expected to approach $2.6 billion for the full year 2007, an increase of 24% over 2006.</w:t>
      </w:r>
    </w:p>
    <w:p>
      <w:pPr>
        <w:spacing w:after="0" w:line="287"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8"/>
          <w:szCs w:val="18"/>
          <w:b w:val="1"/>
          <w:bCs w:val="1"/>
          <w:color w:val="auto"/>
        </w:rPr>
        <w:t>What was the dollar amount of multiclient surveys capitalized in the first quarter of 2007?</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WesternGeco capitalized $62 million of multiclient surveys in the first quarter of 2007.</w:t>
      </w:r>
    </w:p>
    <w:p>
      <w:pPr>
        <w:spacing w:after="0" w:line="20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8"/>
          <w:szCs w:val="18"/>
          <w:b w:val="1"/>
          <w:bCs w:val="1"/>
          <w:color w:val="auto"/>
        </w:rPr>
        <w:t>What multiclient sales were made in the first quarter of 2007?</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Multiclient sales, including transfer fees, reached $275 million in the first quarter of 2007.</w:t>
      </w:r>
    </w:p>
    <w:p>
      <w:pPr>
        <w:spacing w:after="0" w:line="20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8"/>
          <w:szCs w:val="18"/>
          <w:b w:val="1"/>
          <w:bCs w:val="1"/>
          <w:color w:val="auto"/>
        </w:rPr>
        <w:t>What is the capex guidance for 2007?</w:t>
      </w:r>
    </w:p>
    <w:p>
      <w:pPr>
        <w:spacing w:after="0" w:line="96" w:lineRule="exact"/>
        <w:rPr>
          <w:sz w:val="20"/>
          <w:szCs w:val="20"/>
          <w:color w:val="auto"/>
        </w:rPr>
      </w:pPr>
    </w:p>
    <w:p>
      <w:pPr>
        <w:ind w:left="700" w:right="240"/>
        <w:spacing w:after="0" w:line="268" w:lineRule="auto"/>
        <w:rPr>
          <w:sz w:val="20"/>
          <w:szCs w:val="20"/>
          <w:color w:val="auto"/>
        </w:rPr>
      </w:pPr>
      <w:r>
        <w:rPr>
          <w:rFonts w:ascii="Arial" w:cs="Arial" w:eastAsia="Arial" w:hAnsi="Arial"/>
          <w:sz w:val="18"/>
          <w:szCs w:val="18"/>
          <w:color w:val="auto"/>
        </w:rPr>
        <w:t>WesternGeco capex is expected to reach $425 million in 2007—excluding $300 million of significantly pre-funded multiclient surveys—versus $345 million and $180 million respectively in 2006.</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8"/>
          <w:szCs w:val="18"/>
          <w:b w:val="1"/>
          <w:bCs w:val="1"/>
          <w:color w:val="auto"/>
        </w:rPr>
        <w:t>What was WesternGeco backlog at the end of the quarter?</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WesternGeco backlog was $1.1 billion — flat in comparison to the previous quarter.</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5" w:right="239" w:bottom="1440" w:gutter="0" w:footer="0" w:header="0"/>
        </w:sectPr>
      </w:pPr>
    </w:p>
    <w:bookmarkStart w:id="16" w:name="page17"/>
    <w:bookmarkEnd w:id="16"/>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8"/>
          <w:szCs w:val="18"/>
          <w:b w:val="1"/>
          <w:bCs w:val="1"/>
          <w:color w:val="auto"/>
        </w:rPr>
        <w:t>What were the Schlumberger pretax and after-tax returns-on-sales, before minority interest, for the first quarter of 2007?</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pretax return on sales was 28.4% for the first quarter of 2007—versus 27.4% in the previous quarter.</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after-tax return on sales, before minority interest, was 21.6% for the first quarter of 2007 compared to 21.1% in the fourth quarter of 2006.</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8"/>
          <w:szCs w:val="18"/>
          <w:b w:val="1"/>
          <w:bCs w:val="1"/>
          <w:color w:val="auto"/>
        </w:rPr>
        <w:t>What was stock-based compensation expense for the first quarter of 2007? What is it estimated to be for the full year 2007?</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stock-based compensation expense for the first quarter was $37 million, or $0.03 per share.</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 stock-based compensation expense in 2007 is currently estimated to be approximately $140 million, or $0.11 per share.</w:t>
      </w:r>
    </w:p>
    <w:p>
      <w:pPr>
        <w:spacing w:after="0" w:line="17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Q10)</w:t>
      </w:r>
      <w:r>
        <w:rPr>
          <w:sz w:val="20"/>
          <w:szCs w:val="20"/>
          <w:color w:val="auto"/>
        </w:rPr>
        <w:tab/>
      </w:r>
      <w:r>
        <w:rPr>
          <w:rFonts w:ascii="Arial" w:cs="Arial" w:eastAsia="Arial" w:hAnsi="Arial"/>
          <w:sz w:val="18"/>
          <w:szCs w:val="18"/>
          <w:b w:val="1"/>
          <w:bCs w:val="1"/>
          <w:color w:val="auto"/>
        </w:rPr>
        <w:t>What was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at the end of the quarter?</w:t>
      </w:r>
    </w:p>
    <w:p>
      <w:pPr>
        <w:spacing w:after="0" w:line="78" w:lineRule="exact"/>
        <w:rPr>
          <w:sz w:val="20"/>
          <w:szCs w:val="20"/>
          <w:color w:val="auto"/>
        </w:rPr>
      </w:pPr>
    </w:p>
    <w:p>
      <w:pPr>
        <w:ind w:left="700"/>
        <w:spacing w:after="0" w:line="313" w:lineRule="auto"/>
        <w:rPr>
          <w:sz w:val="20"/>
          <w:szCs w:val="20"/>
          <w:color w:val="auto"/>
        </w:rPr>
      </w:pPr>
      <w:r>
        <w:rPr>
          <w:rFonts w:ascii="Arial" w:cs="Arial" w:eastAsia="Arial" w:hAnsi="Arial"/>
          <w:sz w:val="16"/>
          <w:szCs w:val="16"/>
          <w:color w:val="auto"/>
        </w:rPr>
        <w:t>Net debt was $2.8 billion as of March 31, 2007, unchanged from last quarter end. Significant liquidity events during the quarter included $332 million for the stock buyback program, $615 million of capital expenditures including multiclient surveys and a seasonal upswing in working capital.</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is gross debt less cash, short-term investments as well as fixed-income investments held to maturity.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20"/>
                <w:szCs w:val="20"/>
                <w:color w:val="auto"/>
              </w:rPr>
            </w:pPr>
            <w:r>
              <w:rPr>
                <w:rFonts w:ascii="Arial" w:cs="Arial" w:eastAsia="Arial" w:hAnsi="Arial"/>
                <w:sz w:val="18"/>
                <w:szCs w:val="18"/>
                <w:b w:val="1"/>
                <w:bCs w:val="1"/>
                <w:color w:val="auto"/>
              </w:rPr>
              <w:t>Q11)</w:t>
            </w:r>
          </w:p>
        </w:tc>
        <w:tc>
          <w:tcPr>
            <w:tcW w:w="7920" w:type="dxa"/>
            <w:vAlign w:val="bottom"/>
            <w:gridSpan w:val="2"/>
          </w:tcPr>
          <w:p>
            <w:pPr>
              <w:ind w:left="160"/>
              <w:spacing w:after="0"/>
              <w:rPr>
                <w:sz w:val="20"/>
                <w:szCs w:val="20"/>
                <w:color w:val="auto"/>
              </w:rPr>
            </w:pPr>
            <w:r>
              <w:rPr>
                <w:rFonts w:ascii="Arial" w:cs="Arial" w:eastAsia="Arial" w:hAnsi="Arial"/>
                <w:sz w:val="18"/>
                <w:szCs w:val="18"/>
                <w:b w:val="1"/>
                <w:bCs w:val="1"/>
                <w:color w:val="auto"/>
              </w:rPr>
              <w:t>What is included in “Interest and Other Income”?</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7"/>
        </w:trPr>
        <w:tc>
          <w:tcPr>
            <w:tcW w:w="520" w:type="dxa"/>
            <w:vAlign w:val="bottom"/>
          </w:tcPr>
          <w:p>
            <w:pPr>
              <w:spacing w:after="0"/>
              <w:rPr>
                <w:sz w:val="24"/>
                <w:szCs w:val="24"/>
                <w:color w:val="auto"/>
              </w:rPr>
            </w:pPr>
          </w:p>
        </w:tc>
        <w:tc>
          <w:tcPr>
            <w:tcW w:w="7920" w:type="dxa"/>
            <w:vAlign w:val="bottom"/>
            <w:gridSpan w:val="2"/>
          </w:tcPr>
          <w:p>
            <w:pPr>
              <w:ind w:left="180"/>
              <w:spacing w:after="0"/>
              <w:rPr>
                <w:sz w:val="20"/>
                <w:szCs w:val="20"/>
                <w:color w:val="auto"/>
              </w:rPr>
            </w:pPr>
            <w:r>
              <w:rPr>
                <w:rFonts w:ascii="Arial" w:cs="Arial" w:eastAsia="Arial" w:hAnsi="Arial"/>
                <w:sz w:val="18"/>
                <w:szCs w:val="18"/>
                <w:color w:val="auto"/>
              </w:rPr>
              <w:t>“Interest and Other Income” for the first quarter of 2007 consisted of the following:</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(in millions)</w:t>
            </w:r>
          </w:p>
        </w:tc>
      </w:tr>
      <w:tr>
        <w:trPr>
          <w:trHeight w:val="216"/>
        </w:trPr>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23"/>
        </w:trPr>
        <w:tc>
          <w:tcPr>
            <w:tcW w:w="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r>
      <w:tr>
        <w:trPr>
          <w:trHeight w:val="216"/>
        </w:trPr>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r>
    </w:tbl>
    <w:p>
      <w:pPr>
        <w:spacing w:after="0" w:line="20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Q12)</w:t>
      </w:r>
      <w:r>
        <w:rPr>
          <w:sz w:val="20"/>
          <w:szCs w:val="20"/>
          <w:color w:val="auto"/>
        </w:rPr>
        <w:tab/>
      </w:r>
      <w:r>
        <w:rPr>
          <w:rFonts w:ascii="Arial" w:cs="Arial" w:eastAsia="Arial" w:hAnsi="Arial"/>
          <w:sz w:val="18"/>
          <w:szCs w:val="18"/>
          <w:b w:val="1"/>
          <w:bCs w:val="1"/>
          <w:color w:val="auto"/>
        </w:rPr>
        <w:t>How did interest income and interest expense change during the quarter?</w:t>
      </w:r>
    </w:p>
    <w:p>
      <w:pPr>
        <w:spacing w:after="0" w:line="96" w:lineRule="exact"/>
        <w:rPr>
          <w:sz w:val="20"/>
          <w:szCs w:val="20"/>
          <w:color w:val="auto"/>
        </w:rPr>
      </w:pPr>
    </w:p>
    <w:p>
      <w:pPr>
        <w:ind w:left="700" w:right="300"/>
        <w:spacing w:after="0" w:line="268" w:lineRule="auto"/>
        <w:rPr>
          <w:sz w:val="20"/>
          <w:szCs w:val="20"/>
          <w:color w:val="auto"/>
        </w:rPr>
      </w:pPr>
      <w:r>
        <w:rPr>
          <w:rFonts w:ascii="Arial" w:cs="Arial" w:eastAsia="Arial" w:hAnsi="Arial"/>
          <w:sz w:val="18"/>
          <w:szCs w:val="18"/>
          <w:color w:val="auto"/>
        </w:rPr>
        <w:t>Interest income of $35 million increased $8 million sequentially. The average return of 5.0% increased 0.2% sequentially. The average investment balance of $2.8 billion increased $544 million sequentially.</w:t>
      </w:r>
    </w:p>
    <w:p>
      <w:pPr>
        <w:spacing w:after="0" w:line="51" w:lineRule="exact"/>
        <w:rPr>
          <w:sz w:val="20"/>
          <w:szCs w:val="20"/>
          <w:color w:val="auto"/>
        </w:rPr>
      </w:pPr>
    </w:p>
    <w:p>
      <w:pPr>
        <w:ind w:left="700" w:right="40"/>
        <w:spacing w:after="0" w:line="268" w:lineRule="auto"/>
        <w:rPr>
          <w:sz w:val="20"/>
          <w:szCs w:val="20"/>
          <w:color w:val="auto"/>
        </w:rPr>
      </w:pPr>
      <w:r>
        <w:rPr>
          <w:rFonts w:ascii="Arial" w:cs="Arial" w:eastAsia="Arial" w:hAnsi="Arial"/>
          <w:sz w:val="18"/>
          <w:szCs w:val="18"/>
          <w:color w:val="auto"/>
        </w:rPr>
        <w:t>Interest expense of $68 million increased $5 million sequentially. The average borrowing rates of 4.7% increased 0.2% sequentially. The average debt balance of $5.8 billion increased $366 million sequentially.</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60"/>
          </w:cols>
          <w:pgMar w:left="240" w:top="274" w:right="399" w:bottom="1440" w:gutter="0" w:footer="0" w:header="0"/>
        </w:sectPr>
      </w:pPr>
    </w:p>
    <w:bookmarkStart w:id="17" w:name="page18"/>
    <w:bookmarkEnd w:id="17"/>
    <w:p>
      <w:pPr>
        <w:spacing w:after="0"/>
        <w:tabs>
          <w:tab w:leader="none" w:pos="66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Q13)</w:t>
      </w:r>
      <w:r>
        <w:rPr>
          <w:sz w:val="20"/>
          <w:szCs w:val="20"/>
          <w:color w:val="auto"/>
        </w:rPr>
        <w:tab/>
      </w:r>
      <w:r>
        <w:rPr>
          <w:rFonts w:ascii="Arial" w:cs="Arial" w:eastAsia="Arial" w:hAnsi="Arial"/>
          <w:sz w:val="16"/>
          <w:szCs w:val="16"/>
          <w:b w:val="1"/>
          <w:bCs w:val="1"/>
          <w:color w:val="auto"/>
        </w:rPr>
        <w:t>Why is there a difference between the Oilfield Services pretax income and the total pretax income of the four geographic Areas?</w:t>
      </w:r>
    </w:p>
    <w:p>
      <w:pPr>
        <w:spacing w:after="0" w:line="119" w:lineRule="exact"/>
        <w:rPr>
          <w:sz w:val="20"/>
          <w:szCs w:val="20"/>
          <w:color w:val="auto"/>
        </w:rPr>
      </w:pPr>
    </w:p>
    <w:p>
      <w:pPr>
        <w:ind w:left="700" w:right="140"/>
        <w:spacing w:after="0" w:line="268" w:lineRule="auto"/>
        <w:rPr>
          <w:sz w:val="20"/>
          <w:szCs w:val="20"/>
          <w:color w:val="auto"/>
        </w:rPr>
      </w:pPr>
      <w:r>
        <w:rPr>
          <w:rFonts w:ascii="Arial" w:cs="Arial" w:eastAsia="Arial" w:hAnsi="Arial"/>
          <w:sz w:val="18"/>
          <w:szCs w:val="18"/>
          <w:color w:val="auto"/>
        </w:rPr>
        <w:t>The difference of $7 million in the quarter arises from Oilfield Services headquarters projects and costs, together with Oilfield Services consolidation eliminations.</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Q14)</w:t>
      </w:r>
      <w:r>
        <w:rPr>
          <w:sz w:val="20"/>
          <w:szCs w:val="20"/>
          <w:color w:val="auto"/>
        </w:rPr>
        <w:tab/>
      </w:r>
      <w:r>
        <w:rPr>
          <w:rFonts w:ascii="Arial" w:cs="Arial" w:eastAsia="Arial" w:hAnsi="Arial"/>
          <w:sz w:val="16"/>
          <w:szCs w:val="16"/>
          <w:b w:val="1"/>
          <w:bCs w:val="1"/>
          <w:color w:val="auto"/>
        </w:rPr>
        <w:t>Why is there a difference between the Schlumberger pretax income, before interest, and the pretax income of the two business segments?</w:t>
      </w:r>
    </w:p>
    <w:p>
      <w:pPr>
        <w:spacing w:after="0" w:line="119" w:lineRule="exact"/>
        <w:rPr>
          <w:sz w:val="20"/>
          <w:szCs w:val="20"/>
          <w:color w:val="auto"/>
        </w:rPr>
      </w:pPr>
    </w:p>
    <w:p>
      <w:pPr>
        <w:ind w:left="700"/>
        <w:spacing w:after="0" w:line="268" w:lineRule="auto"/>
        <w:rPr>
          <w:sz w:val="20"/>
          <w:szCs w:val="20"/>
          <w:color w:val="auto"/>
        </w:rPr>
      </w:pPr>
      <w:r>
        <w:rPr>
          <w:rFonts w:ascii="Arial" w:cs="Arial" w:eastAsia="Arial" w:hAnsi="Arial"/>
          <w:sz w:val="18"/>
          <w:szCs w:val="18"/>
          <w:color w:val="auto"/>
        </w:rPr>
        <w:t>The $84 million pretax difference during the quarter included such items as corporate expenses, amortization of certain identifiable intangibles, interest on post-retirement benefits and stock-based compensation costs.</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Q15)</w:t>
      </w:r>
      <w:r>
        <w:rPr>
          <w:sz w:val="20"/>
          <w:szCs w:val="20"/>
          <w:color w:val="auto"/>
        </w:rPr>
        <w:tab/>
      </w:r>
      <w:r>
        <w:rPr>
          <w:rFonts w:ascii="Arial" w:cs="Arial" w:eastAsia="Arial" w:hAnsi="Arial"/>
          <w:sz w:val="18"/>
          <w:szCs w:val="18"/>
          <w:b w:val="1"/>
          <w:bCs w:val="1"/>
          <w:color w:val="auto"/>
        </w:rPr>
        <w:t>How does Schlumberger compute basic and diluted EPS?</w:t>
      </w:r>
    </w:p>
    <w:p>
      <w:pPr>
        <w:spacing w:after="0" w:line="96" w:lineRule="exact"/>
        <w:rPr>
          <w:sz w:val="20"/>
          <w:szCs w:val="20"/>
          <w:color w:val="auto"/>
        </w:rPr>
      </w:pPr>
    </w:p>
    <w:p>
      <w:pPr>
        <w:ind w:left="700" w:right="60"/>
        <w:spacing w:after="0" w:line="288" w:lineRule="auto"/>
        <w:rPr>
          <w:sz w:val="20"/>
          <w:szCs w:val="20"/>
          <w:color w:val="auto"/>
        </w:rPr>
      </w:pPr>
      <w:r>
        <w:rPr>
          <w:rFonts w:ascii="Arial" w:cs="Arial" w:eastAsia="Arial" w:hAnsi="Arial"/>
          <w:sz w:val="16"/>
          <w:szCs w:val="16"/>
          <w:color w:val="auto"/>
        </w:rPr>
        <w:t>Basic earnings-per-share are calculated by dividing net income by the weighted average number of common shares outstanding during the period. Diluted earnings per share is calculated by first adding back to net income the interest expense on the convertible debentures and then dividing this adjusted net income by the sum of (i) unvested restricted stock units; and (ii) the weighted average number of common shares outstanding assuming dilution. The weighted average number of common shares outstanding assuming dilution assumes (a) that all stock options which are in the money are exercised at the beginning of the period and that the proceeds are used by Schlumberger to purchase shares at the average market price for the period, and (b) the conversion of the convertible debentures. If the impact of the adding the interest expense on the convertible debentures back to net income and including the shares from the assumed conversion of the convertible debentures has an anti-dilutive effect on the diluted EPS calculation, then the effects of the convertible debentures are excluded from the calculation. The shares from the potential conversion of the convertible debentures amount to 38 million, and the interest expense on the convertible debentures was $7.2 million for the first quarter.</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Q16)</w:t>
      </w:r>
      <w:r>
        <w:rPr>
          <w:sz w:val="20"/>
          <w:szCs w:val="20"/>
          <w:color w:val="auto"/>
        </w:rPr>
        <w:tab/>
      </w:r>
      <w:r>
        <w:rPr>
          <w:rFonts w:ascii="Arial" w:cs="Arial" w:eastAsia="Arial" w:hAnsi="Arial"/>
          <w:sz w:val="18"/>
          <w:szCs w:val="18"/>
          <w:b w:val="1"/>
          <w:bCs w:val="1"/>
          <w:color w:val="auto"/>
        </w:rPr>
        <w:t>What was the Schlumberger annualized Return on Capital Employed (ROCE†) for the quarter?</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Annualized ROCE was 35.3% in the first quarter of 2007, versus 35.6% in the fourth quarter of 2006 and 34.1% in the first quarter of 2006.</w:t>
      </w:r>
    </w:p>
    <w:p>
      <w:pPr>
        <w:spacing w:after="0" w:line="107" w:lineRule="exact"/>
        <w:rPr>
          <w:sz w:val="20"/>
          <w:szCs w:val="20"/>
          <w:color w:val="auto"/>
        </w:rPr>
      </w:pPr>
    </w:p>
    <w:p>
      <w:pPr>
        <w:ind w:left="700" w:right="100" w:hanging="7"/>
        <w:spacing w:after="0" w:line="275" w:lineRule="auto"/>
        <w:tabs>
          <w:tab w:leader="none" w:pos="83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ROCE </w:t>
      </w:r>
      <w:r>
        <w:rPr>
          <w:rFonts w:ascii="Arial" w:cs="Arial" w:eastAsia="Arial" w:hAnsi="Arial"/>
          <w:sz w:val="18"/>
          <w:szCs w:val="18"/>
          <w:color w:val="auto"/>
        </w:rPr>
        <w:t>is computed as [Net Income excluding charges and credits + Minority Interest + Interest Expense—Interest Income—Tax benefit on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divided by the quarterly average of [Shareholders’ Equity + Net Debt + Minority Interest].</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20"/>
          </w:cols>
          <w:pgMar w:left="240" w:top="274" w:right="339" w:bottom="1440" w:gutter="0" w:footer="0" w:header="0"/>
        </w:sectPr>
      </w:pPr>
    </w:p>
    <w:bookmarkStart w:id="18" w:name="page19"/>
    <w:bookmarkEnd w:id="18"/>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Q17)</w:t>
      </w:r>
      <w:r>
        <w:rPr>
          <w:sz w:val="20"/>
          <w:szCs w:val="20"/>
          <w:color w:val="auto"/>
        </w:rPr>
        <w:tab/>
      </w:r>
      <w:r>
        <w:rPr>
          <w:rFonts w:ascii="Arial" w:cs="Arial" w:eastAsia="Arial" w:hAnsi="Arial"/>
          <w:sz w:val="18"/>
          <w:szCs w:val="18"/>
          <w:b w:val="1"/>
          <w:bCs w:val="1"/>
          <w:color w:val="auto"/>
        </w:rPr>
        <w:t>What was the effective tax rate (ETR) for the quarter?</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effective tax rate in the first quarter of 2007 was 24.0% compared to 23.0% in the prior quarter.</w:t>
      </w:r>
    </w:p>
    <w:p>
      <w:pPr>
        <w:spacing w:after="0" w:line="90" w:lineRule="exact"/>
        <w:rPr>
          <w:sz w:val="20"/>
          <w:szCs w:val="20"/>
          <w:color w:val="auto"/>
        </w:rPr>
      </w:pPr>
    </w:p>
    <w:p>
      <w:pPr>
        <w:ind w:left="700"/>
        <w:spacing w:after="0" w:line="332" w:lineRule="auto"/>
        <w:rPr>
          <w:sz w:val="20"/>
          <w:szCs w:val="20"/>
          <w:color w:val="auto"/>
        </w:rPr>
      </w:pPr>
      <w:r>
        <w:rPr>
          <w:rFonts w:ascii="Arial" w:cs="Arial" w:eastAsia="Arial" w:hAnsi="Arial"/>
          <w:sz w:val="16"/>
          <w:szCs w:val="16"/>
          <w:color w:val="auto"/>
        </w:rPr>
        <w:t>The effective tax rate for 2007 is expected to be in line with the rate for fiscal 2006, however we may experience some volatility in the ETR on a quarterly basis due to the geographic mix of earnings as well as the outcome of tax examinations in various countries.</w:t>
      </w:r>
    </w:p>
    <w:p>
      <w:pPr>
        <w:spacing w:after="0" w:line="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0860"/>
          </w:cols>
          <w:pgMar w:left="240" w:top="274" w:right="799" w:bottom="1440" w:gutter="0" w:footer="0" w:header="0"/>
        </w:sectPr>
      </w:pPr>
    </w:p>
    <w:bookmarkStart w:id="19" w:name="page20"/>
    <w:bookmarkEnd w:id="19"/>
    <w:p>
      <w:pPr>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document, the first-quarter 2007 earnings release and other statements we make contain forward-looking statements, which include any statements that are not historical facts, such as our expectations regarding business outlook; growth for Schlumberger as a whole and for each of Oilfield Services and WesternGeco (and for specified products or geographic areas within each segment); oil and natural gas demand and production growth; operating margins; operating and capital expenditures by Schlumberger and the oil and gas industry; the business strategies of Schlumberger customers; stock-based compensation expense; the Schlumberger stock buy-back program; and future results of operations. These statements involve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and other factors detailed in our first quarter 2007 earnings release, our most recent Form10-K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5</w:t>
      </w:r>
    </w:p>
    <w:sectPr>
      <w:pgSz w:w="11900" w:h="16838" w:orient="portrait"/>
      <w:cols w:equalWidth="0" w:num="1">
        <w:col w:w="10900"/>
      </w:cols>
      <w:pgMar w:left="70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2"/>
    </w:lvl>
  </w:abstractNum>
  <w:abstractNum w:abstractNumId="7">
    <w:nsid w:val="515F007C"/>
    <w:multiLevelType w:val="hybridMultilevel"/>
    <w:lvl w:ilvl="0">
      <w:lvlJc w:val="left"/>
      <w:lvlText w:val="%1)"/>
      <w:numFmt w:val="upperLetter"/>
      <w:start w:val="3"/>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2019-12-11T19:49:19Z</dcterms:created>
  <dcterms:modified xsi:type="dcterms:W3CDTF">2019-12-11T19:49:19Z</dcterms:modified>
</cp:coreProperties>
</file>