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ARIAL" w:hAnsi="ARIAL"/>
          <w:b/>
          <w:sz w:val="20"/>
        </w:rPr>
      </w:pPr>
      <w:bookmarkStart w:id="0" w:name="d410295dfwp.htm"/>
      <w:bookmarkStart w:id="1" w:name="ksd410295dfwp"/>
      <w:bookmarkEnd w:id="0"/>
      <w:bookmarkEnd w:id="1"/>
      <w:r>
        <w:rPr>
          <w:rFonts w:ascii="ARIAL" w:hAnsi="ARIAL"/>
          <w:b/>
          <w:sz w:val="20"/>
        </w:rPr>
        <w:t xml:space="preserve">Filed Pursuant to Rule 433 </w:t>
      </w:r>
    </w:p>
    <w:p>
      <w:pPr>
        <w:pStyle w:val="TextBody"/>
        <w:spacing w:before="0" w:after="0"/>
        <w:jc w:val="right"/>
        <w:rPr>
          <w:rFonts w:ascii="ARIAL" w:hAnsi="ARIAL"/>
          <w:b/>
          <w:sz w:val="20"/>
        </w:rPr>
      </w:pPr>
      <w:r>
        <w:rPr>
          <w:rFonts w:ascii="ARIAL" w:hAnsi="ARIAL"/>
          <w:b/>
          <w:sz w:val="20"/>
        </w:rPr>
        <w:t xml:space="preserve">Registration Statement No. 333-271711 </w:t>
      </w:r>
    </w:p>
    <w:p>
      <w:pPr>
        <w:pStyle w:val="TextBody"/>
        <w:spacing w:before="480" w:after="0"/>
        <w:jc w:val="center"/>
        <w:rPr>
          <w:rFonts w:ascii="ARIAL" w:hAnsi="ARIAL"/>
          <w:b/>
          <w:sz w:val="20"/>
        </w:rPr>
      </w:pPr>
      <w:r>
        <w:rPr>
          <w:rFonts w:ascii="ARIAL" w:hAnsi="ARIAL"/>
          <w:b/>
          <w:sz w:val="20"/>
        </w:rPr>
        <w:t xml:space="preserve">Schlumberger Investment S.A. </w:t>
      </w:r>
    </w:p>
    <w:p>
      <w:pPr>
        <w:pStyle w:val="TextBody"/>
        <w:spacing w:before="120" w:after="0"/>
        <w:jc w:val="center"/>
        <w:rPr>
          <w:rFonts w:ascii="ARIAL" w:hAnsi="ARIAL"/>
          <w:b/>
          <w:sz w:val="20"/>
        </w:rPr>
      </w:pPr>
      <w:r>
        <w:rPr>
          <w:rFonts w:ascii="ARIAL" w:hAnsi="ARIAL"/>
          <w:b/>
          <w:sz w:val="20"/>
        </w:rPr>
        <w:t xml:space="preserve">$500,000,000 4.500% Senior Notes due 2028 </w:t>
      </w:r>
    </w:p>
    <w:p>
      <w:pPr>
        <w:pStyle w:val="TextBody"/>
        <w:spacing w:before="120" w:after="0"/>
        <w:jc w:val="center"/>
        <w:rPr>
          <w:rFonts w:ascii="ARIAL" w:hAnsi="ARIAL"/>
          <w:b/>
          <w:sz w:val="20"/>
        </w:rPr>
      </w:pPr>
      <w:r>
        <w:rPr>
          <w:rFonts w:ascii="ARIAL" w:hAnsi="ARIAL"/>
          <w:b/>
          <w:sz w:val="20"/>
        </w:rPr>
        <w:t xml:space="preserve">$500,000,000 4.850% Senior Notes due 2033 </w:t>
      </w:r>
    </w:p>
    <w:p>
      <w:pPr>
        <w:pStyle w:val="TextBody"/>
        <w:spacing w:before="120" w:after="0"/>
        <w:jc w:val="center"/>
        <w:rPr>
          <w:rFonts w:ascii="ARIAL" w:hAnsi="ARIAL"/>
          <w:b/>
          <w:sz w:val="20"/>
        </w:rPr>
      </w:pPr>
      <w:r>
        <w:rPr>
          <w:rFonts w:ascii="ARIAL" w:hAnsi="ARIAL"/>
          <w:b/>
          <w:sz w:val="20"/>
        </w:rPr>
        <w:t xml:space="preserve">Pricing Term Sheet </w:t>
      </w:r>
    </w:p>
    <w:p>
      <w:pPr>
        <w:pStyle w:val="TextBody"/>
        <w:spacing w:before="120" w:after="0"/>
        <w:jc w:val="center"/>
        <w:rPr>
          <w:rFonts w:ascii="ARIAL" w:hAnsi="ARIAL"/>
          <w:b/>
          <w:sz w:val="20"/>
        </w:rPr>
      </w:pPr>
      <w:r>
        <w:rPr>
          <w:rFonts w:ascii="ARIAL" w:hAnsi="ARIAL"/>
          <w:b/>
          <w:sz w:val="20"/>
        </w:rPr>
        <w:t xml:space="preserve">May 8,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62"/>
        <w:gridCol w:w="299"/>
        <w:gridCol w:w="3294"/>
        <w:gridCol w:w="120"/>
        <w:gridCol w:w="2930"/>
      </w:tblGrid>
      <w:tr>
        <w:trPr/>
        <w:tc>
          <w:tcPr>
            <w:tcW w:w="356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32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930" w:type="dxa"/>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Issuer:</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Schlumberger Investment S.A.</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sz w:val="4"/>
                <w:szCs w:val="4"/>
              </w:rPr>
            </w:pPr>
            <w:r>
              <w:rPr>
                <w:sz w:val="4"/>
                <w:szCs w:val="4"/>
              </w:rPr>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Guarantor:</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Schlumberger Limited</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sz w:val="4"/>
                <w:szCs w:val="4"/>
              </w:rPr>
            </w:pPr>
            <w:r>
              <w:rPr>
                <w:sz w:val="4"/>
                <w:szCs w:val="4"/>
              </w:rPr>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Issue Format:</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SEC registered</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sz w:val="4"/>
                <w:szCs w:val="4"/>
              </w:rPr>
            </w:pPr>
            <w:r>
              <w:rPr>
                <w:sz w:val="4"/>
                <w:szCs w:val="4"/>
              </w:rPr>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Guarantor Ratings (Moodys/S&amp;P)*:</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A2 (Stable) / A (Stable)</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sz w:val="4"/>
                <w:szCs w:val="4"/>
              </w:rPr>
            </w:pPr>
            <w:r>
              <w:rPr>
                <w:sz w:val="4"/>
                <w:szCs w:val="4"/>
              </w:rPr>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Trade Date:</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May 8, 2023</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sz w:val="4"/>
                <w:szCs w:val="4"/>
              </w:rPr>
            </w:pPr>
            <w:r>
              <w:rPr>
                <w:sz w:val="4"/>
                <w:szCs w:val="4"/>
              </w:rPr>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Settlement Date**:</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May 15, 2023</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sz w:val="4"/>
                <w:szCs w:val="4"/>
              </w:rPr>
            </w:pPr>
            <w:r>
              <w:rPr>
                <w:sz w:val="4"/>
                <w:szCs w:val="4"/>
              </w:rPr>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Title:</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4.500% Senior Notes due 2028 (the 2028 Notes)</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4.850% Senior Notes due 2033 (the 2033 Notes and, together with the 2028 Notes, the Notes)</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Principal Amount:</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$500,000,000</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$500,000,000</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Coupon:</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4.500%</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4.850%</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Price to Public:</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99.810%</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99.914%</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Interest Payment Dates:</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May 15 and November 15, beginning November 15, 2023</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May 15 and November 15, beginning November 15, 2023</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Maturity Date:</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May 15, 2028</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May 15, 2033</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Make-Whole Call:</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T + 20 basis points</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T + 25 basis points</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Par Call:</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At any time on or after April 15, 2028</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At any time on or after February 15, 2033</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Benchmark Treasury:</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0"/>
              <w:rPr>
                <w:rFonts w:ascii="ARIAL" w:hAnsi="ARIAL"/>
                <w:sz w:val="20"/>
              </w:rPr>
            </w:pPr>
            <w:r>
              <w:rPr>
                <w:rFonts w:ascii="ARIAL" w:hAnsi="ARIAL"/>
                <w:sz w:val="20"/>
              </w:rPr>
              <w:t>UST 3.500% due April 30,</w:t>
            </w:r>
          </w:p>
          <w:p>
            <w:pPr>
              <w:pStyle w:val="TableContents"/>
              <w:spacing w:before="0" w:after="20"/>
              <w:rPr>
                <w:rFonts w:ascii="ARIAL" w:hAnsi="ARIAL"/>
                <w:sz w:val="20"/>
              </w:rPr>
            </w:pPr>
            <w:r>
              <w:rPr>
                <w:rFonts w:ascii="ARIAL" w:hAnsi="ARIAL"/>
                <w:sz w:val="20"/>
              </w:rPr>
              <w:t>2028</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UST 3.500% due February 15, 2033</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Treasury Yield:</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3.493%</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3.511%</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Spread to Benchmark Treasury:</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+105 basis points</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+135 basis points</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Reoffer Yield:</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4.543%</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4.861%</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CUSIP:</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806854 AK1</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806854 AL9</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ISIN:</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283"/>
              <w:rPr/>
            </w:pPr>
            <w:r>
              <w:rPr/>
              <w:t>US806854AK11</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pPr>
            <w:r>
              <w:rPr/>
              <w:t>US806854AL93</w:t>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0"/>
              <w:rPr>
                <w:rFonts w:ascii="ARIAL" w:hAnsi="ARIAL"/>
                <w:sz w:val="20"/>
              </w:rPr>
            </w:pPr>
            <w:r>
              <w:rPr>
                <w:rFonts w:ascii="ARIAL" w:hAnsi="ARIAL"/>
                <w:sz w:val="20"/>
              </w:rPr>
              <w:t>Joint Book-Running Managers:</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0"/>
              <w:rPr>
                <w:rFonts w:ascii="ARIAL" w:hAnsi="ARIAL"/>
                <w:sz w:val="20"/>
              </w:rPr>
            </w:pPr>
            <w:r>
              <w:rPr>
                <w:rFonts w:ascii="ARIAL" w:hAnsi="ARIAL"/>
                <w:sz w:val="20"/>
              </w:rPr>
              <w:t>BofA Securities, Inc.</w:t>
            </w:r>
          </w:p>
          <w:p>
            <w:pPr>
              <w:pStyle w:val="TableContents"/>
              <w:spacing w:before="0" w:after="0"/>
              <w:rPr>
                <w:rFonts w:ascii="ARIAL" w:hAnsi="ARIAL"/>
                <w:sz w:val="20"/>
              </w:rPr>
            </w:pPr>
            <w:r>
              <w:rPr>
                <w:rFonts w:ascii="ARIAL" w:hAnsi="ARIAL"/>
                <w:sz w:val="20"/>
              </w:rPr>
              <w:t>Deutsche Bank Securities Inc.</w:t>
            </w:r>
          </w:p>
          <w:p>
            <w:pPr>
              <w:pStyle w:val="TableContents"/>
              <w:spacing w:before="0" w:after="0"/>
              <w:rPr>
                <w:rFonts w:ascii="ARIAL" w:hAnsi="ARIAL"/>
                <w:sz w:val="20"/>
              </w:rPr>
            </w:pPr>
            <w:r>
              <w:rPr>
                <w:rFonts w:ascii="ARIAL" w:hAnsi="ARIAL"/>
                <w:sz w:val="20"/>
              </w:rPr>
              <w:t>MUFG Securities Americas Inc.</w:t>
            </w:r>
          </w:p>
          <w:p>
            <w:pPr>
              <w:pStyle w:val="TableContents"/>
              <w:spacing w:before="0" w:after="0"/>
              <w:rPr>
                <w:rFonts w:ascii="ARIAL" w:hAnsi="ARIAL"/>
                <w:sz w:val="20"/>
              </w:rPr>
            </w:pPr>
            <w:r>
              <w:rPr>
                <w:rFonts w:ascii="ARIAL" w:hAnsi="ARIAL"/>
                <w:sz w:val="20"/>
              </w:rPr>
              <w:t>BBVA Securities Inc.</w:t>
            </w:r>
          </w:p>
          <w:p>
            <w:pPr>
              <w:pStyle w:val="TableContents"/>
              <w:spacing w:before="0" w:after="0"/>
              <w:rPr>
                <w:rFonts w:ascii="ARIAL" w:hAnsi="ARIAL"/>
                <w:sz w:val="20"/>
              </w:rPr>
            </w:pPr>
            <w:r>
              <w:rPr>
                <w:rFonts w:ascii="ARIAL" w:hAnsi="ARIAL"/>
                <w:sz w:val="20"/>
              </w:rPr>
              <w:t>BNP Paribas Securities Corp.</w:t>
            </w:r>
          </w:p>
          <w:p>
            <w:pPr>
              <w:pStyle w:val="TableContents"/>
              <w:spacing w:before="0" w:after="0"/>
              <w:rPr>
                <w:rFonts w:ascii="ARIAL" w:hAnsi="ARIAL"/>
                <w:sz w:val="20"/>
              </w:rPr>
            </w:pPr>
            <w:r>
              <w:rPr>
                <w:rFonts w:ascii="ARIAL" w:hAnsi="ARIAL"/>
                <w:sz w:val="20"/>
              </w:rPr>
              <w:t>J.P. Morgan Securities LLC</w:t>
            </w:r>
          </w:p>
          <w:p>
            <w:pPr>
              <w:pStyle w:val="TableContents"/>
              <w:spacing w:before="0" w:after="20"/>
              <w:rPr>
                <w:rFonts w:ascii="ARIAL" w:hAnsi="ARIAL"/>
                <w:sz w:val="20"/>
              </w:rPr>
            </w:pPr>
            <w:r>
              <w:rPr>
                <w:rFonts w:ascii="ARIAL" w:hAnsi="ARIAL"/>
                <w:sz w:val="20"/>
              </w:rPr>
              <w:t>SG Americas Securities, LLC</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sz w:val="4"/>
                <w:szCs w:val="4"/>
              </w:rPr>
            </w:pPr>
            <w:r>
              <w:rPr>
                <w:sz w:val="4"/>
                <w:szCs w:val="4"/>
              </w:rPr>
            </w:r>
          </w:p>
        </w:tc>
      </w:tr>
      <w:tr>
        <w:trPr>
          <w:trHeight w:val="120" w:hRule="atLeast"/>
        </w:trPr>
        <w:tc>
          <w:tcPr>
            <w:tcW w:w="3562" w:type="dxa"/>
            <w:tcBorders/>
            <w:shd w:fill="auto" w:val="clear"/>
            <w:vAlign w:val="center"/>
          </w:tcPr>
          <w:p>
            <w:pPr>
              <w:pStyle w:val="TableContents"/>
              <w:spacing w:before="0" w:after="283"/>
              <w:rPr>
                <w:sz w:val="4"/>
                <w:szCs w:val="4"/>
              </w:rPr>
            </w:pPr>
            <w:r>
              <w:rPr>
                <w:sz w:val="4"/>
                <w:szCs w:val="4"/>
              </w:rPr>
            </w:r>
          </w:p>
        </w:tc>
        <w:tc>
          <w:tcPr>
            <w:tcW w:w="3593" w:type="dxa"/>
            <w:gridSpan w:val="2"/>
            <w:tcBorders/>
            <w:shd w:fill="auto" w:val="clear"/>
            <w:vAlign w:val="center"/>
          </w:tcPr>
          <w:p>
            <w:pPr>
              <w:pStyle w:val="TableContents"/>
              <w:spacing w:before="0" w:after="283"/>
              <w:rPr>
                <w:sz w:val="4"/>
                <w:szCs w:val="4"/>
              </w:rPr>
            </w:pPr>
            <w:r>
              <w:rPr>
                <w:sz w:val="4"/>
                <w:szCs w:val="4"/>
              </w:rPr>
            </w:r>
          </w:p>
        </w:tc>
        <w:tc>
          <w:tcPr>
            <w:tcW w:w="3050" w:type="dxa"/>
            <w:gridSpan w:val="2"/>
            <w:tcBorders/>
            <w:shd w:fill="auto" w:val="clear"/>
            <w:vAlign w:val="center"/>
          </w:tcPr>
          <w:p>
            <w:pPr>
              <w:pStyle w:val="TableContents"/>
              <w:spacing w:before="0" w:after="283"/>
              <w:rPr>
                <w:sz w:val="4"/>
                <w:szCs w:val="4"/>
              </w:rPr>
            </w:pPr>
            <w:r>
              <w:rPr>
                <w:sz w:val="4"/>
                <w:szCs w:val="4"/>
              </w:rPr>
            </w:r>
          </w:p>
        </w:tc>
      </w:tr>
      <w:tr>
        <w:trPr/>
        <w:tc>
          <w:tcPr>
            <w:tcW w:w="3562" w:type="dxa"/>
            <w:tcBorders/>
            <w:shd w:fill="auto" w:val="clear"/>
          </w:tcPr>
          <w:p>
            <w:pPr>
              <w:pStyle w:val="TableContents"/>
              <w:spacing w:before="0" w:after="283"/>
              <w:rPr/>
            </w:pPr>
            <w:r>
              <w:rPr/>
              <w:t>Co-Managers:</w:t>
            </w:r>
          </w:p>
        </w:tc>
        <w:tc>
          <w:tcPr>
            <w:tcW w:w="299" w:type="dxa"/>
            <w:tcBorders/>
            <w:shd w:fill="auto" w:val="clear"/>
            <w:vAlign w:val="bottom"/>
          </w:tcPr>
          <w:p>
            <w:pPr>
              <w:pStyle w:val="TableContents"/>
              <w:spacing w:before="0" w:after="283"/>
              <w:rPr/>
            </w:pPr>
            <w:r>
              <w:rPr/>
              <w:t>  </w:t>
            </w:r>
          </w:p>
        </w:tc>
        <w:tc>
          <w:tcPr>
            <w:tcW w:w="3294" w:type="dxa"/>
            <w:tcBorders/>
            <w:shd w:fill="auto" w:val="clear"/>
          </w:tcPr>
          <w:p>
            <w:pPr>
              <w:pStyle w:val="TableContents"/>
              <w:spacing w:before="0" w:after="0"/>
              <w:rPr>
                <w:rFonts w:ascii="ARIAL" w:hAnsi="ARIAL"/>
                <w:sz w:val="20"/>
              </w:rPr>
            </w:pPr>
            <w:r>
              <w:rPr>
                <w:rFonts w:ascii="ARIAL" w:hAnsi="ARIAL"/>
                <w:sz w:val="20"/>
              </w:rPr>
              <w:t>HSBC Securities (USA) Inc.</w:t>
            </w:r>
          </w:p>
          <w:p>
            <w:pPr>
              <w:pStyle w:val="TableContents"/>
              <w:spacing w:before="0" w:after="0"/>
              <w:rPr>
                <w:rFonts w:ascii="ARIAL" w:hAnsi="ARIAL"/>
                <w:sz w:val="20"/>
              </w:rPr>
            </w:pPr>
            <w:r>
              <w:rPr>
                <w:rFonts w:ascii="ARIAL" w:hAnsi="ARIAL"/>
                <w:sz w:val="20"/>
              </w:rPr>
              <w:t>Natixis Securities Americas LLC</w:t>
            </w:r>
          </w:p>
          <w:p>
            <w:pPr>
              <w:pStyle w:val="TableContents"/>
              <w:spacing w:before="0" w:after="0"/>
              <w:rPr>
                <w:rFonts w:ascii="ARIAL" w:hAnsi="ARIAL"/>
                <w:sz w:val="20"/>
              </w:rPr>
            </w:pPr>
            <w:r>
              <w:rPr>
                <w:rFonts w:ascii="ARIAL" w:hAnsi="ARIAL"/>
                <w:sz w:val="20"/>
              </w:rPr>
              <w:t>Standard Chartered Bank</w:t>
            </w:r>
          </w:p>
          <w:p>
            <w:pPr>
              <w:pStyle w:val="TableContents"/>
              <w:spacing w:before="0" w:after="20"/>
              <w:rPr>
                <w:rFonts w:ascii="ARIAL" w:hAnsi="ARIAL"/>
                <w:sz w:val="20"/>
              </w:rPr>
            </w:pPr>
            <w:r>
              <w:rPr>
                <w:rFonts w:ascii="ARIAL" w:hAnsi="ARIAL"/>
                <w:sz w:val="20"/>
              </w:rPr>
              <w:t>UniCredit Capital Markets LLC</w:t>
            </w:r>
          </w:p>
        </w:tc>
        <w:tc>
          <w:tcPr>
            <w:tcW w:w="120" w:type="dxa"/>
            <w:tcBorders/>
            <w:shd w:fill="auto" w:val="clear"/>
            <w:vAlign w:val="bottom"/>
          </w:tcPr>
          <w:p>
            <w:pPr>
              <w:pStyle w:val="TableContents"/>
              <w:spacing w:before="0" w:after="283"/>
              <w:rPr/>
            </w:pPr>
            <w:r>
              <w:rPr/>
              <w:t>  </w:t>
            </w:r>
          </w:p>
        </w:tc>
        <w:tc>
          <w:tcPr>
            <w:tcW w:w="2930"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i/>
              </w:rPr>
            </w:pPr>
            <w:r>
              <w:rPr>
                <w:b/>
                <w:i/>
              </w:rPr>
              <w:t>*</w:t>
            </w:r>
          </w:p>
        </w:tc>
        <w:tc>
          <w:tcPr>
            <w:tcW w:w="9799" w:type="dxa"/>
            <w:tcBorders/>
            <w:shd w:fill="auto" w:val="clear"/>
          </w:tcPr>
          <w:p>
            <w:pPr>
              <w:pStyle w:val="TableContents"/>
              <w:spacing w:before="0" w:after="0"/>
              <w:jc w:val="left"/>
              <w:rPr>
                <w:rFonts w:ascii="ARIAL" w:hAnsi="ARIAL"/>
                <w:b/>
                <w:i/>
                <w:sz w:val="20"/>
              </w:rPr>
            </w:pPr>
            <w:r>
              <w:rPr>
                <w:rFonts w:ascii="ARIAL" w:hAnsi="ARIAL"/>
                <w:b/>
                <w:i/>
                <w:sz w:val="20"/>
              </w:rPr>
              <w:t xml:space="preserve">Note: A securities rating is not a recommendation to buy, sell or hold securities and may be subject to revision or withdrawal at any time.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w:t>
            </w:r>
          </w:p>
        </w:tc>
        <w:tc>
          <w:tcPr>
            <w:tcW w:w="9799" w:type="dxa"/>
            <w:tcBorders/>
            <w:shd w:fill="auto" w:val="clear"/>
          </w:tcPr>
          <w:p>
            <w:pPr>
              <w:pStyle w:val="TableContents"/>
              <w:spacing w:before="0" w:after="0"/>
              <w:jc w:val="left"/>
              <w:rPr>
                <w:rFonts w:ascii="ARIAL" w:hAnsi="ARIAL"/>
                <w:b/>
                <w:sz w:val="20"/>
              </w:rPr>
            </w:pPr>
            <w:r>
              <w:rPr>
                <w:rFonts w:ascii="ARIAL" w:hAnsi="ARIAL"/>
                <w:b/>
                <w:sz w:val="20"/>
              </w:rPr>
              <w:t xml:space="preserve">Settlement and Sale of the Notes </w:t>
            </w:r>
          </w:p>
        </w:tc>
      </w:tr>
    </w:tbl>
    <w:p>
      <w:pPr>
        <w:pStyle w:val="TextBody"/>
        <w:spacing w:before="120" w:after="0"/>
        <w:jc w:val="left"/>
        <w:rPr>
          <w:rFonts w:ascii="ARIAL" w:hAnsi="ARIAL"/>
          <w:sz w:val="20"/>
        </w:rPr>
      </w:pPr>
      <w:r>
        <w:rPr>
          <w:rFonts w:ascii="ARIAL" w:hAnsi="ARIAL"/>
          <w:sz w:val="20"/>
        </w:rPr>
        <w:t xml:space="preserve">The Issuer expects to deliver the Notes against payment for the Notes on or about May 15, 2023 which will be the fifth business day following May 8, 2023,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T+5, to specify alternative settlement arrangements to prevent a failed settlement. </w:t>
      </w:r>
    </w:p>
    <w:p>
      <w:pPr>
        <w:pStyle w:val="TextBody"/>
        <w:spacing w:before="360" w:after="0"/>
        <w:jc w:val="left"/>
        <w:rPr>
          <w:rFonts w:ascii="ARIAL" w:hAnsi="ARIAL"/>
          <w:b/>
          <w:sz w:val="20"/>
        </w:rPr>
      </w:pPr>
      <w:r>
        <w:rPr>
          <w:rFonts w:ascii="ARIAL" w:hAnsi="ARIAL"/>
          <w:b/>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you can request a copy of the prospectus by contacting BofA Securities, Inc. at 1-800-294- 1322 or dg.prospectus_requests@bofa.com, Deutsche Bank Securities Inc. at 1-800-503-4611 or prospectus.CPDG@db.com and MUFG Securities Americas Inc. at 1-877-649-6848. </w:t>
      </w:r>
    </w:p>
    <w:p>
      <w:pPr>
        <w:pStyle w:val="TextBody"/>
        <w:spacing w:before="120" w:after="0"/>
        <w:jc w:val="left"/>
        <w:rPr>
          <w:rFonts w:ascii="ARIAL" w:hAnsi="ARIAL"/>
          <w:b/>
          <w:i/>
          <w:sz w:val="20"/>
        </w:rPr>
      </w:pPr>
      <w:r>
        <w:rPr>
          <w:rFonts w:ascii="ARIAL" w:hAnsi="ARIAL"/>
          <w:b/>
          <w:i/>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OR ANOTHER EMAIL SYSTEM.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523</Words>
  <CharactersWithSpaces>3303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