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8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 U.S.A .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On September 8, 2021, Olivier Le Peuch, Chief Executive Officer of Schlumberger, presented at the Barclays CEO Energy — Power Conference via virtual webcast, where he discussed, among other things, Schlumberger’s performance strategy and outlook. Slides in connection with the conference are available on the Schlumberger Investor Relations website at https://investorcenter.slb.com/investor-presentations.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66" w:lineRule="auto"/>
        <w:rPr>
          <w:sz w:val="20"/>
          <w:szCs w:val="20"/>
          <w:color w:val="auto"/>
        </w:rPr>
      </w:pPr>
      <w:r>
        <w:rPr>
          <w:rFonts w:ascii="Arial" w:cs="Arial" w:eastAsia="Arial" w:hAnsi="Arial"/>
          <w:sz w:val="17"/>
          <w:szCs w:val="17"/>
          <w:color w:val="auto"/>
        </w:rPr>
        <w:t>The presentation referred to above contains “forward-looking statements” within the meaning of the federal securities laws — that is,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Asset Performance Solutions projects, joint ventures and other alliances; Schlumberger’s response to the COVID-19 pandemic, and preparedness for other widespread health emergencies;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Schlumberger’s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Schlumberger’s most recent Forms 10-K, 10-Q, and 8-K filed with or furnished to the SEC. If one or more of these or other risks or uncertainties materialize (or the consequences of any such development changes), or should Schlumberger’s underlying assumptions prove incorrect, actual outcomes may vary materially from those reflected in the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2021-09-08T08:26:11Z</dcterms:created>
  <dcterms:modified xsi:type="dcterms:W3CDTF">2021-09-08T08:26:11Z</dcterms:modified>
</cp:coreProperties>
</file>