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ChampionX Corporation</w:t>
      </w:r>
    </w:p>
    <w:p>
      <w:pPr>
        <w:jc w:val="right"/>
        <w:spacing w:after="0" w:line="235" w:lineRule="auto"/>
        <w:rPr>
          <w:sz w:val="20"/>
          <w:szCs w:val="20"/>
          <w:color w:val="auto"/>
        </w:rPr>
      </w:pPr>
      <w:r>
        <w:rPr>
          <w:rFonts w:ascii="Arial" w:cs="Arial" w:eastAsia="Arial" w:hAnsi="Arial"/>
          <w:sz w:val="18"/>
          <w:szCs w:val="18"/>
          <w:color w:val="auto"/>
        </w:rPr>
        <w:t>Filer’s SEC File No.: 001-38441</w:t>
      </w:r>
    </w:p>
    <w:p>
      <w:pPr>
        <w:jc w:val="right"/>
        <w:spacing w:after="0"/>
        <w:rPr>
          <w:sz w:val="20"/>
          <w:szCs w:val="20"/>
          <w:color w:val="auto"/>
        </w:rPr>
      </w:pPr>
      <w:r>
        <w:rPr>
          <w:rFonts w:ascii="Arial" w:cs="Arial" w:eastAsia="Arial" w:hAnsi="Arial"/>
          <w:sz w:val="18"/>
          <w:szCs w:val="18"/>
          <w:color w:val="auto"/>
        </w:rPr>
        <w:t>Date: April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wp:posOffset>
            </wp:positionH>
            <wp:positionV relativeFrom="paragraph">
              <wp:posOffset>151765</wp:posOffset>
            </wp:positionV>
            <wp:extent cx="6215380" cy="1423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5380" cy="1423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SLB to acquire ChampionX</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message from Ziad Jeha, Midstream Director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163195</wp:posOffset>
            </wp:positionV>
            <wp:extent cx="2391410" cy="2254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1410" cy="2254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Dear Midstream Team,</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 am pleased to announce that SLB has reached an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to purchase ChampionX Corporation.</w:t>
      </w:r>
    </w:p>
    <w:p>
      <w:pPr>
        <w:spacing w:after="0" w:line="212" w:lineRule="exact"/>
        <w:rPr>
          <w:sz w:val="24"/>
          <w:szCs w:val="24"/>
          <w:color w:val="auto"/>
        </w:rPr>
      </w:pPr>
    </w:p>
    <w:p>
      <w:pPr>
        <w:ind w:right="100"/>
        <w:spacing w:after="0" w:line="244" w:lineRule="auto"/>
        <w:rPr>
          <w:sz w:val="20"/>
          <w:szCs w:val="20"/>
          <w:color w:val="auto"/>
        </w:rPr>
      </w:pPr>
      <w:r>
        <w:rPr>
          <w:rFonts w:ascii="Arial" w:cs="Arial" w:eastAsia="Arial" w:hAnsi="Arial"/>
          <w:sz w:val="18"/>
          <w:szCs w:val="18"/>
          <w:color w:val="auto"/>
        </w:rPr>
        <w:t>The combination of the two companies will strengthen SLB as a leader in the production space with world-class production chemicals and artificial lift technologies. ChampionX has a strong position in North America, which—combined with our own global presence—will allow us to expand our chemical and artificial lift portfolios and increase our go-to-market integration for our customers. Our existing production chemicals and artificial lift teams have built a leading, fit-for-basin offering, and the combination of ChampionX with our own expertise will accelerate and enhance our growth in this area.</w:t>
      </w:r>
    </w:p>
    <w:p>
      <w:pPr>
        <w:spacing w:after="0" w:line="176" w:lineRule="exact"/>
        <w:rPr>
          <w:sz w:val="24"/>
          <w:szCs w:val="24"/>
          <w:color w:val="auto"/>
        </w:rPr>
      </w:pPr>
    </w:p>
    <w:p>
      <w:pPr>
        <w:ind w:right="160"/>
        <w:spacing w:after="0" w:line="253" w:lineRule="auto"/>
        <w:rPr>
          <w:sz w:val="20"/>
          <w:szCs w:val="20"/>
          <w:color w:val="auto"/>
        </w:rPr>
      </w:pPr>
      <w:r>
        <w:rPr>
          <w:rFonts w:ascii="Arial" w:cs="Arial" w:eastAsia="Arial" w:hAnsi="Arial"/>
          <w:sz w:val="18"/>
          <w:szCs w:val="18"/>
          <w:color w:val="auto"/>
        </w:rPr>
        <w:t>SLB and ChampionX will continue to operate independently until the transaction closes. You should maintain regular communication with your usual point of contact regarding business matters that fall outside the scope of this acquisition transaction, just as you would under normal circumstances. It is business as usual.</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Read the announcement on myHub </w:t>
      </w:r>
      <w:r>
        <w:rPr>
          <w:rFonts w:ascii="Arial" w:cs="Arial" w:eastAsia="Arial" w:hAnsi="Arial"/>
          <w:sz w:val="18"/>
          <w:szCs w:val="18"/>
          <w:u w:val="single" w:color="auto"/>
          <w:color w:val="auto"/>
        </w:rPr>
        <w:t>here</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View the ChampionX Acquisition FAQs </w:t>
      </w:r>
      <w:r>
        <w:rPr>
          <w:rFonts w:ascii="Arial" w:cs="Arial" w:eastAsia="Arial" w:hAnsi="Arial"/>
          <w:sz w:val="18"/>
          <w:szCs w:val="18"/>
          <w:u w:val="single" w:color="auto"/>
          <w:color w:val="auto"/>
        </w:rPr>
        <w:t>here</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Friendly reminder of the Dos and Don’t:</w:t>
      </w:r>
    </w:p>
    <w:p>
      <w:pPr>
        <w:spacing w:after="0" w:line="117"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 refer all outside inquiries relating to the merger to SLB’s legal team and/or the publicly posted FAQs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Don’t publicly discuss or respond to outside inquiries about the proposed acquisition</w:t>
      </w:r>
    </w:p>
    <w:p>
      <w:pPr>
        <w:spacing w:after="0" w:line="117" w:lineRule="exact"/>
        <w:rPr>
          <w:rFonts w:ascii="Arial" w:cs="Arial" w:eastAsia="Arial" w:hAnsi="Arial"/>
          <w:sz w:val="18"/>
          <w:szCs w:val="18"/>
          <w:color w:val="auto"/>
        </w:rPr>
      </w:pPr>
    </w:p>
    <w:p>
      <w:pPr>
        <w:ind w:left="960" w:right="100" w:hanging="424"/>
        <w:spacing w:after="0" w:line="27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Don’t speculate about the timing for closing of the proposed transaction, whether the proposed transaction will be successful or the business of SLB or ChampionX (including their respective financial results and operations)</w:t>
      </w:r>
    </w:p>
    <w:p>
      <w:pPr>
        <w:spacing w:after="0" w:line="59" w:lineRule="exact"/>
        <w:rPr>
          <w:rFonts w:ascii="Arial" w:cs="Arial" w:eastAsia="Arial" w:hAnsi="Arial"/>
          <w:sz w:val="18"/>
          <w:szCs w:val="18"/>
          <w:color w:val="auto"/>
        </w:rPr>
      </w:pPr>
    </w:p>
    <w:p>
      <w:pPr>
        <w:ind w:left="960" w:right="300" w:hanging="424"/>
        <w:spacing w:after="0" w:line="27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Don’t post on social media regarding the proposed transaction (or re-post information about the proposed transaction with your own commentary)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a customer facing employee and receive inquiries from customers, take the following steps:</w:t>
      </w:r>
    </w:p>
    <w:p>
      <w:pPr>
        <w:spacing w:after="0" w:line="117"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Organize a phone call or meeting with customers to address any questions or concerns.</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Share the benefits of the acquisition for customers from our </w:t>
      </w:r>
      <w:r>
        <w:rPr>
          <w:rFonts w:ascii="Arial" w:cs="Arial" w:eastAsia="Arial" w:hAnsi="Arial"/>
          <w:sz w:val="18"/>
          <w:szCs w:val="18"/>
          <w:u w:val="single" w:color="auto"/>
          <w:color w:val="auto"/>
        </w:rPr>
        <w:t>Talking Points</w:t>
      </w:r>
      <w:r>
        <w:rPr>
          <w:rFonts w:ascii="Arial" w:cs="Arial" w:eastAsia="Arial" w:hAnsi="Arial"/>
          <w:sz w:val="18"/>
          <w:szCs w:val="18"/>
          <w:color w:val="auto"/>
        </w:rPr>
        <w:t xml:space="preserve"> page.</w:t>
      </w:r>
    </w:p>
    <w:p>
      <w:pPr>
        <w:spacing w:after="0" w:line="117" w:lineRule="exact"/>
        <w:rPr>
          <w:rFonts w:ascii="Arial" w:cs="Arial" w:eastAsia="Arial" w:hAnsi="Arial"/>
          <w:sz w:val="18"/>
          <w:szCs w:val="18"/>
          <w:color w:val="auto"/>
        </w:rPr>
      </w:pPr>
    </w:p>
    <w:p>
      <w:pPr>
        <w:ind w:left="960" w:hanging="532"/>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Adhere strictly to the key messages and information outlined in the Talking Points. If questions are not answered on that page or in the </w:t>
      </w:r>
      <w:r>
        <w:rPr>
          <w:rFonts w:ascii="Arial" w:cs="Arial" w:eastAsia="Arial" w:hAnsi="Arial"/>
          <w:sz w:val="18"/>
          <w:szCs w:val="18"/>
          <w:u w:val="single" w:color="auto"/>
          <w:color w:val="auto"/>
        </w:rPr>
        <w:t>FAQs</w:t>
      </w:r>
      <w:r>
        <w:rPr>
          <w:rFonts w:ascii="Arial" w:cs="Arial" w:eastAsia="Arial" w:hAnsi="Arial"/>
          <w:sz w:val="18"/>
          <w:szCs w:val="18"/>
          <w:color w:val="auto"/>
        </w:rPr>
        <w:t>, please seek guidance from counsel.</w:t>
      </w:r>
    </w:p>
    <w:p>
      <w:pPr>
        <w:spacing w:after="0" w:line="262"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IMPORTANT: Due to the legal requirements surrounding this transaction, please do not email any details about the transaction to your customers.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any questions, please reach out to our legal counsel – </w:t>
      </w:r>
      <w:r>
        <w:rPr>
          <w:rFonts w:ascii="Arial" w:cs="Arial" w:eastAsia="Arial" w:hAnsi="Arial"/>
          <w:sz w:val="18"/>
          <w:szCs w:val="18"/>
          <w:u w:val="single" w:color="auto"/>
          <w:color w:val="auto"/>
        </w:rPr>
        <w:t>Clayton A Platt</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Cheers,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Ziad</w:t>
      </w:r>
    </w:p>
    <w:p>
      <w:pPr>
        <w:sectPr>
          <w:pgSz w:w="11900" w:h="16838" w:orient="portrait"/>
          <w:cols w:equalWidth="0" w:num="1">
            <w:col w:w="10940"/>
          </w:cols>
          <w:pgMar w:left="440" w:top="269"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15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ectPr>
          <w:pgSz w:w="11900" w:h="16838" w:orient="portrait"/>
          <w:cols w:equalWidth="0" w:num="1">
            <w:col w:w="11000"/>
          </w:cols>
          <w:pgMar w:left="440" w:top="269" w:right="459" w:bottom="1440" w:gutter="0" w:footer="0" w:header="0"/>
        </w:sectPr>
      </w:pPr>
    </w:p>
    <w:bookmarkStart w:id="3" w:name="page4"/>
    <w:bookmarkEnd w:id="3"/>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 -looking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w:t>
      </w:r>
      <w:r>
        <w:rPr>
          <w:rFonts w:ascii="Arial" w:cs="Arial" w:eastAsia="Arial" w:hAnsi="Arial"/>
          <w:sz w:val="18"/>
          <w:szCs w:val="18"/>
          <w:u w:val="single" w:color="auto"/>
          <w:color w:val="auto"/>
        </w:rPr>
        <w:t>https://www.sec.gov</w:t>
      </w:r>
      <w:r>
        <w:rPr>
          <w:rFonts w:ascii="Arial" w:cs="Arial" w:eastAsia="Arial" w:hAnsi="Arial"/>
          <w:sz w:val="18"/>
          <w:szCs w:val="18"/>
          <w:color w:val="auto"/>
        </w:rPr>
        <w:t xml:space="preserve">. Copies of the documents filed with, or furnished to, the SEC by SLB will be available free of charge on SLB’s website at </w:t>
      </w:r>
      <w:r>
        <w:rPr>
          <w:rFonts w:ascii="Arial" w:cs="Arial" w:eastAsia="Arial" w:hAnsi="Arial"/>
          <w:sz w:val="18"/>
          <w:szCs w:val="18"/>
          <w:u w:val="single" w:color="auto"/>
          <w:color w:val="auto"/>
        </w:rPr>
        <w:t>https://investorcenter.slb.com</w:t>
      </w:r>
      <w:r>
        <w:rPr>
          <w:rFonts w:ascii="Arial" w:cs="Arial" w:eastAsia="Arial" w:hAnsi="Arial"/>
          <w:sz w:val="18"/>
          <w:szCs w:val="18"/>
          <w:color w:val="auto"/>
        </w:rPr>
        <w:t xml:space="preserve">. Copies of the documents filed with, or furnished to, the SEC by ChampionX will be available free of charge on ChampionX’s website at </w:t>
      </w:r>
      <w:r>
        <w:rPr>
          <w:rFonts w:ascii="Arial" w:cs="Arial" w:eastAsia="Arial" w:hAnsi="Arial"/>
          <w:sz w:val="18"/>
          <w:szCs w:val="18"/>
          <w:u w:val="single" w:color="auto"/>
          <w:color w:val="auto"/>
        </w:rPr>
        <w:t>https://investors.championx.com</w:t>
      </w:r>
      <w:r>
        <w:rPr>
          <w:rFonts w:ascii="Arial" w:cs="Arial" w:eastAsia="Arial" w:hAnsi="Arial"/>
          <w:sz w:val="18"/>
          <w:szCs w:val="18"/>
          <w:color w:val="auto"/>
        </w:rPr>
        <w:t>. The information included on, or accessible through, SLB’s or ChampionX’s website is not incorporated by reference into this communication.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proxies in respect of the proposed transaction. Information about the directors and executive officers of SLB, including a description of</w:t>
      </w:r>
    </w:p>
    <w:p>
      <w:pPr>
        <w:spacing w:after="0" w:line="234" w:lineRule="auto"/>
        <w:rPr>
          <w:rFonts w:ascii="Arial" w:cs="Arial" w:eastAsia="Arial" w:hAnsi="Arial"/>
          <w:sz w:val="18"/>
          <w:szCs w:val="18"/>
          <w:color w:val="auto"/>
        </w:rPr>
      </w:pPr>
      <w:hyperlink r:id="rId13">
        <w:r>
          <w:rPr>
            <w:rFonts w:ascii="Arial" w:cs="Arial" w:eastAsia="Arial" w:hAnsi="Arial"/>
            <w:sz w:val="18"/>
            <w:szCs w:val="18"/>
            <w:color w:val="auto"/>
          </w:rPr>
          <w:t xml:space="preserve">their direct or indirect interests, by security holdings or otherwise, is set forth in SLB’s proxy statement for its </w:t>
        </w:r>
        <w:r>
          <w:rPr>
            <w:rFonts w:ascii="Arial" w:cs="Arial" w:eastAsia="Arial" w:hAnsi="Arial"/>
            <w:sz w:val="18"/>
            <w:szCs w:val="18"/>
            <w:u w:val="single" w:color="auto"/>
            <w:color w:val="0000EE"/>
          </w:rPr>
          <w:t>2024 Annual General</w:t>
        </w:r>
      </w:hyperlink>
    </w:p>
    <w:p>
      <w:pPr>
        <w:spacing w:after="0" w:line="235" w:lineRule="auto"/>
        <w:rPr>
          <w:rFonts w:ascii="Arial" w:cs="Arial" w:eastAsia="Arial" w:hAnsi="Arial"/>
          <w:sz w:val="18"/>
          <w:szCs w:val="18"/>
          <w:color w:val="0000EE"/>
        </w:rPr>
      </w:pPr>
      <w:hyperlink r:id="rId13">
        <w:r>
          <w:rPr>
            <w:rFonts w:ascii="Arial" w:cs="Arial" w:eastAsia="Arial" w:hAnsi="Arial"/>
            <w:sz w:val="18"/>
            <w:szCs w:val="18"/>
            <w:u w:val="single" w:color="auto"/>
            <w:color w:val="0000EE"/>
          </w:rPr>
          <w:t>Meeting of Stockholders</w:t>
        </w:r>
        <w:r>
          <w:rPr>
            <w:rFonts w:ascii="Arial" w:cs="Arial" w:eastAsia="Arial" w:hAnsi="Arial"/>
            <w:sz w:val="18"/>
            <w:szCs w:val="18"/>
            <w:color w:val="000000"/>
          </w:rPr>
          <w:t>, which was filed with the SEC on February 22, 2024, including under the sections entitled “Director</w:t>
        </w:r>
      </w:hyperlink>
    </w:p>
    <w:p>
      <w:pPr>
        <w:spacing w:after="0" w:line="235" w:lineRule="auto"/>
        <w:rPr>
          <w:sz w:val="20"/>
          <w:szCs w:val="20"/>
          <w:color w:val="auto"/>
        </w:rPr>
      </w:pPr>
      <w:r>
        <w:rPr>
          <w:rFonts w:ascii="Arial" w:cs="Arial" w:eastAsia="Arial" w:hAnsi="Arial"/>
          <w:sz w:val="18"/>
          <w:szCs w:val="18"/>
          <w:color w:val="auto"/>
        </w:rPr>
        <w:t>Compensation”, “Security Ownership by Management and Our Board”, “Compensation Discussion and Analysis”, “2023 Compensation</w:t>
      </w:r>
    </w:p>
    <w:p>
      <w:pPr>
        <w:spacing w:after="0"/>
        <w:rPr>
          <w:sz w:val="20"/>
          <w:szCs w:val="20"/>
          <w:color w:val="auto"/>
        </w:rPr>
      </w:pPr>
      <w:r>
        <w:rPr>
          <w:rFonts w:ascii="Arial" w:cs="Arial" w:eastAsia="Arial" w:hAnsi="Arial"/>
          <w:sz w:val="17"/>
          <w:szCs w:val="17"/>
          <w:color w:val="auto"/>
        </w:rPr>
        <w:t>Decisions and Results”, “Elements of 2023 Total Compensation”, “Long-Term Equity Incentive Awards”, “Executive Compensation Tables”,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“Grants of Plan-Based Awards in 2023”, “Outstanding Equity Awards at Year-End 2023”, “Potential Payments Upon Termination or</w:t>
      </w:r>
    </w:p>
    <w:p>
      <w:pPr>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Change in Control” and “Pay vs. Performance Comparison”, and </w:t>
      </w:r>
      <w:hyperlink r:id="rId14">
        <w:r>
          <w:rPr>
            <w:rFonts w:ascii="Arial" w:cs="Arial" w:eastAsia="Arial" w:hAnsi="Arial"/>
            <w:sz w:val="18"/>
            <w:szCs w:val="18"/>
            <w:u w:val="single" w:color="auto"/>
            <w:color w:val="0000EE"/>
          </w:rPr>
          <w:t>SLB’s 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31,2023, which was filed with the SEC on January 24, 2024, including under the sections entitled “Item 10. Directors, Executive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Officers and Corporate Governance”, “Item 11. Executive Compensation”, “Item 12. Security Ownership of Certain Beneficial Owners and</w:t>
      </w:r>
    </w:p>
    <w:p>
      <w:pPr>
        <w:spacing w:after="0" w:line="234" w:lineRule="auto"/>
        <w:rPr>
          <w:sz w:val="20"/>
          <w:szCs w:val="20"/>
          <w:color w:val="auto"/>
        </w:rPr>
      </w:pPr>
      <w:r>
        <w:rPr>
          <w:rFonts w:ascii="Arial" w:cs="Arial" w:eastAsia="Arial" w:hAnsi="Arial"/>
          <w:sz w:val="18"/>
          <w:szCs w:val="18"/>
          <w:color w:val="auto"/>
        </w:rPr>
        <w:t>Management and Related Stockholder Matters”, and “Item 13. Certain Relationships and Related Transactions, and Director</w:t>
      </w:r>
    </w:p>
    <w:p>
      <w:pPr>
        <w:spacing w:after="0" w:line="235" w:lineRule="auto"/>
        <w:rPr>
          <w:sz w:val="20"/>
          <w:szCs w:val="20"/>
          <w:color w:val="auto"/>
        </w:rPr>
      </w:pPr>
      <w:r>
        <w:rPr>
          <w:rFonts w:ascii="Arial" w:cs="Arial" w:eastAsia="Arial" w:hAnsi="Arial"/>
          <w:sz w:val="18"/>
          <w:szCs w:val="18"/>
          <w:color w:val="auto"/>
        </w:rPr>
        <w:t>Independence”. Information about the directors and executive officers of ChampionX, including a description of their direct or indirect</w:t>
      </w:r>
    </w:p>
    <w:p>
      <w:pPr>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interests, by security holdings or otherwise, is set forth in ChampionX’s proxy statement for its </w:t>
      </w:r>
      <w:hyperlink r:id="rId15">
        <w:r>
          <w:rPr>
            <w:rFonts w:ascii="Arial" w:cs="Arial" w:eastAsia="Arial" w:hAnsi="Arial"/>
            <w:sz w:val="18"/>
            <w:szCs w:val="18"/>
            <w:u w:val="single" w:color="auto"/>
            <w:color w:val="0000EE"/>
          </w:rPr>
          <w:t>2024 Annual Meeting of Shareholders</w:t>
        </w:r>
      </w:hyperlink>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which was filed with the SEC on April 3, 2024, including under the sections entitled “Executive Compensation Highlights”, “Director</w:t>
      </w:r>
    </w:p>
    <w:p>
      <w:pPr>
        <w:spacing w:after="0" w:line="235" w:lineRule="auto"/>
        <w:rPr>
          <w:sz w:val="20"/>
          <w:szCs w:val="20"/>
          <w:color w:val="auto"/>
        </w:rPr>
      </w:pPr>
      <w:r>
        <w:rPr>
          <w:rFonts w:ascii="Arial" w:cs="Arial" w:eastAsia="Arial" w:hAnsi="Arial"/>
          <w:sz w:val="18"/>
          <w:szCs w:val="18"/>
          <w:color w:val="auto"/>
        </w:rPr>
        <w:t>Compensation”, “2023 Director Compensation Table”, “Security Ownership of Certain Beneficial Owners and Management”,</w:t>
      </w:r>
    </w:p>
    <w:p>
      <w:pPr>
        <w:spacing w:after="0" w:line="234" w:lineRule="auto"/>
        <w:rPr>
          <w:sz w:val="20"/>
          <w:szCs w:val="20"/>
          <w:color w:val="auto"/>
        </w:rPr>
      </w:pPr>
      <w:r>
        <w:rPr>
          <w:rFonts w:ascii="Arial" w:cs="Arial" w:eastAsia="Arial" w:hAnsi="Arial"/>
          <w:sz w:val="18"/>
          <w:szCs w:val="18"/>
          <w:color w:val="auto"/>
        </w:rPr>
        <w:t>“Compensation Discussion and Analysis”, “Key Compensation Overview for 2023”, “Elements of Our Executive Compensation Program”,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“Long-Term Equity Incentive Compensation”, “Additional Executive Compensation Governance Considerations”, “Executive Compensation</w:t>
      </w:r>
    </w:p>
    <w:p>
      <w:pPr>
        <w:spacing w:after="0" w:line="3" w:lineRule="exact"/>
        <w:rPr>
          <w:sz w:val="20"/>
          <w:szCs w:val="20"/>
          <w:color w:val="auto"/>
        </w:rPr>
      </w:pPr>
    </w:p>
    <w:p>
      <w:pPr>
        <w:spacing w:after="0"/>
        <w:rPr>
          <w:rFonts w:ascii="Arial" w:cs="Arial" w:eastAsia="Arial" w:hAnsi="Arial"/>
          <w:sz w:val="18"/>
          <w:szCs w:val="18"/>
          <w:color w:val="auto"/>
        </w:rPr>
      </w:pPr>
      <w:hyperlink r:id="rId16">
        <w:r>
          <w:rPr>
            <w:rFonts w:ascii="Arial" w:cs="Arial" w:eastAsia="Arial" w:hAnsi="Arial"/>
            <w:sz w:val="18"/>
            <w:szCs w:val="18"/>
            <w:color w:val="auto"/>
          </w:rPr>
          <w:t xml:space="preserve">Tables”, “Potential Payments upon Termination or Change-in-Control”, “Pay-versus-Performance” and </w:t>
        </w:r>
        <w:r>
          <w:rPr>
            <w:rFonts w:ascii="Arial" w:cs="Arial" w:eastAsia="Arial" w:hAnsi="Arial"/>
            <w:sz w:val="18"/>
            <w:szCs w:val="18"/>
            <w:u w:val="single" w:color="auto"/>
            <w:color w:val="0000EE"/>
          </w:rPr>
          <w:t>ChampionX’s Annual Report on</w:t>
        </w:r>
      </w:hyperlink>
    </w:p>
    <w:p>
      <w:pPr>
        <w:spacing w:after="0" w:line="234" w:lineRule="auto"/>
        <w:rPr>
          <w:rFonts w:ascii="Arial" w:cs="Arial" w:eastAsia="Arial" w:hAnsi="Arial"/>
          <w:sz w:val="18"/>
          <w:szCs w:val="18"/>
          <w:color w:val="0000EE"/>
        </w:rPr>
      </w:pPr>
      <w:hyperlink r:id="rId16">
        <w:r>
          <w:rPr>
            <w:rFonts w:ascii="Arial" w:cs="Arial" w:eastAsia="Arial" w:hAnsi="Arial"/>
            <w:sz w:val="18"/>
            <w:szCs w:val="18"/>
            <w:u w:val="single" w:color="auto"/>
            <w:color w:val="0000EE"/>
          </w:rPr>
          <w:t>Form 10-K</w:t>
        </w:r>
        <w:r>
          <w:rPr>
            <w:rFonts w:ascii="Arial" w:cs="Arial" w:eastAsia="Arial" w:hAnsi="Arial"/>
            <w:sz w:val="18"/>
            <w:szCs w:val="18"/>
            <w:color w:val="0000EE"/>
          </w:rPr>
          <w:t xml:space="preserve"> </w:t>
        </w:r>
        <w:r>
          <w:rPr>
            <w:rFonts w:ascii="Arial" w:cs="Arial" w:eastAsia="Arial" w:hAnsi="Arial"/>
            <w:sz w:val="18"/>
            <w:szCs w:val="18"/>
            <w:color w:val="000000"/>
          </w:rPr>
          <w:t>for the fiscal year ended December 31, 2023, which was filed with the SEC on February 6, 2024, including under the sections</w:t>
        </w:r>
      </w:hyperlink>
    </w:p>
    <w:p>
      <w:pPr>
        <w:spacing w:after="0" w:line="235" w:lineRule="auto"/>
        <w:rPr>
          <w:sz w:val="20"/>
          <w:szCs w:val="20"/>
          <w:color w:val="auto"/>
        </w:rPr>
      </w:pPr>
      <w:r>
        <w:rPr>
          <w:rFonts w:ascii="Arial" w:cs="Arial" w:eastAsia="Arial" w:hAnsi="Arial"/>
          <w:sz w:val="18"/>
          <w:szCs w:val="18"/>
          <w:color w:val="auto"/>
        </w:rPr>
        <w:t>entitled “Item 10. Directors, Executive Officers and Corporate Governance”, “Item 11. Executive Compensation”, “Item 12. Security</w:t>
      </w:r>
    </w:p>
    <w:p>
      <w:pPr>
        <w:spacing w:after="0" w:line="235" w:lineRule="auto"/>
        <w:rPr>
          <w:sz w:val="20"/>
          <w:szCs w:val="20"/>
          <w:color w:val="auto"/>
        </w:rPr>
      </w:pPr>
      <w:r>
        <w:rPr>
          <w:rFonts w:ascii="Arial" w:cs="Arial" w:eastAsia="Arial" w:hAnsi="Arial"/>
          <w:sz w:val="18"/>
          <w:szCs w:val="18"/>
          <w:color w:val="auto"/>
        </w:rPr>
        <w:t>Ownership of Certain Beneficial Owners and Management and Related Stockholder Matters” and “Item 13. Certain Relationships and</w:t>
      </w:r>
    </w:p>
    <w:p>
      <w:pPr>
        <w:spacing w:after="0" w:line="235" w:lineRule="auto"/>
        <w:rPr>
          <w:sz w:val="20"/>
          <w:szCs w:val="20"/>
          <w:color w:val="auto"/>
        </w:rPr>
      </w:pPr>
      <w:r>
        <w:rPr>
          <w:rFonts w:ascii="Arial" w:cs="Arial" w:eastAsia="Arial" w:hAnsi="Arial"/>
          <w:sz w:val="18"/>
          <w:szCs w:val="18"/>
          <w:color w:val="auto"/>
        </w:rPr>
        <w:t>Related Transactions, and Director Independence”. Other information regarding the participants in the proxy solicitation and a description</w:t>
      </w:r>
    </w:p>
    <w:p>
      <w:pPr>
        <w:spacing w:after="0" w:line="235" w:lineRule="auto"/>
        <w:rPr>
          <w:sz w:val="20"/>
          <w:szCs w:val="20"/>
          <w:color w:val="auto"/>
        </w:rPr>
      </w:pPr>
      <w:r>
        <w:rPr>
          <w:rFonts w:ascii="Arial" w:cs="Arial" w:eastAsia="Arial" w:hAnsi="Arial"/>
          <w:sz w:val="18"/>
          <w:szCs w:val="18"/>
          <w:color w:val="auto"/>
        </w:rPr>
        <w:t>of their direct and indirect interests, by security holdings or otherwise, will be contained in the Form S-4 and the proxy</w:t>
      </w:r>
    </w:p>
    <w:p>
      <w:pPr>
        <w:spacing w:after="0" w:line="234" w:lineRule="auto"/>
        <w:rPr>
          <w:sz w:val="20"/>
          <w:szCs w:val="20"/>
          <w:color w:val="auto"/>
        </w:rPr>
      </w:pPr>
      <w:r>
        <w:rPr>
          <w:rFonts w:ascii="Arial" w:cs="Arial" w:eastAsia="Arial" w:hAnsi="Arial"/>
          <w:sz w:val="18"/>
          <w:szCs w:val="18"/>
          <w:color w:val="auto"/>
        </w:rPr>
        <w:t>statement/prospectus and other relevant materials to be filed with the SEC regarding the proposed transaction when such materials</w:t>
      </w:r>
    </w:p>
    <w:p>
      <w:pPr>
        <w:spacing w:after="0" w:line="235" w:lineRule="auto"/>
        <w:rPr>
          <w:sz w:val="20"/>
          <w:szCs w:val="20"/>
          <w:color w:val="auto"/>
        </w:rPr>
      </w:pPr>
      <w:r>
        <w:rPr>
          <w:rFonts w:ascii="Arial" w:cs="Arial" w:eastAsia="Arial" w:hAnsi="Arial"/>
          <w:sz w:val="18"/>
          <w:szCs w:val="18"/>
          <w:color w:val="auto"/>
        </w:rPr>
        <w:t>become available. Investors should read the Form S-4 and the proxy statement/prospectus carefully when available before making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voting or investment decisions.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You may obtain free copies of these documents from SLB or ChampionX using the sources indicated above.</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ix?doc=/Archives/edgar/data/87347/000130817924000033/lslb2024_def14a.htm" TargetMode="External"/><Relationship Id="rId14" Type="http://schemas.openxmlformats.org/officeDocument/2006/relationships/hyperlink" Target="http://www.sec.gov/ix?doc=/Archives/edgar/data/87347/000095017024006884/slb-20231231.htm" TargetMode="External"/><Relationship Id="rId15" Type="http://schemas.openxmlformats.org/officeDocument/2006/relationships/hyperlink" Target="http://www.sec.gov/ix?doc=/Archives/edgar/data/1723089/000172308924000079/championx-20240401.htm" TargetMode="External"/><Relationship Id="rId16" Type="http://schemas.openxmlformats.org/officeDocument/2006/relationships/hyperlink" Target="http://www.sec.gov/ix?doc=/Archives/edgar/data/1723089/000172308924000011/champion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2024-04-17T11:03:26Z</dcterms:created>
  <dcterms:modified xsi:type="dcterms:W3CDTF">2024-04-17T11:03:26Z</dcterms:modified>
</cp:coreProperties>
</file>