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ARIAL" w:hAnsi="ARIAL"/>
          <w:sz w:val="20"/>
        </w:rPr>
      </w:pPr>
      <w:bookmarkStart w:id="0" w:name="d737473d425.htm"/>
      <w:bookmarkStart w:id="1" w:name="ksd737473d425"/>
      <w:bookmarkEnd w:id="0"/>
      <w:bookmarkEnd w:id="1"/>
      <w:r>
        <w:rPr>
          <w:rFonts w:ascii="ARIAL" w:hAnsi="ARIAL"/>
          <w:sz w:val="20"/>
        </w:rPr>
        <w:t xml:space="preserve">Filed by Schlumberger N.V. </w:t>
      </w:r>
    </w:p>
    <w:p>
      <w:pPr>
        <w:pStyle w:val="TextBody"/>
        <w:bidi w:val="0"/>
        <w:spacing w:before="0" w:after="0"/>
        <w:jc w:val="right"/>
        <w:rPr>
          <w:rFonts w:ascii="ARIAL" w:hAnsi="ARIAL"/>
          <w:sz w:val="20"/>
        </w:rPr>
      </w:pPr>
      <w:r>
        <w:rPr>
          <w:rFonts w:ascii="ARIAL" w:hAnsi="ARIAL"/>
          <w:sz w:val="20"/>
        </w:rPr>
        <w:t xml:space="preserve">pursuant to Rule 425 under the Securities Act of 1933 </w:t>
      </w:r>
    </w:p>
    <w:p>
      <w:pPr>
        <w:pStyle w:val="TextBody"/>
        <w:bidi w:val="0"/>
        <w:spacing w:before="0" w:after="0"/>
        <w:jc w:val="right"/>
        <w:rPr>
          <w:rFonts w:ascii="ARIAL" w:hAnsi="ARIAL"/>
          <w:sz w:val="20"/>
        </w:rPr>
      </w:pPr>
      <w:r>
        <w:rPr>
          <w:rFonts w:ascii="ARIAL" w:hAnsi="ARIAL"/>
          <w:sz w:val="20"/>
        </w:rPr>
        <w:t xml:space="preserve">and deemed filed pursuant to Rule 14a-12 </w:t>
      </w:r>
    </w:p>
    <w:p>
      <w:pPr>
        <w:pStyle w:val="TextBody"/>
        <w:bidi w:val="0"/>
        <w:spacing w:before="0" w:after="0"/>
        <w:jc w:val="right"/>
        <w:rPr>
          <w:rFonts w:ascii="ARIAL" w:hAnsi="ARIAL"/>
          <w:sz w:val="20"/>
        </w:rPr>
      </w:pPr>
      <w:r>
        <w:rPr>
          <w:rFonts w:ascii="ARIAL" w:hAnsi="ARIAL"/>
          <w:sz w:val="20"/>
        </w:rPr>
        <w:t xml:space="preserve">under the Securities Exchange Act of 1934 </w:t>
      </w:r>
    </w:p>
    <w:p>
      <w:pPr>
        <w:pStyle w:val="TextBody"/>
        <w:bidi w:val="0"/>
        <w:spacing w:before="0" w:after="0"/>
        <w:jc w:val="right"/>
        <w:rPr>
          <w:rFonts w:ascii="ARIAL" w:hAnsi="ARIAL"/>
          <w:sz w:val="20"/>
        </w:rPr>
      </w:pPr>
      <w:r>
        <w:rPr>
          <w:rFonts w:ascii="ARIAL" w:hAnsi="ARIAL"/>
          <w:sz w:val="20"/>
        </w:rPr>
        <w:t xml:space="preserve">Subject Company: ChampionX Corporation </w:t>
      </w:r>
    </w:p>
    <w:p>
      <w:pPr>
        <w:pStyle w:val="TextBody"/>
        <w:bidi w:val="0"/>
        <w:spacing w:before="0" w:after="0"/>
        <w:jc w:val="right"/>
        <w:rPr>
          <w:rFonts w:ascii="ARIAL" w:hAnsi="ARIAL"/>
          <w:sz w:val="20"/>
        </w:rPr>
      </w:pPr>
      <w:r>
        <w:rPr>
          <w:rFonts w:ascii="ARIAL" w:hAnsi="ARIAL"/>
          <w:sz w:val="20"/>
        </w:rPr>
        <w:t xml:space="preserve">Filers SEC File No.: 001-38441 </w:t>
      </w:r>
    </w:p>
    <w:p>
      <w:pPr>
        <w:pStyle w:val="TextBody"/>
        <w:bidi w:val="0"/>
        <w:spacing w:before="0" w:after="0"/>
        <w:jc w:val="right"/>
        <w:rPr>
          <w:rFonts w:ascii="ARIAL" w:hAnsi="ARIAL"/>
          <w:sz w:val="20"/>
        </w:rPr>
      </w:pPr>
      <w:r>
        <w:rPr>
          <w:rFonts w:ascii="ARIAL" w:hAnsi="ARIAL"/>
          <w:sz w:val="20"/>
        </w:rPr>
        <w:t xml:space="preserve">Date: April 2, 2024 </w:t>
      </w:r>
    </w:p>
    <w:p>
      <w:pPr>
        <w:pStyle w:val="TextBody"/>
        <w:bidi w:val="0"/>
        <w:spacing w:before="240" w:after="0"/>
        <w:jc w:val="left"/>
        <w:rPr>
          <w:rFonts w:ascii="ARIAL" w:hAnsi="ARIAL"/>
          <w:color w:val="0214DC"/>
          <w:sz w:val="20"/>
        </w:rPr>
      </w:pPr>
      <w:r>
        <w:rPr>
          <w:rFonts w:ascii="ARIAL" w:hAnsi="ARIAL"/>
          <w:color w:val="0214DC"/>
          <w:sz w:val="20"/>
        </w:rPr>
        <w:t xml:space="preserve">Investor FAQs </w:t>
      </w:r>
    </w:p>
    <w:p>
      <w:pPr>
        <w:pStyle w:val="TextBody"/>
        <w:bidi w:val="0"/>
        <w:spacing w:before="120" w:after="0"/>
        <w:jc w:val="left"/>
        <w:rPr>
          <w:rFonts w:ascii="ARIAL" w:hAnsi="ARIAL"/>
          <w:b/>
          <w:color w:val="0214DC"/>
          <w:sz w:val="20"/>
        </w:rPr>
      </w:pPr>
      <w:r>
        <w:rPr>
          <w:rFonts w:ascii="ARIAL" w:hAnsi="ARIAL"/>
          <w:b/>
          <w:color w:val="0214DC"/>
          <w:sz w:val="20"/>
        </w:rPr>
        <w:t xml:space="preserve">General Questions </w:t>
      </w:r>
    </w:p>
    <w:p>
      <w:pPr>
        <w:pStyle w:val="TextBody"/>
        <w:bidi w:val="0"/>
        <w:spacing w:before="120" w:after="0"/>
        <w:jc w:val="left"/>
        <w:rPr>
          <w:rFonts w:ascii="ARIAL" w:hAnsi="ARIAL"/>
          <w:sz w:val="20"/>
        </w:rPr>
      </w:pPr>
      <w:r>
        <w:rPr>
          <w:rFonts w:ascii="ARIAL" w:hAnsi="ARIAL"/>
          <w:sz w:val="20"/>
        </w:rPr>
        <w:t xml:space="preserve">How does this acquisition fit within SLBs strategy?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ARIAL" w:hAnsi="ARIAL"/>
                <w:sz w:val="20"/>
              </w:rPr>
            </w:pPr>
            <w:r>
              <w:rPr>
                <w:rFonts w:ascii="ARIAL" w:hAnsi="ARIAL"/>
                <w:sz w:val="20"/>
              </w:rPr>
              <w:t xml:space="preserve">SLBs core oil and gas business will continue to be a key engine of growth. Deliberately increasing our exposure to the production and recovery space will align us with a growing and resilient OpEx spend category into the next decade.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ARIAL" w:hAnsi="ARIAL"/>
                <w:sz w:val="20"/>
              </w:rPr>
            </w:pPr>
            <w:r>
              <w:rPr>
                <w:rFonts w:ascii="ARIAL" w:hAnsi="ARIAL"/>
                <w:sz w:val="20"/>
              </w:rPr>
              <w:t xml:space="preserve">Energy customers are constantly looking to drive more efficient performance and recovery in the production phase of their operations. There is an opportunity to improve and enhance production operations holistically, from increasing digital adoption to lowering costs to lowering carbon intensity.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ARIAL" w:hAnsi="ARIAL"/>
                <w:sz w:val="20"/>
              </w:rPr>
            </w:pPr>
            <w:r>
              <w:rPr>
                <w:rFonts w:ascii="ARIAL" w:hAnsi="ARIAL"/>
                <w:sz w:val="20"/>
              </w:rPr>
              <w:t xml:space="preserve">The combined portfolio will allow for greater innovation, market reach and customer choice and value. </w:t>
            </w:r>
          </w:p>
        </w:tc>
      </w:tr>
    </w:tbl>
    <w:p>
      <w:pPr>
        <w:pStyle w:val="TextBody"/>
        <w:bidi w:val="0"/>
        <w:spacing w:before="240" w:after="0"/>
        <w:jc w:val="left"/>
        <w:rPr>
          <w:rFonts w:ascii="ARIAL" w:hAnsi="ARIAL"/>
          <w:sz w:val="20"/>
        </w:rPr>
      </w:pPr>
      <w:r>
        <w:rPr>
          <w:rFonts w:ascii="ARIAL" w:hAnsi="ARIAL"/>
          <w:sz w:val="20"/>
        </w:rPr>
        <w:t xml:space="preserve">What are the key offerings of ChampionX?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ARIAL" w:hAnsi="ARIAL"/>
                <w:sz w:val="20"/>
              </w:rPr>
            </w:pPr>
            <w:r>
              <w:rPr>
                <w:rFonts w:ascii="ARIAL" w:hAnsi="ARIAL"/>
                <w:sz w:val="20"/>
              </w:rPr>
              <w:t xml:space="preserve">Production ChemicalsProvides oil and natural gas production and midstream markets with solutions to manage and control corrosion, oil and water separation, flow assurance, sour gas treatment and a host of water-related issues.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ARIAL" w:hAnsi="ARIAL"/>
                <w:sz w:val="20"/>
              </w:rPr>
            </w:pPr>
            <w:r>
              <w:rPr>
                <w:rFonts w:ascii="ARIAL" w:hAnsi="ARIAL"/>
                <w:sz w:val="20"/>
              </w:rPr>
              <w:t xml:space="preserve">Production and Automation TechDesigns, manufactures, markets and services a full range of artificial lift equipment, end-to-end digital automation solutions, and other production equipment and asset monitoring technologies; sold under a collection of brands.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ARIAL" w:hAnsi="ARIAL"/>
                <w:sz w:val="20"/>
              </w:rPr>
            </w:pPr>
            <w:r>
              <w:rPr>
                <w:rFonts w:ascii="ARIAL" w:hAnsi="ARIAL"/>
                <w:sz w:val="20"/>
              </w:rPr>
              <w:t xml:space="preserve">Drilling TechnologiesDesigns, manufactures and markets polycrystalline diamond cutters and bearings for use in oil and gas drill bits under the U.S. Synthetic brand.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ARIAL" w:hAnsi="ARIAL"/>
                <w:sz w:val="20"/>
              </w:rPr>
            </w:pPr>
            <w:r>
              <w:rPr>
                <w:rFonts w:ascii="ARIAL" w:hAnsi="ARIAL"/>
                <w:sz w:val="20"/>
              </w:rPr>
              <w:t xml:space="preserve">Reservoir ChemicalsManufactures specialty products that support well stimulation, construction (including drilling and cementing) and remediation needs in the oil and natural gas industry. </w:t>
            </w:r>
          </w:p>
        </w:tc>
      </w:tr>
    </w:tbl>
    <w:p>
      <w:pPr>
        <w:pStyle w:val="TextBody"/>
        <w:bidi w:val="0"/>
        <w:spacing w:before="240" w:after="0"/>
        <w:jc w:val="left"/>
        <w:rPr>
          <w:rFonts w:ascii="ARIAL" w:hAnsi="ARIAL"/>
          <w:sz w:val="20"/>
        </w:rPr>
      </w:pPr>
      <w:r>
        <w:rPr>
          <w:rFonts w:ascii="ARIAL" w:hAnsi="ARIAL"/>
          <w:sz w:val="20"/>
        </w:rPr>
        <w:t xml:space="preserve">What are the general financial terms of the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ARIAL" w:hAnsi="ARIAL"/>
                <w:sz w:val="20"/>
              </w:rPr>
            </w:pPr>
            <w:r>
              <w:rPr>
                <w:rFonts w:ascii="ARIAL" w:hAnsi="ARIAL"/>
                <w:sz w:val="20"/>
              </w:rPr>
              <w:t xml:space="preserve">ChampionX shareholders will receive 0.735 shares of SLB in exchange for each share of ChampionX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ARIAL" w:hAnsi="ARIAL"/>
                <w:sz w:val="20"/>
              </w:rPr>
            </w:pPr>
            <w:r>
              <w:rPr>
                <w:rFonts w:ascii="ARIAL" w:hAnsi="ARIAL"/>
                <w:sz w:val="20"/>
              </w:rPr>
              <w:t xml:space="preserve">The agreement places a value of $40.59 per ChampionX share, which represents a 14.7% premium based on the closing price of April 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ARIAL" w:hAnsi="ARIAL"/>
                <w:sz w:val="20"/>
              </w:rPr>
            </w:pPr>
            <w:r>
              <w:rPr>
                <w:rFonts w:ascii="ARIAL" w:hAnsi="ARIAL"/>
                <w:sz w:val="20"/>
              </w:rPr>
              <w:t xml:space="preserve">Upon closing, ChampionX shareholders will collectively own approximately 9% of SLB outstanding shares. </w:t>
            </w:r>
          </w:p>
        </w:tc>
      </w:tr>
    </w:tbl>
    <w:p>
      <w:pPr>
        <w:pStyle w:val="TextBody"/>
        <w:bidi w:val="0"/>
        <w:spacing w:before="240" w:after="0"/>
        <w:jc w:val="left"/>
        <w:rPr>
          <w:rFonts w:ascii="ARIAL" w:hAnsi="ARIAL"/>
          <w:sz w:val="20"/>
        </w:rPr>
      </w:pPr>
      <w:r>
        <w:rPr>
          <w:rFonts w:ascii="ARIAL" w:hAnsi="ARIAL"/>
          <w:sz w:val="20"/>
        </w:rPr>
        <w:t xml:space="preserve">When do you expect the transaction to close?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ARIAL" w:hAnsi="ARIAL"/>
                <w:sz w:val="20"/>
              </w:rPr>
            </w:pPr>
            <w:r>
              <w:rPr>
                <w:rFonts w:ascii="ARIAL" w:hAnsi="ARIAL"/>
                <w:sz w:val="20"/>
              </w:rPr>
              <w:t xml:space="preserve">The anticipated close date is before the end of 2024 and is subject to customary closing terms and conditions and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ARIAL" w:hAnsi="ARIAL"/>
                <w:sz w:val="20"/>
              </w:rPr>
            </w:pPr>
            <w:r>
              <w:rPr>
                <w:rFonts w:ascii="ARIAL" w:hAnsi="ARIAL"/>
                <w:sz w:val="20"/>
              </w:rPr>
              <w:t xml:space="preserve">Both companies will continue to run their businesses independently and separately (business as usual) until the transaction is closed. </w:t>
            </w:r>
          </w:p>
        </w:tc>
      </w:tr>
    </w:tbl>
    <w:p>
      <w:pPr>
        <w:pStyle w:val="TextBody"/>
        <w:bidi w:val="0"/>
        <w:spacing w:before="240" w:after="0"/>
        <w:jc w:val="left"/>
        <w:rPr>
          <w:rFonts w:ascii="ARIAL" w:hAnsi="ARIAL"/>
          <w:sz w:val="20"/>
        </w:rPr>
      </w:pPr>
      <w:r>
        <w:rPr>
          <w:rFonts w:ascii="ARIAL" w:hAnsi="ARIAL"/>
          <w:sz w:val="20"/>
        </w:rPr>
        <w:t xml:space="preserve">How will customers benefit from this proposed deal?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ARIAL" w:hAnsi="ARIAL"/>
                <w:sz w:val="20"/>
              </w:rPr>
            </w:pPr>
            <w:r>
              <w:rPr>
                <w:rFonts w:ascii="ARIAL" w:hAnsi="ARIAL"/>
                <w:sz w:val="20"/>
              </w:rPr>
              <w:t xml:space="preserve">Customers will benefit from the enhanced portfolio, geographical reach and technology innovation. SLBs comprehensive production and recovery portfolio will provide solutions throughout the full lifecycle of the well to increase customer production, reduce overall cost of ownership and lower carbon emissions.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ARIAL" w:hAnsi="ARIAL"/>
                <w:sz w:val="20"/>
              </w:rPr>
            </w:pPr>
            <w:r>
              <w:rPr>
                <w:rFonts w:ascii="ARIAL" w:hAnsi="ARIAL"/>
                <w:sz w:val="20"/>
              </w:rPr>
              <w:t xml:space="preserve">This will help our global customers drive efficiency and longevity of producing assets.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What are the synergies from this acquisition?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ARIAL" w:hAnsi="ARIAL"/>
                <w:sz w:val="20"/>
              </w:rPr>
            </w:pPr>
            <w:r>
              <w:rPr>
                <w:rFonts w:ascii="ARIAL" w:hAnsi="ARIAL"/>
                <w:sz w:val="20"/>
              </w:rPr>
              <w:t xml:space="preserve">SLB expects annual pre-tax synergies to reach approximately $400 million within three years, with 70-80% realized in 2026 and the remainder in 2027. These synergies consist primarily of reduced operating costs, supply chain optimization and G&amp;A savings, as well as the benefits from revenue synergies that are expected to grow considerably in future years. The revenue synergies come primarily from new technology innovation leveraging the combined offering and expanding ChampionXs reach via SLBs international presence.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ARIAL" w:hAnsi="ARIAL"/>
                <w:sz w:val="20"/>
              </w:rPr>
            </w:pPr>
            <w:r>
              <w:rPr>
                <w:rFonts w:ascii="ARIAL" w:hAnsi="ARIAL"/>
                <w:sz w:val="20"/>
              </w:rPr>
              <w:t xml:space="preserve">A dedicated integration team will start immediately and will work across both companies until closing and beyond, utilizing best practices and lessons learned from other acquisitions. </w:t>
            </w:r>
          </w:p>
        </w:tc>
      </w:tr>
    </w:tbl>
    <w:p>
      <w:pPr>
        <w:pStyle w:val="TextBody"/>
        <w:bidi w:val="0"/>
        <w:spacing w:before="240" w:after="0"/>
        <w:jc w:val="left"/>
        <w:rPr>
          <w:rFonts w:ascii="ARIAL" w:hAnsi="ARIAL"/>
          <w:sz w:val="20"/>
        </w:rPr>
      </w:pPr>
      <w:r>
        <w:rPr>
          <w:rFonts w:ascii="ARIAL" w:hAnsi="ARIAL"/>
          <w:sz w:val="20"/>
        </w:rPr>
        <w:t xml:space="preserve">How does this acquisition impact SLBs geographical mix?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ARIAL" w:hAnsi="ARIAL"/>
                <w:sz w:val="20"/>
              </w:rPr>
            </w:pPr>
            <w:r>
              <w:rPr>
                <w:rFonts w:ascii="ARIAL" w:hAnsi="ARIAL"/>
                <w:sz w:val="20"/>
              </w:rPr>
              <w:t xml:space="preserve">This move will strengthen our international offering while driving innovation and efficiency in North America through SLBs and ChampionXs complementary footprints. At closing, SLBs geographical mix will be 75% international and 25% North America. Post-acquisition, we expect the international revenue mix to climb. </w:t>
            </w:r>
          </w:p>
        </w:tc>
      </w:tr>
    </w:tbl>
    <w:p>
      <w:pPr>
        <w:pStyle w:val="TextBody"/>
        <w:bidi w:val="0"/>
        <w:spacing w:before="120" w:after="0"/>
        <w:jc w:val="left"/>
        <w:rPr>
          <w:rFonts w:ascii="ARIAL" w:hAnsi="ARIAL"/>
          <w:sz w:val="20"/>
        </w:rPr>
      </w:pPr>
      <w:r>
        <w:rPr>
          <w:rFonts w:ascii="ARIAL" w:hAnsi="ARIAL"/>
          <w:sz w:val="20"/>
        </w:rPr>
        <w:t xml:space="preserve">ChampionXs artificial lift portfolio includes certain products that SLB divested a few years back. Do you intend to keep those when the transaction closes or if you keep them, why would they now be of interest?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ARIAL" w:hAnsi="ARIAL"/>
                <w:sz w:val="20"/>
              </w:rPr>
            </w:pPr>
            <w:r>
              <w:rPr>
                <w:rFonts w:ascii="ARIAL" w:hAnsi="ARIAL"/>
                <w:sz w:val="20"/>
              </w:rPr>
              <w:t xml:space="preserve">ChampionXs artificial lift portfolio, comprising ESP, Rod Lift, PCP and Gas Lift, is an integrated offering supported by digital capabilities that help customers optimize their lift solutions throughout the life of the well. This business is notably different from the businesses we divested back in 2020, as ChampionXs integrated offering has strong customer recognition in North America and generates superior margins. Post acquisition, we fully intend to preserve this business and expand internationally. </w:t>
            </w:r>
          </w:p>
        </w:tc>
      </w:tr>
    </w:tbl>
    <w:p>
      <w:pPr>
        <w:pStyle w:val="TextBody"/>
        <w:bidi w:val="0"/>
        <w:spacing w:before="360" w:after="0"/>
        <w:jc w:val="left"/>
        <w:rPr>
          <w:rFonts w:ascii="ARIAL" w:hAnsi="ARIAL"/>
          <w:b/>
          <w:color w:val="0214DC"/>
          <w:sz w:val="20"/>
        </w:rPr>
      </w:pPr>
      <w:r>
        <w:rPr>
          <w:rFonts w:ascii="ARIAL" w:hAnsi="ARIAL"/>
          <w:b/>
          <w:color w:val="0214DC"/>
          <w:sz w:val="20"/>
        </w:rPr>
        <w:t xml:space="preserve">Operational and Organizational Questions </w:t>
      </w:r>
    </w:p>
    <w:p>
      <w:pPr>
        <w:pStyle w:val="TextBody"/>
        <w:bidi w:val="0"/>
        <w:spacing w:before="120" w:after="0"/>
        <w:jc w:val="left"/>
        <w:rPr>
          <w:rFonts w:ascii="ARIAL" w:hAnsi="ARIAL"/>
          <w:sz w:val="20"/>
        </w:rPr>
      </w:pPr>
      <w:r>
        <w:rPr>
          <w:rFonts w:ascii="ARIAL" w:hAnsi="ARIAL"/>
          <w:sz w:val="20"/>
        </w:rPr>
        <w:t xml:space="preserve">How will ChampionX be run inside SLB?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ARIAL" w:hAnsi="ARIAL"/>
                <w:sz w:val="20"/>
              </w:rPr>
            </w:pPr>
            <w:r>
              <w:rPr>
                <w:rFonts w:ascii="ARIAL" w:hAnsi="ARIAL"/>
                <w:sz w:val="20"/>
              </w:rPr>
              <w:t xml:space="preserve">Our intention is to leverage the best aspects of both organizations. We will preserve the agility and customer relationships in North America, which ChampionX is known for, and we will maximize the benefit from SLBs market reach internationally. A joint integration team from both organizations will focus on this during the course of the next few months leading to closing. </w:t>
            </w:r>
          </w:p>
        </w:tc>
      </w:tr>
    </w:tbl>
    <w:p>
      <w:pPr>
        <w:pStyle w:val="TextBody"/>
        <w:bidi w:val="0"/>
        <w:spacing w:before="240" w:after="0"/>
        <w:jc w:val="left"/>
        <w:rPr>
          <w:rFonts w:ascii="ARIAL" w:hAnsi="ARIAL"/>
          <w:sz w:val="20"/>
        </w:rPr>
      </w:pPr>
      <w:r>
        <w:rPr>
          <w:rFonts w:ascii="ARIAL" w:hAnsi="ARIAL"/>
          <w:sz w:val="20"/>
        </w:rPr>
        <w:t xml:space="preserve">How many ChampionX people will transfer to SLB? </w:t>
      </w:r>
    </w:p>
    <w:p>
      <w:pPr>
        <w:pStyle w:val="TextBody"/>
        <w:bidi w:val="0"/>
        <w:spacing w:before="240" w:after="0"/>
        <w:jc w:val="left"/>
        <w:rPr>
          <w:rFonts w:ascii="ARIAL" w:hAnsi="ARIAL"/>
          <w:sz w:val="20"/>
        </w:rPr>
      </w:pPr>
      <w:r>
        <w:rPr>
          <w:rFonts w:ascii="ARIAL" w:hAnsi="ARIAL"/>
          <w:sz w:val="20"/>
        </w:rPr>
        <w:t xml:space="preserve">All of ChampionXs employees will become SLB employees. </w:t>
      </w:r>
      <w:r>
        <w:br w:type="page"/>
      </w:r>
    </w:p>
    <w:p>
      <w:pPr>
        <w:pStyle w:val="HorizontalLine"/>
        <w:pBdr>
          <w:bottom w:val="double" w:sz="6" w:space="0" w:color="808080"/>
        </w:pBdr>
        <w:bidi w:val="0"/>
        <w:jc w:val="left"/>
        <w:rPr/>
      </w:pPr>
      <w:r>
        <w:rPr/>
      </w:r>
    </w:p>
    <w:p>
      <w:pPr>
        <w:pStyle w:val="TextBody"/>
        <w:bidi w:val="0"/>
        <w:spacing w:before="120" w:after="0"/>
        <w:jc w:val="left"/>
        <w:rPr>
          <w:rFonts w:ascii="ARIAL" w:hAnsi="ARIAL"/>
          <w:sz w:val="20"/>
        </w:rPr>
      </w:pPr>
      <w:r>
        <w:rPr>
          <w:rFonts w:ascii="ARIAL" w:hAnsi="ARIAL"/>
          <w:sz w:val="20"/>
        </w:rPr>
        <w:t xml:space="preserve">How does this transaction impact your previously announced return of capital in 2024 and the return of capital framework you outlined during your investor day of November 2022?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We are confident in the value that this transaction will create, and in our ability to continue generating strong cash flows from our broader portfolio. As a result, we are raising our 2024 target for total return of capital to shareholders from $2.5 billion to $3 billion. The $0.5 billion increase will be in the form of additional share repurchases.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We are also setting our target for returns to shareholders in 2025 at $4 billion.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combined $7 billion of total returns to shareholders targeted over 2024 and 2025 reflects our commitment to maintaining a strong balance sheet and remaining disciplined in our future capital allocation. </w:t>
            </w:r>
          </w:p>
        </w:tc>
      </w:tr>
    </w:tbl>
    <w:p>
      <w:pPr>
        <w:pStyle w:val="TextBody"/>
        <w:bidi w:val="0"/>
        <w:spacing w:before="360" w:after="0"/>
        <w:jc w:val="left"/>
        <w:rPr>
          <w:rFonts w:ascii="ARIAL" w:hAnsi="ARIAL"/>
          <w:sz w:val="20"/>
        </w:rPr>
      </w:pPr>
      <w:r>
        <w:rPr>
          <w:rFonts w:ascii="ARIAL" w:hAnsi="ARIAL"/>
          <w:sz w:val="20"/>
        </w:rPr>
        <w:t xml:space="preserve">Is this transaction accretive or dilutive to SLBs earnings and/or free cash flow?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Considering the synergies and based on consensus estimates for both companies, we expect the transaction to be accretive to free cash flow per share in 2025 and accretive to earnings per share in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This includes certain assumptions regarding the purchase accounting, which can only be finalized upon the closing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Based on these assumptions, we have estimated the annual incremental after-tax depreciation and amortization as a result of fair value adjustments to the net assets of ChampionX to be approximately $0.06 to $0.07 per share. </w:t>
            </w:r>
          </w:p>
        </w:tc>
      </w:tr>
    </w:tbl>
    <w:p>
      <w:pPr>
        <w:pStyle w:val="TextBody"/>
        <w:bidi w:val="0"/>
        <w:spacing w:before="360" w:after="0"/>
        <w:jc w:val="left"/>
        <w:rPr>
          <w:rFonts w:ascii="ARIAL" w:hAnsi="ARIAL"/>
          <w:sz w:val="20"/>
        </w:rPr>
      </w:pPr>
      <w:r>
        <w:rPr>
          <w:rFonts w:ascii="ARIAL" w:hAnsi="ARIAL"/>
          <w:sz w:val="20"/>
        </w:rPr>
        <w:t xml:space="preserve">Why did SLB structure this as an all-stock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all-stock consideration allows ChampionX shareholders to fully participate in the future upside in SLBs stock price, while allowing SLB to maintain a strong balance sheet and flexibility in its future capital allocation. </w:t>
            </w:r>
          </w:p>
        </w:tc>
      </w:tr>
    </w:tbl>
    <w:p>
      <w:pPr>
        <w:pStyle w:val="TextBody"/>
        <w:bidi w:val="0"/>
        <w:spacing w:before="360" w:after="0"/>
        <w:jc w:val="left"/>
        <w:rPr>
          <w:rFonts w:ascii="ARIAL" w:hAnsi="ARIAL"/>
          <w:sz w:val="20"/>
        </w:rPr>
      </w:pPr>
      <w:r>
        <w:rPr>
          <w:rFonts w:ascii="ARIAL" w:hAnsi="ARIAL"/>
          <w:sz w:val="20"/>
        </w:rPr>
        <w:t xml:space="preserve">What are the tax effects of the transaction and what is the expected post-acquisition effective tax rate (ETR) for SLB?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ARIAL" w:hAnsi="ARIAL"/>
                <w:sz w:val="20"/>
              </w:rPr>
            </w:pPr>
            <w:r>
              <w:rPr>
                <w:rFonts w:ascii="ARIAL" w:hAnsi="ARIAL"/>
                <w:sz w:val="20"/>
              </w:rPr>
              <w:t xml:space="preserve">The receipt of stock consideration in the transaction will be a taxable event to ChampionXs shareholders. SLBs U.S. group will form a wholly-owned U.S. subsidiary that will be merged into ChampionX Corporation, with ChampionX Corporation surviving as a wholly-owned subsidiary of SLBs US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We do not expect SLBs ETR to materially change as a result of this transaction. </w:t>
            </w:r>
          </w:p>
        </w:tc>
      </w:tr>
    </w:tbl>
    <w:p>
      <w:pPr>
        <w:pStyle w:val="TextBody"/>
        <w:bidi w:val="0"/>
        <w:spacing w:before="360" w:after="0"/>
        <w:jc w:val="left"/>
        <w:rPr>
          <w:rFonts w:ascii="ARIAL" w:hAnsi="ARIAL"/>
          <w:sz w:val="20"/>
        </w:rPr>
      </w:pPr>
      <w:r>
        <w:rPr>
          <w:rFonts w:ascii="ARIAL" w:hAnsi="ARIAL"/>
          <w:sz w:val="20"/>
        </w:rPr>
        <w:t xml:space="preserve">Forward-Looking Statements </w:t>
      </w:r>
    </w:p>
    <w:p>
      <w:pPr>
        <w:pStyle w:val="TextBody"/>
        <w:bidi w:val="0"/>
        <w:spacing w:before="120" w:after="0"/>
        <w:jc w:val="left"/>
        <w:rPr>
          <w:rFonts w:ascii="ARIAL" w:hAnsi="ARIAL"/>
          <w:sz w:val="20"/>
        </w:rPr>
      </w:pPr>
      <w:r>
        <w:rPr>
          <w:rFonts w:ascii="ARIAL" w:hAnsi="ARIAL"/>
          <w:sz w:val="20"/>
        </w:rPr>
        <w:t xml:space="preserve">This communication contains forward-looking statements within the meaning of the Private Securities Litigation Reform Act of 1995, Section 27A of the Securities Act of 1933, as amended, and Section 21E of the Exchange Act of 1934, as amended.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 </w:t>
      </w:r>
    </w:p>
    <w:p>
      <w:pPr>
        <w:pStyle w:val="TextBody"/>
        <w:bidi w:val="0"/>
        <w:spacing w:before="240" w:after="0"/>
        <w:jc w:val="left"/>
        <w:rPr>
          <w:rFonts w:ascii="ARIAL" w:hAnsi="ARIAL"/>
          <w:sz w:val="20"/>
        </w:rPr>
      </w:pPr>
      <w:r>
        <w:rPr>
          <w:rFonts w:ascii="ARIAL" w:hAnsi="ARIAL"/>
          <w:sz w:val="20"/>
        </w:rPr>
        <w:t xml:space="preserve">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 </w:t>
      </w:r>
    </w:p>
    <w:p>
      <w:pPr>
        <w:pStyle w:val="TextBody"/>
        <w:bidi w:val="0"/>
        <w:spacing w:before="240" w:after="0"/>
        <w:jc w:val="left"/>
        <w:rPr>
          <w:rFonts w:ascii="ARIAL" w:hAnsi="ARIAL"/>
          <w:sz w:val="20"/>
        </w:rPr>
      </w:pPr>
      <w:r>
        <w:rPr>
          <w:rFonts w:ascii="ARIAL" w:hAnsi="ARIAL"/>
          <w:sz w:val="20"/>
        </w:rPr>
        <w:t xml:space="preserve">These risks, as well as other risks related to the proposed transaction, will be included in the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 </w:t>
      </w:r>
    </w:p>
    <w:p>
      <w:pPr>
        <w:pStyle w:val="TextBody"/>
        <w:bidi w:val="0"/>
        <w:spacing w:before="360" w:after="0"/>
        <w:jc w:val="left"/>
        <w:rPr>
          <w:rFonts w:ascii="ARIAL" w:hAnsi="ARIAL"/>
          <w:sz w:val="20"/>
        </w:rPr>
      </w:pPr>
      <w:r>
        <w:rPr>
          <w:rFonts w:ascii="ARIAL" w:hAnsi="ARIAL"/>
          <w:sz w:val="20"/>
        </w:rPr>
        <w:t xml:space="preserve">Additional Information about the Transaction and Where to Find It </w:t>
      </w:r>
    </w:p>
    <w:p>
      <w:pPr>
        <w:pStyle w:val="TextBody"/>
        <w:bidi w:val="0"/>
        <w:spacing w:before="120" w:after="0"/>
        <w:jc w:val="left"/>
        <w:rPr>
          <w:rFonts w:ascii="ARIAL" w:hAnsi="ARIAL"/>
          <w:sz w:val="20"/>
        </w:rPr>
      </w:pPr>
      <w:r>
        <w:rPr>
          <w:rFonts w:ascii="ARIAL" w:hAnsi="ARIAL"/>
          <w:sz w:val="20"/>
        </w:rPr>
        <w:t xml:space="preserve">In connection with the proposed transaction, SLB intends to file with the Securities and Exchange Commission (the SEC) a registration statement on Form S-4 (the Form S-4) that will include a proxy statement of ChampionX and that also constitutes a prospectus of SLB with respect to the shares of SLB to be issued in the proposed transaction (the proxy statement/prospectus).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 </w:t>
      </w:r>
    </w:p>
    <w:p>
      <w:pPr>
        <w:pStyle w:val="TextBody"/>
        <w:bidi w:val="0"/>
        <w:spacing w:before="360" w:after="0"/>
        <w:jc w:val="left"/>
        <w:rPr>
          <w:rFonts w:ascii="ARIAL" w:hAnsi="ARIAL"/>
          <w:sz w:val="20"/>
        </w:rPr>
      </w:pPr>
      <w:r>
        <w:rPr>
          <w:rFonts w:ascii="ARIAL" w:hAnsi="ARIAL"/>
          <w:sz w:val="20"/>
        </w:rPr>
        <w:t xml:space="preserve">Participants in the Solicitation </w:t>
      </w:r>
    </w:p>
    <w:p>
      <w:pPr>
        <w:pStyle w:val="TextBody"/>
        <w:bidi w:val="0"/>
        <w:spacing w:before="120" w:after="0"/>
        <w:jc w:val="left"/>
        <w:rPr>
          <w:rFonts w:ascii="ARIAL" w:hAnsi="ARIAL"/>
          <w:sz w:val="20"/>
        </w:rPr>
      </w:pPr>
      <w:r>
        <w:rPr>
          <w:rFonts w:ascii="ARIAL" w:hAnsi="ARIAL"/>
          <w:sz w:val="20"/>
        </w:rPr>
        <w:t xml:space="preserve">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2024 Annual General Meeting of Stockholders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(https://www.sec.gov/ix?doc=/Archives/edgar/data/0000087347/000130817924000033/lslb2024_def14a.htm), which was filed with the SEC on February 22, 2024, including under the sections entitled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 (https://www.sec.gov/ix?doc=/Archives/edgar/data/0000087347/000095017024006884/slb-20231231.htm),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2023 Annual Meeting of Stockholders (https://www.sec.gov/ix?doc=/Archives/edgar/data/1723089/000172308923000073/championx-20230327.htm), which was filed with the SEC on March 29, 2023, including under the sections entitled Executive Compensation Highlights, Director Compensation, 2022 Director Compensation Table, Security Ownership of Certain Beneficial Owners and Management, Compensation Discussion and Analysis, Key Compensation Overview for 2022, Summary of 2022 Compensation for Named Executive Officers,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the fiscal year ended December 31, 2023 (https://www.sec.gov/ix?doc=/Archives/edgar/data/1723089/000172308924000011/championx-20231231.htm),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3281</Words>
  <Characters>17797</Characters>
  <CharactersWithSpaces>20859</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