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Rennick Gavin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03/07/2025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680"/>
              <w:spacing w:after="0"/>
              <w:rPr>
                <w:sz w:val="20"/>
                <w:szCs w:val="20"/>
                <w:color w:val="auto"/>
              </w:rPr>
            </w:pPr>
            <w:r>
              <w:rPr>
                <w:rFonts w:ascii="Times New Roman" w:cs="Times New Roman" w:eastAsia="Times New Roman" w:hAnsi="Times New Roman"/>
                <w:sz w:val="17"/>
                <w:szCs w:val="17"/>
                <w:color w:val="0000FF"/>
              </w:rPr>
              <w:t>President New Energy</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7,115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60,699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03/07/2025</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2,800</w:t>
            </w:r>
          </w:p>
        </w:tc>
        <w:tc>
          <w:tcPr>
            <w:tcW w:w="42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40.87</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57,899</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19, 2022. Vesting of the PSUs was based on three-year Company performance relative to select key competitors. Most of these competitors had not reported their 2024 audited financial results when the Company's compensation committee met in January 2025 to certify performance under the PSUs. As a result, the Company's compensation committee approved the issuance of 80% of the shares that the committee determined had been earned according to the information available to the committee at the time. As of March 7, 2025, all such competitors had reported their 2024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03/11/2025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67983"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2025-03-11T16:25:41Z</dcterms:created>
  <dcterms:modified xsi:type="dcterms:W3CDTF">2025-03-11T16:25:41Z</dcterms:modified>
</cp:coreProperties>
</file>