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SCHEDULE 14A</w:t>
      </w:r>
    </w:p>
    <w:p>
      <w:pPr>
        <w:spacing w:after="0" w:line="104"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EXCHANGE ACT OF 1934</w:t>
      </w:r>
    </w:p>
    <w:p>
      <w:pPr>
        <w:spacing w:after="0" w:line="84"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by a Party other than the Registrant o</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940" w:hanging="247"/>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sz w:val="20"/>
          <w:szCs w:val="20"/>
          <w:color w:val="auto"/>
        </w:rPr>
      </w:pPr>
    </w:p>
    <w:p>
      <w:pPr>
        <w:ind w:left="880" w:hanging="187"/>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7" w:lineRule="exact"/>
        <w:rPr>
          <w:rFonts w:ascii="Arial" w:cs="Arial" w:eastAsia="Arial" w:hAnsi="Arial"/>
          <w:sz w:val="18"/>
          <w:szCs w:val="18"/>
          <w:b w:val="1"/>
          <w:bCs w:val="1"/>
          <w:color w:val="auto"/>
        </w:rPr>
      </w:pPr>
    </w:p>
    <w:p>
      <w:pPr>
        <w:ind w:left="880" w:hanging="18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880" w:hanging="18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880" w:hanging="18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2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36"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1000" w:hanging="307"/>
        <w:spacing w:after="0"/>
        <w:tabs>
          <w:tab w:leader="none" w:pos="10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1000" w:hanging="30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30"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480" w:right="40" w:hanging="477"/>
        <w:spacing w:after="0" w:line="277"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1000" w:hanging="30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1000" w:hanging="307"/>
        <w:spacing w:after="0" w:line="264"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480" w:hanging="47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-3166110</wp:posOffset>
            </wp:positionV>
            <wp:extent cx="6311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-2857500</wp:posOffset>
            </wp:positionV>
            <wp:extent cx="6311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-2419985</wp:posOffset>
            </wp:positionV>
            <wp:extent cx="6311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-2119630</wp:posOffset>
            </wp:positionV>
            <wp:extent cx="6311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-1811020</wp:posOffset>
            </wp:positionV>
            <wp:extent cx="6311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-816610</wp:posOffset>
            </wp:positionV>
            <wp:extent cx="6311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-516255</wp:posOffset>
            </wp:positionV>
            <wp:extent cx="6311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-207645</wp:posOffset>
            </wp:positionV>
            <wp:extent cx="6311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92075</wp:posOffset>
            </wp:positionV>
            <wp:extent cx="6311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213995</wp:posOffset>
            </wp:positionV>
            <wp:extent cx="147510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51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42, rue Saint-Dominique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75007 Paris, France</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5599 San Felipe, 17th Floor</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Houston, Texas 77056</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Parkstraat 83</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2514 JG The Hague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Netherlands</w:t>
      </w:r>
    </w:p>
    <w:p>
      <w:pPr>
        <w:spacing w:after="0" w:line="11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NOTICE OF ANNUAL GENERAL MEETING OF STOCKHOLDERS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To Be Held April 6, 2011</w:t>
      </w:r>
    </w:p>
    <w:p>
      <w:pPr>
        <w:spacing w:after="0" w:line="62" w:lineRule="exact"/>
        <w:rPr>
          <w:sz w:val="20"/>
          <w:szCs w:val="20"/>
          <w:color w:val="auto"/>
        </w:rPr>
      </w:pPr>
    </w:p>
    <w:p>
      <w:pPr>
        <w:ind w:left="9460"/>
        <w:spacing w:after="0"/>
        <w:rPr>
          <w:sz w:val="20"/>
          <w:szCs w:val="20"/>
          <w:color w:val="auto"/>
        </w:rPr>
      </w:pPr>
      <w:r>
        <w:rPr>
          <w:rFonts w:ascii="Arial" w:cs="Arial" w:eastAsia="Arial" w:hAnsi="Arial"/>
          <w:sz w:val="17"/>
          <w:szCs w:val="17"/>
          <w:color w:val="auto"/>
        </w:rPr>
        <w:t>March [ ], 2011</w:t>
      </w:r>
    </w:p>
    <w:p>
      <w:pPr>
        <w:spacing w:after="0" w:line="142"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color w:val="auto"/>
        </w:rPr>
        <w:t>The 2011 Annual General Meeting of Stockholders of Schlumberger Limited (Schlumberger N.V.) will be held at the Avila Beach Hotel, Penstraat 130, Willemstad, Curaçao, on Wednesday, April 6, 2011 at 10:30 a.m., Curaçao time, for the following purposes:</w:t>
      </w:r>
    </w:p>
    <w:p>
      <w:pPr>
        <w:spacing w:after="0" w:line="29" w:lineRule="exact"/>
        <w:rPr>
          <w:sz w:val="20"/>
          <w:szCs w:val="20"/>
          <w:color w:val="auto"/>
        </w:rPr>
      </w:pPr>
    </w:p>
    <w:p>
      <w:pPr>
        <w:ind w:left="1200" w:hanging="507"/>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14 directors named in this proxy statement.</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advisory resolution on executive compensation.</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conduct an advisory vote on the frequency of future advisory votes on executive compensation.</w:t>
      </w:r>
    </w:p>
    <w:p>
      <w:pPr>
        <w:spacing w:after="0" w:line="63" w:lineRule="exact"/>
        <w:rPr>
          <w:rFonts w:ascii="Arial" w:cs="Arial" w:eastAsia="Arial" w:hAnsi="Arial"/>
          <w:sz w:val="18"/>
          <w:szCs w:val="18"/>
          <w:color w:val="auto"/>
        </w:rPr>
      </w:pPr>
    </w:p>
    <w:p>
      <w:pPr>
        <w:ind w:left="1200" w:hanging="507"/>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an amendment to the Company’s Articles of Incorporation to increase the authorized common share capital.</w:t>
      </w:r>
    </w:p>
    <w:p>
      <w:pPr>
        <w:spacing w:after="0" w:line="74" w:lineRule="exact"/>
        <w:rPr>
          <w:rFonts w:ascii="Arial" w:cs="Arial" w:eastAsia="Arial" w:hAnsi="Arial"/>
          <w:sz w:val="17"/>
          <w:szCs w:val="17"/>
          <w:color w:val="auto"/>
        </w:rPr>
      </w:pPr>
    </w:p>
    <w:p>
      <w:pPr>
        <w:ind w:left="1200" w:right="180" w:hanging="507"/>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amendments to the Company’s Articles of Incorporation to clarify the voting standard in contested director elections and to make certain other changes.</w:t>
      </w:r>
    </w:p>
    <w:p>
      <w:pPr>
        <w:spacing w:after="0" w:line="8" w:lineRule="exact"/>
        <w:rPr>
          <w:rFonts w:ascii="Arial" w:cs="Arial" w:eastAsia="Arial" w:hAnsi="Arial"/>
          <w:sz w:val="18"/>
          <w:szCs w:val="18"/>
          <w:color w:val="auto"/>
        </w:rPr>
      </w:pPr>
    </w:p>
    <w:p>
      <w:pPr>
        <w:ind w:left="1200" w:right="60" w:hanging="507"/>
        <w:spacing w:after="0" w:line="305"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report on the course of business during the year ended December 31, 2010, to approve the Company’s Consolidated Balance Sheet as at December 31, 2010, its Consolidated Statement of Income for the year ended December 31, 2010, and the declarations of dividends by the Board of Directors in 2010 as reflected in the Company’s 2010 Annual Report to Stockholders.</w:t>
      </w:r>
    </w:p>
    <w:p>
      <w:pPr>
        <w:ind w:left="1200" w:right="340" w:hanging="507"/>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2011.</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Action will also be taken on such other matters as may properly be brought before the meeting.</w:t>
      </w:r>
    </w:p>
    <w:p>
      <w:pPr>
        <w:spacing w:after="0" w:line="131"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The close of business on February 16, 2011 has been fixed as the record date for the meeting. All holders of common stock of record at the close of business on that date are entitled to vote at the meeting.</w:t>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129476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LEXANDER</w:t>
      </w:r>
      <w:r>
        <w:rPr>
          <w:rFonts w:ascii="Arial" w:cs="Arial" w:eastAsia="Arial" w:hAnsi="Arial"/>
          <w:sz w:val="18"/>
          <w:szCs w:val="18"/>
          <w:color w:val="auto"/>
        </w:rPr>
        <w:t xml:space="preserve"> C. J</w:t>
      </w:r>
      <w:r>
        <w:rPr>
          <w:rFonts w:ascii="Arial" w:cs="Arial" w:eastAsia="Arial" w:hAnsi="Arial"/>
          <w:sz w:val="12"/>
          <w:szCs w:val="12"/>
          <w:color w:val="auto"/>
        </w:rPr>
        <w:t>UDEN</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Secretary</w:t>
      </w:r>
    </w:p>
    <w:p>
      <w:pPr>
        <w:spacing w:after="0" w:line="58" w:lineRule="exact"/>
        <w:rPr>
          <w:sz w:val="20"/>
          <w:szCs w:val="20"/>
          <w:color w:val="auto"/>
        </w:rPr>
      </w:pPr>
    </w:p>
    <w:p>
      <w:pPr>
        <w:ind w:left="700" w:right="220"/>
        <w:spacing w:after="0" w:line="311" w:lineRule="auto"/>
        <w:rPr>
          <w:sz w:val="20"/>
          <w:szCs w:val="20"/>
          <w:color w:val="auto"/>
        </w:rPr>
      </w:pPr>
      <w:r>
        <w:rPr>
          <w:rFonts w:ascii="Arial" w:cs="Arial" w:eastAsia="Arial" w:hAnsi="Arial"/>
          <w:sz w:val="16"/>
          <w:szCs w:val="16"/>
          <w:b w:val="1"/>
          <w:bCs w:val="1"/>
          <w:color w:val="auto"/>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1, 2, 3, 4 or 5 without your instructions.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Stockholders to Be Held on April 6, 2011:</w:t>
      </w:r>
    </w:p>
    <w:p>
      <w:pPr>
        <w:spacing w:after="0" w:line="58" w:lineRule="exact"/>
        <w:rPr>
          <w:sz w:val="20"/>
          <w:szCs w:val="20"/>
          <w:color w:val="auto"/>
        </w:rPr>
      </w:pPr>
    </w:p>
    <w:p>
      <w:pPr>
        <w:jc w:val="both"/>
        <w:ind w:left="700" w:right="140"/>
        <w:spacing w:after="0" w:line="347" w:lineRule="auto"/>
        <w:rPr>
          <w:sz w:val="20"/>
          <w:szCs w:val="20"/>
          <w:color w:val="auto"/>
        </w:rPr>
      </w:pPr>
      <w:r>
        <w:rPr>
          <w:rFonts w:ascii="Arial" w:cs="Arial" w:eastAsia="Arial" w:hAnsi="Arial"/>
          <w:sz w:val="16"/>
          <w:szCs w:val="16"/>
          <w:b w:val="1"/>
          <w:bCs w:val="1"/>
          <w:color w:val="auto"/>
        </w:rPr>
        <w:t>This proxy statement, along with the Company’s Annual Report on Form 10-K for the fiscal year ended December 31, 2010 and the 2010 Annual Report to Stockholders, are available free of charge on the Company’s website at http://investorcenter.slb.com.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1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419"/>
        </w:trPr>
        <w:tc>
          <w:tcPr>
            <w:tcW w:w="9500" w:type="dxa"/>
            <w:vAlign w:val="bottom"/>
            <w:gridSpan w:val="4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PROXY STATEMENT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General</w:t>
              </w:r>
            </w:hyperlink>
          </w:p>
        </w:tc>
        <w:tc>
          <w:tcPr>
            <w:tcW w:w="900" w:type="dxa"/>
            <w:vAlign w:val="bottom"/>
            <w:tcBorders>
              <w:top w:val="single" w:sz="8" w:color="0000EE"/>
            </w:tcBorders>
            <w:gridSpan w:val="4"/>
          </w:tcPr>
          <w:p>
            <w:pPr>
              <w:spacing w:after="0"/>
              <w:rPr>
                <w:sz w:val="17"/>
                <w:szCs w:val="17"/>
                <w:color w:val="auto"/>
              </w:rPr>
            </w:pPr>
          </w:p>
        </w:tc>
        <w:tc>
          <w:tcPr>
            <w:tcW w:w="7820" w:type="dxa"/>
            <w:vAlign w:val="bottom"/>
            <w:gridSpan w:val="3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Items to be Voted on at the Annual Meeting</w:t>
              </w:r>
            </w:hyperlink>
          </w:p>
        </w:tc>
        <w:tc>
          <w:tcPr>
            <w:tcW w:w="614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Proxies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Voting Procedures</w:t>
              </w:r>
            </w:hyperlink>
          </w:p>
        </w:tc>
        <w:tc>
          <w:tcPr>
            <w:tcW w:w="7960" w:type="dxa"/>
            <w:vAlign w:val="bottom"/>
            <w:gridSpan w:val="3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ITEM 1. ELECTION OF DIRECTORS</w:t>
              </w:r>
            </w:hyperlink>
          </w:p>
        </w:tc>
        <w:tc>
          <w:tcPr>
            <w:tcW w:w="662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Majority Voting for Directors</w:t>
              </w:r>
            </w:hyperlink>
          </w:p>
        </w:tc>
        <w:tc>
          <w:tcPr>
            <w:tcW w:w="716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Director Independence</w:t>
              </w:r>
            </w:hyperlink>
          </w:p>
        </w:tc>
        <w:tc>
          <w:tcPr>
            <w:tcW w:w="7640" w:type="dxa"/>
            <w:vAlign w:val="bottom"/>
            <w:gridSpan w:val="3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Board Leadership Structure; Independent Lead Director</w:t>
              </w:r>
            </w:hyperlink>
          </w:p>
        </w:tc>
        <w:tc>
          <w:tcPr>
            <w:tcW w:w="526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The Board’s Role in Risk Oversight</w:t>
              </w:r>
            </w:hyperlink>
          </w:p>
        </w:tc>
        <w:tc>
          <w:tcPr>
            <w:tcW w:w="670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Meetings of the Board of Directors and its Committees</w:t>
              </w:r>
            </w:hyperlink>
          </w:p>
        </w:tc>
        <w:tc>
          <w:tcPr>
            <w:tcW w:w="532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Committees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Communication with the Board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Attendance at Annual General Meeting</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Policies and Procedures for Approval of Related Person Transactions</w:t>
              </w:r>
            </w:hyperlink>
          </w:p>
        </w:tc>
        <w:tc>
          <w:tcPr>
            <w:tcW w:w="43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Corporate Governance Guidelines and Code of Ethics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ADVISORY RESOLUTION ON 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340" w:type="dxa"/>
            <w:vAlign w:val="bottom"/>
            <w:tcBorders>
              <w:bottom w:val="single" w:sz="8" w:color="0000EE"/>
            </w:tcBorders>
            <w:gridSpan w:val="42"/>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ITEM 3. ADVISORY VOTE ON THE FREQUENCY OF FUTURE ADVISORY VOTES ON EXECUTIVE COMPENSATION</w:t>
              </w:r>
            </w:hyperlink>
          </w:p>
        </w:tc>
        <w:tc>
          <w:tcPr>
            <w:tcW w:w="1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86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COMPENSATION DISCUSSION AND ANALYSIS</w:t>
              </w:r>
            </w:hyperlink>
          </w:p>
        </w:tc>
        <w:tc>
          <w:tcPr>
            <w:tcW w:w="564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COMPENSATION COMMITTEE REPORT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 TABLES AND ACCOMPANYING NARRATIVE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1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DIRECTOR COMPENSATION IN FISCAL YEAR 2010</w:t>
              </w:r>
            </w:hyperlink>
          </w:p>
        </w:tc>
        <w:tc>
          <w:tcPr>
            <w:tcW w:w="33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Director Stock Ownership Guidelines</w:t>
              </w:r>
            </w:hyperlink>
          </w:p>
        </w:tc>
        <w:tc>
          <w:tcPr>
            <w:tcW w:w="534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EQUITY COMPENSATION PLAN INFORMATION</w:t>
              </w:r>
            </w:hyperlink>
          </w:p>
        </w:tc>
        <w:tc>
          <w:tcPr>
            <w:tcW w:w="56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4. ADOPTION OF AMENDMENT TO SCHLUMBERGER’S ARTICLES OF INCORPORATION TO INCREASE</w:t>
              </w:r>
            </w:hyperlink>
          </w:p>
        </w:tc>
        <w:tc>
          <w:tcPr>
            <w:tcW w:w="36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5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AUTHORIZED COMMON SHARE CAPITAL</w:t>
              </w:r>
            </w:hyperlink>
          </w:p>
        </w:tc>
        <w:tc>
          <w:tcPr>
            <w:tcW w:w="5200" w:type="dxa"/>
            <w:vAlign w:val="bottom"/>
            <w:tcBorders>
              <w:top w:val="single" w:sz="8" w:color="0000EE"/>
            </w:tcBorders>
            <w:gridSpan w:val="16"/>
          </w:tcPr>
          <w:p>
            <w:pPr>
              <w:spacing w:after="0"/>
              <w:rPr>
                <w:sz w:val="17"/>
                <w:szCs w:val="17"/>
                <w:color w:val="auto"/>
              </w:rPr>
            </w:pPr>
          </w:p>
        </w:tc>
        <w:tc>
          <w:tcPr>
            <w:tcW w:w="6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500" w:type="dxa"/>
            <w:vAlign w:val="bottom"/>
            <w:gridSpan w:val="43"/>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ITEM 5. ADOPTION OF AMENDMENTS TO SCHLUMBERGER’S ARTICLES OF INCORPORATION TO CLARIFY THE</w:t>
              </w:r>
            </w:hyperlink>
          </w:p>
        </w:tc>
        <w:tc>
          <w:tcPr>
            <w:tcW w:w="36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VOTING STANDARD IN CONTESTED DIRECTOR ELECTIONS AND TO MAKE CERTAIN OTHER CHANGES</w:t>
              </w:r>
            </w:hyperlink>
          </w:p>
        </w:tc>
        <w:tc>
          <w:tcPr>
            <w:tcW w:w="2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18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6.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220" w:type="dxa"/>
            <w:vAlign w:val="bottom"/>
            <w:gridSpan w:val="5"/>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7. APPOINTMENT OF INDEPENDENT REGISTERED PUBLIC ACCOUNTING FIRM</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Fees Paid to PricewaterhouseCoopers LLP</w:t>
              </w:r>
            </w:hyperlink>
          </w:p>
        </w:tc>
        <w:tc>
          <w:tcPr>
            <w:tcW w:w="24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Audit Committee’s Pre-Approval Policy and Procedures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00" w:type="dxa"/>
            <w:vAlign w:val="bottom"/>
            <w:gridSpan w:val="2"/>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AUDIT COMMITTEE REPORT</w:t>
              </w:r>
            </w:hyperlink>
          </w:p>
        </w:tc>
        <w:tc>
          <w:tcPr>
            <w:tcW w:w="7100" w:type="dxa"/>
            <w:vAlign w:val="bottom"/>
            <w:gridSpan w:val="2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9500" w:type="dxa"/>
            <w:vAlign w:val="bottom"/>
            <w:gridSpan w:val="4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STOCK OWNERSHIP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Security Ownership by Certain Beneficial Owners</w:t>
              </w:r>
            </w:hyperlink>
          </w:p>
        </w:tc>
        <w:tc>
          <w:tcPr>
            <w:tcW w:w="56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Security Ownership by Management</w:t>
              </w:r>
            </w:hyperlink>
          </w:p>
        </w:tc>
        <w:tc>
          <w:tcPr>
            <w:tcW w:w="6640" w:type="dxa"/>
            <w:vAlign w:val="bottom"/>
            <w:gridSpan w:val="2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Section 16(a) Beneficial Ownership Reporting Compliance</w:t>
              </w:r>
            </w:hyperlink>
          </w:p>
        </w:tc>
        <w:tc>
          <w:tcPr>
            <w:tcW w:w="50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OTHER INFORMATION</w:t>
              </w:r>
            </w:hyperlink>
          </w:p>
        </w:tc>
        <w:tc>
          <w:tcPr>
            <w:tcW w:w="7620" w:type="dxa"/>
            <w:vAlign w:val="bottom"/>
            <w:gridSpan w:val="3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Stockholder Proposals for 2012 Annual General Meeting</w:t>
              </w:r>
            </w:hyperlink>
          </w:p>
        </w:tc>
        <w:tc>
          <w:tcPr>
            <w:tcW w:w="51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Other Matters</w:t>
              </w:r>
            </w:hyperlink>
          </w:p>
        </w:tc>
        <w:tc>
          <w:tcPr>
            <w:tcW w:w="8280" w:type="dxa"/>
            <w:vAlign w:val="bottom"/>
            <w:gridSpan w:val="3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72"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PROXY STATEMENT</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 ], 2011</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its 2011 annual general meeting of stockholders. The approximate mailing date of this proxy statement is March [ ], 2011.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99"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Schlumberger 2010 Annual Report to Stockholders is included in this package as a separate document. The Company’s Consolidated Balance Sheet as at December 31, 2010, its Consolidated Statement of Income for the year ended December 31, 2010 and the supplemental financial information with respect to dividends included in the Annual Report are incorporated by reference as part of this proxy soliciting material.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Items to be Voted on at the Annual Meeting</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 the 2011 annual general meeting, the agenda includes the following items: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8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Agenda Item</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0" w:type="dxa"/>
            <w:vAlign w:val="bottom"/>
          </w:tcPr>
          <w:p>
            <w:pPr>
              <w:spacing w:after="0"/>
              <w:rPr>
                <w:sz w:val="1"/>
                <w:szCs w:val="1"/>
                <w:color w:val="auto"/>
              </w:rPr>
            </w:pPr>
          </w:p>
        </w:tc>
      </w:tr>
      <w:tr>
        <w:trPr>
          <w:trHeight w:val="171"/>
        </w:trPr>
        <w:tc>
          <w:tcPr>
            <w:tcW w:w="85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40" w:type="dxa"/>
            <w:vAlign w:val="bottom"/>
            <w:gridSpan w:val="2"/>
          </w:tcPr>
          <w:p>
            <w:pPr>
              <w:spacing w:after="0"/>
              <w:rPr>
                <w:sz w:val="20"/>
                <w:szCs w:val="20"/>
                <w:color w:val="auto"/>
              </w:rPr>
            </w:pPr>
            <w:r>
              <w:rPr>
                <w:rFonts w:ascii="Arial" w:cs="Arial" w:eastAsia="Arial" w:hAnsi="Arial"/>
                <w:sz w:val="18"/>
                <w:szCs w:val="18"/>
                <w:color w:val="auto"/>
              </w:rPr>
              <w:t>•  Election of directors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  Advisory resolution on executive compensation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  Advisory vote on frequency of future advisory votes on executive compensation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TWO YEARS</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  Amendment to the Company’s Articles of Incorporation to increase the authorized common share capital</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20"/>
        </w:trPr>
        <w:tc>
          <w:tcPr>
            <w:tcW w:w="8540" w:type="dxa"/>
            <w:vAlign w:val="bottom"/>
            <w:gridSpan w:val="2"/>
          </w:tcPr>
          <w:p>
            <w:pPr>
              <w:spacing w:after="0"/>
              <w:rPr>
                <w:sz w:val="20"/>
                <w:szCs w:val="20"/>
                <w:color w:val="auto"/>
              </w:rPr>
            </w:pPr>
            <w:r>
              <w:rPr>
                <w:rFonts w:ascii="Arial" w:cs="Arial" w:eastAsia="Arial" w:hAnsi="Arial"/>
                <w:sz w:val="18"/>
                <w:szCs w:val="18"/>
                <w:color w:val="auto"/>
                <w:w w:val="99"/>
              </w:rPr>
              <w:t>•  Amendments to the Company’s Articles of Incorporation to clarify the voting standard in contested director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elections and to make certain other changes</w:t>
            </w: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212"/>
        </w:trPr>
        <w:tc>
          <w:tcPr>
            <w:tcW w:w="8540" w:type="dxa"/>
            <w:vAlign w:val="bottom"/>
            <w:gridSpan w:val="2"/>
          </w:tcPr>
          <w:p>
            <w:pPr>
              <w:spacing w:after="0"/>
              <w:rPr>
                <w:sz w:val="20"/>
                <w:szCs w:val="20"/>
                <w:color w:val="auto"/>
              </w:rPr>
            </w:pPr>
            <w:r>
              <w:rPr>
                <w:rFonts w:ascii="Arial" w:cs="Arial" w:eastAsia="Arial" w:hAnsi="Arial"/>
                <w:sz w:val="18"/>
                <w:szCs w:val="18"/>
                <w:color w:val="auto"/>
              </w:rPr>
              <w:t>•  Approval of the Company’s Financial Statements</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40" w:type="dxa"/>
            <w:vAlign w:val="bottom"/>
            <w:gridSpan w:val="2"/>
          </w:tcPr>
          <w:p>
            <w:pPr>
              <w:spacing w:after="0"/>
              <w:rPr>
                <w:sz w:val="20"/>
                <w:szCs w:val="20"/>
                <w:color w:val="auto"/>
              </w:rPr>
            </w:pPr>
            <w:r>
              <w:rPr>
                <w:rFonts w:ascii="Arial" w:cs="Arial" w:eastAsia="Arial" w:hAnsi="Arial"/>
                <w:sz w:val="18"/>
                <w:szCs w:val="18"/>
                <w:color w:val="auto"/>
              </w:rPr>
              <w:t>•  Appointment of PricewaterhouseCoopers LLP as independent auditor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0" w:type="dxa"/>
            <w:vAlign w:val="bottom"/>
          </w:tcPr>
          <w:p>
            <w:pPr>
              <w:spacing w:after="0"/>
              <w:rPr>
                <w:sz w:val="1"/>
                <w:szCs w:val="1"/>
                <w:color w:val="auto"/>
              </w:rPr>
            </w:pPr>
          </w:p>
        </w:tc>
      </w:tr>
      <w:tr>
        <w:trPr>
          <w:trHeight w:val="44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Proxies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Each stockholder of record at the close of business on the record date, February 16, 2011, is entitled to one vote for each director</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nominee and one vote for each of the other proposals to be voted on with respect to each share registered in the stockholder’s name. 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stockholder of record is a person or entity who held shares on that date </w:t>
      </w:r>
      <w:r>
        <w:rPr>
          <w:rFonts w:ascii="Arial" w:cs="Arial" w:eastAsia="Arial" w:hAnsi="Arial"/>
          <w:sz w:val="17"/>
          <w:szCs w:val="17"/>
          <w:i w:val="1"/>
          <w:iCs w:val="1"/>
          <w:color w:val="auto"/>
        </w:rPr>
        <w:t>registered</w:t>
      </w:r>
      <w:r>
        <w:rPr>
          <w:rFonts w:ascii="Arial" w:cs="Arial" w:eastAsia="Arial" w:hAnsi="Arial"/>
          <w:sz w:val="17"/>
          <w:szCs w:val="17"/>
          <w:color w:val="auto"/>
        </w:rPr>
        <w:t xml:space="preserve"> in its name on the records of Computershare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Trust Company, N.A. (“Computershare”), Schlumberger’s stock transfer agent. Persons who held shares on the record date through a</w:t>
      </w:r>
    </w:p>
    <w:p>
      <w:pPr>
        <w:spacing w:after="0" w:line="32" w:lineRule="exact"/>
        <w:rPr>
          <w:sz w:val="20"/>
          <w:szCs w:val="20"/>
          <w:color w:val="auto"/>
        </w:rPr>
      </w:pPr>
    </w:p>
    <w:p>
      <w:pPr>
        <w:ind w:left="700" w:right="220"/>
        <w:spacing w:after="0" w:line="261" w:lineRule="auto"/>
        <w:rPr>
          <w:sz w:val="20"/>
          <w:szCs w:val="20"/>
          <w:color w:val="auto"/>
        </w:rPr>
      </w:pPr>
      <w:r>
        <w:rPr>
          <w:rFonts w:ascii="Arial" w:cs="Arial" w:eastAsia="Arial" w:hAnsi="Arial"/>
          <w:sz w:val="18"/>
          <w:szCs w:val="18"/>
          <w:color w:val="auto"/>
        </w:rPr>
        <w:t xml:space="preserve">broker, bank or other nominee are considered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On February 16, 2011, there were [ ] shares of common stock of Schlumberger outstanding and entitled to vote, excluding [ ] shares held in treasury.</w:t>
      </w:r>
    </w:p>
    <w:p>
      <w:pPr>
        <w:spacing w:after="0" w:line="89"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Shares cannot be voted at the meeting unless the owner of record is present in person or is represented by proxy. Schlumberger is incorporated in Curaçao and, as provided by Curaçao law, meetings of stockholders are held in Curaçao. Because many stockholders cannot personally attend the meeting, it is necessary that a large number be represented by proxy.</w:t>
      </w:r>
    </w:p>
    <w:p>
      <w:pPr>
        <w:spacing w:after="0" w:line="7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Fifty percent of the outstanding shares, exclusive of shares held in treasury, must be present in person or by proxy to constitute a quorum for the taking of any action at the meeting. Abstentions and proxies submitted by brokers that do not indicate a vote because they do not have discretionary voting authority and have not received instructions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 xml:space="preserve">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certain proposals without specific instructions from the beneficial owner. Importantly, NYSE rules expressly prohibit brokers holding shares in “street name” for their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holder clients from voting on behalf of the clients in uncontested director elections and on certain matters relating to executive compensation, unless the brokers have received specific voting instructions from those clients.</w:t>
      </w:r>
    </w:p>
    <w:p>
      <w:pPr>
        <w:spacing w:after="0" w:line="84"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 xml:space="preserve">Under NYSE rules, brokers will have discretion to vote only on Items 6 and 7. Brokers cannot vote on Item 1 (the election of directors), Item 2 (advisory resolution on executive compensation), Item 3 (advisory vote on the frequency of future advisory votes on executive compensation), Item 4 (amendment to the Articles of Incorporation to increase the authorized common share capital) or Item 5 (amendments to the Articles of Incorporation to clarify the voting standard in contested director elections and to make certain other changes) without instructions from the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owners. If you do not instruct your broker how to vote on the election of directors, the two advisory votes on executive compensation, or the two proposals to amend the Articles of Incorporation, your broker will </w:t>
      </w:r>
      <w:r>
        <w:rPr>
          <w:rFonts w:ascii="Arial" w:cs="Arial" w:eastAsia="Arial" w:hAnsi="Arial"/>
          <w:sz w:val="17"/>
          <w:szCs w:val="17"/>
          <w:b w:val="1"/>
          <w:bCs w:val="1"/>
          <w:color w:val="auto"/>
        </w:rPr>
        <w:t>not</w:t>
      </w:r>
      <w:r>
        <w:rPr>
          <w:rFonts w:ascii="Arial" w:cs="Arial" w:eastAsia="Arial" w:hAnsi="Arial"/>
          <w:sz w:val="17"/>
          <w:szCs w:val="17"/>
          <w:color w:val="auto"/>
        </w:rPr>
        <w:t xml:space="preserve"> be able to vote for you on those matters. Abstentions and broker non-votes will not affect the outcome of the vote on the election of directors or on any of the proposals, except for Items 4 and 5 (the proposals to amend the Articles of Incorporation), with respect to which an abstention or broker non-vote has the same effect as a vote against the proposal.</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Procedures</w:t>
      </w:r>
    </w:p>
    <w:p>
      <w:pPr>
        <w:spacing w:after="0" w:line="243"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 by:</w:t>
      </w:r>
    </w:p>
    <w:p>
      <w:pPr>
        <w:spacing w:after="0" w:line="76" w:lineRule="exact"/>
        <w:rPr>
          <w:sz w:val="20"/>
          <w:szCs w:val="20"/>
          <w:color w:val="auto"/>
        </w:rPr>
      </w:pPr>
    </w:p>
    <w:p>
      <w:pPr>
        <w:ind w:left="1400" w:hanging="302"/>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http://www.proxyvote.com;</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and mailing their proxy card.</w:t>
      </w:r>
    </w:p>
    <w:p>
      <w:pPr>
        <w:spacing w:after="0" w:line="131"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5, 2011. The internet and telephone voting procedures have been designed to authenticate stockholders and to allow you to vote your shares and to confirm that your instructions have been properly recorded.</w:t>
      </w:r>
    </w:p>
    <w:p>
      <w:pPr>
        <w:spacing w:after="0" w:line="87"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6"/>
          <w:szCs w:val="16"/>
          <w:color w:val="auto"/>
        </w:rPr>
        <w:t>A number of banks and brokerage firms participate in programs that also permit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5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You can revoke your proxy at any time before it is exercised by timely delivery of a properly executed, later-dated proxy (including an internet or telephone vote) or by voting by ballot at the meeting.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proxy card but do not direct how to vote on each item, the persons named as proxies will vote as the Board recommends on each proposal.</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ITEM 1. ELECTION OF DIRECTORS</w:t>
      </w:r>
    </w:p>
    <w:p>
      <w:pPr>
        <w:spacing w:after="0" w:line="243" w:lineRule="exact"/>
        <w:rPr>
          <w:sz w:val="20"/>
          <w:szCs w:val="20"/>
          <w:color w:val="auto"/>
        </w:rPr>
      </w:pPr>
    </w:p>
    <w:p>
      <w:pPr>
        <w:ind w:left="700" w:right="60" w:firstLine="397"/>
        <w:spacing w:after="0" w:line="284" w:lineRule="auto"/>
        <w:rPr>
          <w:sz w:val="20"/>
          <w:szCs w:val="20"/>
          <w:color w:val="auto"/>
        </w:rPr>
      </w:pPr>
      <w:r>
        <w:rPr>
          <w:rFonts w:ascii="Arial" w:cs="Arial" w:eastAsia="Arial" w:hAnsi="Arial"/>
          <w:sz w:val="16"/>
          <w:szCs w:val="16"/>
          <w:color w:val="auto"/>
        </w:rPr>
        <w:t>All of our directors are elected annually at our annual general meeting of stockholders. The stockholders are requested to elect a Board of Directors of 14 members,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2010 annual general meeting, except for (a) Ms. Moler, who was appointed by the Board in September 2010 to serve as a director upon the recommendation of the Nominating and Governance Committee, and (b) Mr. Kibsgaard and Ms. Olayan, who are not currently directors. Our former director, Jamie Gorelick, resigned from the Board in June 2010, and</w:t>
      </w:r>
    </w:p>
    <w:p>
      <w:pPr>
        <w:spacing w:after="0" w:line="5"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Ms. Moler was appointed to fill this vacancy. All of the nominees for election have consented to being named in this proxy statement and to serve if elected. If any nominee is unable or unwilling to serve, proxies may be voted for another person designated by the Board of Directors. The Board knows of no reason why any nominee will be unable or unwilling to serve if elected.</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Shares represented by executed proxies will be voted, if authority to do so is not withheld, for the election of each of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14 nominees named below. If you hold your shares in “street name,” you should know that your broker will not vote your shares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 nominees listed below without your specific voting instructions.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 xml:space="preserve">A majority of the votes cast is required to elect each nominee for director. </w:t>
      </w:r>
      <w:r>
        <w:rPr>
          <w:rFonts w:ascii="Arial" w:cs="Arial" w:eastAsia="Arial" w:hAnsi="Arial"/>
          <w:sz w:val="18"/>
          <w:szCs w:val="18"/>
          <w:i w:val="1"/>
          <w:iCs w:val="1"/>
          <w:color w:val="auto"/>
        </w:rPr>
        <w:t>Brokers do not have discretion to vote on this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without your instruction. If you do not instruct your broker how to vote on this proposal, your broker will deliver a non-vote on this proposal.</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Nominees</w:t>
      </w:r>
    </w:p>
    <w:p>
      <w:pPr>
        <w:spacing w:after="0" w:line="24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Current Directors</w:t>
      </w:r>
    </w:p>
    <w:p>
      <w:pPr>
        <w:spacing w:after="0" w:line="239"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PHILIPPE CAMUS, 62, has been a director of the Company since 2007. He has been a Co-Managing Partner of Société Lagardère, a French media and technology company, since March 1998, and a Senior Managing Director of Evercore Partners Inc., an advisory and investment firm, since January 2006. From July 2000 to July 2005, Mr. Camus was co-Chief Executive Officer of the European Aeronautic Defence &amp; Space Company, an aerospace and defense contractor. Mr. Camus is Chairman of the Board of Alcatel-Lucent, a global communications solutions provider. From May 2005 to May 2009, he was a director of Credit Agricole, the second-largest retail banking group in Europe, where he was a member of the audit committee and chaired the compensation committee. From January 2006 to September 2008, he was a director of Accor S.A., a global hotel and tourism-related company, and a member of its audit and compensation committees. The Board selected Mr. Camus to serve as a director because it believes he possesses valuable financial expertise, including extensive experience with capital markets transactions and investments in both public and private companies. He has led and directed global industrial, technology-dependent businesses, which informs his</w:t>
      </w: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judgment and ability to assess risk as a Board member. Schlumberger also benefits from Mr. Camus’ experience as a former director and audit committee member at Accor S.A. and Credit Agricole.</w:t>
      </w:r>
    </w:p>
    <w:p>
      <w:pPr>
        <w:spacing w:after="0" w:line="76" w:lineRule="exact"/>
        <w:rPr>
          <w:sz w:val="20"/>
          <w:szCs w:val="20"/>
          <w:color w:val="auto"/>
        </w:rPr>
      </w:pPr>
    </w:p>
    <w:p>
      <w:pPr>
        <w:ind w:left="700" w:right="100" w:firstLine="397"/>
        <w:spacing w:after="0" w:line="287" w:lineRule="auto"/>
        <w:rPr>
          <w:sz w:val="20"/>
          <w:szCs w:val="20"/>
          <w:color w:val="auto"/>
        </w:rPr>
      </w:pPr>
      <w:r>
        <w:rPr>
          <w:rFonts w:ascii="Arial" w:cs="Arial" w:eastAsia="Arial" w:hAnsi="Arial"/>
          <w:sz w:val="16"/>
          <w:szCs w:val="16"/>
          <w:color w:val="auto"/>
        </w:rPr>
        <w:t>PETER L.S. CURRIE, 54, has been a director of the Company since 2010. He has been President of Currie Capital LLC, a private investment firm, since April 2004. Mr. Currie is a director of Clearwire Corporation (since 2005), a wireless internet service provider, and is a member of both its compensation committee and its audit committee, which he chairs. Until Sun Microsystems’ merger with Oracle in January 2010, he was a director of Sun Microsystems (since 2006), a network computing infrastructure product and service company, and a member of its audit committee. Mr. Currie has also served on the boards of CNET Networks, Inc. (from December 2005 to June 2008), where he was on the audit committee, and Safeco Corporation (from July 2005 to September 2008), where he also served on the nominating and governance committee and on the audit committee, which he chaired during his last year on the committee. The Board selected Mr. Currie to serve as a director because he has extensive board and committee experience at both public and private companies; he served as Chief Financial Officer of two public companies (McCaw Cellular Communications Inc. and Netscape Communications Corp.); and has had senior positions in investment banking, venture capital and private equity. With his extensive executive experience, Mr. Currie brings strong financial and operational expertise to the Board.</w:t>
      </w:r>
    </w:p>
    <w:p>
      <w:pPr>
        <w:spacing w:after="0" w:line="78"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ANDREW GOULD, 64, has served on the Board since 2002 and has been Chairman and Chief Executive Officer of the Company since February 2003. Since 2002, he has served as director of Rio Tinto plc and Rio Tinto Limited, a mineral resources group. In 2008, he was appointed the senior independent nonexecutive director and chairman of its remuneration committee. He is also a member of Rio Tinto’s nominations committee. The Board selected Mr. Gould to serve as a director because he is the Company’s Chief Executive Officer, and has been with the Company for more than 35 years, having begun in 1975 as an internal auditor. His service as Chairman and CEO of Schlumberger creates a critical link between management and the Board, enabling the Board to perform its oversight function with the benefit of management’s perspectives on the business. He has held 16 financial and operational management positions within the Company in Asia, Europe and the U.S. He has an expansive knowledge of the oil and gas industry and macro-economic global conditions, as well as relationships with chief executives and other senior management at oil and natural gas companies and oilfield service companies throughout the world, and brings a unique and valuable perspective to the Board.</w:t>
      </w:r>
    </w:p>
    <w:p>
      <w:pPr>
        <w:spacing w:after="0" w:line="75" w:lineRule="exact"/>
        <w:rPr>
          <w:sz w:val="20"/>
          <w:szCs w:val="20"/>
          <w:color w:val="auto"/>
        </w:rPr>
      </w:pPr>
    </w:p>
    <w:p>
      <w:pPr>
        <w:ind w:left="700" w:right="40" w:firstLine="397"/>
        <w:spacing w:after="0" w:line="284" w:lineRule="auto"/>
        <w:rPr>
          <w:sz w:val="20"/>
          <w:szCs w:val="20"/>
          <w:color w:val="auto"/>
        </w:rPr>
      </w:pPr>
      <w:r>
        <w:rPr>
          <w:rFonts w:ascii="Arial" w:cs="Arial" w:eastAsia="Arial" w:hAnsi="Arial"/>
          <w:sz w:val="16"/>
          <w:szCs w:val="16"/>
          <w:color w:val="auto"/>
        </w:rPr>
        <w:t>TONY ISAAC, 69, has been a director of the Company since 2003, and is the Board’s lead independent director. He was the former Chief Executive of The BOC Group plc, an international group with three business segments consisting of Gases and Related Products, Vacuum Technology and Supply Chain Solutions, from September 1999 to October 2006. Since October 2000, Mr. Isaac has served on the board of International Power plc, an independent power producer, as its senior independent director, and currently serves on its audit, remuneration and appointments committees. He is also the senior independent director of the Hogg Robinson Group, a corporate travel services company, where he serves on its remuneration and nomination committees, and is chairman of its audit committee. The Board selected Mr. Isaac to serve as a director because he has extensive experience serving on boards of large, multinational companies.</w:t>
      </w:r>
    </w:p>
    <w:p>
      <w:pPr>
        <w:spacing w:after="0" w:line="3" w:lineRule="exact"/>
        <w:rPr>
          <w:sz w:val="20"/>
          <w:szCs w:val="20"/>
          <w:color w:val="auto"/>
        </w:rPr>
      </w:pPr>
    </w:p>
    <w:p>
      <w:pPr>
        <w:ind w:left="700" w:right="400"/>
        <w:spacing w:after="0" w:line="302" w:lineRule="auto"/>
        <w:rPr>
          <w:sz w:val="20"/>
          <w:szCs w:val="20"/>
          <w:color w:val="auto"/>
        </w:rPr>
      </w:pPr>
      <w:r>
        <w:rPr>
          <w:rFonts w:ascii="Arial" w:cs="Arial" w:eastAsia="Arial" w:hAnsi="Arial"/>
          <w:sz w:val="16"/>
          <w:szCs w:val="16"/>
          <w:color w:val="auto"/>
        </w:rPr>
        <w:t>Mr. Isaac also has valuable experience in the operation of a worldwide business faced with a myriad of international business and political issues. Mr. Isaac’s even temperament and ability to communicate and encourage discussion, together with his experience as senior independent director of all boards on which he serves, make him an effective lead independent director for the Board.</w:t>
      </w:r>
    </w:p>
    <w:p>
      <w:pPr>
        <w:spacing w:after="0" w:line="61"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K. VAMAN KAMATH, 63, has been a director of the Company since 2010. He has been the non-executive Chairman of the Board of ICICI Bank Limited, a banking institution, since May 2009, and was Managing Director and Chief Executive Officer of ICICI Bank Limited from 2002 to May 2009. He has also been a director of Infosys Technologies Limited, an information technology services company, since May 2009, where he serves on its audit and nomination committees, and is chairman of its compensation committee. He has also been a director of Lupin Limited, a pharmaceutical company, since January 2010 and of Great Eastern Shipping Co. Limited, a shipping company, since May 2010. The Board selected Mr. Kamath to serve as a director because it believes he possesses a deep understanding of India, a large and critical market for Schlumberger, and of Asia generally, which is of immense value to the Board. As a banker with</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64" w:lineRule="auto"/>
        <w:rPr>
          <w:sz w:val="20"/>
          <w:szCs w:val="20"/>
          <w:color w:val="auto"/>
        </w:rPr>
      </w:pPr>
      <w:r>
        <w:rPr>
          <w:rFonts w:ascii="Arial" w:cs="Arial" w:eastAsia="Arial" w:hAnsi="Arial"/>
          <w:sz w:val="18"/>
          <w:szCs w:val="18"/>
          <w:color w:val="auto"/>
        </w:rPr>
        <w:t>more than 35 years’ experience, Mr. Kamath has extensive CEO experience and expertise in corporate finance, international banking, financial reporting, and mergers and acquisitions. Mr. Kamath’s leadership abilities and experience in India and Asia enables him to make a meaningful contribution to the Board.</w:t>
      </w:r>
    </w:p>
    <w:p>
      <w:pPr>
        <w:spacing w:after="0" w:line="87"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NIKOLAY KUDRYAVTSEV, 60, has been a director of the Company since 2007. Since June 1997, he has been the Rector of the Moscow Institute of Physics and Technology, the most prestigious institute of theoretical and applied physics in Russia. The Board selected Mr. Kudryavtsev to serve as a director because it believes he brings valuable management and finance experience to the Board,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growing population of Russian employees. The Board is aided immensely by Mr. Kudryavtsev’s sensitivity to Russian culture and risk at the field level.</w:t>
      </w:r>
    </w:p>
    <w:p>
      <w:pPr>
        <w:spacing w:after="0" w:line="84"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ADRIAN LAJOUS, 67, has been a director of the Company since 2002. He has been a Senior Energy Advisor at McKinsey &amp; Company, a consulting firm, and President of Petrométrica, an energy consulting company, in both cases since January 2001. Mr. Lajous is a director of Ternium, S.A. (since 2006), a flat and long steel producer, and serves on its audit committee. He is also a director of Trinity Industries, Inc. (since 2006), a volume producer of freight and tank railcars, and serves on its audit and its finance and risk management committees. From 1994 to 1999, Mr. Lajous was Chief Executive Officer of Petróleos Mexicanos (“Pemex”), Mexico’s national oil company. He served as Director General of Pemex and Chairman of the Board of the Pemex group of operating companies from 1994 to 1999. The Board selected Mr. Lajous to serve as a director because it believes he has extensive knowledge and experience of the energy industry and its participants, as well as a deep understanding of operations in difficult political and regulatory environments. He also has significant knowledge of the issues affecting the international oil and gas industry, particularly in Mexico. Through his service on the boards of Pemex and Ternium S.A., he has valuable experience in governance, compensation and audit issues.</w:t>
      </w:r>
    </w:p>
    <w:p>
      <w:pPr>
        <w:spacing w:after="0" w:line="75"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MICHAEL E. MARKS, 60, has been a director of the Company since 2005. He has been a Managing Partner of Riverwood Capital, LLC (formerly Bigwood Capital, LLC), a private equity firm, since March 2007. From January 2007 to January 2008, Mr. Marks was a Senior Advisor to Kohlberg Kravis Roberts &amp; Co., a private equity firm, and was a Member of that firm from January 2006 to January 2007. From 1994 to 2006, Mr. Marks served as the Chief Executive Officer of Flextronics, Inc., a leading producer of advanced electronic manufacturing services. Mr. Marks also served as a director of Flextronics from 1991 to 2008. He was appointed Chairman of the Board of Flextronics effective upon his retirement as Chief Executive Officer in 2006 until his retirement from the Board of Flextronics in 2008, and he previously served as Chairman of the Board of Flextronics from 1993 to 2003. Mr. Marks is a director at SanDisk (since 2003), a memory products company, and a member of its compensation and its nominating and governance committees. Until Sun Microsystems’ merger with Oracle in January 2010, he was a director at Sun Microsystems (since 2007), a network computing infrastructure product and service company, and a member of its audit committee. Until December 2010, Mr. Marks was a director of Calix (since 2009), a provider of broadband communications access systems and software. The Board selected Mr. Marks to serve as a director because it believes he is familiar with world-class manufacturing from the field level to the boardroom based on his experience at Flextronics, and because he has run a large, diversified global corporation with many of the same issues that Schlumberger faces. As a former CEO and as a public company director at various other companies, Mr. Marks has been involved in succession planning, compensation, employee management and the evaluation of acquisition opportunities. Almost all companies of which Mr. Marks has been a director have been involved in some form of technology business, and this experience is especially relevant, given Schlumberger’s technology-oriented business and the fact that many of its acquisition targets are technology companies.</w:t>
      </w:r>
    </w:p>
    <w:p>
      <w:pPr>
        <w:spacing w:after="0" w:line="81" w:lineRule="exact"/>
        <w:rPr>
          <w:sz w:val="20"/>
          <w:szCs w:val="20"/>
          <w:color w:val="auto"/>
        </w:rPr>
      </w:pPr>
    </w:p>
    <w:p>
      <w:pPr>
        <w:jc w:val="both"/>
        <w:ind w:left="700" w:right="160" w:firstLine="397"/>
        <w:spacing w:after="0" w:line="259" w:lineRule="auto"/>
        <w:rPr>
          <w:sz w:val="20"/>
          <w:szCs w:val="20"/>
          <w:color w:val="auto"/>
        </w:rPr>
      </w:pPr>
      <w:r>
        <w:rPr>
          <w:rFonts w:ascii="Arial" w:cs="Arial" w:eastAsia="Arial" w:hAnsi="Arial"/>
          <w:sz w:val="18"/>
          <w:szCs w:val="18"/>
          <w:color w:val="auto"/>
        </w:rPr>
        <w:t>ELIZABETH MOLER, 62, has been a director of the Company since her appointment by the Board in September 2010, upon the recommendation of the Nominating and Governance Committee. She is retired from Exelon Corporation (formerly Unicom), one of the nation’s largest electric utility companies, where she served as Executive Vice President, Government Affairs and Policy from January 2000 to July 2010. During 1999 she</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was a member of the Unicom Board of Directors. In December 1999, she resigned as a director of Unicom to become a Senior Vice President of Unicom. Ms. Moler is a nationally-recognized energy policy expert, and was responsible for all aspects of Exelon’s federal government affairs initiatives. Ms. Moler also had a long career in government service. She served as Senior Counsel for the United States Senate Committee on Energy and Natural Resources from 1976 to 1988. Ms. Moler also served as a member of the Federal Energy Regulatory Commission (FERC) from 1988 to 1997, where she served as its chairperson from 1993 to 1997. She also served as the Deputy Secretary of the U.S. Department of Energy (the “DOE”) from 1997 to 1998. At the DOE, she was Chief Operating Officer, overseeing a $16 billion budget and more than 10,000 federal employees and 100,000 contract employees. The Board selected Ms. Moler to serve as a director because of her extensive government experience and expertise in U.S. energy policy, as well as her management and policy experience at Exelon. Her many years in government service and her expertise in U.S. energy policy enable her to assist the Board in analyzing energy-related issues and the interplay of those issues with government, and position her to provide oversight in an increasingly regulated industry and guidance in government relations. In addition, as a result of Ms. Moler’s tenure at Exelon as Executive Vice President, Government Affairs and Policy, she provides valuable business, leadership and management insights into governmental affairs.</w:t>
      </w:r>
    </w:p>
    <w:p>
      <w:pPr>
        <w:spacing w:after="0" w:line="93"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LEO RAFAEL REIF, 60, has been a director of the Company since 2007. He has been Provost, Chief Academic Officer and Chief Budget Officer of the Massachusetts Institute of Technology (MIT) since August 2005.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The Board selected Mr. Reif to serve as a director because it believes he brings valuable management and finance expertise to the Board.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development of the Company’s strategy.</w:t>
      </w:r>
    </w:p>
    <w:p>
      <w:pPr>
        <w:spacing w:after="0" w:line="83" w:lineRule="exact"/>
        <w:rPr>
          <w:sz w:val="20"/>
          <w:szCs w:val="20"/>
          <w:color w:val="auto"/>
        </w:rPr>
      </w:pPr>
    </w:p>
    <w:p>
      <w:pPr>
        <w:ind w:left="700" w:right="260" w:firstLine="397"/>
        <w:spacing w:after="0" w:line="285" w:lineRule="auto"/>
        <w:rPr>
          <w:sz w:val="20"/>
          <w:szCs w:val="20"/>
          <w:color w:val="auto"/>
        </w:rPr>
      </w:pPr>
      <w:r>
        <w:rPr>
          <w:rFonts w:ascii="Arial" w:cs="Arial" w:eastAsia="Arial" w:hAnsi="Arial"/>
          <w:sz w:val="16"/>
          <w:szCs w:val="16"/>
          <w:color w:val="auto"/>
        </w:rPr>
        <w:t>TORE I. SANDVOLD, 63, has been a director of the Company since 2004. He has been Chairman of Sandvold Energy AS, an advisory company in the energy business, since September 2002. Mr. Sandvold is a director of Teekay Corporation (since 2003), a leading provider of international crude oil and petroleum product transportation services, where he is a member of its nominating and governance committee. From 2001 to 2002, Mr. Sandvold served as executive Chairman of Petoro AS, the Norwegian state-owned oil company. The Board selected Mr. Sandvold to serve as a director because he has worked in the area of energy policy for more than</w:t>
      </w:r>
    </w:p>
    <w:p>
      <w:pPr>
        <w:spacing w:after="0" w:line="2" w:lineRule="exact"/>
        <w:rPr>
          <w:sz w:val="20"/>
          <w:szCs w:val="20"/>
          <w:color w:val="auto"/>
        </w:rPr>
      </w:pPr>
    </w:p>
    <w:p>
      <w:pPr>
        <w:ind w:left="700" w:right="80"/>
        <w:spacing w:after="0" w:line="273" w:lineRule="auto"/>
        <w:rPr>
          <w:sz w:val="20"/>
          <w:szCs w:val="20"/>
          <w:color w:val="auto"/>
        </w:rPr>
      </w:pPr>
      <w:r>
        <w:rPr>
          <w:rFonts w:ascii="Arial" w:cs="Arial" w:eastAsia="Arial" w:hAnsi="Arial"/>
          <w:sz w:val="17"/>
          <w:szCs w:val="17"/>
          <w:color w:val="auto"/>
        </w:rPr>
        <w:t>35 years, and has broad experience in developing domestic and international energy policies for Norway as a career civil servant. He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82" w:lineRule="exact"/>
        <w:rPr>
          <w:sz w:val="20"/>
          <w:szCs w:val="20"/>
          <w:color w:val="auto"/>
        </w:rPr>
      </w:pPr>
    </w:p>
    <w:p>
      <w:pPr>
        <w:ind w:left="700" w:right="180" w:firstLine="397"/>
        <w:spacing w:after="0" w:line="293" w:lineRule="auto"/>
        <w:rPr>
          <w:sz w:val="20"/>
          <w:szCs w:val="20"/>
          <w:color w:val="auto"/>
        </w:rPr>
      </w:pPr>
      <w:r>
        <w:rPr>
          <w:rFonts w:ascii="Arial" w:cs="Arial" w:eastAsia="Arial" w:hAnsi="Arial"/>
          <w:sz w:val="16"/>
          <w:szCs w:val="16"/>
          <w:color w:val="auto"/>
        </w:rPr>
        <w:t>HENRI SEYDOUX, 50, has been a director of the Company since 2009. Since 1994, he has been Chairman and Chief Executive Officer of Parrot S.A., a global provider of wireless mobile telephone accessories. Mr. Seydoux is an entrepreneur with great initiative. He founded Parrot S.A. in 1994 as a private company and took it public in 2007. The Board selected Mr. Seydoux to serve as a director because he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on the Board.</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New Director Nominees</w:t>
      </w:r>
    </w:p>
    <w:p>
      <w:pPr>
        <w:spacing w:after="0" w:line="239"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PAAL KIBSGAARD, 43, has been the Company’s Chief Operating Officer since February 2010, and was President of the Reservoir Characterization Group from May 2009 to February 2010. Prior to that, Mr. Kibsgaard served as Vice President, Engineering, Manufacturing and Sustaining, from November 2007 to May 2009. He was Vice President of Personnel from April 2006 to November 2007, and President, Drilling &amp; Measurements, from January 2003 to April 2006. The Board selected Mr. Kibsgaard to serve as a director because he is the Company’s Chief Operating Officer, with a thorough knowledge of all operational activities of the Company worldwide. Mr. Kibsgaard has been with the Company since 1997, and began his career as a reservoir engineer. He has held numerous operational and administrative management positions within the Company in the Middle East, Europe and the U.S., and will bring a valuable operational perspective to the Board. The Board believes that Mr. Kibsgaard’s service as Chief Operating Officer will offer an important link between management and the Board, enabling the Board to perform its oversight function with the benefit of his perspectives on the Company’s business.</w:t>
      </w:r>
    </w:p>
    <w:p>
      <w:pPr>
        <w:spacing w:after="0" w:line="83"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color w:val="auto"/>
        </w:rPr>
        <w:t>LUBNA S. OLAYAN, 55, has been the deputy chairperson and Chief Executive Officer of Riyadh-based Olayan Financing Company, the holding entity for The Olayan Group’s operations in the Kingdom of Saudi Arabia and the Middle East, since 1986. Since 2001, Ms. Olayan has been a Principal of The Olayan Group, a private multinational enterprise engaged in manufacturing, distribution and services. She is a member of the Board of Directors of Olayan Investment Company Establishment, the parent company of The Olayan Group. In her capacity as CEO of Olayan Financing Company, Ms. Olayan is responsible for The Olayan Group’s operating businesses and investments in Saudi Arabia and the Middle East. These include more than 40 companies engaged in product manufacturing, distribution and services, often in partnership with leading multinationals. Prior to joining The Olayan Group, Ms. Olayan worked for Morgan Guaranty in New York as a financial analyst from 1979 to 1981. Ms. Olayan also serves as a non-executive director and member of various corporate and advisory boards. Since December 2004, Ms. Olayan has been a Director of Saudi Hollandi Bank, becoming the first woman to join the board of a Saudi publicly-listed company, and is a member of its executive committee and its nomination and remuneration committee. Ms. Olayan has been a member of the Board at Chelsfield Partners LLP, a UK real estate investment firm, since 2005. Ms. Olayan also has been a non-executive director of WPP plc, a public company and one of the largest communication services businesses in the world, since March 2005, and is a member of its nomination committee. Since 2006,</w:t>
      </w:r>
    </w:p>
    <w:p>
      <w:pPr>
        <w:spacing w:after="0" w:line="3" w:lineRule="exact"/>
        <w:rPr>
          <w:sz w:val="20"/>
          <w:szCs w:val="20"/>
          <w:color w:val="auto"/>
        </w:rPr>
      </w:pPr>
    </w:p>
    <w:p>
      <w:pPr>
        <w:ind w:left="700" w:right="20"/>
        <w:spacing w:after="0" w:line="267" w:lineRule="auto"/>
        <w:rPr>
          <w:sz w:val="20"/>
          <w:szCs w:val="20"/>
          <w:color w:val="auto"/>
        </w:rPr>
      </w:pPr>
      <w:r>
        <w:rPr>
          <w:rFonts w:ascii="Arial" w:cs="Arial" w:eastAsia="Arial" w:hAnsi="Arial"/>
          <w:sz w:val="17"/>
          <w:szCs w:val="17"/>
          <w:color w:val="auto"/>
        </w:rPr>
        <w:t>Ms. Olayan has been a member of the International Advisory Boards of Rolls Royce Group plc, Akbank and the National Bank of Kuwait. Ms. Olayan also serves on the boards of various non-governmental organizations, including the Asia Business Council, Al Fanar (venture philanthropy) and the Down’s Syndrome Charitable Association in Saudi Arabia, and on the boards of various educational institutions, including INSEAD, Cornell University and King Abdullah University of Science and Technology. The Board believes that Ms. Olayan’s proven leadership abilities and experience in Saudi Arabia and the Middle East will enable her to make a meaningful contribution to the Board. The Board selected Ms. Olayan to serve as a director because of her extensive business experience in Saudi Arabia and the Middle East and her deep understanding of those areas, which are critical to the Company. The Board will benefit from her extensive CEO experience and expertise in corporate finance, international banking, distribution and manufacturing. Ms. Olayan, as a member of the Board of Directors of INSEAD, one of the world’s leading graduate business schools, will also bring a critical international perspective on business and global best practices. Ms. Olayan’s service on the Boards of Trustees of Cornell University and of King Abdullah University of Science and Technology, and her connections to the scientific community and her experience in university relations, will also be of great value to Schlumberger and its efforts in technology leadership and employee recruiting and retention.</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CORPORATE GOVERNANCE</w:t>
      </w:r>
    </w:p>
    <w:p>
      <w:pPr>
        <w:spacing w:after="0" w:line="243"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Schlumberger is committed to adhering to sound principles of corporate governance and has adopted corporate governance principles that the Board believes promote the effective functioning of the Board, its committees and the Company. These guidelines are available on our website at http://www.slb.com/about/guiding _principles/corpgovernance/corpgov_guidelines.aspx.</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Majority Voting for Directors</w:t>
      </w:r>
    </w:p>
    <w:p>
      <w:pPr>
        <w:spacing w:after="0" w:line="243"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Schlumberger’s Articles of Incorporation provide that director nominees must be elected at a general meeting of stockholders by a majority of votes cast.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Independence</w:t>
      </w:r>
    </w:p>
    <w:p>
      <w:pPr>
        <w:spacing w:after="0" w:line="243"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Schlumberger’s Corporate Governance Guidelines provide that at least a majority of the Board will consist of independent directors. This standard reflects the NYSE corporate governance listing standards. In addition, each member of the Audit Committee meets the heightened independence standards required for audit committee members under the NYSE’s listing standards. The Board of Directors has determined that each current director and each director nominee listed above under “Election of Directors,” as well as our former directors Linda Stuntz (who did not stand for re-election at our 2010 annual general meeting) and Jamie Gorelick (who resigned from the Board of Directors in June 2010), is independent under the NYSE’s listing standards, except Mr. Gould, who is Chairman and Chief Executive Officer of Schlumberger, and Mr. Kibsgaard, who is Chief Operating Officer of Schlumberger. The NYSE listing standards include objective tests that can disqualify a director from being treated as independent, as well as a subjective test, under which the Board must affirmatively determine that each independent director has no material relationship with Schlumberger or management. In making its independence determinations, the Board considered all material relationships with each director and each new director nominee, and all transactions since the start of 2008 between Schlumberger and each current director and director nominee and members of their immediate families or entities associated with them.</w:t>
      </w:r>
    </w:p>
    <w:p>
      <w:pPr>
        <w:spacing w:after="0" w:line="74"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As contemplated by NYSE rules then in effect, the Company adopted categorical standards in 2004 to assist the Board in making independence determinations. Under the rules then in effect, relationships that fell within the categorical standards were not required to be disclosed in the proxy statement and their impact on independence was not required to be separately discussed. A relationship falls within these current categorical standards if it:</w:t>
      </w:r>
    </w:p>
    <w:p>
      <w:pPr>
        <w:spacing w:after="0" w:line="92" w:lineRule="exact"/>
        <w:rPr>
          <w:sz w:val="20"/>
          <w:szCs w:val="20"/>
          <w:color w:val="auto"/>
        </w:rPr>
      </w:pPr>
    </w:p>
    <w:p>
      <w:pPr>
        <w:ind w:left="1400" w:right="80" w:hanging="302"/>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is a type of relationship addressed in Item 404 of SEC Regulation S-K, but under that item does not require disclosure; or</w:t>
      </w:r>
    </w:p>
    <w:p>
      <w:pPr>
        <w:spacing w:after="0" w:line="128" w:lineRule="exact"/>
        <w:rPr>
          <w:rFonts w:ascii="Arial" w:cs="Arial" w:eastAsia="Arial" w:hAnsi="Arial"/>
          <w:sz w:val="17"/>
          <w:szCs w:val="17"/>
          <w:color w:val="auto"/>
        </w:rPr>
      </w:pPr>
    </w:p>
    <w:p>
      <w:pPr>
        <w:ind w:left="1400" w:right="500" w:hanging="302"/>
        <w:spacing w:after="0" w:line="342" w:lineRule="auto"/>
        <w:tabs>
          <w:tab w:leader="none" w:pos="1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charitable contributions by the Company to an organization where a director is an executive officer but the contributions did not exceed the greater of $1 million or 2% of the organization’s gross revenue in any of the last 3 years.</w:t>
      </w:r>
    </w:p>
    <w:p>
      <w:pPr>
        <w:spacing w:after="0" w:line="29"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None of the non-employee directors was disqualified from “independent” status under the objective NYSE listing standards. In making its subjective determination that each non-employee director is independent, the Board reviewed and discussed additional information provided by the directors and the Company with regard to each director’s business and personal activities as they may relate to Schlumberger and Schlumberger’s management. The Board considered the transactions in the context of the NYSE’s objective listing standards, the categorical standards noted above, the additional standards established for members of audit committees, and the SEC and U.S. Internal Revenue Service standards for compensation committee members. Based on all of the foregoing, the Board made a subjective determination as required by NYSE rules that, because of the nature of the transaction, the director’s relationship with the entity and/or the</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 involved, no relationships exist that, in the opinion of the Board, would impair the director’s independence.</w:t>
      </w:r>
    </w:p>
    <w:p>
      <w:pPr>
        <w:spacing w:after="0" w:line="131" w:lineRule="exact"/>
        <w:rPr>
          <w:sz w:val="20"/>
          <w:szCs w:val="20"/>
          <w:color w:val="auto"/>
        </w:rPr>
      </w:pPr>
    </w:p>
    <w:p>
      <w:pPr>
        <w:ind w:left="700" w:right="300" w:firstLine="397"/>
        <w:spacing w:after="0" w:line="291" w:lineRule="auto"/>
        <w:rPr>
          <w:sz w:val="20"/>
          <w:szCs w:val="20"/>
          <w:color w:val="auto"/>
        </w:rPr>
      </w:pPr>
      <w:r>
        <w:rPr>
          <w:rFonts w:ascii="Arial" w:cs="Arial" w:eastAsia="Arial" w:hAnsi="Arial"/>
          <w:sz w:val="16"/>
          <w:szCs w:val="16"/>
          <w:color w:val="auto"/>
        </w:rPr>
        <w:t>The Board’s independence determinations included a review of charitable contributions by Schlumberger to The Massachusetts Institute of Technology, of which Mr. Reif is the Provost, and to The Moscow Institute of Physics and Technology, of which</w:t>
      </w:r>
    </w:p>
    <w:p>
      <w:pPr>
        <w:ind w:left="700" w:right="100"/>
        <w:spacing w:after="0" w:line="261" w:lineRule="auto"/>
        <w:rPr>
          <w:sz w:val="20"/>
          <w:szCs w:val="20"/>
          <w:color w:val="auto"/>
        </w:rPr>
      </w:pPr>
      <w:r>
        <w:rPr>
          <w:rFonts w:ascii="Arial" w:cs="Arial" w:eastAsia="Arial" w:hAnsi="Arial"/>
          <w:sz w:val="18"/>
          <w:szCs w:val="18"/>
          <w:color w:val="auto"/>
        </w:rPr>
        <w:t>Mr. Kudryavtsev is the Rector. Aggregate contributions to each of these educational institutions did not exceed the greater of $1 million or 1% of that organization’s consolidated gross revenues for 2008, 2009 or 2010.</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Nominations</w:t>
      </w:r>
    </w:p>
    <w:p>
      <w:pPr>
        <w:spacing w:after="0" w:line="243"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Consideration of new Board candidates typically involves a series of internal discussions, review of information concerning candidates, and interviews with selected candidates. Board members typically suggest candidates for nomination to the Board. Our CEO suggested Ms. Olayan and an independent director suggested Ms. Moler as prospective Board candidates.</w:t>
      </w:r>
    </w:p>
    <w:p>
      <w:pPr>
        <w:spacing w:after="0" w:line="84"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w:t>
      </w:r>
    </w:p>
    <w:p>
      <w:pPr>
        <w:spacing w:after="0" w:line="60"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Chair, Nominating and Governance Committee</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Houston, Texas 77056</w:t>
      </w:r>
    </w:p>
    <w:p>
      <w:pPr>
        <w:spacing w:after="0" w:line="116" w:lineRule="exact"/>
        <w:rPr>
          <w:sz w:val="20"/>
          <w:szCs w:val="20"/>
          <w:color w:val="auto"/>
        </w:rPr>
      </w:pPr>
    </w:p>
    <w:p>
      <w:pPr>
        <w:ind w:left="700" w:right="60"/>
        <w:spacing w:after="0" w:line="297" w:lineRule="auto"/>
        <w:rPr>
          <w:sz w:val="20"/>
          <w:szCs w:val="20"/>
          <w:color w:val="auto"/>
        </w:rPr>
      </w:pPr>
      <w:r>
        <w:rPr>
          <w:rFonts w:ascii="Arial" w:cs="Arial" w:eastAsia="Arial" w:hAnsi="Arial"/>
          <w:sz w:val="16"/>
          <w:szCs w:val="16"/>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6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95"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108,000 employees worldwide, representing more than 140 countries, and values gender, cultural and geographical diversity in its directors as well. One of the Company’s current directors is a woman, as is one of the two new director nominees. Of the 14 current director nominees, four are citizens of the United States of America; two are French citizens; two</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are citizens of Great Britain; two are citizens of Norway; and one director nominee is a citizen of each of Russia, Mexico, India and Saudi Arabia. The Company’s very diverse Board also evidences the Board’s commitment to have directors who represent countries where Schlumberger operates. In addition, the exceptionally broad and diverse experience of Board members is in keeping with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reviews its effectiveness in balancing these considerations when assessing the composition of the Board.</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Leadership Structure; Independent Lead Director</w:t>
      </w:r>
    </w:p>
    <w:p>
      <w:pPr>
        <w:spacing w:after="0" w:line="243"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Andrew Gould serves as both our Chairman of the Board and CEO. The Board believes that independent oversight of management is an important component of an effective board of directors. The independent Board members have determined that the most effective Board leadership structure for Schlumberger at the present time is for the CEO to also serve as Chairman of the Board, a structure that has served Schlumberger well for many years. The independent Board members believe that because the CEO is ultimately responsible for the day-to-day operation of the Company and for executing the Company’s strategy, and because the performance of the Company is an integral part of Board deliberations, the CEO is the director best qualified to act as Chairman of the Board. The Board retains the authority to modify this structure to best address the Company’s unique circumstances, and so advance the best interests of all stockholders, as and when appropriate.</w:t>
      </w:r>
    </w:p>
    <w:p>
      <w:pPr>
        <w:spacing w:after="0" w:line="84"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Board also believes, for the reasons set forth below, that its existing corporate governance practices achieve independent oversight or management accountability, which is the goal that many seek to achieve by separating the roles of Chairman and CEO. Schlumberger’s governance practices provide for strong independent leadership, active participation by independent directors and for independent evaluation of, and communication with, many members of senior management. These governance practices are reflected in Schlumberger’s Corporate Governance Guidelines and the various Committee Charters, which are available on our website. Some of the relevant processes and other corporate governance practices include:</w:t>
      </w:r>
    </w:p>
    <w:p>
      <w:pPr>
        <w:spacing w:after="0" w:line="84" w:lineRule="exact"/>
        <w:rPr>
          <w:sz w:val="20"/>
          <w:szCs w:val="20"/>
          <w:color w:val="auto"/>
        </w:rPr>
      </w:pPr>
    </w:p>
    <w:p>
      <w:pPr>
        <w:ind w:left="1400" w:right="80" w:hanging="302"/>
        <w:spacing w:after="0" w:line="271" w:lineRule="auto"/>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has an independent lead director with leadership authority and responsibilities. Tony Isaac, Chair of the Nominating and Governance Committee, was selected by the independent Board members to be the lead independent director. The Chairman of the Board and the lead independent director together set the agenda for all Board meetings, and the lead independent director sets the agenda for, and leads, all executive meetings of the independent directors, providing consolidated feedback, as appropriate, from those meetings to the Chairman and CEO. The lead independent director also has the authority to call meetings of the Board of Directors in executive session; facilitates discussions, outside of scheduled Board meetings, among the independent directors on key issues as appropriate; and serves as a non-exclusive liaison with the Chairman and CEO, in consultation with the other independent directors.</w:t>
      </w:r>
    </w:p>
    <w:p>
      <w:pPr>
        <w:spacing w:after="0" w:line="70" w:lineRule="exact"/>
        <w:rPr>
          <w:rFonts w:ascii="Arial" w:cs="Arial" w:eastAsia="Arial" w:hAnsi="Arial"/>
          <w:sz w:val="17"/>
          <w:szCs w:val="17"/>
          <w:color w:val="auto"/>
        </w:rPr>
      </w:pPr>
    </w:p>
    <w:p>
      <w:pPr>
        <w:ind w:left="1400" w:right="180" w:hanging="302"/>
        <w:spacing w:after="0" w:line="264"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each regularly scheduled Board meeting, all independent directors meet in an executive session without management present. In these executive sessions, the independent directors deliberate on such matters as CEO succession planning and the performance of the CEO.</w:t>
      </w:r>
    </w:p>
    <w:p>
      <w:pPr>
        <w:spacing w:after="0" w:line="73" w:lineRule="exact"/>
        <w:rPr>
          <w:rFonts w:ascii="Arial" w:cs="Arial" w:eastAsia="Arial" w:hAnsi="Arial"/>
          <w:sz w:val="18"/>
          <w:szCs w:val="18"/>
          <w:color w:val="auto"/>
        </w:rPr>
      </w:pPr>
    </w:p>
    <w:p>
      <w:pPr>
        <w:ind w:left="1400" w:right="120" w:hanging="302"/>
        <w:spacing w:after="0" w:line="259"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 nominees, except the Chairman and CEO and the Chief Operating Officer, are independent directors, which is substantially above the NYSE requirement that a majority of directors be independent. Each director is an active and equal participant in decisions made by the full Board. In addition, each of the Audit, Finance and Nominating and Governance Committees are comprised solely of independent directors.</w:t>
      </w:r>
    </w:p>
    <w:p>
      <w:pPr>
        <w:spacing w:after="0" w:line="78" w:lineRule="exact"/>
        <w:rPr>
          <w:rFonts w:ascii="Arial" w:cs="Arial" w:eastAsia="Arial" w:hAnsi="Arial"/>
          <w:sz w:val="18"/>
          <w:szCs w:val="18"/>
          <w:color w:val="auto"/>
        </w:rPr>
      </w:pPr>
    </w:p>
    <w:p>
      <w:pPr>
        <w:ind w:left="1400" w:hanging="302"/>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directors is elected annually by majority vote of our stockholders.</w:t>
      </w:r>
    </w:p>
    <w:p>
      <w:pPr>
        <w:spacing w:after="0" w:line="117" w:lineRule="exact"/>
        <w:rPr>
          <w:rFonts w:ascii="Arial" w:cs="Arial" w:eastAsia="Arial" w:hAnsi="Arial"/>
          <w:sz w:val="18"/>
          <w:szCs w:val="18"/>
          <w:color w:val="auto"/>
        </w:rPr>
      </w:pPr>
    </w:p>
    <w:p>
      <w:pPr>
        <w:ind w:left="1400" w:right="60" w:hanging="302"/>
        <w:spacing w:after="0" w:line="259"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Schlumberger’s Corporate Governance Guidelines also facilitate the involvement of the independent members of the Board in key aspects of governance. For example, any director may request that the lead director call an executive meeting of the Board. Additionally, the Chairman and CEO regularly solicits suggestions from the directors for presentations by management at Board and Committee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meetings. Furthermore, each Board member has full and free access to the Company’s management and employees.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Board’s Role in Risk Oversight</w:t>
      </w:r>
    </w:p>
    <w:p>
      <w:pPr>
        <w:spacing w:after="0" w:line="24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role that the Company’s Board of Directors fulfills in risk oversight is set out in the Company’s Corporate Governance Guidelines. The Board of Directors assesses major risks facing the Company and options for their mitigation, in order to promote the Company’s stockholders’ and other stakeholders’ interest in the long-term health and the overall success of the Company and its financial strength.</w:t>
      </w:r>
    </w:p>
    <w:p>
      <w:pPr>
        <w:spacing w:after="0" w:line="92"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The full Board of Directors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of Directors. The ERC ensures 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Functions and the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periodically presents to the full Board a comprehensive report as to its risk mapping efforts for that year.</w:t>
      </w:r>
    </w:p>
    <w:p>
      <w:pPr>
        <w:spacing w:after="0" w:line="85" w:lineRule="exact"/>
        <w:rPr>
          <w:sz w:val="20"/>
          <w:szCs w:val="20"/>
          <w:color w:val="auto"/>
        </w:rPr>
      </w:pPr>
    </w:p>
    <w:p>
      <w:pPr>
        <w:ind w:left="700" w:right="80" w:firstLine="397"/>
        <w:spacing w:after="0" w:line="268" w:lineRule="auto"/>
        <w:rPr>
          <w:sz w:val="20"/>
          <w:szCs w:val="20"/>
          <w:color w:val="auto"/>
        </w:rPr>
      </w:pPr>
      <w:r>
        <w:rPr>
          <w:rFonts w:ascii="Arial" w:cs="Arial" w:eastAsia="Arial" w:hAnsi="Arial"/>
          <w:sz w:val="17"/>
          <w:szCs w:val="17"/>
          <w:color w:val="auto"/>
        </w:rPr>
        <w:t>In addition, each of our Board committees considers the risks within its areas of responsibilities. For example, the Finance Committee considers finance-related risks on a quarterly basis and recommends guidelines to control cash and currency exposures. The Compensation Committee reviews the Company’s overall compensation program and its effectiveness at linking executive pay to performance, aligning the interests of our executives and our stockholders and providing for appropriate incentives. The Nominating and Governance Committee oversees compliance-related risk and reviews and discusses the Company’s Compliance and Ethics program’s quarterly statistical report and the various allegations, disciplinary actions and training statistics brought to its attention. The Audit Committee reviews risks related to financial reporting. The Audit Committee discusses all significant finance-related violations of Company policies brought to its attention on an ad hoc basis,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violations of the Company’s Code of Ethics and related corporate policies are reported to the Nominating and Governance Committee and, as appropriate, are reported to the full Board. Once a year, the Director of Compliance delivers to the full Board a comprehensive Annual Compliance Report. The risks identified within the Compliance and Ethics program are incorporated into the ERC’s enterprise risk management program described above. The Chair of each of the Board’s key committees also discusses, reviews and makes decisions on serious matters outside of quarterly Board meetings, as needed.</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243"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During 2010, the Board of Directors held eight meetings. Schlumberger has an Audit, a Compensation, a Nominating and Governance, a Finance, and a Technology Committee. During 2010, the Audit Committee met five times; the Compensation Committee met seven times; the Finance Committee met five times; the Nominating and Governance Committee met five times; and the Technology Committee met two times. All incumbent director nominees attended 88% or more of the aggregate of the meetings of the Board and of the committees of the Board on which such directors served. From time to time between meetings, Board and committee members may confer with each other and with management and independent consultants regarding</w:t>
      </w: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relevant issues, and representatives of management may meet with the independent consultants on behalf of the relevant committee.</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Committees</w:t>
      </w:r>
    </w:p>
    <w:p>
      <w:pPr>
        <w:spacing w:after="0" w:line="3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Members of the Committees of the Board of Directors</w:t>
      </w:r>
    </w:p>
    <w:p>
      <w:pPr>
        <w:spacing w:after="0" w:line="247" w:lineRule="exact"/>
        <w:rPr>
          <w:sz w:val="20"/>
          <w:szCs w:val="20"/>
          <w:color w:val="auto"/>
        </w:rPr>
      </w:pPr>
    </w:p>
    <w:tbl>
      <w:tblPr>
        <w:tblLayout w:type="fixed"/>
        <w:tblInd w:w="710" w:type="dxa"/>
        <w:tblCellMar>
          <w:top w:w="0" w:type="dxa"/>
          <w:left w:w="0" w:type="dxa"/>
          <w:bottom w:w="0" w:type="dxa"/>
          <w:right w:w="0" w:type="dxa"/>
        </w:tblCellMar>
      </w:tblPr>
      <w:tr>
        <w:trPr>
          <w:trHeight w:val="139"/>
        </w:trPr>
        <w:tc>
          <w:tcPr>
            <w:tcW w:w="4280" w:type="dxa"/>
            <w:vAlign w:val="bottom"/>
            <w:tcBorders>
              <w:top w:val="single" w:sz="8" w:color="auto"/>
              <w:left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Nominating</w:t>
            </w:r>
          </w:p>
        </w:tc>
        <w:tc>
          <w:tcPr>
            <w:tcW w:w="10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Finance</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149"/>
        </w:trPr>
        <w:tc>
          <w:tcPr>
            <w:tcW w:w="4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of Director</w:t>
            </w:r>
          </w:p>
        </w:tc>
        <w:tc>
          <w:tcPr>
            <w:tcW w:w="102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0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Committee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Philippe Camus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Peter L.S. Currie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Andrew Gould</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Tony Isaac</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 Vaman Kamath</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Nikolay Kudryavtsev</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Adrian Lajous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E. Marks</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Elizabeth A. Moler</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Leo Rafael Reif</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Tore I. Sandvold</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Henri Seydoux</w:t>
            </w:r>
          </w:p>
        </w:tc>
        <w:tc>
          <w:tcPr>
            <w:tcW w:w="10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9"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Audit Committee consists of five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94" w:lineRule="exact"/>
        <w:rPr>
          <w:sz w:val="20"/>
          <w:szCs w:val="20"/>
          <w:color w:val="auto"/>
        </w:rPr>
      </w:pPr>
    </w:p>
    <w:p>
      <w:pPr>
        <w:ind w:left="1400" w:hanging="302"/>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117"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 for stockholder approval the independent registered public accounting firm to audit the accounts of the Company for the year;</w:t>
      </w:r>
    </w:p>
    <w:p>
      <w:pPr>
        <w:spacing w:after="0" w:line="62" w:lineRule="exact"/>
        <w:rPr>
          <w:rFonts w:ascii="Arial" w:cs="Arial" w:eastAsia="Arial" w:hAnsi="Arial"/>
          <w:sz w:val="18"/>
          <w:szCs w:val="18"/>
          <w:color w:val="auto"/>
        </w:rPr>
      </w:pPr>
    </w:p>
    <w:p>
      <w:pPr>
        <w:ind w:left="1400" w:right="460" w:hanging="302"/>
        <w:spacing w:after="0" w:line="277"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117" w:lineRule="exact"/>
        <w:rPr>
          <w:rFonts w:ascii="Arial" w:cs="Arial" w:eastAsia="Arial" w:hAnsi="Arial"/>
          <w:sz w:val="18"/>
          <w:szCs w:val="18"/>
          <w:color w:val="auto"/>
        </w:rPr>
      </w:pPr>
    </w:p>
    <w:p>
      <w:pPr>
        <w:ind w:left="1400" w:right="80" w:hanging="302"/>
        <w:spacing w:after="0" w:line="277"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spacing w:after="0" w:line="62" w:lineRule="exact"/>
        <w:rPr>
          <w:rFonts w:ascii="Arial" w:cs="Arial" w:eastAsia="Arial" w:hAnsi="Arial"/>
          <w:sz w:val="18"/>
          <w:szCs w:val="18"/>
          <w:color w:val="auto"/>
        </w:rPr>
      </w:pPr>
    </w:p>
    <w:p>
      <w:pPr>
        <w:ind w:left="1400" w:right="20" w:hanging="302"/>
        <w:spacing w:after="0" w:line="264"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discuss with management and the independent registered public accounting firm Schlumberger’s earnings press releases;</w:t>
      </w: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right="300" w:hanging="302"/>
        <w:spacing w:after="0" w:line="342" w:lineRule="auto"/>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5" w:lineRule="exact"/>
        <w:rPr>
          <w:rFonts w:ascii="Arial" w:cs="Arial" w:eastAsia="Arial" w:hAnsi="Arial"/>
          <w:sz w:val="16"/>
          <w:szCs w:val="16"/>
          <w:color w:val="auto"/>
        </w:rPr>
      </w:pPr>
    </w:p>
    <w:p>
      <w:pPr>
        <w:ind w:left="1400" w:hanging="302"/>
        <w:spacing w:after="0"/>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set policies for the hiring of employees or former employees of the Company’s independent registered public accounting firm;</w:t>
      </w:r>
    </w:p>
    <w:p>
      <w:pPr>
        <w:spacing w:after="0" w:line="140" w:lineRule="exact"/>
        <w:rPr>
          <w:rFonts w:ascii="Arial" w:cs="Arial" w:eastAsia="Arial" w:hAnsi="Arial"/>
          <w:sz w:val="16"/>
          <w:szCs w:val="16"/>
          <w:color w:val="auto"/>
        </w:rPr>
      </w:pPr>
    </w:p>
    <w:p>
      <w:pPr>
        <w:ind w:left="1400" w:right="80" w:hanging="302"/>
        <w:spacing w:after="0" w:line="308" w:lineRule="auto"/>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with the internal audit department the status and results of the Company’s annual internal audit plan, assessments of the adequacy and effectiveness of internal controls, and the sufficiency of the department’s resources;</w:t>
      </w:r>
    </w:p>
    <w:p>
      <w:pPr>
        <w:spacing w:after="0" w:line="38" w:lineRule="exact"/>
        <w:rPr>
          <w:rFonts w:ascii="Arial" w:cs="Arial" w:eastAsia="Arial" w:hAnsi="Arial"/>
          <w:sz w:val="17"/>
          <w:szCs w:val="17"/>
          <w:color w:val="auto"/>
        </w:rPr>
      </w:pPr>
    </w:p>
    <w:p>
      <w:pPr>
        <w:ind w:left="1400" w:hanging="302"/>
        <w:spacing w:after="0" w:line="264" w:lineRule="auto"/>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131"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The Company’s independent registered public accounting firm is accountable to the Audit Committee. The Audit Committee pre-approves all engagements, fees and terms for audit and other services provided by the Company’s independent registered public accounting firm.</w:t>
      </w:r>
    </w:p>
    <w:p>
      <w:pPr>
        <w:spacing w:after="0" w:line="87"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The Board of Directors has determined that each Committee member has sufficient knowledge in financial and auditing matters to serve on the Committee. In addition, the Board of Directors has determined that each member of the Audit Committee, other than</w:t>
      </w:r>
    </w:p>
    <w:p>
      <w:pPr>
        <w:ind w:left="700"/>
        <w:spacing w:after="0"/>
        <w:rPr>
          <w:sz w:val="20"/>
          <w:szCs w:val="20"/>
          <w:color w:val="auto"/>
        </w:rPr>
      </w:pPr>
      <w:r>
        <w:rPr>
          <w:rFonts w:ascii="Arial" w:cs="Arial" w:eastAsia="Arial" w:hAnsi="Arial"/>
          <w:sz w:val="16"/>
          <w:szCs w:val="16"/>
          <w:color w:val="auto"/>
        </w:rPr>
        <w:t>Mr. Kudryavtsev, qualifies as an “audit committee financial expert” under applicable SEC rules. The Audit Committee operates pursuant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a written charter, which is available on the Company’s website at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http://www.slb.com/about/guiding_principles/corpgovernance/audit_committee.aspx.</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39"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 of the Compensation Committee is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99" w:lineRule="exact"/>
        <w:rPr>
          <w:sz w:val="20"/>
          <w:szCs w:val="20"/>
          <w:color w:val="auto"/>
        </w:rPr>
      </w:pPr>
    </w:p>
    <w:p>
      <w:pPr>
        <w:ind w:left="1400" w:right="140" w:hanging="302"/>
        <w:spacing w:after="0" w:line="277"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the objectives, evaluate the performance, and review and recommend the compensation of the Company’s Chief Executive Officer to the full Board meeting in an executive session of independent directors.</w:t>
      </w:r>
    </w:p>
    <w:p>
      <w:pPr>
        <w:spacing w:after="0" w:line="62" w:lineRule="exact"/>
        <w:rPr>
          <w:rFonts w:ascii="Arial" w:cs="Arial" w:eastAsia="Arial" w:hAnsi="Arial"/>
          <w:sz w:val="18"/>
          <w:szCs w:val="18"/>
          <w:color w:val="auto"/>
        </w:rPr>
      </w:pPr>
    </w:p>
    <w:p>
      <w:pPr>
        <w:ind w:left="1400" w:right="120" w:hanging="302"/>
        <w:spacing w:after="0" w:line="277"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annual compensation, including salary, annual cash incentive and long-term equity incentives;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practices are compared;</w:t>
      </w:r>
    </w:p>
    <w:p>
      <w:pPr>
        <w:spacing w:after="0" w:line="117" w:lineRule="exact"/>
        <w:rPr>
          <w:rFonts w:ascii="Arial" w:cs="Arial" w:eastAsia="Arial" w:hAnsi="Arial"/>
          <w:sz w:val="18"/>
          <w:szCs w:val="18"/>
          <w:color w:val="auto"/>
        </w:rPr>
      </w:pPr>
    </w:p>
    <w:p>
      <w:pPr>
        <w:ind w:left="1400" w:right="220" w:hanging="302"/>
        <w:spacing w:after="0" w:line="342" w:lineRule="auto"/>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incentive compensation and equity based plans, and advise management and the Board of Directors on the design and structure of the Company’s compensation and benefits programs and policies and recommend changes to the Board;</w:t>
      </w:r>
    </w:p>
    <w:p>
      <w:pPr>
        <w:spacing w:after="0" w:line="15" w:lineRule="exact"/>
        <w:rPr>
          <w:rFonts w:ascii="Arial" w:cs="Arial" w:eastAsia="Arial" w:hAnsi="Arial"/>
          <w:sz w:val="16"/>
          <w:szCs w:val="16"/>
          <w:color w:val="auto"/>
        </w:rPr>
      </w:pPr>
    </w:p>
    <w:p>
      <w:pPr>
        <w:ind w:left="1400" w:right="300" w:hanging="302"/>
        <w:spacing w:after="0" w:line="277"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 and make awards under the Company’s stock option plans and review and approve annual stock allocation under those plans;</w:t>
      </w:r>
    </w:p>
    <w:p>
      <w:pPr>
        <w:spacing w:after="0" w:line="62" w:lineRule="exact"/>
        <w:rPr>
          <w:rFonts w:ascii="Arial" w:cs="Arial" w:eastAsia="Arial" w:hAnsi="Arial"/>
          <w:sz w:val="18"/>
          <w:szCs w:val="18"/>
          <w:color w:val="auto"/>
        </w:rPr>
      </w:pPr>
    </w:p>
    <w:p>
      <w:pPr>
        <w:ind w:left="1400" w:right="420" w:hanging="302"/>
        <w:spacing w:after="0" w:line="308" w:lineRule="auto"/>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monitor trends and best practices in director compensation and stock ownership guidelines and recommend changes to the Board as it deems appropriate in accordance with Schlumberger’s Corporate Governance Guidelines;</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400" w:right="240" w:hanging="302"/>
        <w:spacing w:after="0" w:line="264"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 and review the Company’s overall compensation and benefits program design to confirm continued competitiveness and consistency with established Company compensation philosophy, corporate strategy and objectives, and alignment with stockholder interests;</w:t>
      </w:r>
    </w:p>
    <w:p>
      <w:pPr>
        <w:spacing w:after="0" w:line="73" w:lineRule="exact"/>
        <w:rPr>
          <w:rFonts w:ascii="Arial" w:cs="Arial" w:eastAsia="Arial" w:hAnsi="Arial"/>
          <w:sz w:val="18"/>
          <w:szCs w:val="18"/>
          <w:color w:val="auto"/>
        </w:rPr>
      </w:pPr>
    </w:p>
    <w:p>
      <w:pPr>
        <w:ind w:left="1400" w:right="600" w:hanging="302"/>
        <w:spacing w:after="0" w:line="277"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stock ownership guidelines for executive officers and other key position holders;</w:t>
      </w:r>
    </w:p>
    <w:p>
      <w:pPr>
        <w:spacing w:after="0" w:line="117" w:lineRule="exact"/>
        <w:rPr>
          <w:rFonts w:ascii="Arial" w:cs="Arial" w:eastAsia="Arial" w:hAnsi="Arial"/>
          <w:sz w:val="18"/>
          <w:szCs w:val="18"/>
          <w:color w:val="auto"/>
        </w:rPr>
      </w:pPr>
    </w:p>
    <w:p>
      <w:pPr>
        <w:ind w:left="1400" w:right="140" w:hanging="302"/>
        <w:spacing w:after="0" w:line="277"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to be included in the Company’s annual proxy statement; and</w:t>
      </w:r>
    </w:p>
    <w:p>
      <w:pPr>
        <w:spacing w:after="0" w:line="62" w:lineRule="exact"/>
        <w:rPr>
          <w:rFonts w:ascii="Arial" w:cs="Arial" w:eastAsia="Arial" w:hAnsi="Arial"/>
          <w:sz w:val="18"/>
          <w:szCs w:val="18"/>
          <w:color w:val="auto"/>
        </w:rPr>
      </w:pPr>
    </w:p>
    <w:p>
      <w:pPr>
        <w:ind w:left="1400" w:right="220" w:hanging="302"/>
        <w:spacing w:after="0" w:line="277"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a Compensation Committee Report recommending to the Board that the CD&amp;A be included in the Company’s annual proxy statement.</w:t>
      </w:r>
    </w:p>
    <w:p>
      <w:pPr>
        <w:spacing w:after="0" w:line="76" w:lineRule="exact"/>
        <w:rPr>
          <w:sz w:val="20"/>
          <w:szCs w:val="20"/>
          <w:color w:val="auto"/>
        </w:rPr>
      </w:pPr>
    </w:p>
    <w:p>
      <w:pPr>
        <w:jc w:val="both"/>
        <w:ind w:left="700" w:right="260" w:firstLine="397"/>
        <w:spacing w:after="0" w:line="279" w:lineRule="auto"/>
        <w:rPr>
          <w:sz w:val="20"/>
          <w:szCs w:val="20"/>
          <w:color w:val="auto"/>
        </w:rPr>
      </w:pPr>
      <w:r>
        <w:rPr>
          <w:rFonts w:ascii="Arial" w:cs="Arial" w:eastAsia="Arial" w:hAnsi="Arial"/>
          <w:sz w:val="17"/>
          <w:szCs w:val="17"/>
          <w:color w:val="auto"/>
        </w:rPr>
        <w:t>The Compensation Committee may delegate specific responsibilities to one or more individual committee members to the extent permitted by law,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77"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The Compensation Committee has retained Pay Governance LLC (“Pay Governance”) as an independent consultant with respect to executive compensation matters. Pay Governance, which focuses on advising boards on executive compensation, was formed by former practitioners at the consulting firm Towers Watson (our former (our compensation consultant), which previously provided executive compensation advisory services to Schlumberger’s Compensation Committee.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each October, in advance of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w:t>
      </w:r>
    </w:p>
    <w:p>
      <w:pPr>
        <w:spacing w:after="0" w:line="74"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 independently determines each executive officer’s mix of total direct compensation based on the factors described in “Compensation Discussion and Analysis— Framework for Setting Executive Compensation in 2010—Relative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summarizes the approximate timing of significant compensation events:</w:t>
      </w:r>
    </w:p>
    <w:p>
      <w:pPr>
        <w:spacing w:after="0" w:line="159"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6303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Establish executive officer financial objective(s)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Establish executive officer personal objectives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Independent compensation consultant provides analysis for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Compensation Committee to evaluate executive compensation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Evaluate executive performance (achievement of objectives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established in previous fiscal year) and recommend compensation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based on those results</w:t>
      </w:r>
    </w:p>
    <w:p>
      <w:pPr>
        <w:spacing w:after="0" w:line="9"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Review and recommend base salary and determine stock option grants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January of each fiscal year for current year</w:t>
      </w:r>
    </w:p>
    <w:p>
      <w:pPr>
        <w:spacing w:after="0" w:line="2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Early in the first quarter of the fiscal year for current year October of each year for compensation in the following fiscal year</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Results approved in January of each fiscal year for annual cash incentive with respect to prior year. The incentive earned in prior fiscal year is paid in February of the current fiscal year.</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January of each fiscal year for base salary for that year and for stock options to be granted</w:t>
      </w:r>
    </w:p>
    <w:p>
      <w:pPr>
        <w:spacing w:after="0" w:line="89" w:lineRule="exact"/>
        <w:rPr>
          <w:sz w:val="20"/>
          <w:szCs w:val="20"/>
          <w:color w:val="auto"/>
        </w:rPr>
      </w:pPr>
    </w:p>
    <w:p>
      <w:pPr>
        <w:sectPr>
          <w:pgSz w:w="11900" w:h="16838" w:orient="portrait"/>
          <w:cols w:equalWidth="0" w:num="2">
            <w:col w:w="5440" w:space="420"/>
            <w:col w:w="4700"/>
          </w:cols>
          <w:pgMar w:left="240" w:top="419" w:right="1099" w:bottom="1440" w:gutter="0" w:footer="0" w:header="0"/>
          <w:type w:val="continuous"/>
        </w:sectPr>
      </w:pPr>
    </w:p>
    <w:p>
      <w:pPr>
        <w:ind w:left="700" w:right="100" w:firstLine="397"/>
        <w:spacing w:after="0" w:line="259" w:lineRule="auto"/>
        <w:rPr>
          <w:sz w:val="20"/>
          <w:szCs w:val="20"/>
          <w:color w:val="auto"/>
        </w:rPr>
      </w:pPr>
      <w:r>
        <w:rPr>
          <w:rFonts w:ascii="Arial" w:cs="Arial" w:eastAsia="Arial" w:hAnsi="Arial"/>
          <w:sz w:val="18"/>
          <w:szCs w:val="18"/>
          <w:color w:val="auto"/>
        </w:rPr>
        <w:t>The Compensation Committee has also retained Pay Governance as an independent consulting firm with respect to director compensation matters. As stated above, Pay Governance reports exclusively to and acts solely at the direction of the Compensation Committee. The consultant prepares an analysis of competitive non-employee director compensation levels and market trends using the same peer groups as those used in the executive compensation review.</w:t>
      </w:r>
    </w:p>
    <w:p>
      <w:pPr>
        <w:spacing w:after="0" w:line="92" w:lineRule="exact"/>
        <w:rPr>
          <w:sz w:val="20"/>
          <w:szCs w:val="20"/>
          <w:color w:val="auto"/>
        </w:rPr>
      </w:pPr>
    </w:p>
    <w:p>
      <w:pPr>
        <w:ind w:left="700" w:right="1040" w:firstLine="397"/>
        <w:spacing w:after="0" w:line="308" w:lineRule="auto"/>
        <w:rPr>
          <w:sz w:val="20"/>
          <w:szCs w:val="20"/>
          <w:color w:val="auto"/>
        </w:rPr>
      </w:pPr>
      <w:r>
        <w:rPr>
          <w:rFonts w:ascii="Arial" w:cs="Arial" w:eastAsia="Arial" w:hAnsi="Arial"/>
          <w:sz w:val="17"/>
          <w:szCs w:val="17"/>
          <w:color w:val="auto"/>
        </w:rPr>
        <w:t>The Compensation Committee operates pursuant to a written charter, which is available on the Company’s website at http://www.slb.com/about/guiding_principles/corpgovernance/compensation_committee.aspx.</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39" w:lineRule="exact"/>
        <w:rPr>
          <w:sz w:val="20"/>
          <w:szCs w:val="20"/>
          <w:color w:val="auto"/>
        </w:rPr>
      </w:pPr>
    </w:p>
    <w:p>
      <w:pPr>
        <w:ind w:left="700" w:right="20" w:firstLine="397"/>
        <w:spacing w:after="0" w:line="342" w:lineRule="auto"/>
        <w:rPr>
          <w:sz w:val="20"/>
          <w:szCs w:val="20"/>
          <w:color w:val="auto"/>
        </w:rPr>
      </w:pPr>
      <w:r>
        <w:rPr>
          <w:rFonts w:ascii="Arial" w:cs="Arial" w:eastAsia="Arial" w:hAnsi="Arial"/>
          <w:sz w:val="16"/>
          <w:szCs w:val="16"/>
          <w:color w:val="auto"/>
        </w:rPr>
        <w:t>The Nominating and Governance Committee is comprised of five directors, each of whom meets the independence requirements of the NYSE’s listing standards. The authority and responsibilities of the Nominating and Governance Committee include the following:</w:t>
      </w:r>
    </w:p>
    <w:p>
      <w:pPr>
        <w:spacing w:after="0" w:line="29" w:lineRule="exact"/>
        <w:rPr>
          <w:sz w:val="20"/>
          <w:szCs w:val="20"/>
          <w:color w:val="auto"/>
        </w:rPr>
      </w:pPr>
    </w:p>
    <w:p>
      <w:pPr>
        <w:ind w:left="1400" w:hanging="302"/>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117" w:lineRule="exact"/>
        <w:rPr>
          <w:rFonts w:ascii="Arial" w:cs="Arial" w:eastAsia="Arial" w:hAnsi="Arial"/>
          <w:sz w:val="18"/>
          <w:szCs w:val="18"/>
          <w:color w:val="auto"/>
        </w:rPr>
      </w:pPr>
    </w:p>
    <w:p>
      <w:pPr>
        <w:ind w:left="1400" w:right="740" w:hanging="302"/>
        <w:spacing w:after="0" w:line="277"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periodically review the qualifications and criteria taken into consideration in the evaluation of potential nominees for membership on the Board;</w:t>
      </w:r>
    </w:p>
    <w:p>
      <w:pPr>
        <w:spacing w:after="0" w:line="62" w:lineRule="exact"/>
        <w:rPr>
          <w:rFonts w:ascii="Arial" w:cs="Arial" w:eastAsia="Arial" w:hAnsi="Arial"/>
          <w:sz w:val="18"/>
          <w:szCs w:val="18"/>
          <w:color w:val="auto"/>
        </w:rPr>
      </w:pPr>
    </w:p>
    <w:p>
      <w:pPr>
        <w:ind w:left="1400" w:right="620" w:hanging="302"/>
        <w:spacing w:after="0" w:line="308" w:lineRule="auto"/>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recommend to the Board the number and names of proposed nominees for election as director at the annual meeting of stockholders and, in the case of a vacancy on the Board, the name of an individual to fill the vacancy;</w:t>
      </w:r>
    </w:p>
    <w:p>
      <w:pPr>
        <w:spacing w:after="0" w:line="38" w:lineRule="exact"/>
        <w:rPr>
          <w:rFonts w:ascii="Arial" w:cs="Arial" w:eastAsia="Arial" w:hAnsi="Arial"/>
          <w:sz w:val="17"/>
          <w:szCs w:val="17"/>
          <w:color w:val="auto"/>
        </w:rPr>
      </w:pPr>
    </w:p>
    <w:p>
      <w:pPr>
        <w:ind w:left="1400" w:right="60" w:hanging="302"/>
        <w:spacing w:after="0" w:line="308" w:lineRule="auto"/>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consider the resignation of a director who has changed his or her principal occupation or employer, and inform the Board as to whether or not the Nominating and Governance Committee recommends that the Board accept the resignation;</w:t>
      </w:r>
    </w:p>
    <w:p>
      <w:pPr>
        <w:spacing w:after="0" w:line="38" w:lineRule="exact"/>
        <w:rPr>
          <w:rFonts w:ascii="Arial" w:cs="Arial" w:eastAsia="Arial" w:hAnsi="Arial"/>
          <w:sz w:val="17"/>
          <w:szCs w:val="17"/>
          <w:color w:val="auto"/>
        </w:rPr>
      </w:pPr>
    </w:p>
    <w:p>
      <w:pPr>
        <w:ind w:left="1400" w:hanging="302"/>
        <w:spacing w:after="0" w:line="277"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the direct and indirect relationships of members of the Board with the Company or its management and assist the Board with its determination of the independence of its members;</w:t>
      </w:r>
    </w:p>
    <w:p>
      <w:pPr>
        <w:spacing w:after="0" w:line="62" w:lineRule="exact"/>
        <w:rPr>
          <w:rFonts w:ascii="Arial" w:cs="Arial" w:eastAsia="Arial" w:hAnsi="Arial"/>
          <w:sz w:val="18"/>
          <w:szCs w:val="18"/>
          <w:color w:val="auto"/>
        </w:rPr>
      </w:pPr>
    </w:p>
    <w:p>
      <w:pPr>
        <w:ind w:left="1400" w:right="100" w:hanging="302"/>
        <w:spacing w:after="0" w:line="264"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 trends and best practices in corporate governance, periodically review the Company’s Corporate Governance Guidelines and recommend changes as it deems appropriate in those guidelines, in the corporate governance provisions of the Company’s By-Laws and in the policies and practices of the Board;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the functions of the Committee under the Company’s Policy with respect to Related Person Transactions;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right="240" w:hanging="302"/>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review and make recommendations to the Board regarding its process for evaluating the effectiveness of the Board and its committees;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the annual assessment of Board effectiveness and report to the Board;</w:t>
      </w:r>
    </w:p>
    <w:p>
      <w:pPr>
        <w:spacing w:after="0" w:line="117" w:lineRule="exact"/>
        <w:rPr>
          <w:rFonts w:ascii="Arial" w:cs="Arial" w:eastAsia="Arial" w:hAnsi="Arial"/>
          <w:sz w:val="18"/>
          <w:szCs w:val="18"/>
          <w:color w:val="auto"/>
        </w:rPr>
      </w:pPr>
    </w:p>
    <w:p>
      <w:pPr>
        <w:ind w:left="1400" w:right="540" w:hanging="302"/>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regarding new director orientation and director continuing education;</w:t>
      </w:r>
    </w:p>
    <w:p>
      <w:pPr>
        <w:spacing w:after="0" w:line="62" w:lineRule="exact"/>
        <w:rPr>
          <w:rFonts w:ascii="Arial" w:cs="Arial" w:eastAsia="Arial" w:hAnsi="Arial"/>
          <w:sz w:val="18"/>
          <w:szCs w:val="18"/>
          <w:color w:val="auto"/>
        </w:rPr>
      </w:pPr>
    </w:p>
    <w:p>
      <w:pPr>
        <w:ind w:left="1400" w:right="480" w:hanging="302"/>
        <w:spacing w:after="0" w:line="277"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recommend to the Board committee membership and chairs, and review periodically with the Board committee rotation practices;</w:t>
      </w:r>
    </w:p>
    <w:p>
      <w:pPr>
        <w:spacing w:after="0" w:line="62" w:lineRule="exact"/>
        <w:rPr>
          <w:rFonts w:ascii="Arial" w:cs="Arial" w:eastAsia="Arial" w:hAnsi="Arial"/>
          <w:sz w:val="18"/>
          <w:szCs w:val="18"/>
          <w:color w:val="auto"/>
        </w:rPr>
      </w:pPr>
    </w:p>
    <w:p>
      <w:pPr>
        <w:ind w:left="1400" w:right="20" w:hanging="302"/>
        <w:spacing w:after="0" w:line="264"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 and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39"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76" w:lineRule="exact"/>
        <w:rPr>
          <w:sz w:val="20"/>
          <w:szCs w:val="20"/>
          <w:color w:val="auto"/>
        </w:rPr>
      </w:pPr>
    </w:p>
    <w:p>
      <w:pPr>
        <w:ind w:left="1400" w:hanging="302"/>
        <w:spacing w:after="0"/>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recommend investment and derivative guidelines for the cash and currency exposures of the Company and its subsidiaries;</w:t>
      </w:r>
    </w:p>
    <w:p>
      <w:pPr>
        <w:spacing w:after="0" w:line="140" w:lineRule="exact"/>
        <w:rPr>
          <w:rFonts w:ascii="Arial" w:cs="Arial" w:eastAsia="Arial" w:hAnsi="Arial"/>
          <w:sz w:val="16"/>
          <w:szCs w:val="16"/>
          <w:color w:val="auto"/>
        </w:rPr>
      </w:pPr>
    </w:p>
    <w:p>
      <w:pPr>
        <w:ind w:left="1400" w:hanging="302"/>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130" w:lineRule="exact"/>
        <w:rPr>
          <w:rFonts w:ascii="Arial" w:cs="Arial" w:eastAsia="Arial" w:hAnsi="Arial"/>
          <w:sz w:val="18"/>
          <w:szCs w:val="18"/>
          <w:color w:val="auto"/>
        </w:rPr>
      </w:pPr>
    </w:p>
    <w:p>
      <w:pPr>
        <w:ind w:left="2080" w:right="200" w:hanging="483"/>
        <w:spacing w:after="0" w:line="277" w:lineRule="auto"/>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spacing w:after="0" w:line="8" w:lineRule="exact"/>
        <w:rPr>
          <w:rFonts w:ascii="Arial" w:cs="Arial" w:eastAsia="Arial" w:hAnsi="Arial"/>
          <w:sz w:val="18"/>
          <w:szCs w:val="18"/>
          <w:color w:val="auto"/>
        </w:rPr>
      </w:pPr>
    </w:p>
    <w:p>
      <w:pPr>
        <w:ind w:left="2080" w:hanging="483"/>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63" w:lineRule="exact"/>
        <w:rPr>
          <w:rFonts w:ascii="Arial" w:cs="Arial" w:eastAsia="Arial" w:hAnsi="Arial"/>
          <w:sz w:val="18"/>
          <w:szCs w:val="18"/>
          <w:color w:val="auto"/>
        </w:rPr>
      </w:pPr>
    </w:p>
    <w:p>
      <w:pPr>
        <w:ind w:left="2080" w:hanging="483"/>
        <w:spacing w:after="0"/>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76"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117" w:lineRule="exact"/>
        <w:rPr>
          <w:rFonts w:ascii="Arial" w:cs="Arial" w:eastAsia="Arial" w:hAnsi="Arial"/>
          <w:sz w:val="18"/>
          <w:szCs w:val="18"/>
          <w:color w:val="auto"/>
        </w:rPr>
      </w:pPr>
    </w:p>
    <w:p>
      <w:pPr>
        <w:ind w:left="1400" w:right="400" w:hanging="302"/>
        <w:spacing w:after="0" w:line="277"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spacing w:after="0" w:line="62"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131" w:lineRule="exact"/>
        <w:rPr>
          <w:sz w:val="20"/>
          <w:szCs w:val="20"/>
          <w:color w:val="auto"/>
        </w:rPr>
      </w:pPr>
    </w:p>
    <w:p>
      <w:pPr>
        <w:ind w:left="700" w:right="1500" w:firstLine="397"/>
        <w:spacing w:after="0" w:line="308" w:lineRule="auto"/>
        <w:rPr>
          <w:sz w:val="20"/>
          <w:szCs w:val="20"/>
          <w:color w:val="auto"/>
        </w:rPr>
      </w:pPr>
      <w:r>
        <w:rPr>
          <w:rFonts w:ascii="Arial" w:cs="Arial" w:eastAsia="Arial" w:hAnsi="Arial"/>
          <w:sz w:val="17"/>
          <w:szCs w:val="17"/>
          <w:color w:val="auto"/>
        </w:rPr>
        <w:t>The Finance Committee operates pursuant to a written charter, which is available on the Company’s website at http://www.slb.com/about/guiding_principles/corpgovernance/finance_committee.aspx.</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Technology Committee</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Technology Committee advises the Board and management on various matters, including the following:</w:t>
      </w:r>
    </w:p>
    <w:p>
      <w:pPr>
        <w:spacing w:after="0" w:line="131" w:lineRule="exact"/>
        <w:rPr>
          <w:sz w:val="20"/>
          <w:szCs w:val="20"/>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strategies and priorities; and</w:t>
      </w:r>
    </w:p>
    <w:p>
      <w:pPr>
        <w:spacing w:after="0" w:line="117" w:lineRule="exact"/>
        <w:rPr>
          <w:rFonts w:ascii="Arial" w:cs="Arial" w:eastAsia="Arial" w:hAnsi="Arial"/>
          <w:sz w:val="18"/>
          <w:szCs w:val="18"/>
          <w:color w:val="auto"/>
        </w:rPr>
      </w:pPr>
    </w:p>
    <w:p>
      <w:pPr>
        <w:ind w:left="1400" w:right="800" w:hanging="302"/>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and relevance of programs dealing with scientific research, development, information and manufacturing technology, systems integration and university relationships.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260" w:firstLine="397"/>
        <w:spacing w:after="0" w:line="277" w:lineRule="auto"/>
        <w:rPr>
          <w:sz w:val="20"/>
          <w:szCs w:val="20"/>
          <w:color w:val="auto"/>
        </w:rPr>
      </w:pPr>
      <w:r>
        <w:rPr>
          <w:rFonts w:ascii="Arial" w:cs="Arial" w:eastAsia="Arial" w:hAnsi="Arial"/>
          <w:sz w:val="18"/>
          <w:szCs w:val="18"/>
          <w:color w:val="auto"/>
        </w:rPr>
        <w:t>The Technology Committee operates pursuant to a written charter, which is available on the Company’s website at http://www.slb.com/about/guiding_principles/corpgovernance/tech_committee.aspx.</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 with the Board</w:t>
      </w:r>
    </w:p>
    <w:p>
      <w:pPr>
        <w:spacing w:after="0" w:line="243"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Board has established a process for all interested parties, including stockholders and other security holders, to send communications, other than sales-related communications, to one or more of its members. Interested parties may contact the Board or any Schlumberger director (including the lead director) by writing to them at the following address:</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77056</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24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Board’s policy regarding director attendance at the annual general meeting of stockholders is that directors are welcome to attend, and that the Company will make all appropriate arrangements for directors who choose to attend. One director attended the annual general meeting of stockholders in 2010.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243"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5% stockholder of the Company since the beginning of the previous fiscal year, and their immediate family members. The policy applies to any transaction in which:</w:t>
      </w:r>
    </w:p>
    <w:p>
      <w:pPr>
        <w:spacing w:after="0" w:line="92" w:lineRule="exact"/>
        <w:rPr>
          <w:sz w:val="20"/>
          <w:szCs w:val="20"/>
          <w:color w:val="auto"/>
        </w:rPr>
      </w:pPr>
    </w:p>
    <w:p>
      <w:pPr>
        <w:ind w:left="1400" w:hanging="302"/>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117" w:lineRule="exact"/>
        <w:rPr>
          <w:rFonts w:ascii="Arial" w:cs="Arial" w:eastAsia="Arial" w:hAnsi="Arial"/>
          <w:sz w:val="18"/>
          <w:szCs w:val="18"/>
          <w:color w:val="auto"/>
        </w:rPr>
      </w:pPr>
    </w:p>
    <w:p>
      <w:pPr>
        <w:ind w:left="1400" w:right="40" w:hanging="302"/>
        <w:spacing w:after="0" w:line="277"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involved exceeds $120,000, but excludes any transaction that does not require disclosure under Item 404(a) of SEC Regulation S-K.</w:t>
      </w:r>
    </w:p>
    <w:p>
      <w:pPr>
        <w:spacing w:after="0" w:line="76" w:lineRule="exact"/>
        <w:rPr>
          <w:sz w:val="20"/>
          <w:szCs w:val="20"/>
          <w:color w:val="auto"/>
        </w:rPr>
      </w:pPr>
    </w:p>
    <w:p>
      <w:pPr>
        <w:jc w:val="both"/>
        <w:ind w:left="700" w:right="180" w:firstLine="397"/>
        <w:spacing w:after="0" w:line="279" w:lineRule="auto"/>
        <w:rPr>
          <w:sz w:val="20"/>
          <w:szCs w:val="20"/>
          <w:color w:val="auto"/>
        </w:rPr>
      </w:pPr>
      <w:r>
        <w:rPr>
          <w:rFonts w:ascii="Arial" w:cs="Arial" w:eastAsia="Arial" w:hAnsi="Arial"/>
          <w:sz w:val="17"/>
          <w:szCs w:val="17"/>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2010, there were no related person transactions under the relevant standards.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 Guidelines and Code of Ethics</w:t>
      </w:r>
    </w:p>
    <w:p>
      <w:pPr>
        <w:spacing w:after="0" w:line="243"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http://www.slb.com/about/guiding_principles.aspx.</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ITEM 2. ADVISORY RESOLUTION ON EXECUTIVE COMPENSATION</w:t>
      </w:r>
    </w:p>
    <w:p>
      <w:pPr>
        <w:spacing w:after="0" w:line="243" w:lineRule="exact"/>
        <w:rPr>
          <w:sz w:val="20"/>
          <w:szCs w:val="20"/>
          <w:color w:val="auto"/>
        </w:rPr>
      </w:pPr>
    </w:p>
    <w:p>
      <w:pPr>
        <w:ind w:left="700" w:right="180" w:firstLine="397"/>
        <w:spacing w:after="0" w:line="286" w:lineRule="auto"/>
        <w:rPr>
          <w:sz w:val="20"/>
          <w:szCs w:val="20"/>
          <w:color w:val="auto"/>
        </w:rPr>
      </w:pPr>
      <w:r>
        <w:rPr>
          <w:rFonts w:ascii="Arial" w:cs="Arial" w:eastAsia="Arial" w:hAnsi="Arial"/>
          <w:sz w:val="17"/>
          <w:szCs w:val="17"/>
          <w:color w:val="auto"/>
        </w:rPr>
        <w:t>We are asking stockholders to approve an advisory resolution on the Company’s executive compensation as reported in this proxy statement. As described above in the “Compensation Discussion and Analysis” section of this proxy statement, the Compensation Committee has structured our executive compensation program to achieve the following key objectives:</w:t>
      </w:r>
    </w:p>
    <w:p>
      <w:pPr>
        <w:spacing w:after="0" w:line="71" w:lineRule="exact"/>
        <w:rPr>
          <w:sz w:val="20"/>
          <w:szCs w:val="20"/>
          <w:color w:val="auto"/>
        </w:rPr>
      </w:pPr>
    </w:p>
    <w:p>
      <w:pPr>
        <w:ind w:left="1400" w:hanging="302"/>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117" w:lineRule="exact"/>
        <w:rPr>
          <w:rFonts w:ascii="Arial" w:cs="Arial" w:eastAsia="Arial" w:hAnsi="Arial"/>
          <w:sz w:val="18"/>
          <w:szCs w:val="18"/>
          <w:color w:val="auto"/>
        </w:rPr>
      </w:pPr>
    </w:p>
    <w:p>
      <w:pPr>
        <w:ind w:left="1400" w:right="60" w:hanging="302"/>
        <w:spacing w:after="0" w:line="277"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personal objectives while balancing rewards for short-term and long-term performance; and</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131"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We urge stockholders to read the “Compensation Discussion and Analysis”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38 through 50,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83"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accordance with recently adopted Section 14A of the Exchange Act, and as a matter of good corporate governance, we are asking stockholders to approve the following advisory resolution at the 2011 annual general meeting of stockholders:</w:t>
      </w:r>
    </w:p>
    <w:p>
      <w:pPr>
        <w:spacing w:after="0" w:line="76" w:lineRule="exact"/>
        <w:rPr>
          <w:sz w:val="20"/>
          <w:szCs w:val="20"/>
          <w:color w:val="auto"/>
        </w:rPr>
      </w:pPr>
    </w:p>
    <w:p>
      <w:pPr>
        <w:ind w:left="1080" w:right="240" w:firstLine="381"/>
        <w:spacing w:after="0" w:line="259" w:lineRule="auto"/>
        <w:rPr>
          <w:sz w:val="20"/>
          <w:szCs w:val="20"/>
          <w:color w:val="auto"/>
        </w:rPr>
      </w:pPr>
      <w:r>
        <w:rPr>
          <w:rFonts w:ascii="Arial" w:cs="Arial" w:eastAsia="Arial" w:hAnsi="Arial"/>
          <w:sz w:val="18"/>
          <w:szCs w:val="18"/>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2011 annual general meeting of stockholders.</w:t>
      </w:r>
    </w:p>
    <w:p>
      <w:pPr>
        <w:spacing w:after="0" w:line="9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 xml:space="preserve">A majority of the votes cast is required to approve this Item 2. </w:t>
      </w:r>
      <w:r>
        <w:rPr>
          <w:rFonts w:ascii="Arial" w:cs="Arial" w:eastAsia="Arial" w:hAnsi="Arial"/>
          <w:sz w:val="17"/>
          <w:szCs w:val="17"/>
          <w:i w:val="1"/>
          <w:iCs w:val="1"/>
          <w:color w:val="auto"/>
        </w:rPr>
        <w:t>Brokers do not have discretion to vote on this proposal without your</w:t>
      </w:r>
      <w:r>
        <w:rPr>
          <w:rFonts w:ascii="Arial" w:cs="Arial" w:eastAsia="Arial" w:hAnsi="Arial"/>
          <w:sz w:val="17"/>
          <w:szCs w:val="17"/>
          <w:color w:val="auto"/>
        </w:rPr>
        <w:t xml:space="preserve"> </w:t>
      </w:r>
      <w:r>
        <w:rPr>
          <w:rFonts w:ascii="Arial" w:cs="Arial" w:eastAsia="Arial" w:hAnsi="Arial"/>
          <w:sz w:val="17"/>
          <w:szCs w:val="17"/>
          <w:i w:val="1"/>
          <w:iCs w:val="1"/>
          <w:color w:val="auto"/>
        </w:rPr>
        <w:t>instruction. If you do not instruct your broker how to vote on this proposal, your broker will deliver a non-vote on this proposal.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that you vote “FOR” approval of the advisory vote on executive compensation.</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ITEM 3. ADVISORY VOTE ON THE FREQUENCY OF FUTURE ADVISORY VOTES ON EXECUTIVE COMPENSATION</w:t>
      </w:r>
    </w:p>
    <w:p>
      <w:pPr>
        <w:spacing w:after="0" w:line="243" w:lineRule="exact"/>
        <w:rPr>
          <w:sz w:val="20"/>
          <w:szCs w:val="20"/>
          <w:color w:val="auto"/>
        </w:rPr>
      </w:pPr>
    </w:p>
    <w:p>
      <w:pPr>
        <w:jc w:val="both"/>
        <w:ind w:left="700" w:right="420" w:firstLine="397"/>
        <w:spacing w:after="0" w:line="264" w:lineRule="auto"/>
        <w:rPr>
          <w:sz w:val="20"/>
          <w:szCs w:val="20"/>
          <w:color w:val="auto"/>
        </w:rPr>
      </w:pPr>
      <w:r>
        <w:rPr>
          <w:rFonts w:ascii="Arial" w:cs="Arial" w:eastAsia="Arial" w:hAnsi="Arial"/>
          <w:sz w:val="18"/>
          <w:szCs w:val="18"/>
          <w:color w:val="auto"/>
        </w:rPr>
        <w:t>Pursuant to recently adopted Section 14A of the Exchange Act, we are asking the Company’s stockholders to vote on whether future advisory votes on executive compensation of the nature reflected in Item 2 above should occur every year, every two years or every three years.</w:t>
      </w:r>
    </w:p>
    <w:p>
      <w:pPr>
        <w:spacing w:after="0" w:line="8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After careful consideration, the Board of Directors recommends that future advisory votes on executive compensation occur every two years (biennially). We believe that a biennial advisory vote on executive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88" w:lineRule="auto"/>
        <w:rPr>
          <w:sz w:val="20"/>
          <w:szCs w:val="20"/>
          <w:color w:val="auto"/>
        </w:rPr>
      </w:pPr>
      <w:r>
        <w:rPr>
          <w:rFonts w:ascii="Arial" w:cs="Arial" w:eastAsia="Arial" w:hAnsi="Arial"/>
          <w:sz w:val="16"/>
          <w:szCs w:val="16"/>
          <w:color w:val="auto"/>
        </w:rPr>
        <w:t>compensation reflects the appropriate time frame to enable the Compensation Committee and the Board of Directors to evaluate the results of the most recent advisory vote on executive compensation, to discuss the implications of that vote with stockholders to the extent needed, to develop and implement any adjustments to our executive compensation programs that may be appropriate in light of a past advisory vote on executive compensation, and for stockholders to see and evaluate any such adjustments to our executive compensation programs. In this regard, because the advisory vote on executive compensation occurs after we already have implemented our executive compensation programs for the current year, and because the different elements of compensation are designed to operate in an integrated manner and to complement one another, we expect that in many cases it may not be appropriate or feasible to fully address and respond to any one year’s advisory vote on executive compensation by the time of the following year’s annual general meeting of stockholders. In addition, a biennial vote is consistent with the long-term performance focus of our executive compensation programs as it allows stockholders to evaluate our executive compensation programs over a multi-year horizon in a business that is cyclical.</w:t>
      </w:r>
    </w:p>
    <w:p>
      <w:pPr>
        <w:spacing w:after="0" w:line="7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Board of Directors is aware of and took into account views that some have expressed in support of conducting an annual advisory vote on executive compensation. We are aware that some stockholders believe that annual advisory votes will enhance or reinforce accountability. However, we have in the past and will in the future continue to be proactively engaged with our stockholders on a number of topics and in a number of forums. Thus, we view the advisory vote on executive compensation as an additional, but not exclusive, means for our stockholders to communicate with us regarding their views on the Company’s executive compensation programs.</w:t>
      </w:r>
    </w:p>
    <w:p>
      <w:pPr>
        <w:spacing w:after="0" w:line="99"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We believe that the many avenues that have and will continue to exist for stockholder engagement differentiate the Company from the situation that exists in certain countries where an annual advisory vote on executive compensation is prevalent. In addition, the fact that all of our directors stand for election annually in our view provides appropriate assurances of Board accountability. Also, because our executive compensation programs have typically not changed materially from year-to-year and are designed to operate over the long-term and to enhance long-term performance, we are concerned that an annual advisory vote on executive compensation could lead to a short-term perspective inappropriately bearing on our executive compensation programs. Finally, although we currently believe that holding an advisory vote on executive compensation every two years will reflect the right balance of considerations in the normal course, we will periodically reassess that view and can provide for an advisory vote on executive compensation on a more frequent basis if changes in our compensation programs or other circumstances suggest that such a vote would be appropriate.</w:t>
      </w:r>
    </w:p>
    <w:p>
      <w:pPr>
        <w:spacing w:after="0" w:line="72"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We understand that our stockholders may have different views as to what is an appropriate frequency for advisory votes on executive compensation, and we will carefully review the voting results on this proposal. Stockholders will be able to specify one of four choices for this proposal on the proxy card: one year, two years, three years or abstain. Stockholders are not voting to approve or disapprove the Board’s recommendation. This advisory vote on the frequency of future advisory votes on executive compensation is not binding on the Board of Directors or Schlumberger in any way. 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 xml:space="preserve">A majority of the votes cast is required to approve this Item 3. </w:t>
      </w:r>
      <w:r>
        <w:rPr>
          <w:rFonts w:ascii="Arial" w:cs="Arial" w:eastAsia="Arial" w:hAnsi="Arial"/>
          <w:sz w:val="17"/>
          <w:szCs w:val="17"/>
          <w:i w:val="1"/>
          <w:iCs w:val="1"/>
          <w:color w:val="auto"/>
        </w:rPr>
        <w:t>Brokers do not have discretion to vote on this proposal without your</w:t>
      </w:r>
      <w:r>
        <w:rPr>
          <w:rFonts w:ascii="Arial" w:cs="Arial" w:eastAsia="Arial" w:hAnsi="Arial"/>
          <w:sz w:val="17"/>
          <w:szCs w:val="17"/>
          <w:color w:val="auto"/>
        </w:rPr>
        <w:t xml:space="preserve"> </w:t>
      </w:r>
      <w:r>
        <w:rPr>
          <w:rFonts w:ascii="Arial" w:cs="Arial" w:eastAsia="Arial" w:hAnsi="Arial"/>
          <w:sz w:val="17"/>
          <w:szCs w:val="17"/>
          <w:i w:val="1"/>
          <w:iCs w:val="1"/>
          <w:color w:val="auto"/>
        </w:rPr>
        <w:t>instruction. If you do not instruct your broker how to vote on this proposal, your broker will deliver a non-vote on this proposal.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The Board of Directors recommends that you vote to conduct future advisory votes on executive compensation every two years.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3"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following Compensation Discussion and Analysis (“CD&amp;A”) describes Schlumberger’s compensation policies and practices as they relate to the executive officers identified in the Summary Compensation Table below (the “named executive officers” or the “NEOs”). The purpose of the CD&amp;A is to explain what the elements of compensation are; why the Compensation Committee selects these elements; and how the Compensation Committee determines the relative size of each element of compensation. Included in this CD&amp;A are decisions made in 2010 affecting 2010 base salaries and long-term incentives, as well as annual cash incentive awards earned in 2010 but paid in February 2011.</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2010 Executive Summary</w:t>
      </w: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2010 Overview</w:t>
      </w:r>
    </w:p>
    <w:p>
      <w:pPr>
        <w:spacing w:after="0" w:line="239"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In 2010, Schlumberger, like the rest of the oil and gas industry, continued to face an uncertain and challenging economic climate, evidenced by depressed exploration and production activity, particularly in the US, and pricing pressure in many markets. In response, Schlumberger’s management undertook significant cost control measures in 2010 and took other actions to maintain profitability during this difficult period. The oil and gas industry was also affected by the Macondo well catastrophe in April 2010 and the ensuing moratorium on exploration in the Gulf of Mexico. Schlumberger responded by taking swift action to redeploy field personnel out of the Gulf area where possible and to reduce headcount when other solutions were not possible.</w:t>
      </w:r>
    </w:p>
    <w:p>
      <w:pPr>
        <w:spacing w:after="0" w:line="8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Despite the economic challenges the Company faced in 2010, full-year revenue reached $27.45 billion, representing organic growth of approximately 5%, and the Company returned approximately $2.75 billion to its stockholders through dividends and stock repurchases. 2010 was also a year of tremendous positive change for the Company, highlighted by such significant events as the acquisitions of Smith International an $11 billion transaction, and Geoservices, a $1 billion transaction. The acquisitions complement the Company’s operations, product development and expertise, and enhance the Company’s overall breadth and global competitiveness. Furthermore, Schlumberger management took several other key operational, strategic and economic measures in 2010 to better position the Company for the long-term, in addition to the acquisitions of Smith and Geoservices and the cost-control measures described above. Schlumberger’s executives also achieved the following goals, many of which were also aligned with their individual objectives:</w:t>
      </w:r>
    </w:p>
    <w:p>
      <w:pPr>
        <w:spacing w:after="0" w:line="72" w:lineRule="exact"/>
        <w:rPr>
          <w:sz w:val="20"/>
          <w:szCs w:val="20"/>
          <w:color w:val="auto"/>
        </w:rPr>
      </w:pPr>
    </w:p>
    <w:p>
      <w:pPr>
        <w:ind w:left="1400" w:hanging="302"/>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valuable technical employees;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continuing Schlumberger’s technology leadership by investing approximately $919 million in research and engineering;</w:t>
      </w:r>
    </w:p>
    <w:p>
      <w:pPr>
        <w:spacing w:after="0" w:line="128" w:lineRule="exact"/>
        <w:rPr>
          <w:rFonts w:ascii="Arial" w:cs="Arial" w:eastAsia="Arial" w:hAnsi="Arial"/>
          <w:sz w:val="17"/>
          <w:szCs w:val="17"/>
          <w:color w:val="auto"/>
        </w:rPr>
      </w:pPr>
    </w:p>
    <w:p>
      <w:pPr>
        <w:ind w:left="1400" w:hanging="302"/>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implementing mechanisms necessary to keep costs in line with activity;</w:t>
      </w:r>
    </w:p>
    <w:p>
      <w:pPr>
        <w:spacing w:after="0" w:line="117" w:lineRule="exact"/>
        <w:rPr>
          <w:rFonts w:ascii="Arial" w:cs="Arial" w:eastAsia="Arial" w:hAnsi="Arial"/>
          <w:sz w:val="18"/>
          <w:szCs w:val="18"/>
          <w:color w:val="auto"/>
        </w:rPr>
      </w:pPr>
    </w:p>
    <w:p>
      <w:pPr>
        <w:ind w:left="1400" w:right="620" w:hanging="302"/>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improve execution through the refinement of the Company’s Engineering, Manufacturing and Sustaining organization and its “Excellence in Execution” initiative; and</w:t>
      </w:r>
    </w:p>
    <w:p>
      <w:pPr>
        <w:spacing w:after="0" w:line="62" w:lineRule="exact"/>
        <w:rPr>
          <w:rFonts w:ascii="Arial" w:cs="Arial" w:eastAsia="Arial" w:hAnsi="Arial"/>
          <w:sz w:val="18"/>
          <w:szCs w:val="18"/>
          <w:color w:val="auto"/>
        </w:rPr>
      </w:pPr>
    </w:p>
    <w:p>
      <w:pPr>
        <w:ind w:left="1400" w:right="540" w:hanging="302"/>
        <w:spacing w:after="0" w:line="277"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beginning to integrate the Smith and Geoservices businesses and realizing expected Smith-related synergies sooner than expected.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131"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Schlumberger has a very strong pay-for-performance culture that runs through the whole Company and starts at the top with the named executive officers. The Company believes that attracting and retaining the best talent is key to delivering superior stockholder returns, and that a competitive compensation package is critical to achieving this. As the world’s leading oilfield services company, the Company places critical importance on recruiting, developing, motivating and retaining top talent, both in the short-term and long-term. To this end, the Compensation Committee seeks to offer a competitive compensation package and generally seeks to provide compensation to the executive officers that is between the 50th and 75th percentiles of the two comparator groups. This range is a guideline, and the Compensation Committee retains the flexibility to set</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312" w:lineRule="auto"/>
        <w:rPr>
          <w:sz w:val="20"/>
          <w:szCs w:val="20"/>
          <w:color w:val="auto"/>
        </w:rPr>
      </w:pPr>
      <w:r>
        <w:rPr>
          <w:rFonts w:ascii="Arial" w:cs="Arial" w:eastAsia="Arial" w:hAnsi="Arial"/>
          <w:sz w:val="16"/>
          <w:szCs w:val="16"/>
          <w:color w:val="auto"/>
        </w:rPr>
        <w:t>elements of target compensation at higher percentiles for strong business performance, for key skills in critical demand, and for positions that are of high internal value. In exceptional circumstances, the Company pays above the 75th percentile for performance that significantly exceeds the Company’s and the individual’s goals, or for purposes of motivation, reward and retention.</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important aspects of the executive compensation program discussed later in this CD&amp;A.</w:t>
      </w:r>
    </w:p>
    <w:p>
      <w:pPr>
        <w:spacing w:after="0" w:line="131" w:lineRule="exact"/>
        <w:rPr>
          <w:sz w:val="20"/>
          <w:szCs w:val="20"/>
          <w:color w:val="auto"/>
        </w:rPr>
      </w:pPr>
    </w:p>
    <w:p>
      <w:pPr>
        <w:ind w:left="1400" w:hanging="302"/>
        <w:spacing w:after="0"/>
        <w:tabs>
          <w:tab w:leader="none" w:pos="1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key elements of the program are base salary; performance-based annual cash incentive; and long-term equity incentives.</w:t>
      </w:r>
    </w:p>
    <w:p>
      <w:pPr>
        <w:spacing w:after="0" w:line="140" w:lineRule="exact"/>
        <w:rPr>
          <w:rFonts w:ascii="Arial" w:cs="Arial" w:eastAsia="Arial" w:hAnsi="Arial"/>
          <w:sz w:val="16"/>
          <w:szCs w:val="16"/>
          <w:color w:val="auto"/>
        </w:rPr>
      </w:pPr>
    </w:p>
    <w:p>
      <w:pPr>
        <w:ind w:left="1400" w:right="640" w:hanging="302"/>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variable compensation that is at risk, in order to align executive compensation with the Company’s business strategy and create long-term stockholder value.</w:t>
      </w:r>
    </w:p>
    <w:p>
      <w:pPr>
        <w:spacing w:after="0" w:line="62" w:lineRule="exact"/>
        <w:rPr>
          <w:rFonts w:ascii="Arial" w:cs="Arial" w:eastAsia="Arial" w:hAnsi="Arial"/>
          <w:sz w:val="18"/>
          <w:szCs w:val="18"/>
          <w:color w:val="auto"/>
        </w:rPr>
      </w:pPr>
    </w:p>
    <w:p>
      <w:pPr>
        <w:ind w:left="1400" w:right="20" w:hanging="302"/>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Schlumberger executives have no employment, severance or change-in-control agreements (other than employment agreements for some executives who are transitioning into retirement).</w:t>
      </w:r>
    </w:p>
    <w:p>
      <w:pPr>
        <w:spacing w:after="0" w:line="62" w:lineRule="exact"/>
        <w:rPr>
          <w:rFonts w:ascii="Arial" w:cs="Arial" w:eastAsia="Arial" w:hAnsi="Arial"/>
          <w:sz w:val="18"/>
          <w:szCs w:val="18"/>
          <w:color w:val="auto"/>
        </w:rPr>
      </w:pPr>
    </w:p>
    <w:p>
      <w:pPr>
        <w:ind w:left="1400" w:right="240" w:hanging="302"/>
        <w:spacing w:after="0" w:line="342" w:lineRule="auto"/>
        <w:tabs>
          <w:tab w:leader="none" w:pos="1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Executives are offered very limited perquisites and do not participate in any executive pension or insurance plans, other than those providing supplemental benefits (available to all eligible employees) to cover income that exceeds plan limits.</w:t>
      </w:r>
    </w:p>
    <w:p>
      <w:pPr>
        <w:spacing w:after="0" w:line="15" w:lineRule="exact"/>
        <w:rPr>
          <w:rFonts w:ascii="Arial" w:cs="Arial" w:eastAsia="Arial" w:hAnsi="Arial"/>
          <w:sz w:val="16"/>
          <w:szCs w:val="16"/>
          <w:color w:val="auto"/>
        </w:rPr>
      </w:pPr>
    </w:p>
    <w:p>
      <w:pPr>
        <w:ind w:left="1400" w:right="320" w:hanging="302"/>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Schlumberger has a compensation recovery, or “clawback,” policy that allows the Board to recoup performance-based cash awards in the event of specified restatements of financial results.</w:t>
      </w:r>
    </w:p>
    <w:p>
      <w:pPr>
        <w:spacing w:after="0" w:line="62" w:lineRule="exact"/>
        <w:rPr>
          <w:rFonts w:ascii="Arial" w:cs="Arial" w:eastAsia="Arial" w:hAnsi="Arial"/>
          <w:sz w:val="18"/>
          <w:szCs w:val="18"/>
          <w:color w:val="auto"/>
        </w:rPr>
      </w:pPr>
    </w:p>
    <w:p>
      <w:pPr>
        <w:ind w:left="1400" w:hanging="302"/>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Schlumberger’s executives are subject to stock ownership guidelines and are prohibited from hedging against the economic risk of such ownership.</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Decisions in 2010</w:t>
      </w:r>
    </w:p>
    <w:p>
      <w:pPr>
        <w:spacing w:after="0" w:line="23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main elements and goals of Schlumberger’s executive compensation program did not change from fiscal year 2009 to fiscal year 2010. However, the Compensation Committee continued to focus on achieving the right mix and level of compensation to retain and motivate top executives through the difficult business conditions that prevailed through 2010.</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Compensation Committee took the following actions for 2010:</w:t>
      </w:r>
    </w:p>
    <w:p>
      <w:pPr>
        <w:spacing w:after="0" w:line="131" w:lineRule="exact"/>
        <w:rPr>
          <w:sz w:val="20"/>
          <w:szCs w:val="20"/>
          <w:color w:val="auto"/>
        </w:rPr>
      </w:pPr>
    </w:p>
    <w:p>
      <w:pPr>
        <w:ind w:left="1400" w:right="140" w:hanging="302"/>
        <w:spacing w:after="0" w:line="273" w:lineRule="auto"/>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the result of a management reorganization to prepare for the future succession of the CEO, Paal Kibsgaard was appointed Chief Operating Officer effective February 8, 2010. As a consequence, Mr. Kibsgaard’s salary was increased from 600,000 Euros to 750,000 Euros and his performance-based annual incentive range from 0-75% to 0-100%. Also effective February 8, Mr. Belani was appointed President, Reservoir Characterization Group, replacing Mr. Kibsgaard, and his salary was increased from 500,000 Euros to 550,000 Euros. At the same time, Mr. Sbiti, previously Executive Vice President, Schlumberger Limited, became Executive Advisor to the Chairman and CEO.</w:t>
      </w:r>
    </w:p>
    <w:p>
      <w:pPr>
        <w:spacing w:after="0" w:line="70" w:lineRule="exact"/>
        <w:rPr>
          <w:rFonts w:ascii="Arial" w:cs="Arial" w:eastAsia="Arial" w:hAnsi="Arial"/>
          <w:sz w:val="17"/>
          <w:szCs w:val="17"/>
          <w:color w:val="auto"/>
        </w:rPr>
      </w:pPr>
    </w:p>
    <w:p>
      <w:pPr>
        <w:ind w:left="1400" w:right="400" w:hanging="302"/>
        <w:spacing w:after="0" w:line="308" w:lineRule="auto"/>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than salary adjustments made in connection with the foregoing appointments, the only named executive officer who received a base salary increase in January 2010 was Mr. Ayat, the Company’s Chief Financial Officer.</w:t>
      </w:r>
    </w:p>
    <w:p>
      <w:pPr>
        <w:spacing w:after="0" w:line="38" w:lineRule="exact"/>
        <w:rPr>
          <w:rFonts w:ascii="Arial" w:cs="Arial" w:eastAsia="Arial" w:hAnsi="Arial"/>
          <w:sz w:val="17"/>
          <w:szCs w:val="17"/>
          <w:color w:val="auto"/>
        </w:rPr>
      </w:pPr>
    </w:p>
    <w:p>
      <w:pPr>
        <w:ind w:left="1400" w:right="200" w:hanging="302"/>
        <w:spacing w:after="0" w:line="277"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Payout of the financial incentive that was made in February 2011 for performance in 2010 was 129% of target, largely due to 2010 growth in earnings per share, well short of the maximum 200% potential payout;</w:t>
      </w:r>
    </w:p>
    <w:p>
      <w:pPr>
        <w:spacing w:after="0" w:line="62" w:lineRule="exact"/>
        <w:rPr>
          <w:rFonts w:ascii="Arial" w:cs="Arial" w:eastAsia="Arial" w:hAnsi="Arial"/>
          <w:sz w:val="18"/>
          <w:szCs w:val="18"/>
          <w:color w:val="auto"/>
        </w:rPr>
      </w:pPr>
    </w:p>
    <w:p>
      <w:pPr>
        <w:ind w:left="1400" w:right="80" w:hanging="302"/>
        <w:spacing w:after="0" w:line="276" w:lineRule="auto"/>
        <w:tabs>
          <w:tab w:leader="none" w:pos="1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Compensation Committee granted stock options in January 2010 with a grant date dollar fair value estimated to be generally between the 50th and 75th percentiles, or higher, of the Company’s oil industry and general industry peer groups. However, grants of long-term equity incentives (“LTI’s”) within the two peer groups were higher than preliminary estimates in January 2010 had indicated due to the uncertainty in early 2010 following the global economic crisis that began in late 2008. As a result, when the Compensation Committee conducted another review of executive officer</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100"/>
        <w:spacing w:after="0" w:line="259" w:lineRule="auto"/>
        <w:rPr>
          <w:sz w:val="20"/>
          <w:szCs w:val="20"/>
          <w:color w:val="auto"/>
        </w:rPr>
      </w:pPr>
      <w:r>
        <w:rPr>
          <w:rFonts w:ascii="Arial" w:cs="Arial" w:eastAsia="Arial" w:hAnsi="Arial"/>
          <w:sz w:val="18"/>
          <w:szCs w:val="18"/>
          <w:color w:val="auto"/>
        </w:rPr>
        <w:t>compensation in October 2010, the named executive officer LTI values for January 2010 were ultimately found to be generally at or below the 50th percentile of both peer groups. The Compensation Committee agreed to review LTI awards at the January 2011 Compensation Committee in light of the foregoing to better ensure that the 2011 LTI’s of the named executive officers were more competitive with respect to the 2011 peer groups.</w:t>
      </w:r>
    </w:p>
    <w:p>
      <w:pPr>
        <w:spacing w:after="0" w:line="92" w:lineRule="exact"/>
        <w:rPr>
          <w:sz w:val="20"/>
          <w:szCs w:val="20"/>
          <w:color w:val="auto"/>
        </w:rPr>
      </w:pPr>
    </w:p>
    <w:p>
      <w:pPr>
        <w:ind w:left="1400" w:hanging="302"/>
        <w:spacing w:after="0" w:line="286" w:lineRule="auto"/>
        <w:tabs>
          <w:tab w:leader="none" w:pos="1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 February 4, 2010, the Compensation Committee approved additional stock option grants to Messrs. Kibsgaard and Pai in connection with the management reorganization and succession planning changes discussed above. Mr. Kibsgaard received a grant of $1,500,000 in stock options representing 64,000 shares and Mr. Pai received a grant of $1,600,000 in stock options representing 68,000 shares. On October 21, 2010, the Compensation Committee approved a further stock option grant to</w:t>
      </w:r>
    </w:p>
    <w:p>
      <w:pPr>
        <w:spacing w:after="0" w:line="1" w:lineRule="exact"/>
        <w:rPr>
          <w:rFonts w:ascii="Arial" w:cs="Arial" w:eastAsia="Arial" w:hAnsi="Arial"/>
          <w:sz w:val="16"/>
          <w:szCs w:val="16"/>
          <w:color w:val="auto"/>
        </w:rPr>
      </w:pPr>
    </w:p>
    <w:p>
      <w:pPr>
        <w:jc w:val="both"/>
        <w:ind w:left="1400" w:right="80"/>
        <w:spacing w:after="0" w:line="255" w:lineRule="auto"/>
        <w:rPr>
          <w:rFonts w:ascii="Arial" w:cs="Arial" w:eastAsia="Arial" w:hAnsi="Arial"/>
          <w:sz w:val="16"/>
          <w:szCs w:val="16"/>
          <w:color w:val="auto"/>
        </w:rPr>
      </w:pPr>
      <w:r>
        <w:rPr>
          <w:rFonts w:ascii="Arial" w:cs="Arial" w:eastAsia="Arial" w:hAnsi="Arial"/>
          <w:sz w:val="18"/>
          <w:szCs w:val="18"/>
          <w:color w:val="auto"/>
        </w:rPr>
        <w:t>Mr. Pai of $2,000,000, representing 83,334 stock options, for retention purposes and to recognize his outstanding performance and his continued contributions to the Company during the management reorganization after the appointment of Mr. Kibsgaard as COO.</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39"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In keeping with the Company’s strong pay-for-performance culture, Schlumberger’s longstanding compensation philosophy is to pay senior executives and professional-level employees for demonstrable performance against goals that have been pre-established and carefully reviewed. Schlumberger’s compensation program is driven by the need to recruit, develop, motivate and retain top talent both in the short-term and long-term, and to promote the Company’s values of people, technology and profitability. Promotion from within the Company is a key principle at Schlumberger, and all executive officers, including the named executive officers, have reached their current positions through career development with the Company. A diverse workforce is a very important part of Schlumberger’s cultural philosophy. Schlumberger believes its use of a consistent approach to compensation at all levels is a strong factor in achieving a diverse workforce comprising top global talent. While the amount of compensation may be different, each of the components of a professional-level employee’s compensation package is the same and is applied using broadly the same methodology, which is described below. Exceptions to this principle are generally due to local (i.e., country-specific) requirements.</w:t>
      </w:r>
    </w:p>
    <w:p>
      <w:pPr>
        <w:spacing w:after="0" w:line="75" w:lineRule="exact"/>
        <w:rPr>
          <w:sz w:val="20"/>
          <w:szCs w:val="20"/>
          <w:color w:val="auto"/>
        </w:rPr>
      </w:pPr>
    </w:p>
    <w:p>
      <w:pPr>
        <w:ind w:left="700" w:right="240" w:firstLine="397"/>
        <w:spacing w:after="0" w:line="273" w:lineRule="auto"/>
        <w:rPr>
          <w:sz w:val="20"/>
          <w:szCs w:val="20"/>
          <w:color w:val="auto"/>
        </w:rPr>
      </w:pPr>
      <w:r>
        <w:rPr>
          <w:rFonts w:ascii="Arial" w:cs="Arial" w:eastAsia="Arial" w:hAnsi="Arial"/>
          <w:sz w:val="17"/>
          <w:szCs w:val="17"/>
          <w:color w:val="auto"/>
        </w:rPr>
        <w:t>Schlumberger’s compensation programs have been designed so that the higher an executive’s position in the Company, the larger the proportion of compensation that is contingent on positive stock price performance, the Company’s financial performance and/or individual performance, described as “at-risk” compensation. The Company believes that having a substantial portion of executive compensation be at-risk more closely aligns the interests of its executives with the long-term interests of Schlumberger and its stockholders. Accordingly, the named executive officers receive a greater percentage of their compensation through at-risk pay tied to Company performance than other executives.</w:t>
      </w:r>
    </w:p>
    <w:p>
      <w:pPr>
        <w:spacing w:after="0" w:line="84"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color w:val="auto"/>
        </w:rPr>
        <w:t>Schlumberger’s executive compensation program consists of three primary elements, comprising the executives’ total direct compensation:</w:t>
      </w:r>
    </w:p>
    <w:p>
      <w:pPr>
        <w:spacing w:after="0" w:line="76" w:lineRule="exact"/>
        <w:rPr>
          <w:sz w:val="20"/>
          <w:szCs w:val="20"/>
          <w:color w:val="auto"/>
        </w:rPr>
      </w:pPr>
    </w:p>
    <w:p>
      <w:pPr>
        <w:ind w:left="1400" w:hanging="302"/>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performance-based annual cash incentive;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131"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These elements allow the Company to remain competitive in attracting and retaining top executive talent, and to motivate executives with current and potential future financial rewards. At the same time, this relatively simple compensation plan can be applied and communicated consistently to exempt employees of more than 140 nationalities working in approximately 80 countries globally. Schlumberger sees diversity of its work force as a business imperative enabling the Company to serve clients anywhere in the world.</w:t>
      </w:r>
    </w:p>
    <w:p>
      <w:pPr>
        <w:spacing w:after="0" w:line="60"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Named executive officers generally receive the same benefits as other employees. As is the case with compensation, any differences are generally due to local requirements. In the event of a change in control, the only compensation and benefits changes for all employees would be full vesting of any unexercised stock</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64" w:lineRule="auto"/>
        <w:rPr>
          <w:sz w:val="20"/>
          <w:szCs w:val="20"/>
          <w:color w:val="auto"/>
        </w:rPr>
      </w:pPr>
      <w:r>
        <w:rPr>
          <w:rFonts w:ascii="Arial" w:cs="Arial" w:eastAsia="Arial" w:hAnsi="Arial"/>
          <w:sz w:val="18"/>
          <w:szCs w:val="18"/>
          <w:color w:val="auto"/>
        </w:rPr>
        <w:t>options and restricted stock units and full vesting in any account balance under the Company’s supplemental retirement savings plan. Change in control benefits with regard to stock options are described more fully in the section “Change in Control” following the Nonqualified Deferred Compensation table.</w:t>
      </w:r>
    </w:p>
    <w:p>
      <w:pPr>
        <w:spacing w:after="0" w:line="87"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Employees globally (including named executive officers) are subject to an annual objectives-setting process and review, and their performance against these objectives affects the compensation they receive.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Framework for Setting Executive Compensation in 2010</w:t>
      </w: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131" w:lineRule="exact"/>
        <w:rPr>
          <w:sz w:val="20"/>
          <w:szCs w:val="20"/>
          <w:color w:val="auto"/>
        </w:rPr>
      </w:pPr>
    </w:p>
    <w:p>
      <w:pPr>
        <w:ind w:left="1400" w:right="88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62"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cash incentive and stock option awards should reflect progress toward Company-wide financial and personal objectives and should balance rewards for short-term and long-term performance; and</w:t>
      </w:r>
    </w:p>
    <w:p>
      <w:pPr>
        <w:spacing w:after="0" w:line="62" w:lineRule="exact"/>
        <w:rPr>
          <w:rFonts w:ascii="Arial" w:cs="Arial" w:eastAsia="Arial" w:hAnsi="Arial"/>
          <w:sz w:val="18"/>
          <w:szCs w:val="18"/>
          <w:color w:val="auto"/>
        </w:rPr>
      </w:pPr>
    </w:p>
    <w:p>
      <w:pPr>
        <w:ind w:left="1400" w:right="40" w:hanging="30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stock option awards and stock ownership guidelines that align their interests with those of our other stockholders.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23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Schlumberger’s executive officer compensation program is overseen by the Compensation Committee. The specific duties and responsibilities of the Compensation Committee are described in this proxy statement under “Corporate Governance—Board Committees —Compensation Committee” above.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39"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Compensation Committee has engaged the independent consulting firm of Pay Governance with respect to executive compensation matters. Pay Governance, which focuses on advising boards of directors on executive compensation, was formed by former practitioners at the consulting firm Towers Watson, which previously provided executive compensation advisory services to Schlumberger’s Compensation Committee. For more information on this engagement, see “Corporate Governance—Board Committees —Compensation Committee” above.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131" w:lineRule="exact"/>
        <w:rPr>
          <w:sz w:val="20"/>
          <w:szCs w:val="20"/>
          <w:color w:val="auto"/>
        </w:rPr>
      </w:pPr>
    </w:p>
    <w:p>
      <w:pPr>
        <w:ind w:left="700" w:right="220" w:firstLine="397"/>
        <w:spacing w:after="0" w:line="276" w:lineRule="auto"/>
        <w:rPr>
          <w:sz w:val="20"/>
          <w:szCs w:val="20"/>
          <w:color w:val="auto"/>
        </w:rPr>
      </w:pPr>
      <w:r>
        <w:rPr>
          <w:rFonts w:ascii="Arial" w:cs="Arial" w:eastAsia="Arial" w:hAnsi="Arial"/>
          <w:sz w:val="17"/>
          <w:szCs w:val="17"/>
          <w:color w:val="auto"/>
        </w:rPr>
        <w:t>In setting executive compensation, the Compensation Committee considers the total direct compensation that it believes is appropriate to pay an executive officer, based on the size and mix of the compensation elements for executive officers against those of companies in the two comparator groups, as well as the other factors described in this CD&amp;A. The Committee thus seeks to achieve an appropriate balance between immediate cash rewards that encourage achievement of annual financial and non-financial objectives and long-term equity incentives that promote long-term stock price performance.</w:t>
      </w:r>
    </w:p>
    <w:p>
      <w:pPr>
        <w:spacing w:after="0" w:line="78"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As stated above, the Compensation Committee believes that delivering a significant portion of an executive officer’s compensation through equity-based compensation with a multi-year vesting schedule more closely aligns an executive officer’s interests to the long-term interests of the Company and the stockholders, and encourages the named executive officers to act as owners. However, the Compensation Committee does not aim to achieve a specific target of cash versus equity-based compensation or annual versus long-term incentive compensation.</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80" w:firstLine="397"/>
        <w:spacing w:after="0" w:line="259" w:lineRule="auto"/>
        <w:rPr>
          <w:sz w:val="20"/>
          <w:szCs w:val="20"/>
          <w:color w:val="auto"/>
        </w:rPr>
      </w:pPr>
      <w:r>
        <w:rPr>
          <w:rFonts w:ascii="Arial" w:cs="Arial" w:eastAsia="Arial" w:hAnsi="Arial"/>
          <w:sz w:val="18"/>
          <w:szCs w:val="18"/>
          <w:color w:val="auto"/>
        </w:rPr>
        <w:t>The charts below show the average percentage of 2010 base salary, target cash incentive and 2010 long-term equity incentive (LTI) award for the named executive officers in comparison to the two external peer groups as presented in September 2009, and indicate that Schlumberger’s current pay mix is close to that of both peer groups. These charts are based on compensation data from Towers Watson’s September 2009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67945</wp:posOffset>
            </wp:positionV>
            <wp:extent cx="4991100" cy="977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110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Compensation Committee relies on its own judgment in making compensation decisions for the named executive officers after reviewing the size and mix of the compensation elements for its executive officers against those of companies in the two comparator groups. The size and mix of each element of total direct compensation is based on:</w:t>
      </w:r>
    </w:p>
    <w:p>
      <w:pPr>
        <w:spacing w:after="0" w:line="87" w:lineRule="exact"/>
        <w:rPr>
          <w:sz w:val="20"/>
          <w:szCs w:val="20"/>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external market practice of companies in the two comparator groups;</w:t>
      </w:r>
    </w:p>
    <w:p>
      <w:pPr>
        <w:spacing w:after="0" w:line="117" w:lineRule="exact"/>
        <w:rPr>
          <w:rFonts w:ascii="Arial" w:cs="Arial" w:eastAsia="Arial" w:hAnsi="Arial"/>
          <w:sz w:val="18"/>
          <w:szCs w:val="18"/>
          <w:color w:val="auto"/>
        </w:rPr>
      </w:pPr>
    </w:p>
    <w:p>
      <w:pPr>
        <w:ind w:left="1400" w:right="220" w:hanging="302"/>
        <w:spacing w:after="0" w:line="277"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complexity of the position and responsibilities, growth potential, reporting structure and internal pay equity;</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Company and individual performance;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percentage of at-risk compensation increases in relation to an executive officer’s increased responsibilities. This is because the more senior the job, the more the executive officer can affect Company results either positively or negatively, with a corresponding effect on his or her own compensation package. The Compensation Committee believes that making a significant portion of an executive officer’s compensation contingent on positive annual results and positive stock price performance, described as “at risk” compensation, more closely aligns an executive officer’s interests with those of the stockholder. If the stockholder gains, the executive officer also gains, and vice-versa.</w:t>
      </w:r>
    </w:p>
    <w:p>
      <w:pPr>
        <w:spacing w:after="0" w:line="99"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The Compensation Committee may at its discretion modify the mix of base pay, annual cash incentive and LTI’s, or otherwise adjust an NEO’s total compensation to best fit an executive officer’s specific circumstances. For example, the Committee may award more cash and not award a stock option grant to an executive officer who is approaching retirement. This provides more flexibility to the Committee to reward executive officers appropriately as they near retirement, when they may only be able to partially fulfill the five-year vesting required for stock options.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of companies in the two comparator groups and the other factors described immediately above.</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131"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In October 2010, the Compensation Committee reviewed an analysis of pay mix and internal pay equity carried out by Pay Governance at the direction of the Compensation Committee. Regarding pay mix, the Committee reviewed the elements of pay for the Company’s executive officers, including the named executive officers, in relation to each other and in comparison with the average pay mix of the Company’s other executive officers. The Committee concluded that the mix of base salary, incentive cash bonus and LTI was appropriate for each named executive officer and for the rest of the Company’s officers, based on its evaluation of the relative size of direct compensation elements of the two external peer groups.</w:t>
      </w:r>
    </w:p>
    <w:p>
      <w:pPr>
        <w:spacing w:after="0" w:line="84"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Regarding internal pay equity, the Committee reviewed the CEO position in relation to the other NEO positions, and the NEO positions both in relation to one another and in comparison with the average of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executive officer positions. The Committee noted that the ratio between the CEO and the second-highest paid officer</w:t>
      </w:r>
    </w:p>
    <w:p>
      <w:pPr>
        <w:spacing w:after="0" w:line="23" w:lineRule="exact"/>
        <w:rPr>
          <w:sz w:val="20"/>
          <w:szCs w:val="20"/>
          <w:color w:val="auto"/>
        </w:rPr>
      </w:pPr>
    </w:p>
    <w:p>
      <w:pPr>
        <w:ind w:left="700" w:right="60"/>
        <w:spacing w:after="0" w:line="292" w:lineRule="auto"/>
        <w:rPr>
          <w:sz w:val="20"/>
          <w:szCs w:val="20"/>
          <w:color w:val="auto"/>
        </w:rPr>
      </w:pPr>
      <w:r>
        <w:rPr>
          <w:rFonts w:ascii="Arial" w:cs="Arial" w:eastAsia="Arial" w:hAnsi="Arial"/>
          <w:sz w:val="16"/>
          <w:szCs w:val="16"/>
          <w:color w:val="auto"/>
        </w:rPr>
        <w:t>(Mr. Kibsgaard) had increased in comparison with the 2008 ratio when Mr. Sbiti was the second-highest paid officer. This was due to the fact that Mr. Kibsgaard was newly appointed to his position and his total direct compensation was below the 50th percentile of the COO position in both peer groups. The Committee also noted that total direct compensation amounts of the second, third and fourth highest paid officers were very close, whereas these had previously been more graduated from the highest to lowest. The Committee concluded that internal pay equity was appropriate for the time being and expected that it would evolve in line with organizational changes.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239"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July 2010, the Compensation Committee reviewed a pay-for-performance analysis that had been completed by Towers Watson at the direction of the Committee. The analysis was against the oil industry peer group as provided by Towers Watson, and provided data on the actual 2009 annual cash incentive paid in 2010 to named executive officers of companies in the oil industry peer group as a percentage of their target annual incentive. This was compared with net income growth, revenue growth, earnings per share (EPS) growth and total shareholder return (TSR) of the companies in the peer group for 2010. In making this comparison, the Compensation Committee reviewed the position of Schlumberger’s CEO against other CEOs in the oil industry peer group. It then separately reviewed the other named executive officers against other named executive officers in the oil industry peer group.</w:t>
      </w:r>
    </w:p>
    <w:p>
      <w:pPr>
        <w:spacing w:after="0" w:line="83"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This review showed that while Schlumberger had performed at the 75th percentile in terms of net income growth, revenue growth and EPS growth, and had performed between the median and 75th percentile on TSR, it had paid below median bonuses. The Compensation Committee concluded that Schlumberger’s cash incentive pay practices were aligned with its pay-for-performance philosophy, although it appeared that Schlumberger had set more aggressive financial targets for its named executive officers than many companies in the oil industry peer group did, and had therefore paid its NEOs below median bonuses for above median performance.</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Selection of Comparator Companies</w:t>
      </w:r>
    </w:p>
    <w:p>
      <w:pPr>
        <w:spacing w:after="0" w:line="239" w:lineRule="exact"/>
        <w:rPr>
          <w:sz w:val="20"/>
          <w:szCs w:val="20"/>
          <w:color w:val="auto"/>
        </w:rPr>
      </w:pPr>
    </w:p>
    <w:p>
      <w:pPr>
        <w:jc w:val="both"/>
        <w:ind w:left="700" w:right="380" w:firstLine="397"/>
        <w:spacing w:after="0" w:line="264" w:lineRule="auto"/>
        <w:rPr>
          <w:sz w:val="20"/>
          <w:szCs w:val="20"/>
          <w:color w:val="auto"/>
        </w:rPr>
      </w:pPr>
      <w:r>
        <w:rPr>
          <w:rFonts w:ascii="Arial" w:cs="Arial" w:eastAsia="Arial" w:hAnsi="Arial"/>
          <w:sz w:val="18"/>
          <w:szCs w:val="18"/>
          <w:color w:val="auto"/>
        </w:rPr>
        <w:t>The Compensation Committee annually approves the companies used in the executive compensation analysis based on surveys conducted by the Compensation Committee’s independent executive compensation consultant. The peer groups are based on criteria established and provided by the Committee, which include:</w:t>
      </w:r>
    </w:p>
    <w:p>
      <w:pPr>
        <w:spacing w:after="0" w:line="87" w:lineRule="exact"/>
        <w:rPr>
          <w:sz w:val="20"/>
          <w:szCs w:val="20"/>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in the oilfield services industry;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leadership position of the Company;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comparable revenues.</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To prepare for the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87"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Compensation Committee attempts to set the compensation of our executive officers at levels that are competitive with the two peer groups described below. While the comparator market data provide important guidance in making decisions on executive compensation, the Compensation Committee does not set compensation based on market data alone. The Committee also considers the value of an executive officer’s position to the Company, the market demand for those skills and the other factors described in this CD&amp;A.</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Two peer groups are used for the compensation analysis. The two peer groups were first reviewed in July 2009 and were then further reviewed in October 2009 in preparation for the January 2010 compensation review. There were no changes in the composition of the two comparator peer groups during these reviews.</w:t>
      </w:r>
    </w:p>
    <w:p>
      <w:pPr>
        <w:spacing w:after="0" w:line="87"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first peer group comprises 27 companies in the oil services, exploration and production, refining and pipeline industries, including 9 direct competitors in the oilfield services industry, all of which, with the exception of Parker Drilling, were part of the 2009 S&amp;P 500 and the Philadelphia Oil Service Index (OSX). Seven non-US energy and energy-related companies that also met the established criteria were included in this peer group, reflecting the Company’s international operations. Although Schlumberger is an oilfield services company, the Compensation Committee decided that it is important to include oil exploration and production companies in the survey as they compete with Schlumberger for talent. Also, since Schlumberger is significantly larger than all of its direct competitors in the oilfield services industry, the Compensation Committee believed that the addition of the exploration and production companies provides a more complete comparator group.</w:t>
      </w:r>
    </w:p>
    <w:p>
      <w:pPr>
        <w:spacing w:after="0" w:line="18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OIL INDUSTRY PEER GROUP: Oil services, E&amp;P, refining and pipeline companies</w:t>
      </w:r>
    </w:p>
    <w:p>
      <w:pPr>
        <w:spacing w:after="0" w:line="266"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OIL INDUSTRY PEER GROUP: Oil services, E&amp;P, refining and pipeline companies with median sales and assets similar to 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-91440</wp:posOffset>
            </wp:positionV>
            <wp:extent cx="6303010" cy="969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3010" cy="969010"/>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96"/>
        </w:trPr>
        <w:tc>
          <w:tcPr>
            <w:tcW w:w="21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Anadarko Petroleum</w:t>
            </w:r>
          </w:p>
        </w:tc>
        <w:tc>
          <w:tcPr>
            <w:tcW w:w="2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Baker Hughes</w:t>
            </w:r>
          </w:p>
        </w:tc>
        <w:tc>
          <w:tcPr>
            <w:tcW w:w="25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BG Group</w:t>
            </w:r>
          </w:p>
        </w:tc>
        <w:tc>
          <w:tcPr>
            <w:tcW w:w="19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BHP Billiton</w:t>
            </w:r>
          </w:p>
        </w:tc>
        <w:tc>
          <w:tcPr>
            <w:tcW w:w="1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BJ Services</w:t>
            </w:r>
          </w:p>
        </w:tc>
      </w:tr>
      <w:tr>
        <w:trPr>
          <w:trHeight w:val="207"/>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BP</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Cameron International</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Canadian Natural Resources</w:t>
            </w:r>
          </w:p>
        </w:tc>
        <w:tc>
          <w:tcPr>
            <w:tcW w:w="1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Chevron</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ConocoPhillips</w:t>
            </w:r>
          </w:p>
        </w:tc>
      </w:tr>
      <w:tr>
        <w:trPr>
          <w:trHeight w:val="210"/>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ENI, SPA</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Exxon Mobil</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Halliburton</w:t>
            </w:r>
          </w:p>
        </w:tc>
        <w:tc>
          <w:tcPr>
            <w:tcW w:w="1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Hess</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Marathon Oil</w:t>
            </w:r>
          </w:p>
        </w:tc>
      </w:tr>
      <w:tr>
        <w:trPr>
          <w:trHeight w:val="210"/>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Murphy Oil</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Nabors Industries</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Noble</w:t>
            </w:r>
          </w:p>
        </w:tc>
        <w:tc>
          <w:tcPr>
            <w:tcW w:w="1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Occidental Petroleum</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Parker Drilling</w:t>
            </w:r>
          </w:p>
        </w:tc>
      </w:tr>
      <w:tr>
        <w:trPr>
          <w:trHeight w:val="210"/>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Royal Dutch Shell</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Smith International</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Sunoco</w:t>
            </w:r>
          </w:p>
        </w:tc>
        <w:tc>
          <w:tcPr>
            <w:tcW w:w="1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Transocean</w:t>
            </w:r>
          </w:p>
        </w:tc>
      </w:tr>
      <w:tr>
        <w:trPr>
          <w:trHeight w:val="210"/>
        </w:trPr>
        <w:tc>
          <w:tcPr>
            <w:tcW w:w="2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Valero</w:t>
            </w:r>
          </w:p>
        </w:tc>
        <w:tc>
          <w:tcPr>
            <w:tcW w:w="2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Weatherford</w:t>
            </w:r>
          </w:p>
        </w:tc>
        <w:tc>
          <w:tcPr>
            <w:tcW w:w="2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121"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Schlumberger uses a second, “general industry,” peer group (shown below) to provide data from similarly-sized companies and supplement the data from the oil group, whose companies are closest to Schlumberger in industry type but have widely varying revenue sizes. Excluded from this peer group are companies from industry sectors that do not have a global presence and are least comparable to Schlumberger’s areas of focus, such as companies in retail and financial services. Like the first comparator group, this second group also includes non-US companies. The Committee also considers data from the second peer group as it deems necessary or advisable insofar as data from the first peer group may not exist, or may be insufficient, for some executive officer positions.</w:t>
      </w:r>
    </w:p>
    <w:p>
      <w:pPr>
        <w:spacing w:after="0" w:line="70"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second group is also particularly relevant for staff positions, where the skills and experience may be easily transferable to other industries outside the oil industry.</w:t>
      </w:r>
    </w:p>
    <w:p>
      <w:pPr>
        <w:spacing w:after="0" w:line="76" w:lineRule="exact"/>
        <w:rPr>
          <w:sz w:val="20"/>
          <w:szCs w:val="20"/>
          <w:color w:val="auto"/>
        </w:rPr>
      </w:pPr>
    </w:p>
    <w:p>
      <w:pPr>
        <w:ind w:left="700" w:right="60" w:firstLine="397"/>
        <w:spacing w:after="0" w:line="273" w:lineRule="auto"/>
        <w:rPr>
          <w:sz w:val="20"/>
          <w:szCs w:val="20"/>
          <w:color w:val="auto"/>
        </w:rPr>
      </w:pPr>
      <w:r>
        <w:rPr>
          <w:rFonts w:ascii="Arial" w:cs="Arial" w:eastAsia="Arial" w:hAnsi="Arial"/>
          <w:sz w:val="17"/>
          <w:szCs w:val="17"/>
          <w:color w:val="auto"/>
        </w:rPr>
        <w:t>In 2008, the general industry peer group included 38 companies with revenues from $15 billion to $40 billion and median revenue of $22.6 billion. Schlumberger’s total revenue for 2008 grew to $27 billion. Since the median of the same general industry peer was $23.8 billion in 2009 and because Schlumberger’s 2009 revenue decreased to $23 billion due to difficult business conditions, the Compensation Committee decided that it was appropriate to leave the revenue range the same as for 2009 and to continue to include companies with revenues from $15 billion to $40 billion for the January 2010 analysis. The Compensation Committee prefers to alter the peer group criteria as infrequently as possible to provide a stable basis for comparison.</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GENERAL INDUSTRY PEER GROUP: $15B to $40B sales with technical and global focus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GENERAL INDUSTRY PEER GROUP: Companies with $15B to $40B sales and technical and global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-95885</wp:posOffset>
            </wp:positionV>
            <wp:extent cx="6303010" cy="1526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3010" cy="1526540"/>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96"/>
        </w:trPr>
        <w:tc>
          <w:tcPr>
            <w:tcW w:w="23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3M</w:t>
            </w:r>
          </w:p>
        </w:tc>
        <w:tc>
          <w:tcPr>
            <w:tcW w:w="1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Abbott Laboratories</w:t>
            </w:r>
          </w:p>
        </w:tc>
        <w:tc>
          <w:tcPr>
            <w:tcW w:w="18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Accenture</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Alcoa</w:t>
            </w:r>
          </w:p>
        </w:tc>
        <w:tc>
          <w:tcPr>
            <w:tcW w:w="1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Amgen lnc.</w:t>
            </w:r>
          </w:p>
        </w:tc>
      </w:tr>
      <w:tr>
        <w:trPr>
          <w:trHeight w:val="207"/>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Apple</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Arrow Electronics</w:t>
            </w: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Astrazeneca</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BAE Systems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Bristol-Myers Squibb</w:t>
            </w:r>
          </w:p>
        </w:tc>
      </w:tr>
      <w:tr>
        <w:trPr>
          <w:trHeight w:val="412"/>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Cisco Systems</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Colgate-Palmolive</w:t>
            </w: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Deere &amp; Co</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 I. du Pont de Nemours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Eaton Corp.</w:t>
            </w:r>
          </w:p>
        </w:tc>
      </w:tr>
      <w:tr>
        <w:trPr>
          <w:trHeight w:val="203"/>
        </w:trPr>
        <w:tc>
          <w:tcPr>
            <w:tcW w:w="23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Eli Lilly</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Emerson Electric</w:t>
            </w: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Freeport-McMoran</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Goodyear Tire &amp; Rubber</w:t>
            </w:r>
          </w:p>
        </w:tc>
        <w:tc>
          <w:tcPr>
            <w:tcW w:w="1760" w:type="dxa"/>
            <w:vAlign w:val="bottom"/>
          </w:tcPr>
          <w:p>
            <w:pPr>
              <w:ind w:left="20"/>
              <w:spacing w:after="0"/>
              <w:rPr>
                <w:sz w:val="20"/>
                <w:szCs w:val="20"/>
                <w:color w:val="auto"/>
              </w:rPr>
            </w:pPr>
            <w:r>
              <w:rPr>
                <w:rFonts w:ascii="Arial" w:cs="Arial" w:eastAsia="Arial" w:hAnsi="Arial"/>
                <w:sz w:val="16"/>
                <w:szCs w:val="16"/>
                <w:color w:val="auto"/>
              </w:rPr>
              <w:t>Henkel</w:t>
            </w:r>
          </w:p>
        </w:tc>
      </w:tr>
      <w:tr>
        <w:trPr>
          <w:trHeight w:val="209"/>
        </w:trPr>
        <w:tc>
          <w:tcPr>
            <w:tcW w:w="23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Copper &amp; Gold</w:t>
            </w:r>
          </w:p>
        </w:tc>
        <w:tc>
          <w:tcPr>
            <w:tcW w:w="22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10"/>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Honeywell</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Intel</w:t>
            </w: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 Paper</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Kimberly-Clark</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Lafarge SA</w:t>
            </w:r>
          </w:p>
        </w:tc>
      </w:tr>
      <w:tr>
        <w:trPr>
          <w:trHeight w:val="210"/>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Merck</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Motorola</w:t>
            </w: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NIKE</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PPG Industries</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Raytheon</w:t>
            </w:r>
          </w:p>
        </w:tc>
      </w:tr>
      <w:tr>
        <w:trPr>
          <w:trHeight w:val="210"/>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Schering-Plough</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Schneider Electric</w:t>
            </w:r>
          </w:p>
        </w:tc>
        <w:tc>
          <w:tcPr>
            <w:tcW w:w="1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Sprint Nextel</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Steel</w:t>
            </w: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Whirlpool</w:t>
            </w:r>
          </w:p>
        </w:tc>
      </w:tr>
      <w:tr>
        <w:trPr>
          <w:trHeight w:val="210"/>
        </w:trPr>
        <w:tc>
          <w:tcPr>
            <w:tcW w:w="2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Wyeth</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Xerox</w:t>
            </w:r>
          </w:p>
        </w:tc>
        <w:tc>
          <w:tcPr>
            <w:tcW w:w="1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Elements of Compensation</w:t>
      </w: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Base Salary</w:t>
      </w:r>
    </w:p>
    <w:p>
      <w:pPr>
        <w:spacing w:after="0" w:line="239"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two peer groups and takes into account factors such as the performance, experience and long-term potential of the individual, as well as internal pay equity and Company performance. Generally, base salaries for executive officers are targeted to be between the median and the 75th percentile of both peer groups.</w:t>
      </w:r>
    </w:p>
    <w:p>
      <w:pPr>
        <w:spacing w:after="0" w:line="78"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Base salaries for each executive officer position are compared annually with similar positions in both peer groups. Base salary changes for executive officers, except the CEO, are recommended by the CEO and subject to approval by the Compensation Committee, taking into account:</w:t>
      </w:r>
    </w:p>
    <w:p>
      <w:pPr>
        <w:spacing w:after="0" w:line="87" w:lineRule="exact"/>
        <w:rPr>
          <w:sz w:val="20"/>
          <w:szCs w:val="20"/>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movement of comparable salaries in the two peer groups;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base salary of the CEO is reviewed by the Compensation Committee in executive session and recommended to the independent members of the Board of Directors for approval, based on the same criteria as above.</w:t>
      </w:r>
    </w:p>
    <w:p>
      <w:pPr>
        <w:spacing w:after="0" w:line="76"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Base salary for an executive officer position is generally fixed for several years, which means that increases are usually more significant when they occur. If business or individual performance is below target, the Compensation Committee has the discretion not to award any increase in base salary. The Compensation Committee may, on occasion,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Base salary may also be reduced, such as when an executive officer moves to a position of lesser responsibility in the Company. Alternatively, base salary can be frozen for a number of years until it falls in line with comparable positions in the two peer groups.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Base Salary Decisions in 2010</w:t>
      </w:r>
    </w:p>
    <w:p>
      <w:pPr>
        <w:spacing w:after="0" w:line="239"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The Compensation Committee carried out a review of the compensation of executive officers in January 2010. The Committee reviewed Mr. Gould’s base salary of $2,500,000, which had not been increased since January 2006, and decided that since it was above the 75th percentile of both peer groups, it would not be increased. Messrs. Kibsgaard, Pai, Belani and Sbiti received base salary increases in May 2009 and their base salaries were not reviewed in January 2010. The only named executive officer who received a base salary increase in January 2010 was Mr. Ayat, the Company’s Chief Financial Officer, whose salary was increased by 20% to $900,000 to bring him more in line with the general industry peer group. This placed him above the 75th percentile of the oil industry peer group and between the 50th and 75th percentile of the general industry peer group. The salaries for the other named executive officers generally were between the 50th and 75th percentile of both peer groups.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Appointment of Chief Operating Officer (COO). </w:t>
      </w:r>
      <w:r>
        <w:rPr>
          <w:rFonts w:ascii="Arial" w:cs="Arial" w:eastAsia="Arial" w:hAnsi="Arial"/>
          <w:sz w:val="18"/>
          <w:szCs w:val="18"/>
          <w:color w:val="auto"/>
        </w:rPr>
        <w:t>As discussed above in the section “2010 Executive Summary,” effective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February 8, 2010, the Schlumberger Board of Directors approved the appointment of Mr. Kibsgaard as COO reporting to the CEO,</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Mr. Gould, on recommendation from the Nominating and Governance Committee. This appointment was made to prepare for the future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succession of the CEO. In connection with Mr. Kibsgaard’s promotion, the Compensation Committee determined to increase his salary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from 600,000 Euros to 750,000 Euros, which placed him above the 50th percentile for the oil industry peer group and between the 50th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75th percentile of the general industry peer group.</w:t>
      </w:r>
    </w:p>
    <w:p>
      <w:pPr>
        <w:spacing w:after="0" w:line="116"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Effective the same date, Mr. Sbiti was appointed Executive Advisor, reporting to the CEO. There was no change to Mr. Sbiti’s base salary and incentive for the remainder of 2010, however, effective January 1, 2011, Mr. Sbiti began a term of phased retirement, as generally described under the section “Retirement Practices” below, and his compensation was reduced accordingly. Also, effective February 8, 2010, Mr. Belani was appointed President, Reservoir Characterization Group to replace Mr. Kibsgaard. Mr. Belani’s base salary was increased from 500,000 Euros to 550,000 Euros, which placed him above the 75th percentile of both peer groups. The Compensation Committee decided that Mr. Belani’s base salary increase was appropriate due to the size and complexity of his new role.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239"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The Company pays annual performance-based cash incentives to named executive officers to foster a results-driven, pay for performance culture and to align their interests with those of Schlumberger’s stockholders. The Compensation Committee selects performance-based measures which it believes will motivate an executive to increase operating results in the short-term as well as drive profitable long-term Company growth and value for stockholders. Incentive cash payments are made in February according to the achievement of both personal and financial objectives during the previous fiscal year. The annual cash incentive for the named executive officers ranges from 0% to 75% to 0% to 100% of base salary, depending on the position. Half of the potential range is based on the satisfactory completion of personal objectives and the other half of the potential range is based on the achievement of Company financial objectives, which is described in the section below entitled “2010 Annual Cash Incentive.”</w:t>
      </w:r>
    </w:p>
    <w:p>
      <w:pPr>
        <w:spacing w:after="0" w:line="84"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The Committee increased Mr. Kibsgaard’s incentive compensation range from 0-75% to 0-100%, in recognition of his significantly increased responsibilities as COO and based on comparative data from the two peer groups. Otherwise, the incentive ranges of the named executive officers did not change for 2010.</w:t>
      </w:r>
    </w:p>
    <w:p>
      <w:pPr>
        <w:spacing w:after="0" w:line="87"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financial half of the incentive cash payment for NEOs has an incremental financial element, which means that the maximum incentive opportunity can be up to 200% of target with respect to the financial part based on achievement of superior financial results. This enhanced incentive is only applied to the CEO, executive officers and other specified positions that have a significant impact on the Company’s success. The Compensation Committee reviews and recommends to the full Board the financial objectives for both the CEO and the other executive officers. The Committee approves the personal objectives for the CEO and assesses his performance against those objectives in determining the annual cash incentive award, subject to final approval by the Board. The CEO approves the personal objectives for the other executive officers, including the other</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named executive officers, and the Committee reviews and approves the results. The half of the incentive based on personal objectives has no positive incremental element, meaning the maximum payout with respect to this half of the annual incentive is 100%.</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2010 Annual Cash Incentive</w:t>
      </w:r>
    </w:p>
    <w:p>
      <w:pPr>
        <w:spacing w:after="0" w:line="239"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As in previous years, the financial half of the annual cash incentive for all executive officers in 2010 was based on diluted earnings per share from continuing operations (“EPS”).</w:t>
      </w:r>
    </w:p>
    <w:p>
      <w:pPr>
        <w:spacing w:after="0" w:line="7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Compensation Committee selected EPS as the most appropriate measure upon which to base the financial portion of the annual cash incentive because it is the primary basis on which we set our performance expectations for the year; we believe that consistent EPS growth leads to long-term stockholder value; and EPS is the metric most widely used by investors and analysts to evaluate the performance of Schlumberger. When considering the Company’s operating results, the Compensation Committee has the discretion to decide whether to take into account the effect on EPS of unusual or infrequent charges or gains, depending on the nature of the item. The Compensation Committee exercises its discretion when it believes that executives and other employees would be unfairly harmed by, or would unfairly benefit from, these items.</w:t>
      </w:r>
    </w:p>
    <w:p>
      <w:pPr>
        <w:spacing w:after="0" w:line="83"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process used to set these annual EPS targets starts with a review of plans and projections following bottom-up planning from the field, which considers factors such as:</w:t>
      </w:r>
    </w:p>
    <w:p>
      <w:pPr>
        <w:spacing w:after="0" w:line="76" w:lineRule="exact"/>
        <w:rPr>
          <w:sz w:val="20"/>
          <w:szCs w:val="20"/>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activity growth potential as measured by the number of rigs;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2008, the EPS objective had provided the opportunity to increase the financial half of the annual cash incentive from 100% to 300% of the incentive potential for those eligible, due to the significant potential for growth. However, due to the difficult business outlook at the beginning of 2009, the Compensation Committee decided that the maximum incentive opportunity for the financial-based portion of the annual incentive would be 200% instead of the 300% available in previous years. The Committee believed it was important to set EPS targets which, while very difficult to achieve in the context of the global recession, were realistic. Since the prospects for 2010 continued to look challenging, with the EPS earnings forecast to be just 7% higher than 2009, the Committee decided that it was still appropriate to retain the maximum financial incentive at 200%.</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performance targets and corresponding payouts for the financial half of the 2010 annual cash incentive were as follows:</w:t>
      </w:r>
    </w:p>
    <w:p>
      <w:pPr>
        <w:spacing w:after="0" w:line="142" w:lineRule="exact"/>
        <w:rPr>
          <w:sz w:val="20"/>
          <w:szCs w:val="20"/>
          <w:color w:val="auto"/>
        </w:rPr>
      </w:pPr>
    </w:p>
    <w:p>
      <w:pPr>
        <w:ind w:left="1400" w:right="180" w:hanging="302"/>
        <w:spacing w:after="0" w:line="264"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EPS of at least $2.50 was needed to trigger a payment of 50% of the financial half of the incentive payment, below which no financial incentive would be paid. The EPS target of $2.50 represented an 11% reduction against EPS of $2.78 actually earned for 2009.</w:t>
      </w:r>
    </w:p>
    <w:p>
      <w:pPr>
        <w:spacing w:after="0" w:line="73" w:lineRule="exact"/>
        <w:rPr>
          <w:rFonts w:ascii="Arial" w:cs="Arial" w:eastAsia="Arial" w:hAnsi="Arial"/>
          <w:sz w:val="18"/>
          <w:szCs w:val="18"/>
          <w:color w:val="auto"/>
        </w:rPr>
      </w:pPr>
    </w:p>
    <w:p>
      <w:pPr>
        <w:ind w:left="1400" w:right="220" w:hanging="302"/>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order for 100% of the financial half of the incentive to be paid, 2010 EPS achieved had to be at least $2.78, which was the same as EPS earned for 2009.</w:t>
      </w:r>
    </w:p>
    <w:p>
      <w:pPr>
        <w:spacing w:after="0" w:line="62" w:lineRule="exact"/>
        <w:rPr>
          <w:rFonts w:ascii="Arial" w:cs="Arial" w:eastAsia="Arial" w:hAnsi="Arial"/>
          <w:sz w:val="18"/>
          <w:szCs w:val="18"/>
          <w:color w:val="auto"/>
        </w:rPr>
      </w:pPr>
    </w:p>
    <w:p>
      <w:pPr>
        <w:ind w:left="1400" w:right="140" w:hanging="302"/>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EPS of at least $3.20 was needed to achieve 200% of the financial half of the incentive, which represented a 15% increase against EPS earned for 2009.</w:t>
      </w:r>
    </w:p>
    <w:p>
      <w:pPr>
        <w:spacing w:after="0" w:line="7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If the EPS result achieved was between two targets, then the financial incentive payment would be prorated. As in prior years, no cash incentive would be paid if the minimum 2010 EPS target was not met.</w:t>
      </w:r>
    </w:p>
    <w:p>
      <w:pPr>
        <w:spacing w:after="0" w:line="76"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Schlumberger’s 2010 EPS was $2.86, excluding $0.46 of unusual charges and a $0.98 gain relating to our previously-held investment in MI-SWACO but including the dilutive impact of the Smith transaction, which was approximately $0.04 on full-year EPS. A significant portion of these unusual charges related to the acquisition of Smith, which had not been factored into 2010 EPS targets since at the time the goals were set, a transaction with Smith had not been confirmed. In addition to charges related to the Smith acquisition, the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unusual charges included charges related to overhead reductions and the restructuring of North America and Mexico operations.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Compensation Committee decided that, for purposes of calculating the financial half of the cash incentive payment, it would exclude all of these charges in arriving at target EPS. The Committee decided to exclude these charges because it believed that the actions taken were in the Company’s best interest and that it was not appropriate to adjust the financial half of the cash incentive payment because of the effects of these unusual charges and credits on the Company’s 2010 earnings. Similarly, the Committee believed that it was not appropriate to include either the $1 billion gain arising from our investment in M-I SWACO or the $0.04 dilutive effect of the Smith transaction, as those were not related to Schlumberger’s ordinary operations. Therefore, the Committee approved an EPS achievement of $2.90, which excluded the dilutive impact of the Smith transaction and all of the 2010 charges and credits described above, and which resulted in a payout of 129% of the financial half of the annual cash incentive.</w:t>
      </w:r>
    </w:p>
    <w:p>
      <w:pPr>
        <w:spacing w:after="0" w:line="84"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second half of the annual cash incentive is related to personal objectives that are specific to each executive officer position and may relate to:</w:t>
      </w:r>
    </w:p>
    <w:p>
      <w:pPr>
        <w:spacing w:after="0" w:line="76" w:lineRule="exact"/>
        <w:rPr>
          <w:sz w:val="20"/>
          <w:szCs w:val="20"/>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technology or geographical profitability or revenue growth;</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technology introduction and market penetration;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130" w:lineRule="exact"/>
        <w:rPr>
          <w:rFonts w:ascii="Arial" w:cs="Arial" w:eastAsia="Arial" w:hAnsi="Arial"/>
          <w:sz w:val="18"/>
          <w:szCs w:val="18"/>
          <w:color w:val="auto"/>
        </w:rPr>
      </w:pPr>
    </w:p>
    <w:p>
      <w:pPr>
        <w:ind w:left="2080" w:hanging="483"/>
        <w:spacing w:after="0"/>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117" w:lineRule="exact"/>
        <w:rPr>
          <w:rFonts w:ascii="Arial" w:cs="Arial" w:eastAsia="Arial" w:hAnsi="Arial"/>
          <w:sz w:val="18"/>
          <w:szCs w:val="18"/>
          <w:color w:val="auto"/>
        </w:rPr>
      </w:pPr>
    </w:p>
    <w:p>
      <w:pPr>
        <w:ind w:left="2080" w:hanging="483"/>
        <w:spacing w:after="0"/>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117" w:lineRule="exact"/>
        <w:rPr>
          <w:rFonts w:ascii="Arial" w:cs="Arial" w:eastAsia="Arial" w:hAnsi="Arial"/>
          <w:sz w:val="18"/>
          <w:szCs w:val="18"/>
          <w:color w:val="auto"/>
        </w:rPr>
      </w:pPr>
    </w:p>
    <w:p>
      <w:pPr>
        <w:ind w:left="2080" w:hanging="483"/>
        <w:spacing w:after="0"/>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safety objectives; and</w:t>
      </w:r>
    </w:p>
    <w:p>
      <w:pPr>
        <w:spacing w:after="0" w:line="117" w:lineRule="exact"/>
        <w:rPr>
          <w:rFonts w:ascii="Arial" w:cs="Arial" w:eastAsia="Arial" w:hAnsi="Arial"/>
          <w:sz w:val="18"/>
          <w:szCs w:val="18"/>
          <w:color w:val="auto"/>
        </w:rPr>
      </w:pPr>
    </w:p>
    <w:p>
      <w:pPr>
        <w:ind w:left="2080" w:hanging="483"/>
        <w:spacing w:after="0"/>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business priority.</w:t>
      </w:r>
    </w:p>
    <w:p>
      <w:pPr>
        <w:spacing w:after="0" w:line="131"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award for the personal half of the cash incentive was based on the specific results each named executive officer achieved, as approved by the Compensation Committee. Personal objectives are set at the start of the fiscal year and do not have a formal weighting. At the end of the fiscal year, the CEO uses his judgment to evaluate the performance of the other named executive officers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the full Board.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Messrs. Gould, Kibsgaard and Pai had objectives on safety and security, which were mostly achieved.</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Messrs. Gould, Kibsgaard, Pai and Belani had objectives on people, including diversity and retention of key talent, which were mainly achieved.</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Messrs. Gould, Ayat and Pai had objectives on M&amp;A, which were achieved.</w:t>
      </w:r>
    </w:p>
    <w:p>
      <w:pPr>
        <w:spacing w:after="0" w:line="131"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All of the named executive officers, with the exception of Mr. Sbiti, had objectives on cost management and efficiency, including the restructuring of North America and the functions, all of which were achieved.</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Messrs. Gould, Kibsgaard, Pai, and Belani had objectives on marketing and technology development, which were largely achieved.</w:t>
      </w:r>
    </w:p>
    <w:p>
      <w:pPr>
        <w:spacing w:after="0" w:line="154"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Messrs. Gould and Ayat had objectives on capital structure, which was mostly achieved. Mr. Ayat also achieved an objective on debt management.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Messrs. Kibsgaard and Pai had objectives on quality, which were achieved.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Kibsgaard had objectives on Engineering, Manufacturing and Sustaining, which were partly achieved.</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Mr. Gould also achieved his objectives regarding the CEO succession process and Company-wide compliance programs.</w:t>
      </w:r>
    </w:p>
    <w:p>
      <w:pPr>
        <w:spacing w:after="0" w:line="142"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Mr. Sbiti had objectives relating to Schlumberger’s activities in Kuwait and Iraq as well as Research and Development in the Middle East, all of which were achieved.</w:t>
      </w:r>
    </w:p>
    <w:p>
      <w:pPr>
        <w:spacing w:after="0" w:line="18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2010 Annual Incentive as a Percentage of Base Salary</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Total Incentive</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Financial Half</w:t>
            </w:r>
          </w:p>
        </w:tc>
        <w:tc>
          <w:tcPr>
            <w:tcW w:w="1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Financial Half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Personal Half</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Personal Half</w:t>
            </w: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4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Incentive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360" w:type="dxa"/>
            <w:vAlign w:val="bottom"/>
            <w:gridSpan w:val="3"/>
          </w:tcPr>
          <w:p>
            <w:pPr>
              <w:jc w:val="center"/>
              <w:ind w:left="213"/>
              <w:spacing w:after="0" w:line="149" w:lineRule="exact"/>
              <w:rPr>
                <w:sz w:val="20"/>
                <w:szCs w:val="20"/>
                <w:color w:val="auto"/>
              </w:rPr>
            </w:pPr>
            <w:r>
              <w:rPr>
                <w:rFonts w:ascii="Arial" w:cs="Arial" w:eastAsia="Arial" w:hAnsi="Arial"/>
                <w:sz w:val="14"/>
                <w:szCs w:val="14"/>
                <w:b w:val="1"/>
                <w:bCs w:val="1"/>
                <w:color w:val="auto"/>
                <w:w w:val="95"/>
              </w:rPr>
              <w:t>Incentive Paid</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Eligibility</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Eligibility</w:t>
            </w:r>
          </w:p>
        </w:tc>
        <w:tc>
          <w:tcPr>
            <w:tcW w:w="4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Achieved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Eligibility</w:t>
            </w:r>
          </w:p>
        </w:tc>
        <w:tc>
          <w:tcPr>
            <w:tcW w:w="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Achieved</w:t>
            </w:r>
          </w:p>
        </w:tc>
        <w:tc>
          <w:tcPr>
            <w:tcW w:w="4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12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33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 Ayat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 Pai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 Sbiti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Long-Term Equity Compensation—Stock Options</w:t>
      </w:r>
    </w:p>
    <w:p>
      <w:pPr>
        <w:spacing w:after="0" w:line="239"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Stock options are designed to give high-value employees, including named executive officers, a longer-term stake in the Company, provide incentives for future performance, act as a long-term retention tool and align employee and stockholder interests over the longer term. Schlumberger currently uses stock options as its sole long-term incentive for executive officers as it believes that they best align employee incentives with stockholder interests. Since a financial gain from stock options is possible only after the price of the common stock has increased, the Company believes that grants of stock options motivate executives and other employees toward behavior that benefits all stockholders.</w:t>
      </w:r>
    </w:p>
    <w:p>
      <w:pPr>
        <w:spacing w:after="0" w:line="99"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The Compensation Committee grants stock options to reward past performance but also to retain executive officers and to provide incentives for future exceptional performance. The value of a stock option grant increases with the level of position, and for the CEO and other named executive officers is typically the largest element of the total compensation package. In determining the value of grants of stock options to be made to executive officers, the Compensation Committee (in the case of the CEO’s grant) and the CEO (in the case of recommendations for grants for the other NEOs), consider numerous factors, including:</w:t>
      </w:r>
    </w:p>
    <w:p>
      <w:pPr>
        <w:spacing w:after="0" w:line="78" w:lineRule="exact"/>
        <w:rPr>
          <w:sz w:val="20"/>
          <w:szCs w:val="20"/>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of total direct compensation for comparable positions in the comparator groups;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an executive officer;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117" w:lineRule="exact"/>
        <w:rPr>
          <w:rFonts w:ascii="Arial" w:cs="Arial" w:eastAsia="Arial" w:hAnsi="Arial"/>
          <w:sz w:val="18"/>
          <w:szCs w:val="18"/>
          <w:color w:val="auto"/>
        </w:rPr>
      </w:pPr>
    </w:p>
    <w:p>
      <w:pPr>
        <w:ind w:left="1400" w:right="540" w:hanging="302"/>
        <w:spacing w:after="0" w:line="277"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value and number of stock options granted to an executive over the course of his or her career, together with the retentive effect of additional stock option grants; and</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review of the internal equity of peer position career grants.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Once the dollar value of the stock option grant for a named executive officer has been determined based on the above factors, it is converted into a number of stock options on a fair value basis using the Black-Scholes formula.</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Options Granted to Executive Officers in 2010</w:t>
      </w:r>
    </w:p>
    <w:p>
      <w:pPr>
        <w:spacing w:after="0" w:line="239"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i w:val="1"/>
          <w:iCs w:val="1"/>
          <w:color w:val="auto"/>
        </w:rPr>
        <w:t xml:space="preserve">January 2010 Stock Option Grants. </w:t>
      </w:r>
      <w:r>
        <w:rPr>
          <w:rFonts w:ascii="Arial" w:cs="Arial" w:eastAsia="Arial" w:hAnsi="Arial"/>
          <w:sz w:val="16"/>
          <w:szCs w:val="16"/>
          <w:color w:val="auto"/>
        </w:rPr>
        <w:t>The table below details the approximate dollar value and number of stock options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2010 to the named executive officers. The approximate dollar value of each grant was used by the Compensation Committee to determine the number of options granted. The actual grant date fair value of each grant, computed in accordance with applicable accounting standards, is disclosed in the Grants of Plan-Based Awards For Fiscal Year 2010 table below.</w:t>
      </w:r>
    </w:p>
    <w:p>
      <w:pPr>
        <w:spacing w:after="0" w:line="60"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The values given to equity compensation awards by the Compensation Committee are only estimates, and the actual value that may be realized by the NEOs depends on the NEOs’ continued service and Schlumberger’s future stock price performance.</w:t>
      </w: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January 2010 Stock Option Grants</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4"/>
                <w:szCs w:val="14"/>
                <w:color w:val="auto"/>
              </w:rPr>
            </w:pPr>
          </w:p>
        </w:tc>
        <w:tc>
          <w:tcPr>
            <w:tcW w:w="22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Approximate Dollar</w:t>
            </w:r>
          </w:p>
        </w:tc>
        <w:tc>
          <w:tcPr>
            <w:tcW w:w="480" w:type="dxa"/>
            <w:vAlign w:val="bottom"/>
          </w:tcPr>
          <w:p>
            <w:pPr>
              <w:spacing w:after="0"/>
              <w:rPr>
                <w:sz w:val="14"/>
                <w:szCs w:val="14"/>
                <w:color w:val="auto"/>
              </w:rPr>
            </w:pPr>
          </w:p>
        </w:tc>
        <w:tc>
          <w:tcPr>
            <w:tcW w:w="26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 Options Granted</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8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Value of Grant</w:t>
            </w:r>
          </w:p>
        </w:tc>
        <w:tc>
          <w:tcPr>
            <w:tcW w:w="48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4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9,000,000</w:t>
            </w:r>
          </w:p>
        </w:tc>
        <w:tc>
          <w:tcPr>
            <w:tcW w:w="480" w:type="dxa"/>
            <w:vAlign w:val="bottom"/>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 Ayat</w:t>
            </w:r>
          </w:p>
        </w:tc>
        <w:tc>
          <w:tcPr>
            <w:tcW w:w="18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2,400,000</w:t>
            </w:r>
          </w:p>
        </w:tc>
        <w:tc>
          <w:tcPr>
            <w:tcW w:w="3140" w:type="dxa"/>
            <w:vAlign w:val="bottom"/>
            <w:gridSpan w:val="2"/>
          </w:tcPr>
          <w:p>
            <w:pPr>
              <w:jc w:val="right"/>
              <w:ind w:right="19"/>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18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1,200,000</w:t>
            </w:r>
          </w:p>
        </w:tc>
        <w:tc>
          <w:tcPr>
            <w:tcW w:w="3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 Pai</w:t>
            </w:r>
          </w:p>
        </w:tc>
        <w:tc>
          <w:tcPr>
            <w:tcW w:w="18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1,200,000</w:t>
            </w:r>
          </w:p>
        </w:tc>
        <w:tc>
          <w:tcPr>
            <w:tcW w:w="3140" w:type="dxa"/>
            <w:vAlign w:val="bottom"/>
            <w:gridSpan w:val="2"/>
          </w:tcPr>
          <w:p>
            <w:pPr>
              <w:jc w:val="right"/>
              <w:ind w:right="19"/>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18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c>
          <w:tcPr>
            <w:tcW w:w="3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 Sbiti</w:t>
            </w:r>
          </w:p>
        </w:tc>
        <w:tc>
          <w:tcPr>
            <w:tcW w:w="18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3,000,000</w:t>
            </w:r>
          </w:p>
        </w:tc>
        <w:tc>
          <w:tcPr>
            <w:tcW w:w="3140" w:type="dxa"/>
            <w:vAlign w:val="bottom"/>
            <w:gridSpan w:val="2"/>
          </w:tcPr>
          <w:p>
            <w:pPr>
              <w:jc w:val="right"/>
              <w:ind w:right="19"/>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With respect to the January 2010 grants, the Committee took into account that even though 2009 was an extremely difficult year, during which global economic conditions deteriorated and Schlumberger revenue declined by 16% due to lower customer spending and lower commodity prices, Schlumberger delivered net income of over $3 billion and EPS, excluding charges and credits, of $2.61.</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Compensation Committee in January 2010 approved the following awards, based on peer market data then available to the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w:t>
      </w:r>
    </w:p>
    <w:p>
      <w:pPr>
        <w:spacing w:after="0" w:line="116" w:lineRule="exact"/>
        <w:rPr>
          <w:sz w:val="20"/>
          <w:szCs w:val="20"/>
          <w:color w:val="auto"/>
        </w:rPr>
      </w:pPr>
    </w:p>
    <w:p>
      <w:pPr>
        <w:ind w:left="1400" w:right="40" w:hanging="302"/>
        <w:spacing w:after="0" w:line="264"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award of $9,000,000 in stock options to Mr. Gould, which was at the 75th percentile of the oil industry and between the 50th and 75th percentiles of the general industry. This grant was recommended by the Compensation Committee and approved by the Board.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Ayat was awarded $2,400,000 in stock options, which was between the 50th and 75th percentiles of both peer groups.</w:t>
      </w:r>
    </w:p>
    <w:p>
      <w:pPr>
        <w:spacing w:after="0" w:line="128" w:lineRule="exact"/>
        <w:rPr>
          <w:rFonts w:ascii="Arial" w:cs="Arial" w:eastAsia="Arial" w:hAnsi="Arial"/>
          <w:sz w:val="17"/>
          <w:szCs w:val="17"/>
          <w:color w:val="auto"/>
        </w:rPr>
      </w:pPr>
    </w:p>
    <w:p>
      <w:pPr>
        <w:ind w:left="1400" w:right="20" w:hanging="302"/>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Messrs. Kibsgaard and Pai were each awarded $1,200,000 in stock options, to place them between the 50th and 75th percentiles of the oil industry and at the 50th percentile of the general industry.</w:t>
      </w:r>
    </w:p>
    <w:p>
      <w:pPr>
        <w:spacing w:after="0" w:line="62" w:lineRule="exact"/>
        <w:rPr>
          <w:rFonts w:ascii="Arial" w:cs="Arial" w:eastAsia="Arial" w:hAnsi="Arial"/>
          <w:sz w:val="18"/>
          <w:szCs w:val="18"/>
          <w:color w:val="auto"/>
        </w:rPr>
      </w:pPr>
    </w:p>
    <w:p>
      <w:pPr>
        <w:ind w:left="1400" w:right="760" w:hanging="302"/>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Belani received $1,500,000 in stock options, placing him at the 50th percentile of the general industry. There was insufficient data for Mr. Belani’s position for the oil industry.</w:t>
      </w:r>
    </w:p>
    <w:p>
      <w:pPr>
        <w:spacing w:after="0" w:line="62" w:lineRule="exact"/>
        <w:rPr>
          <w:rFonts w:ascii="Arial" w:cs="Arial" w:eastAsia="Arial" w:hAnsi="Arial"/>
          <w:sz w:val="18"/>
          <w:szCs w:val="18"/>
          <w:color w:val="auto"/>
        </w:rPr>
      </w:pPr>
    </w:p>
    <w:p>
      <w:pPr>
        <w:ind w:left="1400" w:right="260" w:hanging="302"/>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Sbiti received $3,000,000 in stock options, which was above the 75th percentile of the oil industry and between the 50th and 75th percentiles of the general industry.</w:t>
      </w:r>
    </w:p>
    <w:p>
      <w:pPr>
        <w:spacing w:after="0" w:line="76"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As explained in the 2010 Executive Summary above, when the Compensation Committee later reviewed market data from both peer groups in October 2010, it was obvious that peer group LTI amounts awarded during 2010 were higher than had been estimated in January 2010, due to the improved economic outlook during 2010 following the global economic crisis that began in late 2008. This resulted in the Company’s LTI awards being at or near the 50th percentile of both peer groups. Additionally, following the acquisition of Smith, the scope of the named executive officer positions had increased in size in line with the increased revenue of the Company. When the amount of the January 2010 LTI’s had been determined, Schlumberger had annual revenues of $23 billion and its 2010 general industry peer group included companies with revenues from $15 billion to $40 billion. After the acquisition of Smith, Schlumberger’s 2011 revenue was forecast to be more than $35 billion and the 2011 general industry peer group was modified to include companies with</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revenues from $25 billion to $50 billion to better reflect the increased size of the Company. The Compensation Committee agreed to focus on LTI awards at the January 2011 Compensation Committee to better ensure that the 2011 LTI’s of the named executive officers are competitive with LTI’s of companies in the new 2011 peer groups.</w:t>
      </w:r>
    </w:p>
    <w:p>
      <w:pPr>
        <w:spacing w:after="0" w:line="87" w:lineRule="exact"/>
        <w:rPr>
          <w:sz w:val="20"/>
          <w:szCs w:val="20"/>
          <w:color w:val="auto"/>
        </w:rPr>
      </w:pPr>
    </w:p>
    <w:p>
      <w:pPr>
        <w:ind w:left="700" w:right="120" w:firstLine="397"/>
        <w:spacing w:after="0" w:line="279" w:lineRule="auto"/>
        <w:rPr>
          <w:sz w:val="20"/>
          <w:szCs w:val="20"/>
          <w:color w:val="auto"/>
        </w:rPr>
      </w:pPr>
      <w:r>
        <w:rPr>
          <w:rFonts w:ascii="Arial" w:cs="Arial" w:eastAsia="Arial" w:hAnsi="Arial"/>
          <w:sz w:val="17"/>
          <w:szCs w:val="17"/>
          <w:i w:val="1"/>
          <w:iCs w:val="1"/>
          <w:color w:val="auto"/>
        </w:rPr>
        <w:t xml:space="preserve">February and October 2010 Stock Option Grants. </w:t>
      </w:r>
      <w:r>
        <w:rPr>
          <w:rFonts w:ascii="Arial" w:cs="Arial" w:eastAsia="Arial" w:hAnsi="Arial"/>
          <w:sz w:val="17"/>
          <w:szCs w:val="17"/>
          <w:color w:val="auto"/>
        </w:rPr>
        <w:t>The Compensation Committee approved an additional award of $1,500,000 in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representing 64,000 shares for Mr. Kibsgaard effective February 8, in recognition of his appointment as COO. This placed Mr. Kibsgaard’s total direct compensation above the 50th percentile of the oil industry and above the 50th percentile of the general industry, taking into account his new base salary, new target incentive and both 2010 LTI grants.</w:t>
      </w:r>
    </w:p>
    <w:p>
      <w:pPr>
        <w:spacing w:after="0" w:line="77"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Compensation Committee also awarded an additional stock option grant to Mr. Pai of $1,600,000 in stock options representing 68,000 shares for retention purposes. In October 2010, the Compensation Committee approved a further stock option grant to Mr. Pai of $2,000,000 in stock options representing 83,334 shares for retention purposes and in recognition of his outstanding performance with the Company’s restructuring efforts and continued contributions to the Company during the management reorganization after the appointment of Mr. Kibsgaard as COO.</w:t>
      </w:r>
    </w:p>
    <w:p>
      <w:pPr>
        <w:spacing w:after="0" w:line="30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February 2010 Stock Option Grants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Number of Options Granted</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Value of Grant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line="195" w:lineRule="exact"/>
              <w:rPr>
                <w:sz w:val="20"/>
                <w:szCs w:val="20"/>
                <w:color w:val="auto"/>
              </w:rPr>
            </w:pPr>
            <w:r>
              <w:rPr>
                <w:rFonts w:ascii="Arial" w:cs="Arial" w:eastAsia="Arial" w:hAnsi="Arial"/>
                <w:sz w:val="18"/>
                <w:szCs w:val="18"/>
                <w:color w:val="auto"/>
              </w:rPr>
              <w:t>P. Kibsgaard</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jc w:val="right"/>
              <w:ind w:right="24"/>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60" w:type="dxa"/>
            <w:vAlign w:val="bottom"/>
          </w:tcPr>
          <w:p>
            <w:pPr>
              <w:jc w:val="right"/>
              <w:ind w:right="22"/>
              <w:spacing w:after="0" w:line="195" w:lineRule="exact"/>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 Pai</w:t>
            </w:r>
          </w:p>
        </w:tc>
        <w:tc>
          <w:tcPr>
            <w:tcW w:w="3640" w:type="dxa"/>
            <w:vAlign w:val="bottom"/>
            <w:gridSpan w:val="5"/>
          </w:tcPr>
          <w:p>
            <w:pPr>
              <w:jc w:val="right"/>
              <w:ind w:right="2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20"/>
                <w:szCs w:val="20"/>
                <w:color w:val="auto"/>
              </w:rPr>
            </w:pPr>
          </w:p>
        </w:tc>
        <w:tc>
          <w:tcPr>
            <w:tcW w:w="3060" w:type="dxa"/>
            <w:vAlign w:val="bottom"/>
            <w:gridSpan w:val="3"/>
          </w:tcPr>
          <w:p>
            <w:pPr>
              <w:jc w:val="right"/>
              <w:ind w:right="22"/>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554"/>
        </w:trPr>
        <w:tc>
          <w:tcPr>
            <w:tcW w:w="2280" w:type="dxa"/>
            <w:vAlign w:val="bottom"/>
          </w:tcPr>
          <w:p>
            <w:pPr>
              <w:spacing w:after="0"/>
              <w:rPr>
                <w:sz w:val="24"/>
                <w:szCs w:val="24"/>
                <w:color w:val="auto"/>
              </w:rPr>
            </w:pPr>
          </w:p>
        </w:tc>
        <w:tc>
          <w:tcPr>
            <w:tcW w:w="4580" w:type="dxa"/>
            <w:vAlign w:val="bottom"/>
            <w:gridSpan w:val="7"/>
          </w:tcPr>
          <w:p>
            <w:pPr>
              <w:ind w:left="1380"/>
              <w:spacing w:after="0"/>
              <w:rPr>
                <w:sz w:val="20"/>
                <w:szCs w:val="20"/>
                <w:color w:val="auto"/>
              </w:rPr>
            </w:pPr>
            <w:r>
              <w:rPr>
                <w:rFonts w:ascii="Arial" w:cs="Arial" w:eastAsia="Arial" w:hAnsi="Arial"/>
                <w:sz w:val="18"/>
                <w:szCs w:val="18"/>
                <w:b w:val="1"/>
                <w:bCs w:val="1"/>
                <w:color w:val="auto"/>
              </w:rPr>
              <w:t>October 2010 Stock Option Grant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Approximate Dollar</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Number of Options Granted</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Value of Grant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 Pai</w:t>
            </w:r>
          </w:p>
        </w:tc>
        <w:tc>
          <w:tcPr>
            <w:tcW w:w="1760" w:type="dxa"/>
            <w:vAlign w:val="bottom"/>
            <w:tcBorders>
              <w:top w:val="single" w:sz="8" w:color="auto"/>
            </w:tcBorders>
          </w:tcPr>
          <w:p>
            <w:pPr>
              <w:spacing w:after="0"/>
              <w:rPr>
                <w:sz w:val="19"/>
                <w:szCs w:val="19"/>
                <w:color w:val="auto"/>
              </w:rPr>
            </w:pPr>
          </w:p>
        </w:tc>
        <w:tc>
          <w:tcPr>
            <w:tcW w:w="500" w:type="dxa"/>
            <w:vAlign w:val="bottom"/>
            <w:gridSpan w:val="2"/>
          </w:tcPr>
          <w:p>
            <w:pPr>
              <w:spacing w:after="0"/>
              <w:rPr>
                <w:sz w:val="19"/>
                <w:szCs w:val="19"/>
                <w:color w:val="auto"/>
              </w:rPr>
            </w:pPr>
          </w:p>
        </w:tc>
        <w:tc>
          <w:tcPr>
            <w:tcW w:w="1380" w:type="dxa"/>
            <w:vAlign w:val="bottom"/>
            <w:tcBorders>
              <w:top w:val="single" w:sz="8" w:color="auto"/>
            </w:tcBorders>
            <w:gridSpan w:val="2"/>
          </w:tcPr>
          <w:p>
            <w:pPr>
              <w:jc w:val="right"/>
              <w:ind w:right="64"/>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2,000,000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8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83,334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Option Granting Process</w:t>
      </w:r>
    </w:p>
    <w:p>
      <w:pPr>
        <w:spacing w:after="0" w:line="239"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Compensation Committee is responsible for granting options under Schlumberger’s stock option and incentive plans. The Committee approves a preliminary budget for stock option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stock option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9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regular Board of Directors and Compensation Committee meeting schedule is set at least a year in advance with Board meetings held quarterly, on the third or fourth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grant date as the day of the Board meeting. The Company does not time the release of material non-public information for the purpose of affecting the values of executive compensation. At the time stock option grant decisions are made,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The exercise price for all stock options granted to executive officers and other employees is the average of the high and low trading price of the Schlumberger common stock on the NYSE on the date of grant, which has been Schlumberger’s practice for many years.</w:t>
      </w:r>
    </w:p>
    <w:p>
      <w:pPr>
        <w:spacing w:after="0" w:line="29"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Stock options generally have five-year ratable vesting, except for those granted to employees in France, which have four-year cliff vesting (meaning that all options vest at a single point in time), and those granted to Andrew Gould in January 2010, which have three-year ratable vesting. The Board and the Compensation Committee have the discretion to grant stock options with different vesting schedules as they deem necessary.</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Important Factors in Understanding Schlumberger’s Use of Stock Options</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Company’s stock option plans do not permit the following:</w:t>
      </w:r>
    </w:p>
    <w:p>
      <w:pPr>
        <w:spacing w:after="0" w:line="131" w:lineRule="exact"/>
        <w:rPr>
          <w:sz w:val="20"/>
          <w:szCs w:val="20"/>
          <w:color w:val="auto"/>
        </w:rPr>
      </w:pPr>
    </w:p>
    <w:p>
      <w:pPr>
        <w:ind w:left="1400" w:hanging="302"/>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substituting a new option grant with an exercise price lower than the exercise price of an outstanding option grant; or</w:t>
      </w:r>
    </w:p>
    <w:p>
      <w:pPr>
        <w:spacing w:after="0" w:line="128" w:lineRule="exact"/>
        <w:rPr>
          <w:rFonts w:ascii="Arial" w:cs="Arial" w:eastAsia="Arial" w:hAnsi="Arial"/>
          <w:sz w:val="17"/>
          <w:szCs w:val="17"/>
          <w:color w:val="auto"/>
        </w:rPr>
      </w:pPr>
    </w:p>
    <w:p>
      <w:pPr>
        <w:ind w:left="1400" w:hanging="302"/>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23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As a result, the Committee has established the following stock ownership guidelines applicable to executive officers and other key position holders.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3180" w:type="dxa"/>
            <w:vAlign w:val="bottom"/>
          </w:tcPr>
          <w:p>
            <w:pPr>
              <w:ind w:left="720"/>
              <w:spacing w:after="0"/>
              <w:rPr>
                <w:sz w:val="20"/>
                <w:szCs w:val="20"/>
                <w:color w:val="auto"/>
              </w:rPr>
            </w:pPr>
            <w:r>
              <w:rPr>
                <w:rFonts w:ascii="Arial" w:cs="Arial" w:eastAsia="Arial" w:hAnsi="Arial"/>
                <w:sz w:val="14"/>
                <w:szCs w:val="14"/>
                <w:b w:val="1"/>
                <w:bCs w:val="1"/>
                <w:color w:val="auto"/>
              </w:rPr>
              <w:t>Stock Ownership Guidelines</w:t>
            </w:r>
          </w:p>
        </w:tc>
      </w:tr>
      <w:tr>
        <w:trPr>
          <w:trHeight w:val="210"/>
        </w:trPr>
        <w:tc>
          <w:tcPr>
            <w:tcW w:w="20" w:type="dxa"/>
            <w:vAlign w:val="bottom"/>
          </w:tcPr>
          <w:p>
            <w:pPr>
              <w:spacing w:after="0"/>
              <w:rPr>
                <w:sz w:val="18"/>
                <w:szCs w:val="18"/>
                <w:color w:val="auto"/>
              </w:rPr>
            </w:pPr>
          </w:p>
        </w:tc>
        <w:tc>
          <w:tcPr>
            <w:tcW w:w="6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CEO</w:t>
            </w:r>
          </w:p>
        </w:tc>
        <w:tc>
          <w:tcPr>
            <w:tcW w:w="180" w:type="dxa"/>
            <w:vAlign w:val="bottom"/>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 times base salary</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COO</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3 times base salary</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Officers</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 times base salary</w:t>
            </w: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Key Staff Positions</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1 times base salary</w:t>
            </w:r>
          </w:p>
        </w:tc>
      </w:tr>
    </w:tbl>
    <w:p>
      <w:pPr>
        <w:spacing w:after="0" w:line="93"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Each executive covered by the guidelines must hold in shares at least 30% of their entire gain on every stock option exercise for a period of six months. Those who do not meet the guidelines after the six-month holding period must continue to hold the shares until the guidelines are met. There is no specified timeline to achieve the guidelines, as many of the executives do not exercise their stock options until the later part of their option term.</w:t>
      </w:r>
    </w:p>
    <w:p>
      <w:pPr>
        <w:spacing w:after="0" w:line="92"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 stock ownership guidelines also specify that any individual covered by this policy may not purchase, sell or enter into any other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 public release of Schlumberger’s quarterly or annual financial results. In addition to the regularly scheduled blackout periods, Schlumberger may impose additional blackout periods during which there may be material non-public information about Schlumberger, such as major acquisitions and divestitures.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Prohibition on Speculation in Schlumberger Stock</w:t>
      </w:r>
    </w:p>
    <w:p>
      <w:pPr>
        <w:spacing w:after="0" w:line="239"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Schlumberger’s stock ownership guidelines prohibit executives from speculating in the Company’s stock, which includes, but is not limited to, short selling (profiting if the market price of the common stock decreases); buying or selling publicly traded options, including writing covered calls; and hedging or any other type of derivative arrangement that has a similar economic effect.</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39"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72" w:lineRule="exact"/>
        <w:rPr>
          <w:sz w:val="20"/>
          <w:szCs w:val="20"/>
          <w:color w:val="auto"/>
        </w:rPr>
      </w:pPr>
    </w:p>
    <w:p>
      <w:pPr>
        <w:ind w:left="700" w:right="740" w:firstLine="397"/>
        <w:spacing w:after="0" w:line="277"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w:t>
      </w:r>
    </w:p>
    <w:p>
      <w:pPr>
        <w:spacing w:after="0" w:line="76" w:lineRule="exact"/>
        <w:rPr>
          <w:sz w:val="20"/>
          <w:szCs w:val="20"/>
          <w:color w:val="auto"/>
        </w:rPr>
      </w:pPr>
    </w:p>
    <w:p>
      <w:pPr>
        <w:ind w:left="1400" w:hanging="302"/>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compensation that can be taken into account under qualified plans,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benefits that can be provided under qualified plans.</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Retirement Practices</w:t>
      </w:r>
    </w:p>
    <w:p>
      <w:pPr>
        <w:spacing w:after="0" w:line="239"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The Company has a practice of phased retirement, which may be offered to executive officers (other than the CEO) approaching retirement, at the discretion of the Company.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Benefits</w:t>
      </w:r>
    </w:p>
    <w:p>
      <w:pPr>
        <w:spacing w:after="0" w:line="239"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executive officers.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Perquisites</w:t>
      </w:r>
    </w:p>
    <w:p>
      <w:pPr>
        <w:spacing w:after="0" w:line="239" w:lineRule="exact"/>
        <w:rPr>
          <w:sz w:val="20"/>
          <w:szCs w:val="20"/>
          <w:color w:val="auto"/>
        </w:rPr>
      </w:pPr>
    </w:p>
    <w:p>
      <w:pPr>
        <w:jc w:val="both"/>
        <w:ind w:left="700" w:right="280" w:firstLine="397"/>
        <w:spacing w:after="0" w:line="286" w:lineRule="auto"/>
        <w:rPr>
          <w:sz w:val="20"/>
          <w:szCs w:val="20"/>
          <w:color w:val="auto"/>
        </w:rPr>
      </w:pPr>
      <w:r>
        <w:rPr>
          <w:rFonts w:ascii="Arial" w:cs="Arial" w:eastAsia="Arial" w:hAnsi="Arial"/>
          <w:sz w:val="17"/>
          <w:szCs w:val="17"/>
          <w:color w:val="auto"/>
        </w:rPr>
        <w:t>Schlumberger provides only minimum perquisites to its executive officers, which (as to the named executive officers) have been identified in the narrative notes to the Summary Compensation Table. The same perquisites are generally available to all professional-level employees. For example, relocation assistance is provided to employees based on a Company-wide basis.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239"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Schlumberger does not have employment, severance or change-in-control agreements for any of its executive officers, except for those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243"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Accounting and Tax Treatment</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239"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fair value of each stock option award is estimated on the date of grant using the Black-Scholes option pricing model in accordance with applicable accounting standards. Once the fair value of each award is determined, it is expensed in the Company’s income statement ratably over the vesting period.</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 Treatment</w:t>
      </w:r>
    </w:p>
    <w:p>
      <w:pPr>
        <w:spacing w:after="0" w:line="239"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94"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Section 162(m) of the Internal Revenue Code limits the deductibility of certain compensation expenses in excess of $1,000,000 per individual covered employee. The Company’s stock option plans provide qualified performance-based compensation for purposes of Section 162(m) and are not subject to the $1 million limitation. The Compensation Committee continues to believe that the cash compensation payable in excess of this amount for the named executive officers will not result in any material loss of tax deduction relative to the flexibility gained. Section 409A of the Internal Revenue Code requires that “deferred compensation” either comply with certain deferral election and payment rules or be subject to a 20% additional tax. The Company’s compensation programs and awards are designed to make them exempt from or compliant with Section 409A.</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COMPENSATION COMMITTEE REPORT</w:t>
      </w:r>
    </w:p>
    <w:p>
      <w:pPr>
        <w:spacing w:after="0" w:line="243" w:lineRule="exact"/>
        <w:rPr>
          <w:sz w:val="20"/>
          <w:szCs w:val="20"/>
          <w:color w:val="auto"/>
        </w:rPr>
      </w:pPr>
    </w:p>
    <w:p>
      <w:pPr>
        <w:ind w:left="700" w:right="1000" w:firstLine="397"/>
        <w:spacing w:after="0" w:line="286" w:lineRule="auto"/>
        <w:rPr>
          <w:sz w:val="20"/>
          <w:szCs w:val="20"/>
          <w:color w:val="auto"/>
        </w:rPr>
      </w:pPr>
      <w:r>
        <w:rPr>
          <w:rFonts w:ascii="Arial" w:cs="Arial" w:eastAsia="Arial" w:hAnsi="Arial"/>
          <w:sz w:val="17"/>
          <w:szCs w:val="17"/>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71" w:lineRule="exact"/>
        <w:rPr>
          <w:sz w:val="20"/>
          <w:szCs w:val="20"/>
          <w:color w:val="auto"/>
        </w:rPr>
      </w:pPr>
    </w:p>
    <w:p>
      <w:pPr>
        <w:ind w:left="700" w:right="4280"/>
        <w:spacing w:after="0" w:line="277" w:lineRule="auto"/>
        <w:rPr>
          <w:sz w:val="20"/>
          <w:szCs w:val="20"/>
          <w:color w:val="auto"/>
        </w:rPr>
      </w:pPr>
      <w:r>
        <w:rPr>
          <w:rFonts w:ascii="Arial" w:cs="Arial" w:eastAsia="Arial" w:hAnsi="Arial"/>
          <w:sz w:val="18"/>
          <w:szCs w:val="18"/>
          <w:color w:val="auto"/>
        </w:rPr>
        <w:t>SUBMITTED BY THE COMPENSATION COMMITTEE OF THE SCHLUMBERGER BOARD OF DIRECTORS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700"/>
              <w:spacing w:after="0"/>
              <w:rPr>
                <w:sz w:val="20"/>
                <w:szCs w:val="20"/>
                <w:color w:val="auto"/>
              </w:rPr>
            </w:pPr>
            <w:r>
              <w:rPr>
                <w:rFonts w:ascii="Arial" w:cs="Arial" w:eastAsia="Arial" w:hAnsi="Arial"/>
                <w:sz w:val="18"/>
                <w:szCs w:val="18"/>
                <w:color w:val="auto"/>
              </w:rPr>
              <w:t>Tony Isaac</w:t>
            </w:r>
          </w:p>
        </w:tc>
        <w:tc>
          <w:tcPr>
            <w:tcW w:w="7400" w:type="dxa"/>
            <w:vAlign w:val="bottom"/>
          </w:tcPr>
          <w:p>
            <w:pPr>
              <w:ind w:left="3620"/>
              <w:spacing w:after="0"/>
              <w:rPr>
                <w:sz w:val="20"/>
                <w:szCs w:val="20"/>
                <w:color w:val="auto"/>
              </w:rPr>
            </w:pPr>
            <w:r>
              <w:rPr>
                <w:rFonts w:ascii="Arial" w:cs="Arial" w:eastAsia="Arial" w:hAnsi="Arial"/>
                <w:sz w:val="18"/>
                <w:szCs w:val="18"/>
                <w:color w:val="auto"/>
              </w:rPr>
              <w:t>Adrian Lajous</w:t>
            </w:r>
          </w:p>
        </w:tc>
      </w:tr>
      <w:tr>
        <w:trPr>
          <w:trHeight w:val="230"/>
        </w:trPr>
        <w:tc>
          <w:tcPr>
            <w:tcW w:w="4020" w:type="dxa"/>
            <w:vAlign w:val="bottom"/>
          </w:tcPr>
          <w:p>
            <w:pPr>
              <w:ind w:left="700"/>
              <w:spacing w:after="0"/>
              <w:rPr>
                <w:sz w:val="20"/>
                <w:szCs w:val="20"/>
                <w:color w:val="auto"/>
              </w:rPr>
            </w:pPr>
            <w:r>
              <w:rPr>
                <w:rFonts w:ascii="Arial" w:cs="Arial" w:eastAsia="Arial" w:hAnsi="Arial"/>
                <w:sz w:val="18"/>
                <w:szCs w:val="18"/>
                <w:color w:val="auto"/>
              </w:rPr>
              <w:t>Michael E. Marks, Chair</w:t>
            </w:r>
          </w:p>
        </w:tc>
        <w:tc>
          <w:tcPr>
            <w:tcW w:w="7400" w:type="dxa"/>
            <w:vAlign w:val="bottom"/>
          </w:tcPr>
          <w:p>
            <w:pPr>
              <w:ind w:left="3620"/>
              <w:spacing w:after="0"/>
              <w:rPr>
                <w:sz w:val="20"/>
                <w:szCs w:val="20"/>
                <w:color w:val="auto"/>
              </w:rPr>
            </w:pPr>
            <w:r>
              <w:rPr>
                <w:rFonts w:ascii="Arial" w:cs="Arial" w:eastAsia="Arial" w:hAnsi="Arial"/>
                <w:sz w:val="18"/>
                <w:szCs w:val="18"/>
                <w:color w:val="auto"/>
              </w:rPr>
              <w:t>Elizabeth Anne Moler</w:t>
            </w:r>
          </w:p>
        </w:tc>
      </w:tr>
      <w:tr>
        <w:trPr>
          <w:trHeight w:val="621"/>
        </w:trPr>
        <w:tc>
          <w:tcPr>
            <w:tcW w:w="4020" w:type="dxa"/>
            <w:vAlign w:val="bottom"/>
          </w:tcPr>
          <w:p>
            <w:pPr>
              <w:spacing w:after="0"/>
              <w:rPr>
                <w:sz w:val="24"/>
                <w:szCs w:val="24"/>
                <w:color w:val="auto"/>
              </w:rPr>
            </w:pPr>
          </w:p>
        </w:tc>
        <w:tc>
          <w:tcPr>
            <w:tcW w:w="7400" w:type="dxa"/>
            <w:vAlign w:val="bottom"/>
          </w:tcPr>
          <w:p>
            <w:pPr>
              <w:jc w:val="right"/>
              <w:ind w:right="5590"/>
              <w:spacing w:after="0"/>
              <w:rPr>
                <w:sz w:val="20"/>
                <w:szCs w:val="20"/>
                <w:color w:val="auto"/>
              </w:rPr>
            </w:pPr>
            <w:r>
              <w:rPr>
                <w:rFonts w:ascii="Arial" w:cs="Arial" w:eastAsia="Arial" w:hAnsi="Arial"/>
                <w:sz w:val="18"/>
                <w:szCs w:val="18"/>
                <w:color w:val="auto"/>
              </w:rPr>
              <w:t>37</w:t>
            </w:r>
          </w:p>
        </w:tc>
      </w:tr>
      <w:tr>
        <w:trPr>
          <w:trHeight w:val="226"/>
        </w:trPr>
        <w:tc>
          <w:tcPr>
            <w:tcW w:w="4020" w:type="dxa"/>
            <w:vAlign w:val="bottom"/>
            <w:tcBorders>
              <w:bottom w:val="single" w:sz="8" w:color="808080"/>
            </w:tcBorders>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COMPENSATION TABLES AND ACCOMPANYING NARRATIVE</w:t>
      </w:r>
    </w:p>
    <w:p>
      <w:pPr>
        <w:spacing w:after="0" w:line="23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2010 Summary Compensation Table</w:t>
      </w:r>
    </w:p>
    <w:p>
      <w:pPr>
        <w:spacing w:after="0" w:line="243"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following table shows the compensation paid by the Company and its subsidiaries for the fiscal year ended December 31, 2010 to the Chief Executive Officer, the Chief Financial Officer and the next four most highly compensated executive officers as of December 31, 2010 (collectively, the “named executive officers”).</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Change in</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jc w:val="center"/>
              <w:ind w:left="9"/>
              <w:spacing w:after="0" w:line="135" w:lineRule="exact"/>
              <w:rPr>
                <w:sz w:val="20"/>
                <w:szCs w:val="20"/>
                <w:color w:val="auto"/>
              </w:rPr>
            </w:pPr>
            <w:r>
              <w:rPr>
                <w:rFonts w:ascii="Arial" w:cs="Arial" w:eastAsia="Arial" w:hAnsi="Arial"/>
                <w:sz w:val="13"/>
                <w:szCs w:val="13"/>
                <w:b w:val="1"/>
                <w:bCs w:val="1"/>
                <w:color w:val="auto"/>
                <w:w w:val="88"/>
              </w:rPr>
              <w:t>Pension Value &amp;</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Non-Equity</w:t>
            </w:r>
          </w:p>
        </w:tc>
        <w:tc>
          <w:tcPr>
            <w:tcW w:w="1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0"/>
              </w:rPr>
              <w:t>Stock</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8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4"/>
              </w:rPr>
              <w:t>All Other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Name and</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Bonus</w:t>
            </w:r>
          </w:p>
        </w:tc>
        <w:tc>
          <w:tcPr>
            <w:tcW w:w="72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rPr>
              <w:t>Awards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40" w:type="dxa"/>
            <w:vAlign w:val="bottom"/>
            <w:gridSpan w:val="2"/>
          </w:tcPr>
          <w:p>
            <w:pPr>
              <w:jc w:val="center"/>
              <w:ind w:left="89"/>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4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40" w:type="dxa"/>
            <w:vAlign w:val="bottom"/>
            <w:gridSpan w:val="2"/>
          </w:tcPr>
          <w:p>
            <w:pPr>
              <w:spacing w:after="0"/>
              <w:rPr>
                <w:sz w:val="20"/>
                <w:szCs w:val="20"/>
                <w:color w:val="auto"/>
              </w:rPr>
            </w:pPr>
            <w:r>
              <w:rPr>
                <w:rFonts w:ascii="Arial" w:cs="Arial" w:eastAsia="Arial" w:hAnsi="Arial"/>
                <w:sz w:val="13"/>
                <w:szCs w:val="13"/>
                <w:b w:val="1"/>
                <w:bCs w:val="1"/>
                <w:color w:val="auto"/>
              </w:rPr>
              <w:t>Principal Position</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3"/>
                <w:szCs w:val="13"/>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w w:val="95"/>
              </w:rPr>
              <w:t>Salary ($)</w:t>
            </w: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(7)</w:t>
            </w:r>
          </w:p>
        </w:tc>
        <w:tc>
          <w:tcPr>
            <w:tcW w:w="56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(8)</w:t>
            </w:r>
          </w:p>
        </w:tc>
        <w:tc>
          <w:tcPr>
            <w:tcW w:w="940" w:type="dxa"/>
            <w:vAlign w:val="bottom"/>
            <w:gridSpan w:val="2"/>
          </w:tcPr>
          <w:p>
            <w:pPr>
              <w:jc w:val="center"/>
              <w:ind w:left="109"/>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(7)</w:t>
            </w:r>
          </w:p>
        </w:tc>
        <w:tc>
          <w:tcPr>
            <w:tcW w:w="18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 xml:space="preserve">Earnings </w:t>
            </w: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w:t>
            </w:r>
            <w:r>
              <w:rPr>
                <w:rFonts w:ascii="Arial" w:cs="Arial" w:eastAsia="Arial" w:hAnsi="Arial"/>
                <w:sz w:val="10"/>
                <w:szCs w:val="10"/>
                <w:b w:val="1"/>
                <w:bCs w:val="1"/>
                <w:color w:val="auto"/>
                <w:w w:val="89"/>
              </w:rPr>
              <w:t>(9)</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w:t>
            </w:r>
            <w:r>
              <w:rPr>
                <w:rFonts w:ascii="Arial" w:cs="Arial" w:eastAsia="Arial" w:hAnsi="Arial"/>
                <w:sz w:val="10"/>
                <w:szCs w:val="10"/>
                <w:b w:val="1"/>
                <w:bCs w:val="1"/>
                <w:color w:val="auto"/>
                <w:w w:val="94"/>
              </w:rPr>
              <w:t>(10)</w:t>
            </w:r>
          </w:p>
        </w:tc>
        <w:tc>
          <w:tcPr>
            <w:tcW w:w="3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 Gould</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2010</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2,500,000</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ind w:left="160"/>
              <w:spacing w:after="0" w:line="123"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8,938,900</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2,800,000</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1,104,721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4"/>
                <w:szCs w:val="14"/>
                <w:color w:val="auto"/>
              </w:rPr>
              <w:t>214,375</w:t>
            </w:r>
            <w:r>
              <w:rPr>
                <w:rFonts w:ascii="Arial" w:cs="Arial" w:eastAsia="Arial" w:hAnsi="Arial"/>
                <w:sz w:val="12"/>
                <w:szCs w:val="12"/>
                <w:color w:val="auto"/>
              </w:rPr>
              <w:t>(11)</w:t>
            </w: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15,557,996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Chairman and Chief</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8,650,280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1,787,500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944,323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181,250</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14,063,353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Executive Officer</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9,636,575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1,168,399</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437,500</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14,867,474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P. Kibsgaard</w:t>
            </w:r>
            <w:r>
              <w:rPr>
                <w:rFonts w:ascii="Arial" w:cs="Arial" w:eastAsia="Arial" w:hAnsi="Arial"/>
                <w:sz w:val="12"/>
                <w:szCs w:val="12"/>
                <w:color w:val="auto"/>
              </w:rPr>
              <w:t>(1),(2)</w:t>
            </w:r>
          </w:p>
        </w:tc>
        <w:tc>
          <w:tcPr>
            <w:tcW w:w="10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979,416</w:t>
            </w:r>
          </w:p>
        </w:tc>
        <w:tc>
          <w:tcPr>
            <w:tcW w:w="1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2,670,820</w:t>
            </w: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1,072,510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203,730</w:t>
            </w:r>
          </w:p>
        </w:tc>
        <w:tc>
          <w:tcPr>
            <w:tcW w:w="100" w:type="dxa"/>
            <w:vAlign w:val="bottom"/>
          </w:tcPr>
          <w:p>
            <w:pPr>
              <w:spacing w:after="0"/>
              <w:rPr>
                <w:sz w:val="11"/>
                <w:szCs w:val="11"/>
                <w:color w:val="auto"/>
              </w:rPr>
            </w:pPr>
          </w:p>
        </w:tc>
        <w:tc>
          <w:tcPr>
            <w:tcW w:w="124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27,006</w:t>
            </w:r>
            <w:r>
              <w:rPr>
                <w:rFonts w:ascii="Arial" w:cs="Arial" w:eastAsia="Arial" w:hAnsi="Arial"/>
                <w:sz w:val="12"/>
                <w:szCs w:val="12"/>
                <w:color w:val="auto"/>
              </w:rPr>
              <w:t>(12)</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4,953,482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Chief Operating Officer</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746,451</w:t>
            </w:r>
          </w:p>
        </w:tc>
        <w:tc>
          <w:tcPr>
            <w:tcW w:w="16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2,889,100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362,136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128,129</w:t>
            </w: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202,964</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4,328,780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 Ayat</w:t>
            </w:r>
          </w:p>
        </w:tc>
        <w:tc>
          <w:tcPr>
            <w:tcW w:w="4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900,000</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2,392,100</w:t>
            </w:r>
          </w:p>
        </w:tc>
        <w:tc>
          <w:tcPr>
            <w:tcW w:w="9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1,012,500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513,898</w:t>
            </w:r>
          </w:p>
        </w:tc>
        <w:tc>
          <w:tcPr>
            <w:tcW w:w="1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113,320</w:t>
            </w:r>
            <w:r>
              <w:rPr>
                <w:rFonts w:ascii="Arial" w:cs="Arial" w:eastAsia="Arial" w:hAnsi="Arial"/>
                <w:sz w:val="12"/>
                <w:szCs w:val="12"/>
                <w:color w:val="auto"/>
              </w:rPr>
              <w:t>(13)</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4,931,818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Executive Vice</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1,590,125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536,250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400,685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116,559</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3,393,619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President and Chief</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1,779,060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374,420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161,064</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3,379,544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Financial Officer</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S. Pai</w:t>
            </w:r>
            <w:r>
              <w:rPr>
                <w:rFonts w:ascii="Arial" w:cs="Arial" w:eastAsia="Arial" w:hAnsi="Arial"/>
                <w:sz w:val="12"/>
                <w:szCs w:val="12"/>
                <w:color w:val="auto"/>
              </w:rPr>
              <w:t>(3)</w:t>
            </w:r>
          </w:p>
        </w:tc>
        <w:tc>
          <w:tcPr>
            <w:tcW w:w="10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796,813</w:t>
            </w:r>
          </w:p>
        </w:tc>
        <w:tc>
          <w:tcPr>
            <w:tcW w:w="1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4,491,811</w:t>
            </w: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644,489</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598,600</w:t>
            </w:r>
          </w:p>
        </w:tc>
        <w:tc>
          <w:tcPr>
            <w:tcW w:w="100" w:type="dxa"/>
            <w:vAlign w:val="bottom"/>
          </w:tcPr>
          <w:p>
            <w:pPr>
              <w:spacing w:after="0"/>
              <w:rPr>
                <w:sz w:val="11"/>
                <w:szCs w:val="11"/>
                <w:color w:val="auto"/>
              </w:rPr>
            </w:pPr>
          </w:p>
        </w:tc>
        <w:tc>
          <w:tcPr>
            <w:tcW w:w="124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101,303</w:t>
            </w:r>
            <w:r>
              <w:rPr>
                <w:rFonts w:ascii="Arial" w:cs="Arial" w:eastAsia="Arial" w:hAnsi="Arial"/>
                <w:sz w:val="12"/>
                <w:szCs w:val="12"/>
                <w:color w:val="auto"/>
              </w:rPr>
              <w:t>(14)</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6,633,016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Vice President,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785,945</w:t>
            </w:r>
          </w:p>
        </w:tc>
        <w:tc>
          <w:tcPr>
            <w:tcW w:w="160" w:type="dxa"/>
            <w:vAlign w:val="bottom"/>
          </w:tcPr>
          <w:p>
            <w:pPr>
              <w:spacing w:after="0"/>
              <w:rPr>
                <w:sz w:val="12"/>
                <w:szCs w:val="12"/>
                <w:color w:val="auto"/>
              </w:rPr>
            </w:pPr>
          </w:p>
        </w:tc>
        <w:tc>
          <w:tcPr>
            <w:tcW w:w="420" w:type="dxa"/>
            <w:vAlign w:val="bottom"/>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2,051,485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403,814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363,433</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126,423</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3,731,100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Operations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717,844</w:t>
            </w:r>
          </w:p>
        </w:tc>
        <w:tc>
          <w:tcPr>
            <w:tcW w:w="160" w:type="dxa"/>
            <w:vAlign w:val="bottom"/>
          </w:tcPr>
          <w:p>
            <w:pPr>
              <w:spacing w:after="0"/>
              <w:rPr>
                <w:sz w:val="14"/>
                <w:szCs w:val="14"/>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1,186,040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229,794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275,071</w:t>
            </w: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207,566</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2,616,315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r>
              <w:rPr>
                <w:rFonts w:ascii="Arial" w:cs="Arial" w:eastAsia="Arial" w:hAnsi="Arial"/>
                <w:sz w:val="12"/>
                <w:szCs w:val="12"/>
                <w:color w:val="auto"/>
              </w:rPr>
              <w:t>(4)</w:t>
            </w:r>
          </w:p>
        </w:tc>
        <w:tc>
          <w:tcPr>
            <w:tcW w:w="4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724,879</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1,485,620</w:t>
            </w:r>
          </w:p>
        </w:tc>
        <w:tc>
          <w:tcPr>
            <w:tcW w:w="9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586,321</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425,995</w:t>
            </w:r>
          </w:p>
        </w:tc>
        <w:tc>
          <w:tcPr>
            <w:tcW w:w="10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116,987</w:t>
            </w:r>
            <w:r>
              <w:rPr>
                <w:rFonts w:ascii="Arial" w:cs="Arial" w:eastAsia="Arial" w:hAnsi="Arial"/>
                <w:sz w:val="12"/>
                <w:szCs w:val="12"/>
                <w:color w:val="auto"/>
              </w:rPr>
              <w:t>(15)</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3,339,802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President Reservoir</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Characterization Group</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C. Sbiti</w:t>
            </w:r>
            <w:r>
              <w:rPr>
                <w:rFonts w:ascii="Arial" w:cs="Arial" w:eastAsia="Arial" w:hAnsi="Arial"/>
                <w:sz w:val="12"/>
                <w:szCs w:val="12"/>
                <w:color w:val="auto"/>
              </w:rPr>
              <w:t>(5),(6)</w:t>
            </w:r>
          </w:p>
        </w:tc>
        <w:tc>
          <w:tcPr>
            <w:tcW w:w="4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2010</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1,287,654</w:t>
            </w:r>
          </w:p>
        </w:tc>
        <w:tc>
          <w:tcPr>
            <w:tcW w:w="1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2,823,740</w:t>
            </w: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1,088,100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1,350,545</w:t>
            </w:r>
          </w:p>
        </w:tc>
        <w:tc>
          <w:tcPr>
            <w:tcW w:w="100" w:type="dxa"/>
            <w:vAlign w:val="bottom"/>
          </w:tcPr>
          <w:p>
            <w:pPr>
              <w:spacing w:after="0"/>
              <w:rPr>
                <w:sz w:val="11"/>
                <w:szCs w:val="11"/>
                <w:color w:val="auto"/>
              </w:rPr>
            </w:pPr>
          </w:p>
        </w:tc>
        <w:tc>
          <w:tcPr>
            <w:tcW w:w="124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251,794</w:t>
            </w:r>
            <w:r>
              <w:rPr>
                <w:rFonts w:ascii="Arial" w:cs="Arial" w:eastAsia="Arial" w:hAnsi="Arial"/>
                <w:sz w:val="12"/>
                <w:szCs w:val="12"/>
                <w:color w:val="auto"/>
              </w:rPr>
              <w:t>(16)</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6,801,833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Senior Executive</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1,178,927</w:t>
            </w:r>
          </w:p>
        </w:tc>
        <w:tc>
          <w:tcPr>
            <w:tcW w:w="160" w:type="dxa"/>
            <w:vAlign w:val="bottom"/>
          </w:tcPr>
          <w:p>
            <w:pPr>
              <w:spacing w:after="0"/>
              <w:rPr>
                <w:sz w:val="12"/>
                <w:szCs w:val="12"/>
                <w:color w:val="auto"/>
              </w:rPr>
            </w:pPr>
          </w:p>
        </w:tc>
        <w:tc>
          <w:tcPr>
            <w:tcW w:w="420" w:type="dxa"/>
            <w:vAlign w:val="bottom"/>
          </w:tcPr>
          <w:p>
            <w:pPr>
              <w:ind w:left="160"/>
              <w:spacing w:after="0" w:line="149"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5,025,000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783,981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275,832</w:t>
            </w:r>
          </w:p>
        </w:tc>
        <w:tc>
          <w:tcPr>
            <w:tcW w:w="1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82,569</w:t>
            </w:r>
          </w:p>
        </w:tc>
        <w:tc>
          <w:tcPr>
            <w:tcW w:w="3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7,346,309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Advisor</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1,032,478</w:t>
            </w:r>
          </w:p>
        </w:tc>
        <w:tc>
          <w:tcPr>
            <w:tcW w:w="160" w:type="dxa"/>
            <w:vAlign w:val="bottom"/>
          </w:tcPr>
          <w:p>
            <w:pPr>
              <w:spacing w:after="0"/>
              <w:rPr>
                <w:sz w:val="15"/>
                <w:szCs w:val="15"/>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3,263,400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443,953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547,786</w:t>
            </w:r>
          </w:p>
        </w:tc>
        <w:tc>
          <w:tcPr>
            <w:tcW w:w="1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173,436</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5,461,053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76200</wp:posOffset>
            </wp:positionV>
            <wp:extent cx="694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7" w:lineRule="exact"/>
        <w:rPr>
          <w:sz w:val="20"/>
          <w:szCs w:val="20"/>
          <w:color w:val="auto"/>
        </w:rPr>
      </w:pPr>
    </w:p>
    <w:p>
      <w:pPr>
        <w:ind w:left="1100" w:right="60" w:hanging="407"/>
        <w:spacing w:after="0" w:line="298"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Mr. Kibsgaard is paid in Euros. For purposes of this Summary Compensation Table, compensation has been determined using 2010 and 2009 average exchange rates of 1 U.S. Dollar = 0.753 Euros and 1 U.S. Dollar = 0.721 Euros, respectively.</w:t>
      </w:r>
    </w:p>
    <w:p>
      <w:pPr>
        <w:ind w:left="1100" w:hanging="407"/>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February 8, 2010, Mr. Kibsgaard was appointed Chief Operating Officer of Schlumberger Limited.</w:t>
      </w:r>
    </w:p>
    <w:p>
      <w:pPr>
        <w:spacing w:after="0" w:line="63" w:lineRule="exact"/>
        <w:rPr>
          <w:rFonts w:ascii="Arial" w:cs="Arial" w:eastAsia="Arial" w:hAnsi="Arial"/>
          <w:sz w:val="18"/>
          <w:szCs w:val="18"/>
          <w:color w:val="auto"/>
        </w:rPr>
      </w:pPr>
    </w:p>
    <w:p>
      <w:pPr>
        <w:ind w:left="1100" w:right="120" w:hanging="407"/>
        <w:spacing w:after="0" w:line="264"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Pai is paid in Euros. For purposes of this Summary Compensation Table, compensation has been determined using 2010, 2009 and 2008 average exchange rates of 1 U.S. Dollar = 0.753 Euros, 1 U.S. Dollar = 0.721 Euros, and 1 U.S. Dollar = 0.678 Euros, respectively.</w:t>
      </w:r>
    </w:p>
    <w:p>
      <w:pPr>
        <w:spacing w:after="0" w:line="19" w:lineRule="exact"/>
        <w:rPr>
          <w:rFonts w:ascii="Arial" w:cs="Arial" w:eastAsia="Arial" w:hAnsi="Arial"/>
          <w:sz w:val="18"/>
          <w:szCs w:val="18"/>
          <w:color w:val="auto"/>
        </w:rPr>
      </w:pPr>
    </w:p>
    <w:p>
      <w:pPr>
        <w:ind w:left="1100" w:right="60" w:hanging="407"/>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Belani is paid in Euros. For purposes of this Summary Compensation Table, compensation has been determined using the 2010 average exchange rate of 1 U.S. Dollar = 0.753 Euros.</w:t>
      </w:r>
    </w:p>
    <w:p>
      <w:pPr>
        <w:spacing w:after="0" w:line="8" w:lineRule="exact"/>
        <w:rPr>
          <w:rFonts w:ascii="Arial" w:cs="Arial" w:eastAsia="Arial" w:hAnsi="Arial"/>
          <w:sz w:val="18"/>
          <w:szCs w:val="18"/>
          <w:color w:val="auto"/>
        </w:rPr>
      </w:pPr>
    </w:p>
    <w:p>
      <w:pPr>
        <w:ind w:left="1100" w:right="140" w:hanging="407"/>
        <w:spacing w:after="0" w:line="264"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Sbiti was paid in Euros for part of 2010. For purposes of this Summary Compensation Table, compensation has been determined using 2010, 2009 and 2008 average exchange rates of 1 U.S. Dollar = 0.753 Euros, 1 U.S. Dollar = 0.721 Euros, and 1 U.S. Dollar = 0.678 Euros, respectively.</w:t>
      </w:r>
    </w:p>
    <w:p>
      <w:pPr>
        <w:spacing w:after="0" w:line="19" w:lineRule="exact"/>
        <w:rPr>
          <w:rFonts w:ascii="Arial" w:cs="Arial" w:eastAsia="Arial" w:hAnsi="Arial"/>
          <w:sz w:val="18"/>
          <w:szCs w:val="18"/>
          <w:color w:val="auto"/>
        </w:rPr>
      </w:pPr>
    </w:p>
    <w:p>
      <w:pPr>
        <w:ind w:left="1100" w:hanging="407"/>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Effective February 8, 2010, Mr. Sbiti became Senior Executive Advisor to the Chairman and Chief Executive Officer.</w:t>
      </w:r>
    </w:p>
    <w:p>
      <w:pPr>
        <w:spacing w:after="0" w:line="63" w:lineRule="exact"/>
        <w:rPr>
          <w:rFonts w:ascii="Arial" w:cs="Arial" w:eastAsia="Arial" w:hAnsi="Arial"/>
          <w:sz w:val="18"/>
          <w:szCs w:val="18"/>
          <w:color w:val="auto"/>
        </w:rPr>
      </w:pPr>
    </w:p>
    <w:p>
      <w:pPr>
        <w:ind w:left="1100" w:right="160" w:hanging="407"/>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cash incentive paid to Schlumberger’s named executive officers is included in the column “Non-Equity Incentive Plan Compensation.”</w:t>
      </w:r>
    </w:p>
    <w:p>
      <w:pPr>
        <w:spacing w:after="0" w:line="8" w:lineRule="exact"/>
        <w:rPr>
          <w:rFonts w:ascii="Arial" w:cs="Arial" w:eastAsia="Arial" w:hAnsi="Arial"/>
          <w:sz w:val="18"/>
          <w:szCs w:val="18"/>
          <w:color w:val="auto"/>
        </w:rPr>
      </w:pPr>
    </w:p>
    <w:p>
      <w:pPr>
        <w:ind w:left="1100" w:right="360" w:hanging="407"/>
        <w:spacing w:after="0" w:line="277"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reflected in this column is the aggregate grant date fair value for grants during the fiscal years shown, computed in accordance with applicable accounting standards. The fair value of each grant</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00" w:right="1040"/>
        <w:spacing w:after="0" w:line="277" w:lineRule="auto"/>
        <w:rPr>
          <w:sz w:val="20"/>
          <w:szCs w:val="20"/>
          <w:color w:val="auto"/>
        </w:rPr>
      </w:pPr>
      <w:r>
        <w:rPr>
          <w:rFonts w:ascii="Arial" w:cs="Arial" w:eastAsia="Arial" w:hAnsi="Arial"/>
          <w:sz w:val="18"/>
          <w:szCs w:val="18"/>
          <w:color w:val="auto"/>
        </w:rPr>
        <w:t>is estimated on the date of grant using the Black-Scholes option-pricing model with the following weighted-average assumptions for the years indicated.</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21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2009</w:t>
            </w:r>
          </w:p>
        </w:tc>
        <w:tc>
          <w:tcPr>
            <w:tcW w:w="21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option life</w:t>
            </w:r>
          </w:p>
        </w:tc>
        <w:tc>
          <w:tcPr>
            <w:tcW w:w="1360" w:type="dxa"/>
            <w:vAlign w:val="bottom"/>
          </w:tcPr>
          <w:p>
            <w:pPr>
              <w:jc w:val="right"/>
              <w:spacing w:after="0"/>
              <w:rPr>
                <w:sz w:val="20"/>
                <w:szCs w:val="20"/>
                <w:color w:val="auto"/>
              </w:rPr>
            </w:pPr>
            <w:r>
              <w:rPr>
                <w:rFonts w:ascii="Arial" w:cs="Arial" w:eastAsia="Arial" w:hAnsi="Arial"/>
                <w:sz w:val="18"/>
                <w:szCs w:val="18"/>
                <w:color w:val="auto"/>
              </w:rPr>
              <w:t>6.6 years</w:t>
            </w: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 years</w:t>
            </w:r>
          </w:p>
        </w:tc>
        <w:tc>
          <w:tcPr>
            <w:tcW w:w="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w:t>
            </w: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per share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24.35</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13.05</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00" w:right="820" w:hanging="407"/>
        <w:spacing w:after="0" w:line="259"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named executive officer received above-market or preferential earnings on such compensation during 2008, 2009 or 2010.</w:t>
      </w:r>
    </w:p>
    <w:p>
      <w:pPr>
        <w:spacing w:after="0" w:line="24" w:lineRule="exact"/>
        <w:rPr>
          <w:rFonts w:ascii="Arial" w:cs="Arial" w:eastAsia="Arial" w:hAnsi="Arial"/>
          <w:sz w:val="18"/>
          <w:szCs w:val="18"/>
          <w:color w:val="auto"/>
        </w:rPr>
      </w:pPr>
    </w:p>
    <w:p>
      <w:pPr>
        <w:ind w:left="1100" w:right="1560" w:hanging="397"/>
        <w:spacing w:after="0" w:line="298" w:lineRule="auto"/>
        <w:tabs>
          <w:tab w:leader="none" w:pos="11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of the perquisites included and described in the column “All Other Compensation” are generally available to all of the Company’s exempt employees. Relocation assistance is provided to all employees on a Company-wide basis.</w:t>
      </w:r>
    </w:p>
    <w:p>
      <w:pPr>
        <w:ind w:left="1100" w:hanging="390"/>
        <w:spacing w:after="0"/>
        <w:tabs>
          <w:tab w:leader="none" w:pos="11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amount disclosed for Mr. Gould includes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4"/>
              </w:rPr>
              <w:t>80,850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$121,275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7,350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5"/>
            <w:shd w:val="clear" w:color="auto" w:fill="CCEEFF"/>
          </w:tcPr>
          <w:p>
            <w:pPr>
              <w:jc w:val="right"/>
              <w:ind w:right="290"/>
              <w:spacing w:after="0"/>
              <w:rPr>
                <w:sz w:val="20"/>
                <w:szCs w:val="20"/>
                <w:color w:val="auto"/>
              </w:rPr>
            </w:pPr>
            <w:r>
              <w:rPr>
                <w:rFonts w:ascii="Arial" w:cs="Arial" w:eastAsia="Arial" w:hAnsi="Arial"/>
                <w:sz w:val="18"/>
                <w:szCs w:val="18"/>
                <w:color w:val="auto"/>
              </w:rPr>
              <w:t>$214,375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(12) The amount disclosed for Mr. Kibsgaard includes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22,106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Contributions to Schlumberger Profit Sharing Plans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27,006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(13) The amount disclosed for Mr. Ayat includes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1540" w:type="dxa"/>
            <w:vAlign w:val="bottom"/>
            <w:gridSpan w:val="5"/>
            <w:shd w:val="clear" w:color="auto" w:fill="CCEEFF"/>
          </w:tcPr>
          <w:p>
            <w:pPr>
              <w:jc w:val="right"/>
              <w:ind w:right="290"/>
              <w:spacing w:after="0"/>
              <w:rPr>
                <w:sz w:val="20"/>
                <w:szCs w:val="20"/>
                <w:color w:val="auto"/>
              </w:rPr>
            </w:pPr>
            <w:r>
              <w:rPr>
                <w:rFonts w:ascii="Arial" w:cs="Arial" w:eastAsia="Arial" w:hAnsi="Arial"/>
                <w:sz w:val="18"/>
                <w:szCs w:val="18"/>
                <w:color w:val="auto"/>
              </w:rPr>
              <w:t>$ 23,825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$ 35,738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Contributions to Schlumberger 401(k) Plan</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7,350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Perquisites: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Allowance in lieu of hotel expenses</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$ 37,342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annual trip home</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4,165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$113,320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(14) The amount disclosed for Mr. Pai includes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80" w:type="dxa"/>
            <w:vAlign w:val="bottom"/>
            <w:gridSpan w:val="2"/>
          </w:tcPr>
          <w:p>
            <w:pPr>
              <w:ind w:left="70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4"/>
              </w:rPr>
              <w:t>59,047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Perquisites: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Child education expenses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4"/>
              </w:rPr>
              <w:t>38,912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Relocation expenses—miscellaneous</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1,397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Medical coverage for child</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8"/>
              </w:rPr>
              <w:t>1,947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5"/>
          </w:tcPr>
          <w:p>
            <w:pPr>
              <w:jc w:val="right"/>
              <w:ind w:right="290"/>
              <w:spacing w:after="0"/>
              <w:rPr>
                <w:sz w:val="20"/>
                <w:szCs w:val="20"/>
                <w:color w:val="auto"/>
              </w:rPr>
            </w:pPr>
            <w:r>
              <w:rPr>
                <w:rFonts w:ascii="Arial" w:cs="Arial" w:eastAsia="Arial" w:hAnsi="Arial"/>
                <w:sz w:val="18"/>
                <w:szCs w:val="18"/>
                <w:color w:val="auto"/>
              </w:rPr>
              <w:t>$101,303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9080" w:type="dxa"/>
            <w:vAlign w:val="bottom"/>
            <w:gridSpan w:val="2"/>
          </w:tcPr>
          <w:p>
            <w:pPr>
              <w:ind w:left="556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 The amount disclosed for Mr. Belani includes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gridSpan w:val="3"/>
          </w:tcPr>
          <w:p>
            <w:pPr>
              <w:ind w:left="700"/>
              <w:spacing w:after="0"/>
              <w:rPr>
                <w:sz w:val="20"/>
                <w:szCs w:val="20"/>
                <w:color w:val="auto"/>
              </w:rPr>
            </w:pPr>
            <w:r>
              <w:rPr>
                <w:rFonts w:ascii="Arial" w:cs="Arial" w:eastAsia="Arial" w:hAnsi="Arial"/>
                <w:sz w:val="14"/>
                <w:szCs w:val="14"/>
                <w:b w:val="1"/>
                <w:bCs w:val="1"/>
                <w:color w:val="auto"/>
              </w:rPr>
              <w:t>Item</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credits to the Schlumberger Supplementary Benefit Plan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16,542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Unfunded matching credits to the Schlumberger Restoration Savings Plan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24,812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Contributions to Schlumberger Profit Sharing Plans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Contributions to Schlumberger 401(k) Plan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7,350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Perquisites: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Relocation expenses—miscellaneous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5,967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Child education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37,915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Cost of annual trip home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19,501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6"/>
              </w:rPr>
              <w:t>116,987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(16) The amount disclosed for Mr. Sbiti includes the following:</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100" w:type="dxa"/>
            <w:vAlign w:val="bottom"/>
            <w:gridSpan w:val="3"/>
          </w:tcPr>
          <w:p>
            <w:pPr>
              <w:ind w:left="700"/>
              <w:spacing w:after="0"/>
              <w:rPr>
                <w:sz w:val="20"/>
                <w:szCs w:val="20"/>
                <w:color w:val="auto"/>
              </w:rPr>
            </w:pPr>
            <w:r>
              <w:rPr>
                <w:rFonts w:ascii="Arial" w:cs="Arial" w:eastAsia="Arial" w:hAnsi="Arial"/>
                <w:sz w:val="14"/>
                <w:szCs w:val="14"/>
                <w:b w:val="1"/>
                <w:bCs w:val="1"/>
                <w:color w:val="auto"/>
              </w:rPr>
              <w:t>Item</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8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Contributions to Schlumberger Non-U.S. Profit Sharing Plans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6"/>
              </w:rPr>
              <w:t>110,000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Perquisites: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Vacation payout due to transfer</w:t>
            </w:r>
          </w:p>
        </w:tc>
        <w:tc>
          <w:tcPr>
            <w:tcW w:w="1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$141,794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$251,794</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9080" w:type="dxa"/>
            <w:vAlign w:val="bottom"/>
            <w:gridSpan w:val="2"/>
          </w:tcPr>
          <w:p>
            <w:pPr>
              <w:jc w:val="right"/>
              <w:ind w:right="325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Grants of Plan-Based Awards for Fiscal Year 2010</w:t>
      </w:r>
    </w:p>
    <w:p>
      <w:pPr>
        <w:spacing w:after="0" w:line="243" w:lineRule="exact"/>
        <w:rPr>
          <w:sz w:val="20"/>
          <w:szCs w:val="20"/>
          <w:color w:val="auto"/>
        </w:rPr>
      </w:pPr>
    </w:p>
    <w:p>
      <w:pPr>
        <w:ind w:left="700" w:right="580" w:firstLine="397"/>
        <w:spacing w:after="0" w:line="342" w:lineRule="auto"/>
        <w:rPr>
          <w:sz w:val="20"/>
          <w:szCs w:val="20"/>
          <w:color w:val="auto"/>
        </w:rPr>
      </w:pPr>
      <w:r>
        <w:rPr>
          <w:rFonts w:ascii="Arial" w:cs="Arial" w:eastAsia="Arial" w:hAnsi="Arial"/>
          <w:sz w:val="16"/>
          <w:szCs w:val="16"/>
          <w:color w:val="auto"/>
        </w:rPr>
        <w:t>The following Grants of Plan-Based Awards table provides additional information about stock and option awards and equity incentive plan awards granted to Schlumberger’s named executive officers during the year ended December 31, 2010.</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Closing</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Estimated Possible Payouts Under</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2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28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Non-Equity Incentive Plan Awards</w:t>
            </w:r>
            <w:r>
              <w:rPr>
                <w:rFonts w:ascii="Arial" w:cs="Arial" w:eastAsia="Arial" w:hAnsi="Arial"/>
                <w:sz w:val="12"/>
                <w:szCs w:val="12"/>
                <w:b w:val="1"/>
                <w:bCs w:val="1"/>
                <w:color w:val="auto"/>
                <w:w w:val="94"/>
              </w:rPr>
              <w:t>(1)</w:t>
            </w: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 of</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Price on</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Underlying</w:t>
            </w: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Option</w:t>
            </w:r>
          </w:p>
        </w:tc>
        <w:tc>
          <w:tcPr>
            <w:tcW w:w="280" w:type="dxa"/>
            <w:vAlign w:val="bottom"/>
          </w:tcPr>
          <w:p>
            <w:pPr>
              <w:spacing w:after="0"/>
              <w:rPr>
                <w:sz w:val="10"/>
                <w:szCs w:val="10"/>
                <w:color w:val="auto"/>
              </w:rPr>
            </w:pPr>
          </w:p>
        </w:tc>
        <w:tc>
          <w:tcPr>
            <w:tcW w:w="7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Grant</w:t>
            </w: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49"/>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xml:space="preserve">Threshold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2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 ($)</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 xml:space="preserve">Maximum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Awards</w:t>
            </w:r>
          </w:p>
        </w:tc>
        <w:tc>
          <w:tcPr>
            <w:tcW w:w="28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Date</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w:t>
            </w:r>
            <w:r>
              <w:rPr>
                <w:rFonts w:ascii="Arial" w:cs="Arial" w:eastAsia="Arial" w:hAnsi="Arial"/>
                <w:sz w:val="12"/>
                <w:szCs w:val="12"/>
                <w:b w:val="1"/>
                <w:bCs w:val="1"/>
                <w:color w:val="auto"/>
                <w:w w:val="96"/>
              </w:rPr>
              <w:t>(3)</w:t>
            </w:r>
          </w:p>
        </w:tc>
        <w:tc>
          <w:tcPr>
            <w:tcW w:w="2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Awards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 Gould</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637,500</w:t>
            </w:r>
          </w:p>
        </w:tc>
        <w:tc>
          <w:tcPr>
            <w:tcW w:w="2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2,187,500</w:t>
            </w: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68.505</w:t>
            </w: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68.31</w:t>
            </w: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8,938,900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249,751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856,989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1,469,124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1,183,460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Kibsgaard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63.760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62.50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1,487,360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 Ayat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787,500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2,392,100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522,909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896,415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1,124,710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S. Pai</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2/4/10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63.760</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62.50</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1,542,920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Pai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64.225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64.31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1,824,181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475,702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815,489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28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1,485,620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Sbiti</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1,126,697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1,931,481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68.505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68.31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2,823,740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140" w:hanging="301"/>
        <w:spacing w:after="0" w:line="295"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columns show the possible payouts for each named executive officer for fiscal year 2010 based on goals set in January 2010. The possible payouts are performance-driven and completely at risk. The cash incentive amounts actually earned for 2010 and payable in 2011 are reflected in the “Non-Equity Incentive Plan” column of the Summary Compensation Table. For information regarding the annual cash incentive paid to Schlumberger’s named executive officers with respect to 2010 performance, please read “Compensation Discussion and Analysis—Elements of Compensation—2010 Annual Incentive.”</w:t>
      </w:r>
    </w:p>
    <w:p>
      <w:pPr>
        <w:spacing w:after="0" w:line="3" w:lineRule="exact"/>
        <w:rPr>
          <w:rFonts w:ascii="Arial" w:cs="Arial" w:eastAsia="Arial" w:hAnsi="Arial"/>
          <w:sz w:val="16"/>
          <w:szCs w:val="16"/>
          <w:color w:val="auto"/>
        </w:rPr>
      </w:pPr>
    </w:p>
    <w:p>
      <w:pPr>
        <w:ind w:left="1000" w:hanging="301"/>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disclosed in this column include option grants made pursuant to the following stock option plans:</w:t>
      </w:r>
    </w:p>
    <w:p>
      <w:pPr>
        <w:spacing w:after="0" w:line="1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6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1940" w:type="dxa"/>
            <w:vAlign w:val="bottom"/>
          </w:tcPr>
          <w:p>
            <w:pPr>
              <w:jc w:val="right"/>
              <w:ind w:right="294"/>
              <w:spacing w:after="0"/>
              <w:rPr>
                <w:sz w:val="20"/>
                <w:szCs w:val="20"/>
                <w:color w:val="auto"/>
              </w:rPr>
            </w:pPr>
            <w:r>
              <w:rPr>
                <w:rFonts w:ascii="Arial" w:cs="Arial" w:eastAsia="Arial" w:hAnsi="Arial"/>
                <w:sz w:val="14"/>
                <w:szCs w:val="14"/>
                <w:b w:val="1"/>
                <w:bCs w:val="1"/>
                <w:color w:val="auto"/>
              </w:rPr>
              <w:t>Schlumberger 2008</w:t>
            </w:r>
          </w:p>
        </w:tc>
        <w:tc>
          <w:tcPr>
            <w:tcW w:w="260" w:type="dxa"/>
            <w:vAlign w:val="bottom"/>
          </w:tcPr>
          <w:p>
            <w:pPr>
              <w:spacing w:after="0"/>
              <w:rPr>
                <w:sz w:val="14"/>
                <w:szCs w:val="14"/>
                <w:color w:val="auto"/>
              </w:rPr>
            </w:pPr>
          </w:p>
        </w:tc>
        <w:tc>
          <w:tcPr>
            <w:tcW w:w="2040" w:type="dxa"/>
            <w:vAlign w:val="bottom"/>
          </w:tcPr>
          <w:p>
            <w:pPr>
              <w:jc w:val="right"/>
              <w:ind w:right="335"/>
              <w:spacing w:after="0"/>
              <w:rPr>
                <w:sz w:val="20"/>
                <w:szCs w:val="20"/>
                <w:color w:val="auto"/>
              </w:rPr>
            </w:pPr>
            <w:r>
              <w:rPr>
                <w:rFonts w:ascii="Arial" w:cs="Arial" w:eastAsia="Arial" w:hAnsi="Arial"/>
                <w:sz w:val="14"/>
                <w:szCs w:val="14"/>
                <w:b w:val="1"/>
                <w:bCs w:val="1"/>
                <w:color w:val="auto"/>
              </w:rPr>
              <w:t>Schlumberger 2010</w:t>
            </w:r>
          </w:p>
        </w:tc>
        <w:tc>
          <w:tcPr>
            <w:tcW w:w="0" w:type="dxa"/>
            <w:vAlign w:val="bottom"/>
          </w:tcPr>
          <w:p>
            <w:pPr>
              <w:spacing w:after="0"/>
              <w:rPr>
                <w:sz w:val="1"/>
                <w:szCs w:val="1"/>
                <w:color w:val="auto"/>
              </w:rPr>
            </w:pPr>
          </w:p>
        </w:tc>
      </w:tr>
      <w:tr>
        <w:trPr>
          <w:trHeight w:val="171"/>
        </w:trPr>
        <w:tc>
          <w:tcPr>
            <w:tcW w:w="5680" w:type="dxa"/>
            <w:vAlign w:val="bottom"/>
            <w:vMerge w:val="continue"/>
          </w:tcPr>
          <w:p>
            <w:pPr>
              <w:spacing w:after="0"/>
              <w:rPr>
                <w:sz w:val="14"/>
                <w:szCs w:val="14"/>
                <w:color w:val="auto"/>
              </w:rPr>
            </w:pPr>
          </w:p>
        </w:tc>
        <w:tc>
          <w:tcPr>
            <w:tcW w:w="1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Stock Option Plan</w:t>
            </w:r>
          </w:p>
        </w:tc>
        <w:tc>
          <w:tcPr>
            <w:tcW w:w="260" w:type="dxa"/>
            <w:vAlign w:val="bottom"/>
          </w:tcPr>
          <w:p>
            <w:pPr>
              <w:spacing w:after="0"/>
              <w:rPr>
                <w:sz w:val="14"/>
                <w:szCs w:val="14"/>
                <w:color w:val="auto"/>
              </w:rPr>
            </w:pPr>
          </w:p>
        </w:tc>
        <w:tc>
          <w:tcPr>
            <w:tcW w:w="2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Stock Incentive Plan</w:t>
            </w:r>
          </w:p>
        </w:tc>
        <w:tc>
          <w:tcPr>
            <w:tcW w:w="0" w:type="dxa"/>
            <w:vAlign w:val="bottom"/>
          </w:tcPr>
          <w:p>
            <w:pPr>
              <w:spacing w:after="0"/>
              <w:rPr>
                <w:sz w:val="1"/>
                <w:szCs w:val="1"/>
                <w:color w:val="auto"/>
              </w:rPr>
            </w:pPr>
          </w:p>
        </w:tc>
      </w:tr>
      <w:tr>
        <w:trPr>
          <w:trHeight w:val="195"/>
        </w:trPr>
        <w:tc>
          <w:tcPr>
            <w:tcW w:w="5680" w:type="dxa"/>
            <w:vAlign w:val="bottom"/>
          </w:tcPr>
          <w:p>
            <w:pPr>
              <w:spacing w:after="0" w:line="195" w:lineRule="exact"/>
              <w:rPr>
                <w:sz w:val="20"/>
                <w:szCs w:val="20"/>
                <w:color w:val="auto"/>
              </w:rPr>
            </w:pPr>
            <w:r>
              <w:rPr>
                <w:rFonts w:ascii="Arial" w:cs="Arial" w:eastAsia="Arial" w:hAnsi="Arial"/>
                <w:sz w:val="18"/>
                <w:szCs w:val="18"/>
                <w:color w:val="auto"/>
              </w:rPr>
              <w:t>A. Gould</w:t>
            </w:r>
          </w:p>
        </w:tc>
        <w:tc>
          <w:tcPr>
            <w:tcW w:w="1940" w:type="dxa"/>
            <w:vAlign w:val="bottom"/>
          </w:tcPr>
          <w:p>
            <w:pPr>
              <w:jc w:val="right"/>
              <w:ind w:right="14"/>
              <w:spacing w:after="0" w:line="195" w:lineRule="exact"/>
              <w:rPr>
                <w:sz w:val="20"/>
                <w:szCs w:val="20"/>
                <w:color w:val="auto"/>
              </w:rPr>
            </w:pPr>
            <w:r>
              <w:rPr>
                <w:rFonts w:ascii="Arial" w:cs="Arial" w:eastAsia="Arial" w:hAnsi="Arial"/>
                <w:sz w:val="18"/>
                <w:szCs w:val="18"/>
                <w:color w:val="auto"/>
              </w:rPr>
              <w:t>355,000</w:t>
            </w:r>
          </w:p>
        </w:tc>
        <w:tc>
          <w:tcPr>
            <w:tcW w:w="260" w:type="dxa"/>
            <w:vAlign w:val="bottom"/>
          </w:tcPr>
          <w:p>
            <w:pPr>
              <w:spacing w:after="0"/>
              <w:rPr>
                <w:sz w:val="16"/>
                <w:szCs w:val="16"/>
                <w:color w:val="auto"/>
              </w:rPr>
            </w:pPr>
          </w:p>
        </w:tc>
        <w:tc>
          <w:tcPr>
            <w:tcW w:w="2040" w:type="dxa"/>
            <w:vAlign w:val="bottom"/>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 Kibsgaard</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111,000</w:t>
            </w:r>
          </w:p>
        </w:tc>
        <w:tc>
          <w:tcPr>
            <w:tcW w:w="260" w:type="dxa"/>
            <w:vAlign w:val="bottom"/>
          </w:tcPr>
          <w:p>
            <w:pPr>
              <w:spacing w:after="0"/>
              <w:rPr>
                <w:sz w:val="18"/>
                <w:szCs w:val="18"/>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 Ayat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95,000</w:t>
            </w:r>
          </w:p>
        </w:tc>
        <w:tc>
          <w:tcPr>
            <w:tcW w:w="260" w:type="dxa"/>
            <w:vAlign w:val="bottom"/>
          </w:tcPr>
          <w:p>
            <w:pPr>
              <w:spacing w:after="0"/>
              <w:rPr>
                <w:sz w:val="18"/>
                <w:szCs w:val="18"/>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 Pai</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115,000</w:t>
            </w:r>
          </w:p>
        </w:tc>
        <w:tc>
          <w:tcPr>
            <w:tcW w:w="2300" w:type="dxa"/>
            <w:vAlign w:val="bottom"/>
            <w:gridSpan w:val="2"/>
          </w:tcPr>
          <w:p>
            <w:pPr>
              <w:jc w:val="right"/>
              <w:ind w:right="15"/>
              <w:spacing w:after="0"/>
              <w:rPr>
                <w:sz w:val="20"/>
                <w:szCs w:val="20"/>
                <w:color w:val="auto"/>
              </w:rPr>
            </w:pPr>
            <w:r>
              <w:rPr>
                <w:rFonts w:ascii="Arial" w:cs="Arial" w:eastAsia="Arial" w:hAnsi="Arial"/>
                <w:sz w:val="18"/>
                <w:szCs w:val="18"/>
                <w:color w:val="auto"/>
              </w:rPr>
              <w:t>83,334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 Belani</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59,000</w:t>
            </w:r>
          </w:p>
        </w:tc>
        <w:tc>
          <w:tcPr>
            <w:tcW w:w="260" w:type="dxa"/>
            <w:vAlign w:val="bottom"/>
          </w:tcPr>
          <w:p>
            <w:pPr>
              <w:spacing w:after="0"/>
              <w:rPr>
                <w:sz w:val="18"/>
                <w:szCs w:val="18"/>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C. Sbiti</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118,000</w:t>
            </w:r>
          </w:p>
        </w:tc>
        <w:tc>
          <w:tcPr>
            <w:tcW w:w="260" w:type="dxa"/>
            <w:vAlign w:val="bottom"/>
          </w:tcPr>
          <w:p>
            <w:pPr>
              <w:spacing w:after="0"/>
              <w:rPr>
                <w:sz w:val="20"/>
                <w:szCs w:val="20"/>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20" w:hanging="301"/>
        <w:spacing w:after="0" w:line="264"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 is equal to the average of the high and low per share prices of Schlumberger common stock on the dates of grant, and may be paid in cash or by tendering shares of Schlumberger common stock. Applicable tax obligations may be paid in cash or by withholding of shares of Schlumberger common stock.</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stock options granted in January 2010, February 2010 and October 2010 vest in five equal annual installments, except for</w:t>
      </w:r>
    </w:p>
    <w:p>
      <w:pPr>
        <w:spacing w:after="0" w:line="35" w:lineRule="exact"/>
        <w:rPr>
          <w:sz w:val="20"/>
          <w:szCs w:val="20"/>
          <w:color w:val="auto"/>
        </w:rPr>
      </w:pPr>
    </w:p>
    <w:p>
      <w:pPr>
        <w:ind w:left="700" w:right="180" w:hanging="7"/>
        <w:spacing w:after="0" w:line="261" w:lineRule="auto"/>
        <w:tabs>
          <w:tab w:leader="none" w:pos="9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granted to employees in France, which are subject to four-year cliff vesting, and (ii) options granted to Mr. Gould in January 2010, which vest in three equal annual installments.</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Outstanding Equity Awards at Fiscal Year-End 2010</w:t>
      </w:r>
    </w:p>
    <w:p>
      <w:pPr>
        <w:spacing w:after="0" w:line="24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following table provides information regarding unexercised stock options outstanding for each of our named executive officers as of December 31, 2010.</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Pr>
          <w:p>
            <w:pPr>
              <w:spacing w:after="0"/>
              <w:rPr>
                <w:sz w:val="14"/>
                <w:szCs w:val="14"/>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Option Grant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2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180" w:type="dxa"/>
            <w:vAlign w:val="bottom"/>
          </w:tcPr>
          <w:p>
            <w:pPr>
              <w:spacing w:after="0"/>
              <w:rPr>
                <w:sz w:val="12"/>
                <w:szCs w:val="12"/>
                <w:color w:val="auto"/>
              </w:rPr>
            </w:pPr>
          </w:p>
        </w:tc>
        <w:tc>
          <w:tcPr>
            <w:tcW w:w="720" w:type="dxa"/>
            <w:vAlign w:val="bottom"/>
          </w:tcPr>
          <w:p>
            <w:pPr>
              <w:jc w:val="right"/>
              <w:ind w:right="26"/>
              <w:spacing w:after="0" w:line="149" w:lineRule="exact"/>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 Exercisable</w:t>
            </w:r>
            <w:r>
              <w:rPr>
                <w:rFonts w:ascii="Arial" w:cs="Arial" w:eastAsia="Arial" w:hAnsi="Arial"/>
                <w:sz w:val="12"/>
                <w:szCs w:val="12"/>
                <w:b w:val="1"/>
                <w:bCs w:val="1"/>
                <w:color w:val="auto"/>
                <w:w w:val="93"/>
              </w:rPr>
              <w:t>(1)</w:t>
            </w:r>
          </w:p>
        </w:tc>
        <w:tc>
          <w:tcPr>
            <w:tcW w:w="2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 Unexercisable</w:t>
            </w:r>
            <w:r>
              <w:rPr>
                <w:rFonts w:ascii="Arial" w:cs="Arial" w:eastAsia="Arial" w:hAnsi="Arial"/>
                <w:sz w:val="12"/>
                <w:szCs w:val="12"/>
                <w:b w:val="1"/>
                <w:bCs w:val="1"/>
                <w:color w:val="auto"/>
                <w:w w:val="93"/>
              </w:rPr>
              <w:t>(1)</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4"/>
                <w:szCs w:val="14"/>
                <w:b w:val="1"/>
                <w:bCs w:val="1"/>
                <w:color w:val="auto"/>
              </w:rPr>
              <w:t>Price ($)</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 Gould</w:t>
            </w:r>
          </w:p>
        </w:tc>
        <w:tc>
          <w:tcPr>
            <w:tcW w:w="12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1/18/2006</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800,000</w:t>
            </w:r>
          </w:p>
        </w:tc>
        <w:tc>
          <w:tcPr>
            <w:tcW w:w="20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18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54.235</w:t>
            </w:r>
          </w:p>
        </w:tc>
        <w:tc>
          <w:tcPr>
            <w:tcW w:w="1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1/17/2007</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240,000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160,000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130,000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195,000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136,000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544,000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355,000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355"/>
        </w:trPr>
        <w:tc>
          <w:tcPr>
            <w:tcW w:w="2060" w:type="dxa"/>
            <w:vAlign w:val="bottom"/>
            <w:gridSpan w:val="2"/>
          </w:tcPr>
          <w:p>
            <w:pPr>
              <w:spacing w:after="0"/>
              <w:rPr>
                <w:sz w:val="20"/>
                <w:szCs w:val="20"/>
                <w:color w:val="auto"/>
              </w:rPr>
            </w:pPr>
            <w:r>
              <w:rPr>
                <w:rFonts w:ascii="Arial" w:cs="Arial" w:eastAsia="Arial" w:hAnsi="Arial"/>
                <w:sz w:val="16"/>
                <w:szCs w:val="16"/>
                <w:color w:val="auto"/>
              </w:rPr>
              <w:t>P. Kibsgaard</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80,000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7/19/2006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63.545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7/19/2016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18,800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28,200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4/23/2009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80,000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45.880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4/23/2019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47,000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2/4/2010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64,000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63.760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2/4/2020</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S. Ayat</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4/17/2002</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27.873</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4/17/2012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1/15/2003</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20.648</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1/15/2013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1/17/2007</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60,000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40,000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36,000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1/22/2009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100,000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95,000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355"/>
        </w:trPr>
        <w:tc>
          <w:tcPr>
            <w:tcW w:w="2060" w:type="dxa"/>
            <w:vAlign w:val="bottom"/>
            <w:gridSpan w:val="2"/>
          </w:tcPr>
          <w:p>
            <w:pPr>
              <w:spacing w:after="0"/>
              <w:rPr>
                <w:sz w:val="20"/>
                <w:szCs w:val="20"/>
                <w:color w:val="auto"/>
              </w:rPr>
            </w:pPr>
            <w:r>
              <w:rPr>
                <w:rFonts w:ascii="Arial" w:cs="Arial" w:eastAsia="Arial" w:hAnsi="Arial"/>
                <w:sz w:val="16"/>
                <w:szCs w:val="16"/>
                <w:color w:val="auto"/>
              </w:rPr>
              <w:t>S. Pai</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4/17/2002</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160,000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27.873</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4/17/2012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80,000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7/19/2006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63.545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7/19/2016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16,000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24,000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17,000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4/23/2009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12,000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48,000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45.880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4/23/2019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47,000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2/4/2010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68,000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63.760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2/4/2020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83,334</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64.225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10/21/2020</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A. Belani</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100,000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1/17/2007</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30,000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20,000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shd w:val="clear" w:color="auto" w:fill="CCEEFF"/>
          </w:tcPr>
          <w:p>
            <w:pPr>
              <w:jc w:val="right"/>
              <w:ind w:right="3"/>
              <w:spacing w:after="0"/>
              <w:rPr>
                <w:sz w:val="20"/>
                <w:szCs w:val="20"/>
                <w:color w:val="auto"/>
              </w:rPr>
            </w:pPr>
            <w:r>
              <w:rPr>
                <w:rFonts w:ascii="Arial" w:cs="Arial" w:eastAsia="Arial" w:hAnsi="Arial"/>
                <w:sz w:val="16"/>
                <w:szCs w:val="16"/>
                <w:color w:val="auto"/>
              </w:rPr>
              <w:t>24,000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36,000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1/22/2009</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25,000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100,000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1/21/2010</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59,000</w:t>
            </w:r>
          </w:p>
        </w:tc>
        <w:tc>
          <w:tcPr>
            <w:tcW w:w="9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r>
        <w:trPr>
          <w:trHeight w:val="355"/>
        </w:trPr>
        <w:tc>
          <w:tcPr>
            <w:tcW w:w="2060" w:type="dxa"/>
            <w:vAlign w:val="bottom"/>
            <w:gridSpan w:val="2"/>
          </w:tcPr>
          <w:p>
            <w:pPr>
              <w:spacing w:after="0"/>
              <w:rPr>
                <w:sz w:val="20"/>
                <w:szCs w:val="20"/>
                <w:color w:val="auto"/>
              </w:rPr>
            </w:pPr>
            <w:r>
              <w:rPr>
                <w:rFonts w:ascii="Arial" w:cs="Arial" w:eastAsia="Arial" w:hAnsi="Arial"/>
                <w:sz w:val="16"/>
                <w:szCs w:val="16"/>
                <w:color w:val="auto"/>
              </w:rPr>
              <w:t>C. Sbiti</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4/17/2002</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100,000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27.873</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4/17/2012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1/15/2003</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200,000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20.648</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1/15/2013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1/18/2006</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260,000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54.235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1/18/2016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1/17/2007</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130,000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58.455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1/17/2008</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120,000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84.930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1/17/2018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1/22/2009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250,000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37.845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4/23/2009</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125,000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45.880</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4/23/2019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1/21/2010</w:t>
            </w:r>
          </w:p>
        </w:tc>
        <w:tc>
          <w:tcPr>
            <w:tcW w:w="2000" w:type="dxa"/>
            <w:vAlign w:val="bottom"/>
            <w:gridSpan w:val="3"/>
          </w:tcPr>
          <w:p>
            <w:pPr>
              <w:jc w:val="right"/>
              <w:ind w:right="3"/>
              <w:spacing w:after="0"/>
              <w:rPr>
                <w:sz w:val="20"/>
                <w:szCs w:val="20"/>
                <w:color w:val="auto"/>
              </w:rPr>
            </w:pPr>
            <w:r>
              <w:rPr>
                <w:rFonts w:ascii="Arial" w:cs="Arial" w:eastAsia="Arial" w:hAnsi="Arial"/>
                <w:sz w:val="16"/>
                <w:szCs w:val="16"/>
                <w:color w:val="auto"/>
              </w:rPr>
              <w:t>0</w:t>
            </w:r>
          </w:p>
        </w:tc>
        <w:tc>
          <w:tcPr>
            <w:tcW w:w="2000" w:type="dxa"/>
            <w:vAlign w:val="bottom"/>
            <w:gridSpan w:val="2"/>
          </w:tcPr>
          <w:p>
            <w:pPr>
              <w:jc w:val="right"/>
              <w:ind w:right="26"/>
              <w:spacing w:after="0"/>
              <w:rPr>
                <w:sz w:val="20"/>
                <w:szCs w:val="20"/>
                <w:color w:val="auto"/>
              </w:rPr>
            </w:pPr>
            <w:r>
              <w:rPr>
                <w:rFonts w:ascii="Arial" w:cs="Arial" w:eastAsia="Arial" w:hAnsi="Arial"/>
                <w:sz w:val="16"/>
                <w:szCs w:val="16"/>
                <w:color w:val="auto"/>
              </w:rPr>
              <w:t>118,000</w:t>
            </w:r>
          </w:p>
        </w:tc>
        <w:tc>
          <w:tcPr>
            <w:tcW w:w="900" w:type="dxa"/>
            <w:vAlign w:val="bottom"/>
            <w:gridSpan w:val="2"/>
          </w:tcPr>
          <w:p>
            <w:pPr>
              <w:jc w:val="right"/>
              <w:ind w:right="6"/>
              <w:spacing w:after="0"/>
              <w:rPr>
                <w:sz w:val="20"/>
                <w:szCs w:val="20"/>
                <w:color w:val="auto"/>
              </w:rPr>
            </w:pPr>
            <w:r>
              <w:rPr>
                <w:rFonts w:ascii="Arial" w:cs="Arial" w:eastAsia="Arial" w:hAnsi="Arial"/>
                <w:sz w:val="16"/>
                <w:szCs w:val="16"/>
                <w:color w:val="auto"/>
              </w:rPr>
              <w:t>68.505</w:t>
            </w:r>
          </w:p>
        </w:tc>
        <w:tc>
          <w:tcPr>
            <w:tcW w:w="1400" w:type="dxa"/>
            <w:vAlign w:val="bottom"/>
            <w:gridSpan w:val="2"/>
          </w:tcPr>
          <w:p>
            <w:pPr>
              <w:jc w:val="right"/>
              <w:ind w:right="6"/>
              <w:spacing w:after="0"/>
              <w:rPr>
                <w:sz w:val="20"/>
                <w:szCs w:val="20"/>
                <w:color w:val="auto"/>
              </w:rPr>
            </w:pPr>
            <w:r>
              <w:rPr>
                <w:rFonts w:ascii="Arial" w:cs="Arial" w:eastAsia="Arial" w:hAnsi="Arial"/>
                <w:sz w:val="16"/>
                <w:szCs w:val="16"/>
                <w:color w:val="auto"/>
              </w:rPr>
              <w:t>1/21/2020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8" w:lineRule="exact"/>
        <w:rPr>
          <w:sz w:val="20"/>
          <w:szCs w:val="20"/>
          <w:color w:val="auto"/>
        </w:rPr>
      </w:pPr>
    </w:p>
    <w:p>
      <w:pPr>
        <w:ind w:left="1000" w:right="40" w:hanging="301"/>
        <w:spacing w:after="0" w:line="259"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Options granted from July 2003 to January 2006 have four-year ratable vesting and stock price appreciation is capped at 125% of the exercise price on the date of grant. The grants listed above that were made before and after these dates have five-year ratable vesting and no profit cap, except for (i) options granted to employees in France, which have four-year cliff vesting, and (ii) options granted to Mr. Gould in January 2010, which vest in three equal annual installments.</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Option Exercises and Stock Vested for Fiscal Year 2010</w:t>
      </w:r>
    </w:p>
    <w:p>
      <w:pPr>
        <w:spacing w:after="0" w:line="243"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The following table sets forth certain information with respect to stock options exercised by the named executive officers during 2010.</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gridSpan w:val="3"/>
            <w:vMerge w:val="continue"/>
          </w:tcPr>
          <w:p>
            <w:pPr>
              <w:spacing w:after="0"/>
              <w:rPr>
                <w:sz w:val="14"/>
                <w:szCs w:val="14"/>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Acquired on Exercise(#)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on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20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211,430</w:t>
            </w:r>
          </w:p>
        </w:tc>
        <w:tc>
          <w:tcPr>
            <w:tcW w:w="5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1700" w:type="dxa"/>
            <w:vAlign w:val="bottom"/>
          </w:tcPr>
          <w:p>
            <w:pPr>
              <w:jc w:val="right"/>
              <w:spacing w:after="0"/>
              <w:rPr>
                <w:sz w:val="20"/>
                <w:szCs w:val="20"/>
                <w:color w:val="auto"/>
              </w:rPr>
            </w:pPr>
            <w:r>
              <w:rPr>
                <w:rFonts w:ascii="Arial" w:cs="Arial" w:eastAsia="Arial" w:hAnsi="Arial"/>
                <w:sz w:val="18"/>
                <w:szCs w:val="18"/>
                <w:color w:val="auto"/>
              </w:rPr>
              <w:t>14,390</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Ayat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S. Pai</w:t>
            </w:r>
          </w:p>
        </w:tc>
        <w:tc>
          <w:tcPr>
            <w:tcW w:w="1700" w:type="dxa"/>
            <w:vAlign w:val="bottom"/>
          </w:tcPr>
          <w:p>
            <w:pPr>
              <w:jc w:val="right"/>
              <w:spacing w:after="0"/>
              <w:rPr>
                <w:sz w:val="20"/>
                <w:szCs w:val="20"/>
                <w:color w:val="auto"/>
              </w:rPr>
            </w:pPr>
            <w:r>
              <w:rPr>
                <w:rFonts w:ascii="Arial" w:cs="Arial" w:eastAsia="Arial" w:hAnsi="Arial"/>
                <w:sz w:val="18"/>
                <w:szCs w:val="18"/>
                <w:color w:val="auto"/>
              </w:rPr>
              <w:t>120,000</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4,027,620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2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 Sbiti</w:t>
            </w:r>
          </w:p>
        </w:tc>
        <w:tc>
          <w:tcPr>
            <w:tcW w:w="1700" w:type="dxa"/>
            <w:vAlign w:val="bottom"/>
          </w:tcPr>
          <w:p>
            <w:pPr>
              <w:jc w:val="right"/>
              <w:spacing w:after="0"/>
              <w:rPr>
                <w:sz w:val="20"/>
                <w:szCs w:val="20"/>
                <w:color w:val="auto"/>
              </w:rPr>
            </w:pPr>
            <w:r>
              <w:rPr>
                <w:rFonts w:ascii="Arial" w:cs="Arial" w:eastAsia="Arial" w:hAnsi="Arial"/>
                <w:sz w:val="18"/>
                <w:szCs w:val="18"/>
                <w:color w:val="auto"/>
              </w:rPr>
              <w:t>360,000</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13,953,060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Pension Benefits for Fiscal Year 2010</w:t>
      </w:r>
    </w:p>
    <w:p>
      <w:pPr>
        <w:spacing w:after="0" w:line="243"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Schlumberger maintains the following pension plans for executive officers and other employees, which provide for lifetime pensions upon retirement, based on years of service:</w:t>
      </w:r>
    </w:p>
    <w:p>
      <w:pPr>
        <w:spacing w:after="0" w:line="76" w:lineRule="exact"/>
        <w:rPr>
          <w:sz w:val="20"/>
          <w:szCs w:val="20"/>
          <w:color w:val="auto"/>
        </w:rPr>
      </w:pPr>
    </w:p>
    <w:p>
      <w:pPr>
        <w:ind w:left="1400" w:hanging="302"/>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following table and narrative disclosure set forth certain information with respect to pension benefits payable to the named executive officers.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Present Value</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Years of</w:t>
            </w:r>
          </w:p>
        </w:tc>
        <w:tc>
          <w:tcPr>
            <w:tcW w:w="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32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Plan Name</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w:t>
            </w:r>
          </w:p>
        </w:tc>
        <w:tc>
          <w:tcPr>
            <w:tcW w:w="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Accumulated</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Service (#)(1)</w:t>
            </w:r>
          </w:p>
        </w:tc>
        <w:tc>
          <w:tcPr>
            <w:tcW w:w="4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Benefits ($)(2)</w:t>
            </w:r>
          </w:p>
        </w:tc>
        <w:tc>
          <w:tcPr>
            <w:tcW w:w="3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Last Fiscal Year</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 Gould</w:t>
            </w: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666,650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7,886,580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1,701,237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300" w:type="dxa"/>
            <w:vAlign w:val="bottom"/>
            <w:gridSpan w:val="2"/>
          </w:tcPr>
          <w:p>
            <w:pPr>
              <w:spacing w:after="0"/>
              <w:rPr>
                <w:sz w:val="20"/>
                <w:szCs w:val="20"/>
                <w:color w:val="auto"/>
              </w:rPr>
            </w:pPr>
            <w:r>
              <w:rPr>
                <w:rFonts w:ascii="Arial" w:cs="Arial" w:eastAsia="Arial" w:hAnsi="Arial"/>
                <w:sz w:val="18"/>
                <w:szCs w:val="18"/>
                <w:color w:val="auto"/>
              </w:rPr>
              <w:t>P. Kibsgaard</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41,716</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114,467</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218,229</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162,295</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120,764</w:t>
            </w: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 Ayat</w:t>
            </w:r>
          </w:p>
        </w:tc>
        <w:tc>
          <w:tcPr>
            <w:tcW w:w="20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270,623</w:t>
            </w:r>
          </w:p>
        </w:tc>
        <w:tc>
          <w:tcPr>
            <w:tcW w:w="3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65,055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1,082,932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French Supplementary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143,822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731,988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300" w:type="dxa"/>
            <w:vAlign w:val="bottom"/>
            <w:gridSpan w:val="2"/>
          </w:tcPr>
          <w:p>
            <w:pPr>
              <w:spacing w:after="0"/>
              <w:rPr>
                <w:sz w:val="20"/>
                <w:szCs w:val="20"/>
                <w:color w:val="auto"/>
              </w:rPr>
            </w:pPr>
            <w:r>
              <w:rPr>
                <w:rFonts w:ascii="Arial" w:cs="Arial" w:eastAsia="Arial" w:hAnsi="Arial"/>
                <w:sz w:val="18"/>
                <w:szCs w:val="18"/>
                <w:color w:val="auto"/>
              </w:rPr>
              <w:t>S. Pai</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223,310</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203,990</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937,956</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290,946</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French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380,368</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285,665</w:t>
            </w: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300" w:type="dxa"/>
            <w:vAlign w:val="bottom"/>
            <w:gridSpan w:val="2"/>
          </w:tcPr>
          <w:p>
            <w:pPr>
              <w:spacing w:after="0"/>
              <w:rPr>
                <w:sz w:val="20"/>
                <w:szCs w:val="20"/>
                <w:color w:val="auto"/>
              </w:rPr>
            </w:pPr>
            <w:r>
              <w:rPr>
                <w:rFonts w:ascii="Arial" w:cs="Arial" w:eastAsia="Arial" w:hAnsi="Arial"/>
                <w:sz w:val="18"/>
                <w:szCs w:val="18"/>
                <w:color w:val="auto"/>
              </w:rPr>
              <w:t>A. Belani</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351,223</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38,897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Supplementary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856,290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STC Supplementary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94,957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454,474</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2300" w:type="dxa"/>
            <w:vAlign w:val="bottom"/>
            <w:gridSpan w:val="2"/>
          </w:tcPr>
          <w:p>
            <w:pPr>
              <w:spacing w:after="0"/>
              <w:rPr>
                <w:sz w:val="20"/>
                <w:szCs w:val="20"/>
                <w:color w:val="auto"/>
              </w:rPr>
            </w:pPr>
            <w:r>
              <w:rPr>
                <w:rFonts w:ascii="Arial" w:cs="Arial" w:eastAsia="Arial" w:hAnsi="Arial"/>
                <w:sz w:val="18"/>
                <w:szCs w:val="18"/>
                <w:color w:val="auto"/>
              </w:rPr>
              <w:t>C. Sbiti</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STC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66,800</w:t>
            </w:r>
          </w:p>
        </w:tc>
        <w:tc>
          <w:tcPr>
            <w:tcW w:w="3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French Supplementary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2,417,621</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SLB International Staff Pension Plan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2,154,520</w:t>
            </w: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694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1000" w:right="100" w:hanging="301"/>
        <w:spacing w:after="0" w:line="26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does not grant and does not expect to grant extra years of credited service to named executive officers under the pension plans. The number of years of credited service reflect each named executive officer’s actual years of service as a participant in each plan.</w:t>
      </w:r>
    </w:p>
    <w:p>
      <w:pPr>
        <w:spacing w:after="0" w:line="19" w:lineRule="exact"/>
        <w:rPr>
          <w:rFonts w:ascii="Arial" w:cs="Arial" w:eastAsia="Arial" w:hAnsi="Arial"/>
          <w:sz w:val="18"/>
          <w:szCs w:val="18"/>
          <w:color w:val="auto"/>
        </w:rPr>
      </w:pPr>
    </w:p>
    <w:p>
      <w:pPr>
        <w:ind w:left="1000" w:right="120" w:hanging="301"/>
        <w:spacing w:after="0" w:line="25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present value of accumulated benefits is calculated using the 1994 Group Annuity Mortality Table and a discount rate of 5.50% at December 31, 2010. Retirement in each case is assumed to be the earlier of normal retirement age or December 31, 2010 if the named executive officer is employed after normal retirement age, or, as to Schlumberger’s U.S. plans, the date that the sum of the named executive officer’s age plus years of service has reached, or is expected to reach, age 85, but not before the named executive officer reaches age 55.</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239"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Both the SLB Pension Plan and the STC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90" w:lineRule="auto"/>
        <w:rPr>
          <w:sz w:val="20"/>
          <w:szCs w:val="20"/>
          <w:color w:val="auto"/>
        </w:rPr>
      </w:pPr>
      <w:r>
        <w:rPr>
          <w:rFonts w:ascii="Arial" w:cs="Arial" w:eastAsia="Arial" w:hAnsi="Arial"/>
          <w:sz w:val="16"/>
          <w:szCs w:val="16"/>
          <w:color w:val="auto"/>
        </w:rPr>
        <w:t>requirements. Benefits under these plans are based on an employee’s admissible compensation (generally base salary and cash incentive) for each year in which an employee participates in the plan, and the employee’s length of service with Schlumberger. Since January 1, 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Sbiti are each eligible for retirement with an unreduced pension under the rule of 85. The benefits are usually paid as a life-time annuity.</w:t>
      </w:r>
    </w:p>
    <w:p>
      <w:pPr>
        <w:spacing w:after="0" w:line="7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In 2004, the above plans were amended to generally provide that employees hired on or after October 1, 2004 would not be eligible to participate. Newly-hired employees are eligible to participate in an enhanced defined contribution plan, which provides a Company contribution, depending on the employee’s 401(k) contribution and the profitability of the Company in any year. None of the named executive officers were affected by this change.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239"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Both the SLB Supplementary Plan and the STC Supplementary Plan contain non-tax-qualified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(i) annual compensation that can be taken into account under qualified plans and (ii) annual benefits that can be provided under qualified plans. The retirement age under nonqualified pension plans is the same as under the tax-qualified pension plans. These benefits are subject to forfeiture if the employee leaves the Company before the age of 50, is terminated for cause or has violated a confidentiality arrangement involving the Company or its affiliates. Mr. Gould is eligible for retirement with an unreduced pension under the rule of 85. Nonqualified plan benefits are paid to an employee upon separation from service, provided the employee has attained the age of 55, or if earlier, the age of 50 with 20 years of service. Payment is made as a joint and survivor annuity, if married; otherwise, payment is made as a life only annuity. Payment to key employees is delayed six months following separation from service. These nonqualified plan benefits are payable in cash from the Company’s general assets and are intended to qualify as “excess benefit plans” exempt from certain requirements of Title I of ERISA.</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239"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Effective January 2006, the Company adopted the SLB French Supplementary Plan for exempt employees in France. The plan complements existing national plans and provides a pension beginning at age 60 when the employee retires from Schlumberger and is eligible for a French state pension. The benefit is equivalent to 1.5% of admissible compensation above the earnings cap for less than fifteen years service and 2% of admissible compensation (generally base salary and cash incentive)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is terminated before age 60, is not subsequently employed and is otherwise entitled to a French pension, then the employee would receive a benefit under the plan. The Company does not grant and does not expect to grant extra years of credited service under the tax-qualified pension plans to executive officers.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239"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Recognizing the need to maintain a high degree of mobility for certain of the Company’s employees and that otherwise the employees would be unable to accumulate any meaningful pension because they are required to work in many different countries, the Company maintains the SLB International Staff Pension Plan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79" w:lineRule="auto"/>
        <w:rPr>
          <w:sz w:val="20"/>
          <w:szCs w:val="20"/>
          <w:color w:val="auto"/>
        </w:rPr>
      </w:pPr>
      <w:r>
        <w:rPr>
          <w:rFonts w:ascii="Arial" w:cs="Arial" w:eastAsia="Arial" w:hAnsi="Arial"/>
          <w:sz w:val="17"/>
          <w:szCs w:val="17"/>
          <w:color w:val="auto"/>
        </w:rPr>
        <w:t>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7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Benefits under this plan are based on a participant’s admissible compensation (generally, base salary, incentive and geographical coefficient) for each year in which the employee participates in the plan and the employee’s length of service. The benefit earned from January 1, 1993 to January 31, 2009 is 2.4% of admissible compensation prior to completion of 15 years of service, and 3.2% of admissible compensation for each year of service after 15 years. Those employees who remained with Schlumberger beyond 20 years of service had the first 15 years of service upgraded to 3.2%. Benefits are payable upon normal retirement age, at or after age 55, or upon early retirement, at or after age 50 with 20 years of service.</w:t>
      </w:r>
    </w:p>
    <w:p>
      <w:pPr>
        <w:spacing w:after="0" w:line="8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Since January 1, 2010, the benefit earned has been equal to 3.5% of admissible compensation regardless of an employee’s years of service. Benefits earned on or after this date are payable upon normal retirement age, at or after age 60, or upon early retirement, at or after age 55.</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Nonqualified Deferred Compensation for Fiscal Year 2010</w:t>
      </w:r>
    </w:p>
    <w:p>
      <w:pPr>
        <w:spacing w:after="0" w:line="243"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following table and narrative disclosure set forth certain information with respect to nonqualified deferred compensation payable to the named executive officers.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7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Plan Name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Last FY</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71"/>
        </w:trPr>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44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44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32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 Gould</w:t>
            </w:r>
          </w:p>
        </w:tc>
        <w:tc>
          <w:tcPr>
            <w:tcW w:w="140" w:type="dxa"/>
            <w:vAlign w:val="bottom"/>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SLB Supplementary Plan</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80,850</w:t>
            </w: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286,301</w:t>
            </w: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1,834,693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SLB Restoration Plan</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242,550</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121,275</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235,824</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3,990,021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247,794</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1,942,133</w:t>
            </w:r>
          </w:p>
        </w:tc>
        <w:tc>
          <w:tcPr>
            <w:tcW w:w="0" w:type="dxa"/>
            <w:vAlign w:val="bottom"/>
          </w:tcPr>
          <w:p>
            <w:pPr>
              <w:spacing w:after="0"/>
              <w:rPr>
                <w:sz w:val="1"/>
                <w:szCs w:val="1"/>
                <w:color w:val="auto"/>
              </w:rPr>
            </w:pPr>
          </w:p>
        </w:tc>
      </w:tr>
      <w:tr>
        <w:trPr>
          <w:trHeight w:val="355"/>
        </w:trPr>
        <w:tc>
          <w:tcPr>
            <w:tcW w:w="1420" w:type="dxa"/>
            <w:vAlign w:val="bottom"/>
            <w:gridSpan w:val="2"/>
          </w:tcPr>
          <w:p>
            <w:pPr>
              <w:spacing w:after="0"/>
              <w:rPr>
                <w:sz w:val="20"/>
                <w:szCs w:val="20"/>
                <w:color w:val="auto"/>
              </w:rPr>
            </w:pPr>
            <w:r>
              <w:rPr>
                <w:rFonts w:ascii="Arial" w:cs="Arial" w:eastAsia="Arial" w:hAnsi="Arial"/>
                <w:sz w:val="16"/>
                <w:szCs w:val="16"/>
                <w:color w:val="auto"/>
              </w:rPr>
              <w:t>P. Kibsgaard</w:t>
            </w: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w w:val="98"/>
              </w:rPr>
              <w:t>SLB Supplementary Plan</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color w:val="auto"/>
              </w:rPr>
              <w:t>22,106</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34,324</w:t>
            </w:r>
          </w:p>
        </w:tc>
        <w:tc>
          <w:tcPr>
            <w:tcW w:w="2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182,912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SLB Restoration Plan</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2,906</w:t>
            </w:r>
          </w:p>
        </w:tc>
        <w:tc>
          <w:tcPr>
            <w:tcW w:w="2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80,311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International Staff Plan</w:t>
            </w: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9,197</w:t>
            </w:r>
          </w:p>
        </w:tc>
        <w:tc>
          <w:tcPr>
            <w:tcW w:w="2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85,748</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S. Ayat</w:t>
            </w:r>
          </w:p>
        </w:tc>
        <w:tc>
          <w:tcPr>
            <w:tcW w:w="1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8"/>
              </w:rPr>
              <w:t>SLB Supplementary Plan</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23,825</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35,078</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171,395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SLB Restoration Plan</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71,475</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35,738</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32,769</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319,784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104,353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994,056</w:t>
            </w:r>
          </w:p>
        </w:tc>
        <w:tc>
          <w:tcPr>
            <w:tcW w:w="0" w:type="dxa"/>
            <w:vAlign w:val="bottom"/>
          </w:tcPr>
          <w:p>
            <w:pPr>
              <w:spacing w:after="0"/>
              <w:rPr>
                <w:sz w:val="1"/>
                <w:szCs w:val="1"/>
                <w:color w:val="auto"/>
              </w:rPr>
            </w:pPr>
          </w:p>
        </w:tc>
      </w:tr>
      <w:tr>
        <w:trPr>
          <w:trHeight w:val="355"/>
        </w:trPr>
        <w:tc>
          <w:tcPr>
            <w:tcW w:w="1420" w:type="dxa"/>
            <w:vAlign w:val="bottom"/>
            <w:gridSpan w:val="2"/>
          </w:tcPr>
          <w:p>
            <w:pPr>
              <w:spacing w:after="0"/>
              <w:rPr>
                <w:sz w:val="20"/>
                <w:szCs w:val="20"/>
                <w:color w:val="auto"/>
              </w:rPr>
            </w:pPr>
            <w:r>
              <w:rPr>
                <w:rFonts w:ascii="Arial" w:cs="Arial" w:eastAsia="Arial" w:hAnsi="Arial"/>
                <w:sz w:val="16"/>
                <w:szCs w:val="16"/>
                <w:color w:val="auto"/>
              </w:rPr>
              <w:t>S. Pai</w:t>
            </w: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w w:val="98"/>
              </w:rPr>
              <w:t>SLB Supplementary Plan</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43,410</w:t>
            </w:r>
          </w:p>
        </w:tc>
        <w:tc>
          <w:tcPr>
            <w:tcW w:w="2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290,622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SLB Restoration Plan</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62,085</w:t>
            </w:r>
          </w:p>
        </w:tc>
        <w:tc>
          <w:tcPr>
            <w:tcW w:w="2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1,282,808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International Staff Plan</w:t>
            </w:r>
          </w:p>
        </w:tc>
        <w:tc>
          <w:tcPr>
            <w:tcW w:w="2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color w:val="auto"/>
              </w:rPr>
              <w:t>59,047</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26,908</w:t>
            </w:r>
          </w:p>
        </w:tc>
        <w:tc>
          <w:tcPr>
            <w:tcW w:w="2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309,939</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6"/>
                <w:szCs w:val="16"/>
                <w:color w:val="auto"/>
              </w:rPr>
              <w:t>A. Belani</w:t>
            </w:r>
          </w:p>
        </w:tc>
        <w:tc>
          <w:tcPr>
            <w:tcW w:w="1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8"/>
              </w:rPr>
              <w:t>SLB Supplementary Plan</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16,542</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30,800</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163,279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SLB Restoration Plan</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124,062</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24,812</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37,010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609,896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International Staff Plan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114,116</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821,426</w:t>
            </w:r>
          </w:p>
        </w:tc>
        <w:tc>
          <w:tcPr>
            <w:tcW w:w="0" w:type="dxa"/>
            <w:vAlign w:val="bottom"/>
          </w:tcPr>
          <w:p>
            <w:pPr>
              <w:spacing w:after="0"/>
              <w:rPr>
                <w:sz w:val="1"/>
                <w:szCs w:val="1"/>
                <w:color w:val="auto"/>
              </w:rPr>
            </w:pPr>
          </w:p>
        </w:tc>
      </w:tr>
      <w:tr>
        <w:trPr>
          <w:trHeight w:val="359"/>
        </w:trPr>
        <w:tc>
          <w:tcPr>
            <w:tcW w:w="1420" w:type="dxa"/>
            <w:vAlign w:val="bottom"/>
            <w:gridSpan w:val="2"/>
          </w:tcPr>
          <w:p>
            <w:pPr>
              <w:spacing w:after="0"/>
              <w:rPr>
                <w:sz w:val="20"/>
                <w:szCs w:val="20"/>
                <w:color w:val="auto"/>
              </w:rPr>
            </w:pPr>
            <w:r>
              <w:rPr>
                <w:rFonts w:ascii="Arial" w:cs="Arial" w:eastAsia="Arial" w:hAnsi="Arial"/>
                <w:sz w:val="16"/>
                <w:szCs w:val="16"/>
                <w:color w:val="auto"/>
              </w:rPr>
              <w:t>C. Sbiti</w:t>
            </w:r>
          </w:p>
        </w:tc>
        <w:tc>
          <w:tcPr>
            <w:tcW w:w="1920" w:type="dxa"/>
            <w:vAlign w:val="bottom"/>
            <w:gridSpan w:val="2"/>
          </w:tcPr>
          <w:p>
            <w:pPr>
              <w:ind w:left="140"/>
              <w:spacing w:after="0"/>
              <w:rPr>
                <w:sz w:val="20"/>
                <w:szCs w:val="20"/>
                <w:color w:val="auto"/>
              </w:rPr>
            </w:pPr>
            <w:r>
              <w:rPr>
                <w:rFonts w:ascii="Arial" w:cs="Arial" w:eastAsia="Arial" w:hAnsi="Arial"/>
                <w:sz w:val="16"/>
                <w:szCs w:val="16"/>
                <w:color w:val="auto"/>
              </w:rPr>
              <w:t>International Staff Plan</w:t>
            </w:r>
          </w:p>
        </w:tc>
        <w:tc>
          <w:tcPr>
            <w:tcW w:w="2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color w:val="auto"/>
              </w:rPr>
              <w:t>110,000</w:t>
            </w:r>
          </w:p>
        </w:tc>
        <w:tc>
          <w:tcPr>
            <w:tcW w:w="1320" w:type="dxa"/>
            <w:vAlign w:val="bottom"/>
            <w:gridSpan w:val="2"/>
          </w:tcPr>
          <w:p>
            <w:pPr>
              <w:jc w:val="right"/>
              <w:ind w:right="26"/>
              <w:spacing w:after="0"/>
              <w:rPr>
                <w:sz w:val="20"/>
                <w:szCs w:val="20"/>
                <w:color w:val="auto"/>
              </w:rPr>
            </w:pPr>
            <w:r>
              <w:rPr>
                <w:rFonts w:ascii="Arial" w:cs="Arial" w:eastAsia="Arial" w:hAnsi="Arial"/>
                <w:sz w:val="16"/>
                <w:szCs w:val="16"/>
                <w:color w:val="auto"/>
              </w:rPr>
              <w:t>210,109</w:t>
            </w:r>
          </w:p>
        </w:tc>
        <w:tc>
          <w:tcPr>
            <w:tcW w:w="2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
              <w:spacing w:after="0"/>
              <w:rPr>
                <w:sz w:val="20"/>
                <w:szCs w:val="20"/>
                <w:color w:val="auto"/>
              </w:rPr>
            </w:pPr>
            <w:r>
              <w:rPr>
                <w:rFonts w:ascii="Arial" w:cs="Arial" w:eastAsia="Arial" w:hAnsi="Arial"/>
                <w:sz w:val="16"/>
                <w:szCs w:val="16"/>
                <w:color w:val="auto"/>
              </w:rPr>
              <w:t>1,941,529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8" w:lineRule="exact"/>
        <w:rPr>
          <w:sz w:val="20"/>
          <w:szCs w:val="20"/>
          <w:color w:val="auto"/>
        </w:rPr>
      </w:pPr>
    </w:p>
    <w:p>
      <w:pPr>
        <w:ind w:left="1000" w:right="260" w:hanging="301"/>
        <w:spacing w:after="0" w:line="286"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amounts reported in the “Executive Contributions in last FY” column represent elective contributions of a portion of a named executive officer’s base salary to the Schlumberger Limited Restoration Savings Plan (which amounts are also included in the “Salary” and “Non-Equity Incentive Plan Compensation” columns of the Summary Compensation Table).</w:t>
      </w:r>
    </w:p>
    <w:p>
      <w:pPr>
        <w:spacing w:after="0" w:line="3" w:lineRule="exact"/>
        <w:rPr>
          <w:rFonts w:ascii="Arial" w:cs="Arial" w:eastAsia="Arial" w:hAnsi="Arial"/>
          <w:sz w:val="17"/>
          <w:szCs w:val="17"/>
          <w:color w:val="auto"/>
        </w:rPr>
      </w:pPr>
    </w:p>
    <w:p>
      <w:pPr>
        <w:ind w:left="1000" w:right="240" w:hanging="301"/>
        <w:spacing w:after="0" w:line="264"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reported in the “Company Contributions in last FY” column represent Schlumberger’s contributions to each named executive officer’s SLB Supplementary Plan, SLB Restoration Plan and International Staff Plan accounts (which amounts are also included in the “All Other Compensation” column of the Summary Compensation Table).</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360" w:hanging="301"/>
        <w:spacing w:after="0" w:line="312"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reported in the “Aggregate Balance at Last FYE” column represent balances from the Schlumberger Limited Restoration Savings Plan, the SLB Supplementary Plan and the International Staff Plan and include various amounts previously reported in the Summary Compensation Table as Salary, Non-Equity Incentive Plan Compensation or All Other Compensation.</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Schlumberger maintains the following nonqualified deferred compensation plans for its employees, including executive officers:</w:t>
      </w:r>
    </w:p>
    <w:p>
      <w:pPr>
        <w:spacing w:after="0" w:line="154" w:lineRule="exact"/>
        <w:rPr>
          <w:sz w:val="20"/>
          <w:szCs w:val="20"/>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SLB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STC Supplementary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Limited Restoration Savings Plan (the “SLB Restoration Plan”);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Technology Corporation Restoration Savings Plan (the “STC Restoration Plan”);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Schlumberger International Staff Profit Sharing Plan (the “SLB International Staff Plan”).</w:t>
      </w:r>
    </w:p>
    <w:p>
      <w:pPr>
        <w:spacing w:after="0" w:line="131"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Except for the International Staff Plan,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239" w:lineRule="exact"/>
        <w:rPr>
          <w:sz w:val="20"/>
          <w:szCs w:val="20"/>
          <w:color w:val="auto"/>
        </w:rPr>
      </w:pPr>
    </w:p>
    <w:p>
      <w:pPr>
        <w:ind w:left="700" w:right="560" w:firstLine="397"/>
        <w:spacing w:after="0" w:line="308" w:lineRule="auto"/>
        <w:rPr>
          <w:sz w:val="20"/>
          <w:szCs w:val="20"/>
          <w:color w:val="auto"/>
        </w:rPr>
      </w:pPr>
      <w:r>
        <w:rPr>
          <w:rFonts w:ascii="Arial" w:cs="Arial" w:eastAsia="Arial" w:hAnsi="Arial"/>
          <w:sz w:val="17"/>
          <w:szCs w:val="17"/>
          <w:color w:val="auto"/>
        </w:rPr>
        <w:t>The SLB Supplementary Plan provides certain non-qualified defined contribution benefits for eligible employees, including executive officers. Schlumberger Technology Corporation maintains a plan with substantially identical terms.</w:t>
      </w:r>
    </w:p>
    <w:p>
      <w:pPr>
        <w:spacing w:after="0" w:line="52"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The SLB Supplementary Plan provides an eligible employee with discretionary Company profit sharing contributions that is not permissible under the applicable tax-qualified plan due to U.S. IRC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SLB Supplementary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SLB Restoration Plan</w:t>
      </w:r>
    </w:p>
    <w:p>
      <w:pPr>
        <w:spacing w:after="0" w:line="23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SLB Restoration Plan, a non-qualified deferred compensation plan, provides certain defined contribution benefits for eligible employees, including executive officers. Schlumberger Technology Corporation maintains a plan with substantially identical terms. The SLB Restoration Plan allows an eligible employee to defer compensation (and receive an associated employer match) that the employee cannot defer under the applicable tax-qualified plan because of U.S. IRC limits on the amount of compensation that can be taken into account.</w:t>
      </w:r>
    </w:p>
    <w:p>
      <w:pPr>
        <w:spacing w:after="0" w:line="9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An eligible employee may elect in advance to defer a percentage (from 1% to 15%) of his or her compensation (generally base salary and cash incentive) over the U.S. IRC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on the first 6% deferred by the employee. The Company does not make a matching contribution in non-profitable years. Employees’ accounts are credited with interest, calculated to mirror the interest earnings of the Short-Term</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Fixed Income Fund under the Schlumberger Master Profit Sharing Trust, which was 3.73% in 2010. Matching contributions and related interest vest based on the employee’s years of service, as follows:</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28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 years</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vested</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3 years</w:t>
            </w:r>
          </w:p>
        </w:tc>
        <w:tc>
          <w:tcPr>
            <w:tcW w:w="5160" w:type="dxa"/>
            <w:vAlign w:val="bottom"/>
          </w:tcPr>
          <w:p>
            <w:pPr>
              <w:jc w:val="right"/>
              <w:spacing w:after="0" w:line="216" w:lineRule="exact"/>
              <w:rPr>
                <w:sz w:val="20"/>
                <w:szCs w:val="20"/>
                <w:color w:val="auto"/>
              </w:rPr>
            </w:pPr>
            <w:r>
              <w:rPr>
                <w:rFonts w:ascii="Arial" w:cs="Arial" w:eastAsia="Arial" w:hAnsi="Arial"/>
                <w:sz w:val="18"/>
                <w:szCs w:val="18"/>
                <w:color w:val="auto"/>
              </w:rPr>
              <w:t>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vested</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4 years</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vested</w:t>
            </w:r>
          </w:p>
        </w:tc>
      </w:tr>
    </w:tbl>
    <w:p>
      <w:pPr>
        <w:spacing w:after="0" w:line="107"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However, an employee forfeits all benefits under the plan if a determination is made that the employee has engaged in certain dishonest acts or violated a confidentiality arrangement involving Schlumberger or its affiliates.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SLB International Staff Plan</w:t>
      </w:r>
    </w:p>
    <w:p>
      <w:pPr>
        <w:spacing w:after="0" w:line="239"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Schlumberger maintains the SLB International Staff Plan, which provides for an annual employer contribution based on admissible compensation (generally base salary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Plan shall be forfeited upon a determination by the SLB International Staff Plan’s administrator that the employee’s separation from service was due to or in circumstances of fraud or misconduct detrimental to the Company, an affiliate or any customer.</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 for Fiscal Year 2010</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 Additional Payments Upon Termination or Change in Control</w:t>
      </w:r>
    </w:p>
    <w:p>
      <w:pPr>
        <w:spacing w:after="0" w:line="239"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Schlumberger’s executive officers generally receive the same benefits as other employees. As is the case with compensation, any differences are generally due to local (country-specific) requirements. In line with this practice, executive officers do not have employment agreements, “golden parachutes” or change in control agreements, except for employment agreements in connection with phased retirement.</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23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Company has a practice of phased retirement, which may be offered to executive officers (other than the CEO) approaching retirement, at the discretion of the Company. Please read “Compensation Discussion and Analysis—Benefits—Retirement Practices” for a more detailed discussion.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All salaried employees who receive stock options are subject to the same terms and conditions in the event of a termination or change in control, except for certain options assumed in connection with the acquisition of Smith (none of which are held by the named executive officers).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239"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This section summarizes the consequences under the Company’s stock option plans and standard form of stock option award agreement in the event an option holder’s employment terminates.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Reason for Termination of Employment</w:t>
            </w:r>
          </w:p>
        </w:tc>
        <w:tc>
          <w:tcPr>
            <w:tcW w:w="200" w:type="dxa"/>
            <w:vAlign w:val="bottom"/>
          </w:tcPr>
          <w:p>
            <w:pPr>
              <w:spacing w:after="0"/>
              <w:rPr>
                <w:sz w:val="14"/>
                <w:szCs w:val="14"/>
                <w:color w:val="auto"/>
              </w:rPr>
            </w:pPr>
          </w:p>
        </w:tc>
        <w:tc>
          <w:tcPr>
            <w:tcW w:w="18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Vesting</w:t>
            </w:r>
          </w:p>
        </w:tc>
        <w:tc>
          <w:tcPr>
            <w:tcW w:w="300" w:type="dxa"/>
            <w:vAlign w:val="bottom"/>
          </w:tcPr>
          <w:p>
            <w:pPr>
              <w:spacing w:after="0"/>
              <w:rPr>
                <w:sz w:val="14"/>
                <w:szCs w:val="14"/>
                <w:color w:val="auto"/>
              </w:rPr>
            </w:pPr>
          </w:p>
        </w:tc>
        <w:tc>
          <w:tcPr>
            <w:tcW w:w="36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Post-Employment Exercise Period</w:t>
            </w:r>
          </w:p>
        </w:tc>
      </w:tr>
      <w:tr>
        <w:trPr>
          <w:trHeight w:val="249"/>
        </w:trPr>
        <w:tc>
          <w:tcPr>
            <w:tcW w:w="3880" w:type="dxa"/>
            <w:vAlign w:val="bottom"/>
          </w:tcPr>
          <w:p>
            <w:pPr>
              <w:spacing w:after="0"/>
              <w:rPr>
                <w:sz w:val="20"/>
                <w:szCs w:val="20"/>
                <w:color w:val="auto"/>
              </w:rPr>
            </w:pPr>
            <w:r>
              <w:rPr>
                <w:rFonts w:ascii="Arial" w:cs="Arial" w:eastAsia="Arial" w:hAnsi="Arial"/>
                <w:sz w:val="18"/>
                <w:szCs w:val="18"/>
                <w:color w:val="auto"/>
              </w:rPr>
              <w:t>Voluntary termination or termination by the</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No additional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Company other than for cause</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3"/>
              </w:rPr>
              <w:t>termination) at any time within three months after</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termination.</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Termination by the Company for cause</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Vested and unvested options forfeited</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immediately.</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Disability</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Full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at any time during the 60-month</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3"/>
              </w:rPr>
              <w:t>period after termination due to disability or during</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5"/>
              </w:rPr>
              <w:t>the remainder of the option period, whichever is</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shorter.*</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Retirement (as defined in the applicable plan or</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No additional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(to the extent exercisable at</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award agreement)</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termination) at any time during the 60-month</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period after termination due to retirement or</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during the remainder of the option period,</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whichever is shorter.</w:t>
            </w:r>
          </w:p>
        </w:tc>
      </w:tr>
      <w:tr>
        <w:trPr>
          <w:trHeight w:val="364"/>
        </w:trPr>
        <w:tc>
          <w:tcPr>
            <w:tcW w:w="3880" w:type="dxa"/>
            <w:vAlign w:val="bottom"/>
          </w:tcPr>
          <w:p>
            <w:pPr>
              <w:spacing w:after="0"/>
              <w:rPr>
                <w:sz w:val="20"/>
                <w:szCs w:val="20"/>
                <w:color w:val="auto"/>
              </w:rPr>
            </w:pPr>
            <w:r>
              <w:rPr>
                <w:rFonts w:ascii="Arial" w:cs="Arial" w:eastAsia="Arial" w:hAnsi="Arial"/>
                <w:sz w:val="18"/>
                <w:szCs w:val="18"/>
                <w:color w:val="auto"/>
              </w:rPr>
              <w:t>Death</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Full vesting</w:t>
            </w: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Exercisable at any time during the 60-month</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w w:val="91"/>
              </w:rPr>
              <w:t>period after termination due to death or during the</w:t>
            </w: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remainder of the option period, whichever is</w:t>
            </w: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Arial" w:cs="Arial" w:eastAsia="Arial" w:hAnsi="Arial"/>
                <w:sz w:val="18"/>
                <w:szCs w:val="18"/>
                <w:color w:val="auto"/>
              </w:rPr>
              <w:t>shorter.</w:t>
            </w:r>
          </w:p>
        </w:tc>
      </w:tr>
    </w:tbl>
    <w:p>
      <w:pPr>
        <w:spacing w:after="0" w:line="134" w:lineRule="exact"/>
        <w:rPr>
          <w:sz w:val="20"/>
          <w:szCs w:val="20"/>
          <w:color w:val="auto"/>
        </w:rPr>
      </w:pPr>
    </w:p>
    <w:p>
      <w:pPr>
        <w:ind w:left="900" w:hanging="207"/>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order to preserve U.S. preferential tax treatment, the additional 60-month exercise period following a termination due to disability is not applicable to incentive stock options granted prior to January 2008, and such awards are exercisable for only 3 months following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-432435</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67"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52"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39"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Pursuant to Schlumberger’s stock options plans and standard form of stock option award agreement, 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w:t>
      </w: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following table sets forth the intrinsic value of the unvested stock options held by each named executive officer as of December 31, 2010 that would become vested upon the occurrence of any of the events described in the preceding paragraph.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Amount ($)</w:t>
            </w:r>
            <w:r>
              <w:rPr>
                <w:rFonts w:ascii="Arial" w:cs="Arial" w:eastAsia="Arial" w:hAnsi="Arial"/>
                <w:sz w:val="12"/>
                <w:szCs w:val="12"/>
                <w:b w:val="1"/>
                <w:bCs w:val="1"/>
                <w:color w:val="auto"/>
              </w:rPr>
              <w:t>(1)</w:t>
            </w: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Gould</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34,166,745</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 Kibsgaard</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8,746,855</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 Ayat</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6,991,825</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 Pai</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8,686,378</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5,951,105</w:t>
            </w: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 Sbiti</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21,141,510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-840105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00" w:lineRule="exact"/>
        <w:rPr>
          <w:sz w:val="20"/>
          <w:szCs w:val="20"/>
          <w:color w:val="auto"/>
        </w:rPr>
      </w:pPr>
    </w:p>
    <w:p>
      <w:pPr>
        <w:ind w:left="1000" w:right="260" w:hanging="301"/>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Calculated based on the difference between the closing price of Schlumberger common stock on December 31, 2010 ($83.50) and the exercise price of the stock option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-302260</wp:posOffset>
            </wp:positionV>
            <wp:extent cx="694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5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39"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“—Nonqualified Deferred Compensation.”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Retiree Medical</w:t>
      </w:r>
    </w:p>
    <w:p>
      <w:pPr>
        <w:spacing w:after="0" w:line="239"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 IN FISCAL YEAR 2010</w:t>
      </w:r>
    </w:p>
    <w:p>
      <w:pPr>
        <w:spacing w:after="0" w:line="243" w:lineRule="exact"/>
        <w:rPr>
          <w:sz w:val="20"/>
          <w:szCs w:val="20"/>
          <w:color w:val="auto"/>
        </w:rPr>
      </w:pPr>
    </w:p>
    <w:p>
      <w:pPr>
        <w:ind w:left="700" w:right="620" w:firstLine="397"/>
        <w:spacing w:after="0" w:line="342" w:lineRule="auto"/>
        <w:rPr>
          <w:sz w:val="20"/>
          <w:szCs w:val="20"/>
          <w:color w:val="auto"/>
        </w:rPr>
      </w:pPr>
      <w:r>
        <w:rPr>
          <w:rFonts w:ascii="Arial" w:cs="Arial" w:eastAsia="Arial" w:hAnsi="Arial"/>
          <w:sz w:val="16"/>
          <w:szCs w:val="16"/>
          <w:color w:val="auto"/>
        </w:rPr>
        <w:t>Directors who are employees of Schlumberger do not receive compensation for serving on the Board or its committees. The following table provides information on Schlumberger’s compensation for non-employee directors for 2010.</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Fees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Non-Equity</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&amp; Nonqualified</w:t>
            </w: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Earned or</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2"/>
                <w:szCs w:val="12"/>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380" w:type="dxa"/>
            <w:vAlign w:val="bottom"/>
          </w:tcPr>
          <w:p>
            <w:pPr>
              <w:spacing w:after="0"/>
              <w:rPr>
                <w:sz w:val="12"/>
                <w:szCs w:val="12"/>
                <w:color w:val="auto"/>
              </w:rPr>
            </w:pP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 in</w:t>
            </w: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Incentive Plan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Cash</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Awards</w:t>
            </w:r>
          </w:p>
        </w:tc>
        <w:tc>
          <w:tcPr>
            <w:tcW w:w="14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70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Philippe Camus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Peter L.S. Currie</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87,525</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248,220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Jamie S. Gorelick</w:t>
            </w:r>
            <w:r>
              <w:rPr>
                <w:rFonts w:ascii="Arial" w:cs="Arial" w:eastAsia="Arial" w:hAnsi="Arial"/>
                <w:sz w:val="23"/>
                <w:szCs w:val="23"/>
                <w:color w:val="auto"/>
                <w:vertAlign w:val="superscript"/>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Tony Isaac</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139,950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300,645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K.V. Kamath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N. Kudryavtsev</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127,500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288,195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Adrian Lajous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1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4"/>
                <w:szCs w:val="14"/>
                <w:color w:val="auto"/>
              </w:rPr>
              <w:t>15,368</w:t>
            </w:r>
            <w:r>
              <w:rPr>
                <w:rFonts w:ascii="Arial" w:cs="Arial" w:eastAsia="Arial" w:hAnsi="Arial"/>
                <w:sz w:val="23"/>
                <w:szCs w:val="23"/>
                <w:color w:val="auto"/>
                <w:vertAlign w:val="subscript"/>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Michael Marks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127,500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288,195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Elizabeth Moler</w:t>
            </w:r>
            <w:r>
              <w:rPr>
                <w:rFonts w:ascii="Arial" w:cs="Arial" w:eastAsia="Arial" w:hAnsi="Arial"/>
                <w:sz w:val="23"/>
                <w:szCs w:val="23"/>
                <w:color w:val="auto"/>
                <w:vertAlign w:val="superscript"/>
              </w:rPr>
              <w:t>(5)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92,133</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Leo Rafael Reif</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280,695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Tore I. Sandvold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Henri Seydoux</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160,695</w:t>
            </w:r>
          </w:p>
        </w:tc>
        <w:tc>
          <w:tcPr>
            <w:tcW w:w="380" w:type="dxa"/>
            <w:vAlign w:val="bottom"/>
          </w:tcPr>
          <w:p>
            <w:pPr>
              <w:spacing w:after="0"/>
              <w:rPr>
                <w:sz w:val="17"/>
                <w:szCs w:val="17"/>
                <w:color w:val="auto"/>
              </w:rPr>
            </w:pPr>
          </w:p>
        </w:tc>
        <w:tc>
          <w:tcPr>
            <w:tcW w:w="6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280,695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Linda Stuntz</w:t>
            </w:r>
            <w:r>
              <w:rPr>
                <w:rFonts w:ascii="Arial" w:cs="Arial" w:eastAsia="Arial" w:hAnsi="Arial"/>
                <w:sz w:val="23"/>
                <w:szCs w:val="23"/>
                <w:color w:val="auto"/>
                <w:vertAlign w:val="superscript"/>
              </w:rPr>
              <w:t>(6)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00" w:right="260" w:hanging="301"/>
        <w:spacing w:after="0" w:line="293"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column includes cash fees earned, without taking into account any election to defer receipt of such fees. Directors receive an annual cash retainer of $100,000 plus an additional annual fee of $10,000 for membership on each committee. The chair of each committee receives an additional annual fee of $20,000 in lieu of the additional annual fee of $10,000 for committee membership. The fees disclosed in this column are subject to adjustment in cases where a director has served less than one full year or has changed committee memberships or chairmanships. Ordinarily, the annual cash retainer is paid in cash, but directors can elect to have their retainer paid in stock or deferred under the Schlumberger 2004 Stock and Deferral Plan for Non-Employee Directors.</w:t>
      </w:r>
    </w:p>
    <w:p>
      <w:pPr>
        <w:spacing w:after="0" w:line="2" w:lineRule="exact"/>
        <w:rPr>
          <w:rFonts w:ascii="Arial" w:cs="Arial" w:eastAsia="Arial" w:hAnsi="Arial"/>
          <w:sz w:val="16"/>
          <w:szCs w:val="16"/>
          <w:color w:val="auto"/>
        </w:rPr>
      </w:pPr>
    </w:p>
    <w:p>
      <w:pPr>
        <w:ind w:left="1000" w:hanging="301"/>
        <w:spacing w:after="0" w:line="286"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column includes the aggregate grant date fair value, computed in accordance with applicable accounting standards, of shares of Schlumberger common stock issued, without taking into account any election to defer receipt of such shares. Schlumberger’s current practice is to grant each non-employee director shares of Schlumberger common stock each April. On April 30, 2010, Schlumberger granted each non-employee director (except Ms. Stuntz, who did not stand for re-election in 2010, and Ms. Moler, who was not yet a director) 2,250 shares of Schlumberger common stock. Except as provided in the next sentence, each amount set forth in the “Stock Awards” column in the Director Compensation table is equal to the number of shares of common stock issued, multiplied by $71.42, which was the closing price of Schlumberger’s common stock on April 30, 2010, the date of grant. Ms. Moler was appointed to serve as a director in September 2010, and the amount set forth in the “Stock Awards” column is equal to 1,313, being the number of shares issued to Ms. Moler in 2010, multiplied by $70.17, which was the closing price of Schlumberger’s common stock on November 1, 2010, the date of grant. 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w:t>
      </w:r>
    </w:p>
    <w:p>
      <w:pPr>
        <w:spacing w:after="0" w:line="12" w:lineRule="exact"/>
        <w:rPr>
          <w:rFonts w:ascii="Arial" w:cs="Arial" w:eastAsia="Arial" w:hAnsi="Arial"/>
          <w:sz w:val="16"/>
          <w:szCs w:val="16"/>
          <w:color w:val="auto"/>
        </w:rPr>
      </w:pPr>
    </w:p>
    <w:p>
      <w:pPr>
        <w:ind w:left="1000" w:right="300"/>
        <w:spacing w:after="0" w:line="264" w:lineRule="auto"/>
        <w:rPr>
          <w:rFonts w:ascii="Arial" w:cs="Arial" w:eastAsia="Arial" w:hAnsi="Arial"/>
          <w:sz w:val="16"/>
          <w:szCs w:val="16"/>
          <w:color w:val="auto"/>
        </w:rPr>
      </w:pPr>
      <w:r>
        <w:rPr>
          <w:rFonts w:ascii="Arial" w:cs="Arial" w:eastAsia="Arial" w:hAnsi="Arial"/>
          <w:sz w:val="18"/>
          <w:szCs w:val="18"/>
          <w:color w:val="auto"/>
        </w:rPr>
        <w:t>A non-employee director may elect to defer the receipt of all or part of a stock award. For information on the number of shares of Schlumberger common stock deferred by our directors, please read the footnotes to the table under “Security Ownership by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-3108325</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0" w:hanging="301"/>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Schlumberger reimburses non-management directors for travel and other business expenses incurred in the performance of their services for Schlumberger.</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Gorelick resigned from the Board effective June 3, 2010.</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Moler became a director in September 2010.</w:t>
      </w:r>
    </w:p>
    <w:p>
      <w:pPr>
        <w:spacing w:after="0" w:line="63" w:lineRule="exact"/>
        <w:rPr>
          <w:rFonts w:ascii="Arial" w:cs="Arial" w:eastAsia="Arial" w:hAnsi="Arial"/>
          <w:sz w:val="18"/>
          <w:szCs w:val="18"/>
          <w:color w:val="auto"/>
        </w:rPr>
      </w:pPr>
    </w:p>
    <w:p>
      <w:pPr>
        <w:ind w:left="1000" w:right="560" w:hanging="301"/>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Stuntz was a director for part of 2010. She did not stand for re-election at the Company’s 2010 annual general meeting of stockholders.</w:t>
      </w:r>
    </w:p>
    <w:p>
      <w:pPr>
        <w:spacing w:after="0" w:line="8" w:lineRule="exact"/>
        <w:rPr>
          <w:rFonts w:ascii="Arial" w:cs="Arial" w:eastAsia="Arial" w:hAnsi="Arial"/>
          <w:sz w:val="18"/>
          <w:szCs w:val="18"/>
          <w:color w:val="auto"/>
        </w:rPr>
      </w:pPr>
    </w:p>
    <w:p>
      <w:pPr>
        <w:ind w:left="1000" w:right="300" w:hanging="301"/>
        <w:spacing w:after="0" w:line="264"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amounts paid for spousal airfare and hotel accommodations in connection with a Board meeting. These amounts were paid in Euros. For purposes of this column, compensation has been determined using the exchange rate of 1 U.S. Dollar = 0.753 Euros, being the average exchange rate over 2010.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Stock Ownership Guidelines</w:t>
      </w:r>
    </w:p>
    <w:p>
      <w:pPr>
        <w:spacing w:after="0" w:line="243" w:lineRule="exact"/>
        <w:rPr>
          <w:sz w:val="20"/>
          <w:szCs w:val="20"/>
          <w:color w:val="auto"/>
        </w:rPr>
      </w:pPr>
    </w:p>
    <w:p>
      <w:pPr>
        <w:ind w:left="700" w:right="380" w:firstLine="397"/>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Board member must, within five years after joining the Board, own at least 10,000 shares or restricted stock units. As of December 31, 2010, each of our current directors was in compliance with these guidelines.</w:t>
      </w:r>
    </w:p>
    <w:p>
      <w:pPr>
        <w:spacing w:after="0" w:line="1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3"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7"/>
          <w:szCs w:val="17"/>
          <w:color w:val="auto"/>
        </w:rPr>
        <w:t>The table below sets forth the following information as of the end of December 31, 2010 for (1) all compensation plans previously approved by our stockholders and (2) all compensation plans not previously approved by our stockholders.</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center"/>
              <w:ind w:right="24"/>
              <w:spacing w:after="0"/>
              <w:rPr>
                <w:sz w:val="20"/>
                <w:szCs w:val="20"/>
                <w:color w:val="auto"/>
              </w:rPr>
            </w:pPr>
            <w:r>
              <w:rPr>
                <w:rFonts w:ascii="Arial" w:cs="Arial" w:eastAsia="Arial" w:hAnsi="Arial"/>
                <w:sz w:val="14"/>
                <w:szCs w:val="14"/>
                <w:b w:val="1"/>
                <w:bCs w:val="1"/>
                <w:color w:val="auto"/>
              </w:rPr>
              <w:t>(b)</w:t>
            </w:r>
          </w:p>
        </w:tc>
        <w:tc>
          <w:tcPr>
            <w:tcW w:w="4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9"/>
              </w:rPr>
              <w:t>Weighted-average exercise</w:t>
            </w: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price of such outstanding</w:t>
            </w:r>
          </w:p>
        </w:tc>
        <w:tc>
          <w:tcPr>
            <w:tcW w:w="400" w:type="dxa"/>
            <w:vAlign w:val="bottom"/>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options, warrants and rights</w:t>
            </w:r>
          </w:p>
        </w:tc>
        <w:tc>
          <w:tcPr>
            <w:tcW w:w="4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3"/>
              </w:rPr>
              <w:t>Equity compensation plans approved by</w:t>
            </w:r>
          </w:p>
        </w:tc>
        <w:tc>
          <w:tcPr>
            <w:tcW w:w="120" w:type="dxa"/>
            <w:vAlign w:val="bottom"/>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security holders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39,721,715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31,458,983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6"/>
                <w:szCs w:val="16"/>
                <w:color w:val="auto"/>
                <w:w w:val="91"/>
              </w:rPr>
              <w:t>Equity compensation plans not approved</w:t>
            </w: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Arial" w:cs="Arial" w:eastAsia="Arial" w:hAnsi="Arial"/>
                <w:sz w:val="16"/>
                <w:szCs w:val="16"/>
                <w:color w:val="auto"/>
              </w:rPr>
              <w:t>by security holders</w:t>
            </w:r>
          </w:p>
        </w:tc>
        <w:tc>
          <w:tcPr>
            <w:tcW w:w="1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39,721,715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31,458,983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color w:val="auto"/>
        </w:rPr>
        <w:t>Equity compensation plans approved by our stockholders include the Schlumberger 2010 Stock Incentive Plan; the Schlumberger 2008 Stock Incentive Plan; the Schlumberger 2005 Stock Incentive Plan, as amended; the Schlumberger 1994 Stock Option Plan, as amended; the Schlumberger 1998 Stock Option Plan, as amended; the Schlumberger 2001 Stock Option Plan, as amended; the Schlumberger Discounted Stock Purchase Plan, as amended and restated, and the Schlumberger 2004 Stock and Deferral Plan for Non-Employee Directors.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ITEM 4. ADOPTION OF AMENDMENT TO SCHLUMBERGER’S ARTICLES OF</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INCORPORATION TO INCREASE AUTHORIZED COMMON SHARE CAPITAL</w:t>
      </w:r>
    </w:p>
    <w:p>
      <w:pPr>
        <w:spacing w:after="0" w:line="224" w:lineRule="exact"/>
        <w:rPr>
          <w:sz w:val="20"/>
          <w:szCs w:val="20"/>
          <w:color w:val="auto"/>
        </w:rPr>
      </w:pPr>
    </w:p>
    <w:p>
      <w:pPr>
        <w:ind w:left="700" w:right="540" w:firstLine="397"/>
        <w:spacing w:after="0" w:line="342" w:lineRule="auto"/>
        <w:rPr>
          <w:sz w:val="20"/>
          <w:szCs w:val="20"/>
          <w:color w:val="auto"/>
        </w:rPr>
      </w:pPr>
      <w:r>
        <w:rPr>
          <w:rFonts w:ascii="Arial" w:cs="Arial" w:eastAsia="Arial" w:hAnsi="Arial"/>
          <w:sz w:val="16"/>
          <w:szCs w:val="16"/>
          <w:color w:val="auto"/>
        </w:rPr>
        <w:t>The Board of Directors has proposed for stockholder approval an amendment to Schlumberger’s Articles of Incorporation to increase the number of authorized shares of common stock from 3,000,000,000 shares to 4,500,000,000 shares.</w:t>
      </w:r>
    </w:p>
    <w:p>
      <w:pPr>
        <w:spacing w:after="0" w:line="2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proposed amendment was adopted, subject to stockholder approval, by the unanimous vote of the Board on January 20, 2011. Separate from the proposed amendment described in this Item 4, the Board also has proposed for stockholder approval other amendments to Schlumberger’s Articles of Incorporation, as described in Item 5 below.</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Last amended in 2006, Schlumberger’s Articles of Incorporation currently authorize up to 3,000,000,000 shares of common stock for issuance. As of January 31, 2011:</w:t>
      </w:r>
    </w:p>
    <w:p>
      <w:pPr>
        <w:spacing w:after="0" w:line="76" w:lineRule="exact"/>
        <w:rPr>
          <w:sz w:val="20"/>
          <w:szCs w:val="20"/>
          <w:color w:val="auto"/>
        </w:rPr>
      </w:pPr>
    </w:p>
    <w:p>
      <w:pPr>
        <w:ind w:left="1400" w:right="380" w:hanging="302"/>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1,434,212,164 shares of Schlumberger common stock were issued (including 73,218,263 shares of Schlumberger common stock held in treasury);</w:t>
      </w:r>
    </w:p>
    <w:p>
      <w:pPr>
        <w:spacing w:after="0" w:line="62"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47,263,499 shares have been reserved for issuance upon the exercise of stock options and the vesting of restricted stock units granted by Schlumberger;</w:t>
      </w:r>
    </w:p>
    <w:p>
      <w:pPr>
        <w:spacing w:after="0" w:line="62" w:lineRule="exact"/>
        <w:rPr>
          <w:rFonts w:ascii="Arial" w:cs="Arial" w:eastAsia="Arial" w:hAnsi="Arial"/>
          <w:sz w:val="18"/>
          <w:szCs w:val="18"/>
          <w:color w:val="auto"/>
        </w:rPr>
      </w:pPr>
    </w:p>
    <w:p>
      <w:pPr>
        <w:ind w:left="1400" w:right="580" w:hanging="302"/>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22,801,141 shares have been reserved for issuance under Schlumberger’s equity incentive plans pursuant to options and restricted stock units that could be granted in the future;</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7,672,101 shares have been reserved for issuance under Schlumberger’s discount stock purchase plan;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98,187 shares have been reserved for issuance under Schlumberger’s Stock and Deferral Plan for Non-Employee Directors.</w:t>
      </w:r>
    </w:p>
    <w:p>
      <w:pPr>
        <w:spacing w:after="0" w:line="154" w:lineRule="exact"/>
        <w:rPr>
          <w:sz w:val="20"/>
          <w:szCs w:val="20"/>
          <w:color w:val="auto"/>
        </w:rPr>
      </w:pPr>
    </w:p>
    <w:p>
      <w:pPr>
        <w:ind w:left="700" w:right="480"/>
        <w:spacing w:after="0" w:line="342" w:lineRule="auto"/>
        <w:rPr>
          <w:sz w:val="20"/>
          <w:szCs w:val="20"/>
          <w:color w:val="auto"/>
        </w:rPr>
      </w:pPr>
      <w:r>
        <w:rPr>
          <w:rFonts w:ascii="Arial" w:cs="Arial" w:eastAsia="Arial" w:hAnsi="Arial"/>
          <w:sz w:val="16"/>
          <w:szCs w:val="16"/>
          <w:color w:val="auto"/>
        </w:rPr>
        <w:t>Schlumberger’s Articles of Incorporation also authorize Schlumberger to issue 200,000,000 shares of preferred stock. There are no outstanding shares of preferred stock, and this amendment would not change the number of authorized shares of preferred stock.</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Reasons for Increasing Schlumberger’s Authorized Shares of Common Stock</w:t>
      </w:r>
    </w:p>
    <w:p>
      <w:pPr>
        <w:spacing w:after="0" w:line="243"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Board of Directors believes that it is advisable and in the best interests of Schlumberger’s stockholders to have available additional authorized but unissued shares of common stock in order to maintain Schlumberger’s flexibility to use capital stock for business and financing purposes in the future. The newly authorized shares of common stock will constitute additional shares of the existing class of common stock and, if and when issued, will have the same rights and privileges as the shares of common stock currently authorized. Schlumberger currently has no specific plans to issue the additional shares of common stock that would be authorized by this proposal. However, the additional shares would provide flexibility to use capital stock for business and financial purposes in the future. The additional shares may be used for various purposes, including:</w:t>
      </w:r>
    </w:p>
    <w:p>
      <w:pPr>
        <w:spacing w:after="0" w:line="83" w:lineRule="exact"/>
        <w:rPr>
          <w:sz w:val="20"/>
          <w:szCs w:val="20"/>
          <w:color w:val="auto"/>
        </w:rPr>
      </w:pPr>
    </w:p>
    <w:p>
      <w:pPr>
        <w:ind w:left="1400" w:hanging="30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expanding Schlumberger’s business through acquisitions and other strategic transactions;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paying stock dividends or effecting stock splits;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equity incentives to employees, officers and directors;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raising capital;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general corporate purposes.</w:t>
      </w:r>
    </w:p>
    <w:p>
      <w:pPr>
        <w:spacing w:after="0" w:line="131" w:lineRule="exact"/>
        <w:rPr>
          <w:sz w:val="20"/>
          <w:szCs w:val="20"/>
          <w:color w:val="auto"/>
        </w:rPr>
      </w:pPr>
    </w:p>
    <w:p>
      <w:pPr>
        <w:ind w:left="700" w:right="360" w:firstLine="397"/>
        <w:spacing w:after="0" w:line="259" w:lineRule="auto"/>
        <w:rPr>
          <w:sz w:val="20"/>
          <w:szCs w:val="20"/>
          <w:color w:val="auto"/>
        </w:rPr>
      </w:pPr>
      <w:r>
        <w:rPr>
          <w:rFonts w:ascii="Arial" w:cs="Arial" w:eastAsia="Arial" w:hAnsi="Arial"/>
          <w:sz w:val="18"/>
          <w:szCs w:val="18"/>
          <w:color w:val="auto"/>
        </w:rPr>
        <w:t>Currently, only 1,487,952,908 shares of Schlumberger’s common stock remain unissued and unreserved. If stockholders do not approve the proposed amendment to Schlumberger’s Articles of Incorporation, Schlumberger may not be able to complete strategic transactions, effect stock splits, retain employees and pursue other business opportunities integral to its growth and success. Schlumberger’s Board of Directors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believes that the proposed increase in authorized common stock will make sufficient shares available to maintain the flexibility necessary to pursue its strategic objectives.</w:t>
      </w:r>
    </w:p>
    <w:p>
      <w:pPr>
        <w:spacing w:after="0" w:line="76"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Over the past several years, flexibility has allowed Schlumberger to pursue important acquisitions and other business opportunities. Most recently, in 2010, Schlumberger financed the acquisition of Smith entirely with shares of Schlumberger common stock. In connection with this acquisition, Schlumberger issued approximately 176 million shares of common stock, representing approximately 12.9% of Schlumberger’s outstanding common stock at the time after giving effect to the issuance. Schlumberger also reserved for issuance 0.7 million shares of common stock in connection with the exercise or conversion of Smith’s outstanding equity awards, which became exercisable for or convertible into Schlumberger common stock pursuant to the merger. Additionally, in 2006, in order to increase the liquidity and marketability of Schlumberger’s common stock, Schlumberger declared a 2-for-1 stock split, in which each stockholder of record as of the close of business on March 1, 2006, received one additional share of Schlumberger’s common stock and the number of shares of Schlumberger common stock held in treasury doubled. Unless Schlumberger’s stockholders approve the proposed amendment to its Articles of Incorporation, Schlumberger may not have sufficient unissued and unreserved authorized shares to engage in similar transactions in the future.</w:t>
      </w:r>
    </w:p>
    <w:p>
      <w:pPr>
        <w:spacing w:after="0" w:line="88"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Like the currently authorized but unissued shares of Schlumberger’s common stock, the additional shares of common stock authorized by this proposal would be available for issuance without further action by Schlumberger’s stockholders, unless further action is required by law, the rules of the New York Stock Exchange or any other stock exchange on which Schlumberger’s common stock may be listed. The authorization of additional shares of Schlumberger’s common stock will enable Schlumberger, as the need may arise, to take advantage of market conditions and favorable opportunities without the delay and expense associated with the holding of a special meeting of Schlumberger’s stockholders.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Effects of Increasing Schlumberger’s Authorized Common Stock</w:t>
      </w:r>
    </w:p>
    <w:p>
      <w:pPr>
        <w:spacing w:after="0" w:line="243"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This proposal to increase the authorized number of shares of common stock has been prompted by business and financial considerations. While this proposal is not intended by management or the Board of Directors to prevent or discourage any actual or threatened takeover of Schlumberger, under certain circumstances, it could have an anti-takeover effect. For example, in the event of a hostile attempt to acquire control of Schlumberger, it may be possible for the company to endeavor to impede the attempt by issuing shares of common stock, thereby diluting the voting power of the other outstanding shares and increasing the potential cost to acquire control of the company. The proposed amendment may also have the effect of permitting Schlumberger’s current management, including the current Board of Directors, to retain its position, and place it in a better position to resist changes that stockholders may wish to make if they are dissatisfied with the conduct of the company’s business. Any such additional shares could be issued in private placements and without stockholder approval or further action by Schlumberger’s stockholders, subject to applicable law or rules. Accordingly, if the proposal is adopted, the increase in the number of authorized shares of common stock may render more difficult or discourage a merger, tender offer or proxy contest (and thereby potentially limit the opportunity for Schlumberger’s stockholder to dispose of their shares at the higher price generally available in takeover attempts or that may be available under a merger proposal), the assumption of control by a holder of a large block of Schlumberger’s common stock, or the replacement or removal of management or the Board of Directors. Any such anti-takeover effect may be beneficial to management and the Board of Directors and could have an adverse impact on stockholders.</w:t>
      </w:r>
    </w:p>
    <w:p>
      <w:pPr>
        <w:spacing w:after="0" w:line="77"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The Board currently is not aware of any specific third-party effort to accumulate shares of common stock or to obtain control of Schlumberger by means of a merger, tender offer or solicitation in opposition to management or the Board. Moreover, Schlumberger currently has no plans to issue newly authorized shares of common stock to discourage third parties from attempting to take over Schlumberger. Although the Board is motivated by business and financial considerations in proposing the increase in the number of authorized shares of common stock, stockholders nevertheless should be aware that any issuance of newly authorized shares of common stock, regardless of the intent, could have an anti-takeover effect. In addition, because</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stockholders do not have preemptive rights with respect to Schlumberger’s common stock, to the extent that additional authorized shares are issued in the future, they may decrease existing stockholders’ percentage equity ownership, and depending on the price at which they are issued, be dilutive to existing stockholders.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Resolutions Adopting the Proposed Amendment</w:t>
      </w:r>
    </w:p>
    <w:p>
      <w:pPr>
        <w:spacing w:after="0" w:line="243"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amendment to Schlumberger’s Articles of Incorporation to increase its authorized shares of common stock:</w:t>
      </w:r>
    </w:p>
    <w:p>
      <w:pPr>
        <w:spacing w:after="0" w:line="76" w:lineRule="exact"/>
        <w:rPr>
          <w:sz w:val="20"/>
          <w:szCs w:val="20"/>
          <w:color w:val="auto"/>
        </w:rPr>
      </w:pPr>
    </w:p>
    <w:p>
      <w:pPr>
        <w:ind w:left="1080" w:firstLine="381"/>
        <w:spacing w:after="0" w:line="277" w:lineRule="auto"/>
        <w:rPr>
          <w:sz w:val="20"/>
          <w:szCs w:val="20"/>
          <w:color w:val="auto"/>
        </w:rPr>
      </w:pPr>
      <w:r>
        <w:rPr>
          <w:rFonts w:ascii="Arial" w:cs="Arial" w:eastAsia="Arial" w:hAnsi="Arial"/>
          <w:sz w:val="18"/>
          <w:szCs w:val="18"/>
          <w:color w:val="auto"/>
        </w:rPr>
        <w:t>RESOLVED, Section 4.1 of Article 4 of Schlumberger’s Articles of Incorporation is hereby amended and restated to read in its entirety as follows:</w:t>
      </w:r>
    </w:p>
    <w:p>
      <w:pPr>
        <w:spacing w:after="0" w:line="76" w:lineRule="exact"/>
        <w:rPr>
          <w:sz w:val="20"/>
          <w:szCs w:val="20"/>
          <w:color w:val="auto"/>
        </w:rPr>
      </w:pPr>
    </w:p>
    <w:p>
      <w:pPr>
        <w:ind w:left="1480" w:right="40"/>
        <w:spacing w:after="0" w:line="270" w:lineRule="auto"/>
        <w:rPr>
          <w:sz w:val="20"/>
          <w:szCs w:val="20"/>
          <w:color w:val="auto"/>
        </w:rPr>
      </w:pPr>
      <w:r>
        <w:rPr>
          <w:rFonts w:ascii="Arial" w:cs="Arial" w:eastAsia="Arial" w:hAnsi="Arial"/>
          <w:sz w:val="17"/>
          <w:szCs w:val="17"/>
          <w:color w:val="auto"/>
        </w:rPr>
        <w:t>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83" w:lineRule="exact"/>
        <w:rPr>
          <w:sz w:val="20"/>
          <w:szCs w:val="20"/>
          <w:color w:val="auto"/>
        </w:rPr>
      </w:pPr>
    </w:p>
    <w:p>
      <w:pPr>
        <w:ind w:left="1080" w:right="20" w:firstLine="381"/>
        <w:spacing w:after="0" w:line="277" w:lineRule="auto"/>
        <w:rPr>
          <w:sz w:val="20"/>
          <w:szCs w:val="20"/>
          <w:color w:val="auto"/>
        </w:rPr>
      </w:pPr>
      <w:r>
        <w:rPr>
          <w:rFonts w:ascii="Arial" w:cs="Arial" w:eastAsia="Arial" w:hAnsi="Arial"/>
          <w:sz w:val="18"/>
          <w:szCs w:val="18"/>
          <w:color w:val="auto"/>
        </w:rPr>
        <w:t>RESOLVED, that each lawyer of STvB Advocaten (Curaçao) N.V., Curaçao counsel to Schlumberger, is authorized to execute and file in Curaçao the notarial deed of amendment effectuating such amendment.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 xml:space="preserve">The affirmative vote of the holders of a majority of Schlumberger’s shares outstanding and entitled to vote at the Annual General Meeting of Stockholders is required for the adoption of the foregoing resolutions. </w:t>
      </w:r>
      <w:r>
        <w:rPr>
          <w:rFonts w:ascii="Arial" w:cs="Arial" w:eastAsia="Arial" w:hAnsi="Arial"/>
          <w:sz w:val="18"/>
          <w:szCs w:val="18"/>
          <w:i w:val="1"/>
          <w:iCs w:val="1"/>
          <w:color w:val="auto"/>
        </w:rPr>
        <w:t>Brokers do not have discretion to vote on this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without your instruction. If you do not instruct your broker how to vote on this proposal, your broker will deliver a non-vote on this proposal.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Effectiveness of Amendment</w:t>
      </w:r>
    </w:p>
    <w:p>
      <w:pPr>
        <w:spacing w:after="0" w:line="243"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If stockholders approve the proposed amendment, it will become effective when the notarial deed is executed, which Schlumberger anticipates having executed as soon as practicable following stockholder approval.</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right="380"/>
        <w:spacing w:after="0" w:line="282" w:lineRule="auto"/>
        <w:rPr>
          <w:sz w:val="20"/>
          <w:szCs w:val="20"/>
          <w:color w:val="auto"/>
        </w:rPr>
      </w:pPr>
      <w:r>
        <w:rPr>
          <w:rFonts w:ascii="Arial" w:cs="Arial" w:eastAsia="Arial" w:hAnsi="Arial"/>
          <w:sz w:val="18"/>
          <w:szCs w:val="18"/>
          <w:b w:val="1"/>
          <w:bCs w:val="1"/>
          <w:color w:val="auto"/>
        </w:rPr>
        <w:t>The Board recommends that you vote “FOR” the approval of the amendment to the Articles of Incorporation to increase the authorized common share capital.</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left="940" w:right="1280"/>
        <w:spacing w:after="0" w:line="266" w:lineRule="auto"/>
        <w:rPr>
          <w:sz w:val="20"/>
          <w:szCs w:val="20"/>
          <w:color w:val="auto"/>
        </w:rPr>
      </w:pPr>
      <w:r>
        <w:rPr>
          <w:rFonts w:ascii="Arial" w:cs="Arial" w:eastAsia="Arial" w:hAnsi="Arial"/>
          <w:sz w:val="18"/>
          <w:szCs w:val="18"/>
          <w:b w:val="1"/>
          <w:bCs w:val="1"/>
          <w:color w:val="auto"/>
        </w:rPr>
        <w:t>ITEM 5. ADOPTION OF AMENDMENTS TO SCHLUMBERGER’S ARTICLES OF INCORPORATION TO CLARIFY THE VOTING STANDARD IN CONTESTED DIRECTOR ELECTIONS AND TO MAKE CERTAIN OTHER CHANGES</w:t>
      </w:r>
    </w:p>
    <w:p>
      <w:pPr>
        <w:spacing w:after="0" w:line="194"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In addition to the proposed amendment to increase the authorized common stock described in Item 4 above, the Board of Directors has proposed for stockholder approval amendments to Schlumberger’s Articles of Incorporation to clarify that in contested elections directors will be elected by a plurality vote and to make other technical changes to reflect the constitutional restructuring and dissolution of the Netherlands Antilles that occurred in October 2010.</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proposed amendments were adopted, subject to stockholder approval, by the unanimous vote of the Board on January 20, 2011.</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proposed amendments would:</w:t>
      </w:r>
    </w:p>
    <w:p>
      <w:pPr>
        <w:spacing w:after="0" w:line="131" w:lineRule="exact"/>
        <w:rPr>
          <w:sz w:val="20"/>
          <w:szCs w:val="20"/>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clarify that in a contested election directors will be elected by a plurality vote,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other technical changes to reflect the constitutional restructuring and dissolution of the Netherlands Antilles.</w:t>
      </w:r>
    </w:p>
    <w:p>
      <w:pPr>
        <w:spacing w:after="0" w:line="131"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Currently, as provided in the Articles of Incorporation, Schlumberger directors are elected by a majority of votes cast, regardless of whether the election is contested or uncontested. The Board of Directors believes that it is advisable and in the best interests of Schlumberger’s stockholders for a plurality voting standard to apply in contested elections. If a majority voting standard is used in a contested election, fewer candidates or more candidates could be elected to the Board than the number of Board seats. Because our majority voting standard only compares the number of “for” votes with the number of “against” votes for each director nominee without regard to voting for other candidates, it does not ensure that all Board seats are filled when there are more candidates than available Board seats. In addition, a majority voting standard in contested elections could be viewed as favoring incumbents because if majority voting applies in a contested election and all the nominees fail to receive a majority vote, then no directors are elected and the incumbents continue to serve as “hold over” directors. In contrast, under a plurality voting standard the number of available Board seats will be filled by those nominees receiving the greatest number of “for” votes. Accordingly, the proposed amendments would clarify that plurality voting applies in contested elections to avoid such results.</w:t>
      </w:r>
    </w:p>
    <w:p>
      <w:pPr>
        <w:spacing w:after="0" w:line="88"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The other proposed amendments to the Articles of Incorporation are technical changes to reflect the constitutional restructuring and dissolution of the Netherlands Antilles. Prior to October 10, 2010, the Netherlands Antilles, together with Aruba and the Netherlands, formed the Kingdom of the Netherlands, with Curaçao being an island territory of the Netherlands Antilles. Under a constitutional restructuring of the Kingdom of the Netherlands agreed upon among the Netherlands Antilles, Aruba and the Netherlands, the Netherlands Antilles was dissolved effective October 10, 2010. Also effective October 10, 2010, Curaçao became an individual constitutional entity within the Kingdom of the Netherlands, having its own government and laws. As a result of the constitutional restructuring and the dissolution of the Netherlands Antilles, Netherlands Antilles law ceased to exist and Schlumberger became a Curaçao legal entity subject to Curaçao law. In connection with this restructuring, stockholders are being asked to approve amendments to the Articles of Incorporation to replace all references to “Netherlands Antilles” to instead refer to “Curaçao” and to make other technical changes. The amendments described in this Item 5 as well as the amendments described above in Item 4 to increase Schlumberger’s authorized common stock are set forth in Appendix A to this proxy statement.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Resolutions Adopting the Proposed Amendments</w:t>
      </w:r>
    </w:p>
    <w:p>
      <w:pPr>
        <w:spacing w:after="0" w:line="243"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amendments to Schlumberger’s Articles of Incorporation to clarify that in a contested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election directors will be elected by a plurality vote and to make other technical changes to reflect the constitutional restructuring and dissolution of the Netherlands Antilles:</w:t>
      </w:r>
    </w:p>
    <w:p>
      <w:pPr>
        <w:spacing w:after="0" w:line="76" w:lineRule="exact"/>
        <w:rPr>
          <w:sz w:val="20"/>
          <w:szCs w:val="20"/>
          <w:color w:val="auto"/>
        </w:rPr>
      </w:pPr>
    </w:p>
    <w:p>
      <w:pPr>
        <w:ind w:left="1080" w:firstLine="381"/>
        <w:spacing w:after="0" w:line="277" w:lineRule="auto"/>
        <w:rPr>
          <w:sz w:val="20"/>
          <w:szCs w:val="20"/>
          <w:color w:val="auto"/>
        </w:rPr>
      </w:pPr>
      <w:r>
        <w:rPr>
          <w:rFonts w:ascii="Arial" w:cs="Arial" w:eastAsia="Arial" w:hAnsi="Arial"/>
          <w:sz w:val="18"/>
          <w:szCs w:val="18"/>
          <w:color w:val="auto"/>
        </w:rPr>
        <w:t>RESOLVED, Section 8.3 of Article 8 of Schlumberger’s Articles of Incorporation is hereby amended and restated to read in its entirety as follows:</w:t>
      </w:r>
    </w:p>
    <w:p>
      <w:pPr>
        <w:spacing w:after="0" w:line="76" w:lineRule="exact"/>
        <w:rPr>
          <w:sz w:val="20"/>
          <w:szCs w:val="20"/>
          <w:color w:val="auto"/>
        </w:rPr>
      </w:pPr>
    </w:p>
    <w:p>
      <w:pPr>
        <w:ind w:left="1980"/>
        <w:spacing w:after="0" w:line="285" w:lineRule="auto"/>
        <w:rPr>
          <w:sz w:val="20"/>
          <w:szCs w:val="20"/>
          <w:color w:val="auto"/>
        </w:rPr>
      </w:pPr>
      <w:r>
        <w:rPr>
          <w:rFonts w:ascii="Arial" w:cs="Arial" w:eastAsia="Arial" w:hAnsi="Arial"/>
          <w:sz w:val="16"/>
          <w:szCs w:val="16"/>
          <w:color w:val="auto"/>
        </w:rPr>
        <w:t>The directors shall be elected at a general meeting of stockholders by a majority of votes cast, in person or by proxy, by the stockholders entitled to vote; provided, that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elected, a number of directors not exceeding the authorized number of directors as fixed in accordance with these Articles of Incorporation, shall be elected by a plurality of the voting power of the shares represented in person or by proxy at any such meeting and entitled to vote on the election of directors. For purposes of this Section 8.3, a majority of the votes cast means that the number of votes cast “for” a director must exceed the number of votes cast “against” that director. The Board of Directors shall be authorized to appoint directors to fill any vacancies on the Board of Directors, any such appointment to be effective until the next general meeting of stockholders. The number of persons constituting the whole Board of Directors shall be not less than five (5) nor more than twenty-four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w:t>
      </w:r>
    </w:p>
    <w:p>
      <w:pPr>
        <w:spacing w:after="0" w:line="51" w:lineRule="exact"/>
        <w:rPr>
          <w:sz w:val="20"/>
          <w:szCs w:val="20"/>
          <w:color w:val="auto"/>
        </w:rPr>
      </w:pPr>
    </w:p>
    <w:p>
      <w:pPr>
        <w:ind w:left="1480" w:right="180" w:firstLine="365"/>
        <w:spacing w:after="0" w:line="312" w:lineRule="auto"/>
        <w:rPr>
          <w:sz w:val="20"/>
          <w:szCs w:val="20"/>
          <w:color w:val="auto"/>
        </w:rPr>
      </w:pPr>
      <w:r>
        <w:rPr>
          <w:rFonts w:ascii="Arial" w:cs="Arial" w:eastAsia="Arial" w:hAnsi="Arial"/>
          <w:sz w:val="16"/>
          <w:szCs w:val="16"/>
          <w:color w:val="auto"/>
        </w:rPr>
        <w:t>RESOLVED, that the amendments to the Articles of Incorporation of Schlumberger to reflect the constitutional restructuring and dissolution of the Netherlands Antilles be, and they hereby are, adopted to read in their entirety as set forth in Appendix A to Schlumberger’s Proxy Statement dated March [ ], 2011 and in the form presented to this meeting.</w:t>
      </w:r>
    </w:p>
    <w:p>
      <w:pPr>
        <w:spacing w:after="0" w:line="12" w:lineRule="exact"/>
        <w:rPr>
          <w:sz w:val="20"/>
          <w:szCs w:val="20"/>
          <w:color w:val="auto"/>
        </w:rPr>
      </w:pPr>
    </w:p>
    <w:p>
      <w:pPr>
        <w:ind w:left="1480" w:right="240" w:firstLine="365"/>
        <w:spacing w:after="0" w:line="277" w:lineRule="auto"/>
        <w:rPr>
          <w:sz w:val="20"/>
          <w:szCs w:val="20"/>
          <w:color w:val="auto"/>
        </w:rPr>
      </w:pPr>
      <w:r>
        <w:rPr>
          <w:rFonts w:ascii="Arial" w:cs="Arial" w:eastAsia="Arial" w:hAnsi="Arial"/>
          <w:sz w:val="18"/>
          <w:szCs w:val="18"/>
          <w:color w:val="auto"/>
        </w:rPr>
        <w:t>RESOLVED, that each lawyer of STvB Advocaten (Curaçao) N.V., Curaçao counsel to Schlumberger, is authorized to execute and file in Curaçao the notarial deed of amendment effectuating such amendments.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 xml:space="preserve">The affirmative vote of the holders of a majority of Schlumberger’s shares outstanding and entitled to vote at the Annual General Meeting of Stockholders is required for the adoption of the foregoing resolutions. </w:t>
      </w:r>
      <w:r>
        <w:rPr>
          <w:rFonts w:ascii="Arial" w:cs="Arial" w:eastAsia="Arial" w:hAnsi="Arial"/>
          <w:sz w:val="18"/>
          <w:szCs w:val="18"/>
          <w:i w:val="1"/>
          <w:iCs w:val="1"/>
          <w:color w:val="auto"/>
        </w:rPr>
        <w:t>Brokers do not have discretion to vote on this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without your instruction. If you do not instruct your broker how to vote on this proposal, your broker will deliver a non-vote on this proposal.</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Effectiveness of Amendments</w:t>
      </w:r>
    </w:p>
    <w:p>
      <w:pPr>
        <w:spacing w:after="0" w:line="243" w:lineRule="exact"/>
        <w:rPr>
          <w:sz w:val="20"/>
          <w:szCs w:val="20"/>
          <w:color w:val="auto"/>
        </w:rPr>
      </w:pPr>
    </w:p>
    <w:p>
      <w:pPr>
        <w:ind w:left="700" w:right="840" w:firstLine="397"/>
        <w:spacing w:after="0" w:line="308" w:lineRule="auto"/>
        <w:rPr>
          <w:sz w:val="20"/>
          <w:szCs w:val="20"/>
          <w:color w:val="auto"/>
        </w:rPr>
      </w:pPr>
      <w:r>
        <w:rPr>
          <w:rFonts w:ascii="Arial" w:cs="Arial" w:eastAsia="Arial" w:hAnsi="Arial"/>
          <w:sz w:val="17"/>
          <w:szCs w:val="17"/>
          <w:color w:val="auto"/>
        </w:rPr>
        <w:t>If stockholders approve the proposed amendments, they will become effective when the notarial deed is executed, which Schlumberger anticipates having executed as soon as practicable following stockholder approval.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39" w:lineRule="exact"/>
        <w:rPr>
          <w:sz w:val="20"/>
          <w:szCs w:val="20"/>
          <w:color w:val="auto"/>
        </w:rPr>
      </w:pPr>
    </w:p>
    <w:p>
      <w:pPr>
        <w:ind w:left="700" w:right="440"/>
        <w:spacing w:after="0" w:line="282" w:lineRule="auto"/>
        <w:rPr>
          <w:sz w:val="20"/>
          <w:szCs w:val="20"/>
          <w:color w:val="auto"/>
        </w:rPr>
      </w:pPr>
      <w:r>
        <w:rPr>
          <w:rFonts w:ascii="Arial" w:cs="Arial" w:eastAsia="Arial" w:hAnsi="Arial"/>
          <w:sz w:val="18"/>
          <w:szCs w:val="18"/>
          <w:b w:val="1"/>
          <w:bCs w:val="1"/>
          <w:color w:val="auto"/>
        </w:rPr>
        <w:t>The Board recommends that you vote “FOR” the approval of the amendments to the Articles of Incorporation to clarify the voting standard in contested director elections and to make certain other changes.</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ITEM 6. FINANCIAL STATEMENTS</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Upon completion of the audit procedures to be performed by PricewaterhouseCoopers LLP, the following are submitted to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Company’s stockholders pursuant to Schlumberger’s Articles of Incorporation:</w:t>
      </w:r>
    </w:p>
    <w:p>
      <w:pPr>
        <w:spacing w:after="0" w:line="89" w:lineRule="exact"/>
        <w:rPr>
          <w:sz w:val="20"/>
          <w:szCs w:val="20"/>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2010,</w:t>
      </w:r>
    </w:p>
    <w:p>
      <w:pPr>
        <w:spacing w:after="0" w:line="76"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its Consolidated Statement of Income for the year ended December 31, 2010, as audited by PricewaterhouseCoopers LLP, and</w:t>
      </w:r>
    </w:p>
    <w:p>
      <w:pPr>
        <w:spacing w:after="0" w:line="99" w:lineRule="exact"/>
        <w:rPr>
          <w:rFonts w:ascii="Arial" w:cs="Arial" w:eastAsia="Arial" w:hAnsi="Arial"/>
          <w:sz w:val="16"/>
          <w:szCs w:val="16"/>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2010.</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w:t>
      </w:r>
    </w:p>
    <w:p>
      <w:pPr>
        <w:spacing w:after="0" w:line="243"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 xml:space="preserve">A majority of the votes cast is required for the approval of the financial results as set forth in the financial statements and of the declaration of dividends by the Board of Directors as reflected in the Company’s 2010 Annual Report to Stockholders. </w:t>
      </w:r>
      <w:r>
        <w:rPr>
          <w:rFonts w:ascii="Arial" w:cs="Arial" w:eastAsia="Arial" w:hAnsi="Arial"/>
          <w:sz w:val="18"/>
          <w:szCs w:val="18"/>
          <w:i w:val="1"/>
          <w:iCs w:val="1"/>
          <w:color w:val="auto"/>
        </w:rPr>
        <w:t>Brokers do have</w:t>
      </w:r>
      <w:r>
        <w:rPr>
          <w:rFonts w:ascii="Arial" w:cs="Arial" w:eastAsia="Arial" w:hAnsi="Arial"/>
          <w:sz w:val="18"/>
          <w:szCs w:val="18"/>
          <w:color w:val="auto"/>
        </w:rPr>
        <w:t xml:space="preserve"> </w:t>
      </w:r>
      <w:r>
        <w:rPr>
          <w:rFonts w:ascii="Arial" w:cs="Arial" w:eastAsia="Arial" w:hAnsi="Arial"/>
          <w:sz w:val="18"/>
          <w:szCs w:val="18"/>
          <w:i w:val="1"/>
          <w:iCs w:val="1"/>
          <w:color w:val="auto"/>
        </w:rPr>
        <w:t>discretion to vote on this proposal without your instruction. If you do not instruct your broker how to vote on this proposal, your broker will vote on this proposal in its discretion.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23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ITEM 7. APPOINTMENT OF INDEPENDENT REGISTERED PUBLIC ACCOUNTING FIRM</w:t>
      </w:r>
    </w:p>
    <w:p>
      <w:pPr>
        <w:spacing w:after="0" w:line="135"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PricewaterhouseCoopers LLP has been selected by the Board of Directors as the independent registered public accounting firm to audit the annual financial statements of the Company for the year 2011. We are asking stockholders to approve the appointment of PricewaterhouseCoopers LLP as the independent registered public accounting firm. If the selection is not approved, the Board will consider whether it is appropriate to select another independent registered public accounting firm.</w:t>
      </w:r>
    </w:p>
    <w:p>
      <w:pPr>
        <w:spacing w:after="0" w:line="9"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A representative of PricewaterhouseCoopers LLP is expected to attend the 2011 annual general meeting of stockholders, will have the opportunity to make a statement if he or she desires to do so, and is expected to be available to respond to appropriate questions.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Fees Paid to PricewaterhouseCoopers LLP</w:t>
      </w:r>
    </w:p>
    <w:p>
      <w:pPr>
        <w:spacing w:after="0" w:line="3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90" w:lineRule="exact"/>
        <w:rPr>
          <w:sz w:val="20"/>
          <w:szCs w:val="20"/>
          <w:color w:val="auto"/>
        </w:rPr>
      </w:pPr>
    </w:p>
    <w:p>
      <w:pPr>
        <w:ind w:left="1400" w:right="160" w:hanging="302"/>
        <w:spacing w:after="0" w:line="266"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audit of the Company’s 2010 and 2009 annual financial statements and reviews of quarterly financial statements and other audit services, and</w:t>
      </w:r>
    </w:p>
    <w:p>
      <w:pPr>
        <w:ind w:left="1400" w:hanging="30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2010 and 2009.</w:t>
      </w:r>
    </w:p>
    <w:p>
      <w:pPr>
        <w:spacing w:after="0" w:line="95"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Year Ended</w:t>
      </w:r>
    </w:p>
    <w:p>
      <w:pPr>
        <w:jc w:val="center"/>
        <w:ind w:left="76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11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80"/>
        </w:trPr>
        <w:tc>
          <w:tcPr>
            <w:tcW w:w="1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11,796</w:t>
            </w:r>
          </w:p>
        </w:tc>
        <w:tc>
          <w:tcPr>
            <w:tcW w:w="100" w:type="dxa"/>
            <w:vAlign w:val="bottom"/>
            <w:shd w:val="clear" w:color="auto" w:fill="CCEEFF"/>
          </w:tcPr>
          <w:p>
            <w:pPr>
              <w:spacing w:after="0"/>
              <w:rPr>
                <w:sz w:val="20"/>
                <w:szCs w:val="20"/>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1,775</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13,892</w:t>
            </w:r>
          </w:p>
        </w:tc>
        <w:tc>
          <w:tcPr>
            <w:tcW w:w="100" w:type="dxa"/>
            <w:vAlign w:val="bottom"/>
            <w:shd w:val="clear" w:color="auto" w:fill="CCEEFF"/>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53" w:lineRule="exact"/>
        <w:rPr>
          <w:sz w:val="20"/>
          <w:szCs w:val="20"/>
          <w:color w:val="auto"/>
        </w:rPr>
      </w:pPr>
    </w:p>
    <w:p>
      <w:pPr>
        <w:ind w:left="1000" w:hanging="301"/>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fees for statutory audits.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fees for employee benefit plan audits and other audit-related items.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permitted tax services.</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Audit Committee’s Pre-Approval Policy and Procedures</w:t>
      </w:r>
    </w:p>
    <w:p>
      <w:pPr>
        <w:spacing w:after="0" w:line="13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 xml:space="preserve">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2010, no matters were taken on without pre-approval under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provisions of the Sarbanes-Oxley Act.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Required Vote</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 xml:space="preserve">A majority of the votes cast is required to approve the appointment of PricewaterhouseCoopers LLP. </w:t>
      </w:r>
      <w:r>
        <w:rPr>
          <w:rFonts w:ascii="Arial" w:cs="Arial" w:eastAsia="Arial" w:hAnsi="Arial"/>
          <w:sz w:val="18"/>
          <w:szCs w:val="18"/>
          <w:i w:val="1"/>
          <w:iCs w:val="1"/>
          <w:color w:val="auto"/>
        </w:rPr>
        <w:t>Brokers do have discretion to</w:t>
      </w:r>
      <w:r>
        <w:rPr>
          <w:rFonts w:ascii="Arial" w:cs="Arial" w:eastAsia="Arial" w:hAnsi="Arial"/>
          <w:sz w:val="18"/>
          <w:szCs w:val="18"/>
          <w:color w:val="auto"/>
        </w:rPr>
        <w:t xml:space="preserve"> </w:t>
      </w:r>
      <w:r>
        <w:rPr>
          <w:rFonts w:ascii="Arial" w:cs="Arial" w:eastAsia="Arial" w:hAnsi="Arial"/>
          <w:sz w:val="18"/>
          <w:szCs w:val="18"/>
          <w:i w:val="1"/>
          <w:iCs w:val="1"/>
          <w:color w:val="auto"/>
        </w:rPr>
        <w:t>vote on this proposal without your instruction. If you do not instruct your broker how to vote on this proposal, your broker will vote on this proposal in its discretion.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Recommends a Vote FOR Item 7.</w:t>
      </w: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AUDIT COMMITTEE REPORT</w:t>
      </w:r>
    </w:p>
    <w:p>
      <w:pPr>
        <w:spacing w:after="0" w:line="243" w:lineRule="exact"/>
        <w:rPr>
          <w:sz w:val="20"/>
          <w:szCs w:val="20"/>
          <w:color w:val="auto"/>
        </w:rPr>
      </w:pPr>
    </w:p>
    <w:p>
      <w:pPr>
        <w:ind w:left="700" w:right="980" w:firstLine="397"/>
        <w:spacing w:after="0" w:line="270" w:lineRule="auto"/>
        <w:rPr>
          <w:sz w:val="20"/>
          <w:szCs w:val="20"/>
          <w:color w:val="auto"/>
        </w:rPr>
      </w:pPr>
      <w:r>
        <w:rPr>
          <w:rFonts w:ascii="Arial" w:cs="Arial" w:eastAsia="Arial" w:hAnsi="Arial"/>
          <w:sz w:val="17"/>
          <w:szCs w:val="17"/>
          <w:color w:val="auto"/>
        </w:rPr>
        <w:t>During 2010,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applicable Public Company Accounting Oversight Board requirements. The Audit Committee discussed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w:t>
      </w:r>
    </w:p>
    <w:p>
      <w:pPr>
        <w:spacing w:after="0" w:line="87" w:lineRule="exact"/>
        <w:rPr>
          <w:sz w:val="20"/>
          <w:szCs w:val="20"/>
          <w:color w:val="auto"/>
        </w:rPr>
      </w:pPr>
    </w:p>
    <w:p>
      <w:pPr>
        <w:ind w:left="700" w:right="940" w:firstLine="397"/>
        <w:spacing w:after="0" w:line="259"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Public Company Oversight Board Rule 3526 (Communication with Audit Committees Concerning Independence) and Public Company Oversight Board Rule 3524 (Audit Committee Pre-approval of Tax Services), and the Committee discussed PricewaterhouseCoopers LLP’s independence with them.</w:t>
      </w:r>
    </w:p>
    <w:p>
      <w:pPr>
        <w:spacing w:after="0" w:line="92" w:lineRule="exact"/>
        <w:rPr>
          <w:sz w:val="20"/>
          <w:szCs w:val="20"/>
          <w:color w:val="auto"/>
        </w:rPr>
      </w:pPr>
    </w:p>
    <w:p>
      <w:pPr>
        <w:ind w:left="700" w:right="1160" w:firstLine="397"/>
        <w:spacing w:after="0" w:line="312"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registered public accounting firm’s report to the Audit Committee, the Audit Committee recommended that the Board include the financial statements in the Company’s Annual Report on Form 10-K for the year ended December 31, 2010 filed with the SEC.</w:t>
      </w:r>
    </w:p>
    <w:p>
      <w:pPr>
        <w:spacing w:after="0" w:line="3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SUBMITTED BY THE AUDIT COMMITTEE OF THE SCHLUMBERGER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700"/>
              <w:spacing w:after="0"/>
              <w:rPr>
                <w:sz w:val="20"/>
                <w:szCs w:val="20"/>
                <w:color w:val="auto"/>
              </w:rPr>
            </w:pPr>
            <w:r>
              <w:rPr>
                <w:rFonts w:ascii="Arial" w:cs="Arial" w:eastAsia="Arial" w:hAnsi="Arial"/>
                <w:sz w:val="18"/>
                <w:szCs w:val="18"/>
                <w:color w:val="auto"/>
              </w:rPr>
              <w:t>Philippe Camus</w:t>
            </w:r>
          </w:p>
        </w:tc>
        <w:tc>
          <w:tcPr>
            <w:tcW w:w="7440" w:type="dxa"/>
            <w:vAlign w:val="bottom"/>
          </w:tcPr>
          <w:p>
            <w:pPr>
              <w:ind w:left="3460"/>
              <w:spacing w:after="0"/>
              <w:rPr>
                <w:sz w:val="20"/>
                <w:szCs w:val="20"/>
                <w:color w:val="auto"/>
              </w:rPr>
            </w:pPr>
            <w:r>
              <w:rPr>
                <w:rFonts w:ascii="Arial" w:cs="Arial" w:eastAsia="Arial" w:hAnsi="Arial"/>
                <w:sz w:val="18"/>
                <w:szCs w:val="18"/>
                <w:color w:val="auto"/>
              </w:rPr>
              <w:t>K. Vaman Kamath</w:t>
            </w:r>
          </w:p>
        </w:tc>
      </w:tr>
      <w:tr>
        <w:trPr>
          <w:trHeight w:val="216"/>
        </w:trPr>
        <w:tc>
          <w:tcPr>
            <w:tcW w:w="3980" w:type="dxa"/>
            <w:vAlign w:val="bottom"/>
          </w:tcPr>
          <w:p>
            <w:pPr>
              <w:ind w:left="700"/>
              <w:spacing w:after="0"/>
              <w:rPr>
                <w:sz w:val="20"/>
                <w:szCs w:val="20"/>
                <w:color w:val="auto"/>
              </w:rPr>
            </w:pPr>
            <w:r>
              <w:rPr>
                <w:rFonts w:ascii="Arial" w:cs="Arial" w:eastAsia="Arial" w:hAnsi="Arial"/>
                <w:sz w:val="18"/>
                <w:szCs w:val="18"/>
                <w:color w:val="auto"/>
              </w:rPr>
              <w:t>Peter L.S. Currie, Chair</w:t>
            </w:r>
          </w:p>
        </w:tc>
        <w:tc>
          <w:tcPr>
            <w:tcW w:w="7440" w:type="dxa"/>
            <w:vAlign w:val="bottom"/>
          </w:tcPr>
          <w:p>
            <w:pPr>
              <w:ind w:left="3460"/>
              <w:spacing w:after="0"/>
              <w:rPr>
                <w:sz w:val="20"/>
                <w:szCs w:val="20"/>
                <w:color w:val="auto"/>
              </w:rPr>
            </w:pPr>
            <w:r>
              <w:rPr>
                <w:rFonts w:ascii="Arial" w:cs="Arial" w:eastAsia="Arial" w:hAnsi="Arial"/>
                <w:sz w:val="18"/>
                <w:szCs w:val="18"/>
                <w:color w:val="auto"/>
              </w:rPr>
              <w:t>Nikolay Kudryavtsev</w:t>
            </w:r>
          </w:p>
        </w:tc>
      </w:tr>
      <w:tr>
        <w:trPr>
          <w:trHeight w:val="230"/>
        </w:trPr>
        <w:tc>
          <w:tcPr>
            <w:tcW w:w="3980" w:type="dxa"/>
            <w:vAlign w:val="bottom"/>
          </w:tcPr>
          <w:p>
            <w:pPr>
              <w:ind w:left="700"/>
              <w:spacing w:after="0"/>
              <w:rPr>
                <w:sz w:val="20"/>
                <w:szCs w:val="20"/>
                <w:color w:val="auto"/>
              </w:rPr>
            </w:pPr>
            <w:r>
              <w:rPr>
                <w:rFonts w:ascii="Arial" w:cs="Arial" w:eastAsia="Arial" w:hAnsi="Arial"/>
                <w:sz w:val="18"/>
                <w:szCs w:val="18"/>
                <w:color w:val="auto"/>
              </w:rPr>
              <w:t>Tony Isaac</w:t>
            </w:r>
          </w:p>
        </w:tc>
        <w:tc>
          <w:tcPr>
            <w:tcW w:w="7440" w:type="dxa"/>
            <w:vAlign w:val="bottom"/>
          </w:tcPr>
          <w:p>
            <w:pPr>
              <w:ind w:left="3460"/>
              <w:spacing w:after="0"/>
              <w:rPr>
                <w:sz w:val="20"/>
                <w:szCs w:val="20"/>
                <w:color w:val="auto"/>
              </w:rPr>
            </w:pPr>
            <w:r>
              <w:rPr>
                <w:rFonts w:ascii="Arial" w:cs="Arial" w:eastAsia="Arial" w:hAnsi="Arial"/>
                <w:sz w:val="18"/>
                <w:szCs w:val="18"/>
                <w:color w:val="auto"/>
              </w:rPr>
              <w:t>Adrian Lajous</w:t>
            </w:r>
          </w:p>
        </w:tc>
      </w:tr>
      <w:tr>
        <w:trPr>
          <w:trHeight w:val="621"/>
        </w:trPr>
        <w:tc>
          <w:tcPr>
            <w:tcW w:w="3980" w:type="dxa"/>
            <w:vAlign w:val="bottom"/>
          </w:tcPr>
          <w:p>
            <w:pPr>
              <w:spacing w:after="0"/>
              <w:rPr>
                <w:sz w:val="24"/>
                <w:szCs w:val="24"/>
                <w:color w:val="auto"/>
              </w:rPr>
            </w:pPr>
          </w:p>
        </w:tc>
        <w:tc>
          <w:tcPr>
            <w:tcW w:w="7440" w:type="dxa"/>
            <w:vAlign w:val="bottom"/>
          </w:tcPr>
          <w:p>
            <w:pPr>
              <w:jc w:val="right"/>
              <w:ind w:right="5590"/>
              <w:spacing w:after="0"/>
              <w:rPr>
                <w:sz w:val="20"/>
                <w:szCs w:val="20"/>
                <w:color w:val="auto"/>
              </w:rPr>
            </w:pPr>
            <w:r>
              <w:rPr>
                <w:rFonts w:ascii="Arial" w:cs="Arial" w:eastAsia="Arial" w:hAnsi="Arial"/>
                <w:sz w:val="18"/>
                <w:szCs w:val="18"/>
                <w:color w:val="auto"/>
              </w:rPr>
              <w:t>60</w:t>
            </w:r>
          </w:p>
        </w:tc>
      </w:tr>
      <w:tr>
        <w:trPr>
          <w:trHeight w:val="226"/>
        </w:trPr>
        <w:tc>
          <w:tcPr>
            <w:tcW w:w="39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STOCK OWNERSHIP INFORMATION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43"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The following table sets forth information as of December 31, 2010 with respect to persons known by the Company to be the beneficial owners of 5% or more of the Company’s common stock. This information is reported by such persons in their Schedule 13G filings with the SEC. For each entity included in the table below, percentage ownership is calculated by dividing the number of shares beneficially owned by such entity by the 1,360,993,901 shares of common stock outstanding on January 31, 2011.</w:t>
      </w:r>
    </w:p>
    <w:p>
      <w:pPr>
        <w:spacing w:after="0" w:line="53" w:lineRule="exact"/>
        <w:rPr>
          <w:sz w:val="20"/>
          <w:szCs w:val="20"/>
          <w:color w:val="auto"/>
        </w:rPr>
      </w:pPr>
    </w:p>
    <w:tbl>
      <w:tblPr>
        <w:tblLayout w:type="fixed"/>
        <w:tblInd w:w="71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Beneficial Ownership of</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2120" w:type="dxa"/>
            <w:vAlign w:val="bottom"/>
            <w:gridSpan w:val="4"/>
          </w:tcPr>
          <w:p>
            <w:pPr>
              <w:ind w:left="52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33"/>
        </w:trPr>
        <w:tc>
          <w:tcPr>
            <w:tcW w:w="77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900" w:type="dxa"/>
            <w:vAlign w:val="bottom"/>
            <w:tcBorders>
              <w:top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rPr>
              <w:t>Number of</w:t>
            </w: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80" w:type="dxa"/>
            <w:vAlign w:val="bottom"/>
            <w:vMerge w:val="continue"/>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20"/>
        </w:trPr>
        <w:tc>
          <w:tcPr>
            <w:tcW w:w="7780" w:type="dxa"/>
            <w:vAlign w:val="bottom"/>
            <w:tcBorders>
              <w:lef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8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w:t>
            </w:r>
          </w:p>
        </w:tc>
        <w:tc>
          <w:tcPr>
            <w:tcW w:w="900" w:type="dxa"/>
            <w:vAlign w:val="bottom"/>
          </w:tcPr>
          <w:p>
            <w:pPr>
              <w:ind w:left="80"/>
              <w:spacing w:after="0"/>
              <w:rPr>
                <w:sz w:val="20"/>
                <w:szCs w:val="20"/>
                <w:color w:val="auto"/>
              </w:rPr>
            </w:pPr>
            <w:r>
              <w:rPr>
                <w:rFonts w:ascii="Arial" w:cs="Arial" w:eastAsia="Arial" w:hAnsi="Arial"/>
                <w:sz w:val="18"/>
                <w:szCs w:val="18"/>
                <w:color w:val="auto"/>
                <w:w w:val="88"/>
              </w:rPr>
              <w:t>75,876,249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40 East 52nd Street</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New York, NY 10022</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00" w:right="440" w:hanging="407"/>
        <w:spacing w:after="0" w:line="277"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a Statement on Schedule 13G/A filed on February 8, 2011. Such filing indicates that BlackRock Inc. has sole voting power and sole investment power with respect to 75,876,249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-302260</wp:posOffset>
            </wp:positionV>
            <wp:extent cx="814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by Management</w:t>
      </w:r>
    </w:p>
    <w:p>
      <w:pPr>
        <w:spacing w:after="0" w:line="243"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following table sets forth information known to Schlumberger with respect to beneficial ownership of Schlumberger common stock as of January 31, 2011 by (i) each director and nominee, (ii) each of the named executive officers, and (iii) all directors and executive officers as a group.</w:t>
      </w:r>
    </w:p>
    <w:p>
      <w:pPr>
        <w:spacing w:after="0" w:line="87"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color w:val="auto"/>
        </w:rPr>
        <w:t>Beneficial ownership is determined under the rules of the Securities and Exchange Commission (the “SEC”) and generally includes voting or investment power with respect to securities. Except as indicated in the footnotes to this table, to Schlumberger’s knowledge the persons named in the table below have sole voting and investment power with respect to all shares of Schlumberger common stock beneficially owned. The number of shares beneficially owned by each person or group as of January 31, 2011 includes shares of common stock that such person or group had the right to acquire on or within 60 days after January 31, 2011, including, but not limited to, upon the exercise of options to purchase common stock or the vesting of restricted stock units. References to options in the footnotes of the table below include only options to purchase shares outstanding as of January 31, 2011 that were exercisable on or within 60 days after January 31, 2011, and references to restricted stock units in the footnotes to the table below include only restricted stock units outstanding as of January 31, 201 that would vest and could settle on or within 60 days after January 31, 2011. For each individual and group included in the table below, percentage ownership is calculated by dividing the number of shares beneficially owned by such person or group by the sum of the 1,360,993,901 shares of common stock outstanding on January 31, 2011 plus the number of shares of common stock that such person or group had the right to acquire on or within 60 days after January 31, 2011.</w:t>
      </w:r>
    </w:p>
    <w:p>
      <w:pPr>
        <w:spacing w:after="0" w:line="3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400" w:firstLine="397"/>
        <w:spacing w:after="0" w:line="264" w:lineRule="auto"/>
        <w:rPr>
          <w:sz w:val="20"/>
          <w:szCs w:val="20"/>
          <w:color w:val="auto"/>
        </w:rPr>
      </w:pPr>
      <w:r>
        <w:rPr>
          <w:rFonts w:ascii="Arial" w:cs="Arial" w:eastAsia="Arial" w:hAnsi="Arial"/>
          <w:sz w:val="18"/>
          <w:szCs w:val="18"/>
          <w:color w:val="auto"/>
        </w:rPr>
        <w:t>As of January 31, 2011, no director, nominee or named executive officer owned more than 1% of the outstanding shares of the Company’s common stock. All directors and executive officers as a group owned less than 1% of the outstanding shares of common stock of the Company at January 31, 2011.</w:t>
      </w:r>
    </w:p>
    <w:p>
      <w:pPr>
        <w:spacing w:after="0" w:line="38"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ind w:left="234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Simon Ayat</w:t>
            </w:r>
          </w:p>
        </w:tc>
        <w:tc>
          <w:tcPr>
            <w:tcW w:w="2860" w:type="dxa"/>
            <w:vAlign w:val="bottom"/>
            <w:tcBorders>
              <w:top w:val="single" w:sz="8" w:color="auto"/>
            </w:tcBorders>
            <w:shd w:val="clear" w:color="auto" w:fill="CCEEFF"/>
          </w:tcPr>
          <w:p>
            <w:pPr>
              <w:jc w:val="center"/>
              <w:ind w:left="2111"/>
              <w:spacing w:after="0"/>
              <w:rPr>
                <w:sz w:val="20"/>
                <w:szCs w:val="20"/>
                <w:color w:val="auto"/>
              </w:rPr>
            </w:pPr>
            <w:r>
              <w:rPr>
                <w:rFonts w:ascii="Arial" w:cs="Arial" w:eastAsia="Arial" w:hAnsi="Arial"/>
                <w:sz w:val="18"/>
                <w:szCs w:val="18"/>
                <w:color w:val="auto"/>
                <w:w w:val="89"/>
              </w:rPr>
              <w:t>497,011</w:t>
            </w:r>
          </w:p>
        </w:tc>
        <w:tc>
          <w:tcPr>
            <w:tcW w:w="620" w:type="dxa"/>
            <w:vAlign w:val="bottom"/>
            <w:tcBorders>
              <w:top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rPr>
              <w:t>(1)</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Ashok Belani</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89"/>
              </w:rPr>
              <w:t>258,800</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(2)</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9,250</w:t>
            </w:r>
          </w:p>
        </w:tc>
        <w:tc>
          <w:tcPr>
            <w:tcW w:w="6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(3)</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Peter L.S. Currie</w:t>
            </w:r>
          </w:p>
        </w:tc>
        <w:tc>
          <w:tcPr>
            <w:tcW w:w="2860" w:type="dxa"/>
            <w:vAlign w:val="bottom"/>
          </w:tcPr>
          <w:p>
            <w:pPr>
              <w:jc w:val="center"/>
              <w:ind w:left="2131"/>
              <w:spacing w:after="0"/>
              <w:rPr>
                <w:sz w:val="20"/>
                <w:szCs w:val="20"/>
                <w:color w:val="auto"/>
              </w:rPr>
            </w:pPr>
            <w:r>
              <w:rPr>
                <w:rFonts w:ascii="Arial" w:cs="Arial" w:eastAsia="Arial" w:hAnsi="Arial"/>
                <w:sz w:val="18"/>
                <w:szCs w:val="18"/>
                <w:color w:val="auto"/>
                <w:w w:val="88"/>
              </w:rPr>
              <w:t>7,250</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Andrew Gould</w:t>
            </w:r>
          </w:p>
        </w:tc>
        <w:tc>
          <w:tcPr>
            <w:tcW w:w="348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3,873,491</w:t>
            </w:r>
            <w:r>
              <w:rPr>
                <w:rFonts w:ascii="Arial" w:cs="Arial" w:eastAsia="Arial" w:hAnsi="Arial"/>
                <w:sz w:val="15"/>
                <w:szCs w:val="15"/>
                <w:color w:val="auto"/>
              </w:rPr>
              <w:t>(4)</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Tony Isaac</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90"/>
              </w:rPr>
              <w:t>16,500</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(5)</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2,250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Paal Kibsgaard</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89"/>
              </w:rPr>
              <w:t>230,081</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(6)</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8,500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Adrian Lajous</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90"/>
              </w:rPr>
              <w:t>16,482</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(7)</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2860" w:type="dxa"/>
            <w:vAlign w:val="bottom"/>
            <w:shd w:val="clear" w:color="auto" w:fill="CCEEFF"/>
          </w:tcPr>
          <w:p>
            <w:pPr>
              <w:jc w:val="center"/>
              <w:ind w:left="2111"/>
              <w:spacing w:after="0"/>
              <w:rPr>
                <w:sz w:val="20"/>
                <w:szCs w:val="20"/>
                <w:color w:val="auto"/>
              </w:rPr>
            </w:pPr>
            <w:r>
              <w:rPr>
                <w:rFonts w:ascii="Arial" w:cs="Arial" w:eastAsia="Arial" w:hAnsi="Arial"/>
                <w:sz w:val="18"/>
                <w:szCs w:val="18"/>
                <w:color w:val="auto"/>
                <w:w w:val="90"/>
              </w:rPr>
              <w:t>25,550</w:t>
            </w:r>
          </w:p>
        </w:tc>
        <w:tc>
          <w:tcPr>
            <w:tcW w:w="6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(8)</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Elizabeth A. Moler</w:t>
            </w:r>
          </w:p>
        </w:tc>
        <w:tc>
          <w:tcPr>
            <w:tcW w:w="2860" w:type="dxa"/>
            <w:vAlign w:val="bottom"/>
          </w:tcPr>
          <w:p>
            <w:pPr>
              <w:jc w:val="center"/>
              <w:ind w:left="2131"/>
              <w:spacing w:after="0"/>
              <w:rPr>
                <w:sz w:val="20"/>
                <w:szCs w:val="20"/>
                <w:color w:val="auto"/>
              </w:rPr>
            </w:pPr>
            <w:r>
              <w:rPr>
                <w:rFonts w:ascii="Arial" w:cs="Arial" w:eastAsia="Arial" w:hAnsi="Arial"/>
                <w:sz w:val="18"/>
                <w:szCs w:val="18"/>
                <w:color w:val="auto"/>
                <w:w w:val="88"/>
              </w:rPr>
              <w:t>1,313</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Lubna S. Olayan</w:t>
            </w:r>
          </w:p>
        </w:tc>
        <w:tc>
          <w:tcPr>
            <w:tcW w:w="2860" w:type="dxa"/>
            <w:vAlign w:val="bottom"/>
            <w:shd w:val="clear" w:color="auto" w:fill="CCEEFF"/>
          </w:tcPr>
          <w:p>
            <w:pPr>
              <w:jc w:val="center"/>
              <w:ind w:left="2111"/>
              <w:spacing w:after="0"/>
              <w:rPr>
                <w:sz w:val="20"/>
                <w:szCs w:val="20"/>
                <w:color w:val="auto"/>
              </w:rPr>
            </w:pPr>
            <w:r>
              <w:rPr>
                <w:rFonts w:ascii="Arial" w:cs="Arial" w:eastAsia="Arial" w:hAnsi="Arial"/>
                <w:sz w:val="18"/>
                <w:szCs w:val="18"/>
                <w:color w:val="auto"/>
                <w:w w:val="99"/>
              </w:rPr>
              <w:t>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Satish Pai</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89"/>
              </w:rPr>
              <w:t>455,246</w:t>
            </w:r>
          </w:p>
        </w:tc>
        <w:tc>
          <w:tcPr>
            <w:tcW w:w="620" w:type="dxa"/>
            <w:vAlign w:val="bottom"/>
          </w:tcPr>
          <w:p>
            <w:pPr>
              <w:jc w:val="right"/>
              <w:ind w:right="323"/>
              <w:spacing w:after="0"/>
              <w:rPr>
                <w:sz w:val="20"/>
                <w:szCs w:val="20"/>
                <w:color w:val="auto"/>
              </w:rPr>
            </w:pPr>
            <w:r>
              <w:rPr>
                <w:rFonts w:ascii="Arial" w:cs="Arial" w:eastAsia="Arial" w:hAnsi="Arial"/>
                <w:sz w:val="15"/>
                <w:szCs w:val="15"/>
                <w:color w:val="auto"/>
              </w:rPr>
              <w:t>(9)</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2860" w:type="dxa"/>
            <w:vAlign w:val="bottom"/>
            <w:shd w:val="clear" w:color="auto" w:fill="CCEEFF"/>
          </w:tcPr>
          <w:p>
            <w:pPr>
              <w:jc w:val="center"/>
              <w:ind w:left="2131"/>
              <w:spacing w:after="0"/>
              <w:rPr>
                <w:sz w:val="20"/>
                <w:szCs w:val="20"/>
                <w:color w:val="auto"/>
              </w:rPr>
            </w:pPr>
            <w:r>
              <w:rPr>
                <w:rFonts w:ascii="Arial" w:cs="Arial" w:eastAsia="Arial" w:hAnsi="Arial"/>
                <w:sz w:val="18"/>
                <w:szCs w:val="18"/>
                <w:color w:val="auto"/>
                <w:w w:val="88"/>
              </w:rPr>
              <w:t>8,500</w:t>
            </w: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Tore I. Sandvold</w:t>
            </w:r>
          </w:p>
        </w:tc>
        <w:tc>
          <w:tcPr>
            <w:tcW w:w="2860" w:type="dxa"/>
            <w:vAlign w:val="bottom"/>
          </w:tcPr>
          <w:p>
            <w:pPr>
              <w:jc w:val="center"/>
              <w:ind w:left="2111"/>
              <w:spacing w:after="0"/>
              <w:rPr>
                <w:sz w:val="20"/>
                <w:szCs w:val="20"/>
                <w:color w:val="auto"/>
              </w:rPr>
            </w:pPr>
            <w:r>
              <w:rPr>
                <w:rFonts w:ascii="Arial" w:cs="Arial" w:eastAsia="Arial" w:hAnsi="Arial"/>
                <w:sz w:val="18"/>
                <w:szCs w:val="18"/>
                <w:color w:val="auto"/>
                <w:w w:val="90"/>
              </w:rPr>
              <w:t>20,500</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Chakib Sbiti</w:t>
            </w:r>
          </w:p>
        </w:tc>
        <w:tc>
          <w:tcPr>
            <w:tcW w:w="2860" w:type="dxa"/>
            <w:vAlign w:val="bottom"/>
            <w:shd w:val="clear" w:color="auto" w:fill="CCEEFF"/>
          </w:tcPr>
          <w:p>
            <w:pPr>
              <w:jc w:val="center"/>
              <w:ind w:left="2111"/>
              <w:spacing w:after="0"/>
              <w:rPr>
                <w:sz w:val="20"/>
                <w:szCs w:val="20"/>
                <w:color w:val="auto"/>
              </w:rPr>
            </w:pPr>
            <w:r>
              <w:rPr>
                <w:rFonts w:ascii="Arial" w:cs="Arial" w:eastAsia="Arial" w:hAnsi="Arial"/>
                <w:sz w:val="18"/>
                <w:szCs w:val="18"/>
                <w:color w:val="auto"/>
                <w:w w:val="89"/>
              </w:rPr>
              <w:t>769,233</w:t>
            </w:r>
          </w:p>
        </w:tc>
        <w:tc>
          <w:tcPr>
            <w:tcW w:w="6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(10)</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Henri Seydoux</w:t>
            </w:r>
          </w:p>
        </w:tc>
        <w:tc>
          <w:tcPr>
            <w:tcW w:w="2860" w:type="dxa"/>
            <w:vAlign w:val="bottom"/>
          </w:tcPr>
          <w:p>
            <w:pPr>
              <w:jc w:val="center"/>
              <w:ind w:left="2131"/>
              <w:spacing w:after="0"/>
              <w:rPr>
                <w:sz w:val="20"/>
                <w:szCs w:val="20"/>
                <w:color w:val="auto"/>
              </w:rPr>
            </w:pPr>
            <w:r>
              <w:rPr>
                <w:rFonts w:ascii="Arial" w:cs="Arial" w:eastAsia="Arial" w:hAnsi="Arial"/>
                <w:sz w:val="18"/>
                <w:szCs w:val="18"/>
                <w:color w:val="auto"/>
                <w:w w:val="88"/>
              </w:rPr>
              <w:t>4,500</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(27 persons)</w:t>
            </w:r>
          </w:p>
        </w:tc>
        <w:tc>
          <w:tcPr>
            <w:tcW w:w="348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7,243,170</w:t>
            </w:r>
            <w:r>
              <w:rPr>
                <w:rFonts w:ascii="Arial" w:cs="Arial" w:eastAsia="Arial" w:hAnsi="Arial"/>
                <w:sz w:val="15"/>
                <w:szCs w:val="15"/>
                <w:color w:val="auto"/>
              </w:rPr>
              <w:t>(11)</w:t>
            </w:r>
          </w:p>
        </w:tc>
      </w:tr>
    </w:tbl>
    <w:p>
      <w:pPr>
        <w:spacing w:after="0" w:line="134" w:lineRule="exact"/>
        <w:rPr>
          <w:sz w:val="20"/>
          <w:szCs w:val="20"/>
          <w:color w:val="auto"/>
        </w:rPr>
      </w:pPr>
    </w:p>
    <w:p>
      <w:pPr>
        <w:ind w:left="1100" w:hanging="407"/>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options to purchase 365,000 shares.</w:t>
      </w:r>
    </w:p>
    <w:p>
      <w:pPr>
        <w:spacing w:after="0" w:line="63" w:lineRule="exact"/>
        <w:rPr>
          <w:rFonts w:ascii="Arial" w:cs="Arial" w:eastAsia="Arial" w:hAnsi="Arial"/>
          <w:sz w:val="18"/>
          <w:szCs w:val="18"/>
          <w:color w:val="auto"/>
        </w:rPr>
      </w:pPr>
    </w:p>
    <w:p>
      <w:pPr>
        <w:ind w:left="1100" w:hanging="407"/>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options to purchase 237,800 shares.</w:t>
      </w:r>
    </w:p>
    <w:p>
      <w:pPr>
        <w:spacing w:after="0" w:line="63" w:lineRule="exact"/>
        <w:rPr>
          <w:rFonts w:ascii="Arial" w:cs="Arial" w:eastAsia="Arial" w:hAnsi="Arial"/>
          <w:sz w:val="18"/>
          <w:szCs w:val="18"/>
          <w:color w:val="auto"/>
        </w:rPr>
      </w:pPr>
    </w:p>
    <w:p>
      <w:pPr>
        <w:ind w:left="1100" w:right="180" w:hanging="407"/>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Excludes 2,250 shares the receipt of which Mr. Camus has deferred under Schlumberger’s 2004 Stock and Deferral Plan for Non-Employee Directors.</w:t>
      </w:r>
    </w:p>
    <w:p>
      <w:pPr>
        <w:spacing w:after="0" w:line="8" w:lineRule="exact"/>
        <w:rPr>
          <w:rFonts w:ascii="Arial" w:cs="Arial" w:eastAsia="Arial" w:hAnsi="Arial"/>
          <w:sz w:val="18"/>
          <w:szCs w:val="18"/>
          <w:color w:val="auto"/>
        </w:rPr>
      </w:pPr>
    </w:p>
    <w:p>
      <w:pPr>
        <w:ind w:left="1100" w:hanging="407"/>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options to purchase 1,705,033 shares and (ii) 428,908 pledged shares.</w:t>
      </w:r>
    </w:p>
    <w:p>
      <w:pPr>
        <w:spacing w:after="0" w:line="63" w:lineRule="exact"/>
        <w:rPr>
          <w:rFonts w:ascii="Arial" w:cs="Arial" w:eastAsia="Arial" w:hAnsi="Arial"/>
          <w:sz w:val="18"/>
          <w:szCs w:val="18"/>
          <w:color w:val="auto"/>
        </w:rPr>
      </w:pPr>
    </w:p>
    <w:p>
      <w:pPr>
        <w:ind w:left="1100" w:right="320" w:hanging="407"/>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Excludes 5,000 shares the receipt of which Mr. Isaac has deferred under Schlumberger’s 2004 Stock and Deferral Plan for Non-Employee Directors.</w:t>
      </w:r>
    </w:p>
    <w:p>
      <w:pPr>
        <w:spacing w:after="0" w:line="8" w:lineRule="exact"/>
        <w:rPr>
          <w:rFonts w:ascii="Arial" w:cs="Arial" w:eastAsia="Arial" w:hAnsi="Arial"/>
          <w:sz w:val="18"/>
          <w:szCs w:val="18"/>
          <w:color w:val="auto"/>
        </w:rPr>
      </w:pPr>
    </w:p>
    <w:p>
      <w:pPr>
        <w:ind w:left="1100" w:right="620" w:hanging="407"/>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options to purchase 214,400 shares. Effective February 8, 2010, Mr. Kibsgaard became Chief Operating Officer of Schlumberger Limited.</w:t>
      </w:r>
    </w:p>
    <w:p>
      <w:pPr>
        <w:spacing w:after="0" w:line="8" w:lineRule="exact"/>
        <w:rPr>
          <w:rFonts w:ascii="Arial" w:cs="Arial" w:eastAsia="Arial" w:hAnsi="Arial"/>
          <w:sz w:val="18"/>
          <w:szCs w:val="18"/>
          <w:color w:val="auto"/>
        </w:rPr>
      </w:pPr>
    </w:p>
    <w:p>
      <w:pPr>
        <w:ind w:left="1100" w:right="20" w:hanging="407"/>
        <w:spacing w:after="0" w:line="264"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Held through a limited liability company in which Mr. Lajous has an indirect interest. Excludes 10,250 shares the receipt of which Mr. Lajous has deferred under Schlumberger’s 2004 Stock and Deferral Plan for Non-Employee Directors. Includes 16,482 pledged shares.</w:t>
      </w:r>
    </w:p>
    <w:p>
      <w:pPr>
        <w:spacing w:after="0" w:line="19" w:lineRule="exact"/>
        <w:rPr>
          <w:rFonts w:ascii="Arial" w:cs="Arial" w:eastAsia="Arial" w:hAnsi="Arial"/>
          <w:sz w:val="18"/>
          <w:szCs w:val="18"/>
          <w:color w:val="auto"/>
        </w:rPr>
      </w:pPr>
    </w:p>
    <w:p>
      <w:pPr>
        <w:ind w:left="1100" w:right="240" w:hanging="407"/>
        <w:spacing w:after="0" w:line="264"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17,550 shares held by a limited liability company controlled by Mr. Marks and 10,000 shares held in the name of a trust for the benefit of Mr. Marks and his spouse. Excludes 2,000 shares the receipt of which Mr. Marks has deferred under Schlumberger’s 2004 Stock and Deferral Plan for Non-Employee Directors.</w:t>
      </w:r>
    </w:p>
    <w:p>
      <w:pPr>
        <w:spacing w:after="0" w:line="19" w:lineRule="exact"/>
        <w:rPr>
          <w:rFonts w:ascii="Arial" w:cs="Arial" w:eastAsia="Arial" w:hAnsi="Arial"/>
          <w:sz w:val="18"/>
          <w:szCs w:val="18"/>
          <w:color w:val="auto"/>
        </w:rPr>
      </w:pPr>
    </w:p>
    <w:p>
      <w:pPr>
        <w:ind w:left="1100" w:hanging="407"/>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options to purchase 334,000 shares. Also includes 14,281 shares held by children of Mr. Pai.</w:t>
      </w:r>
    </w:p>
    <w:p>
      <w:pPr>
        <w:spacing w:after="0" w:line="63" w:lineRule="exact"/>
        <w:rPr>
          <w:rFonts w:ascii="Arial" w:cs="Arial" w:eastAsia="Arial" w:hAnsi="Arial"/>
          <w:sz w:val="18"/>
          <w:szCs w:val="18"/>
          <w:color w:val="auto"/>
        </w:rPr>
      </w:pPr>
    </w:p>
    <w:p>
      <w:pPr>
        <w:ind w:left="1100" w:right="240" w:hanging="407"/>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options to purchase 390,000 shares. Effective February 8, 2010, Mr. Sbiti became Senior Executive Advisor to the CEO and relinquished his role as Executive Vice President, OFS.</w:t>
      </w:r>
    </w:p>
    <w:p>
      <w:pPr>
        <w:spacing w:after="0" w:line="8" w:lineRule="exact"/>
        <w:rPr>
          <w:rFonts w:ascii="Arial" w:cs="Arial" w:eastAsia="Arial" w:hAnsi="Arial"/>
          <w:sz w:val="18"/>
          <w:szCs w:val="18"/>
          <w:color w:val="auto"/>
        </w:rPr>
      </w:pPr>
    </w:p>
    <w:p>
      <w:pPr>
        <w:ind w:left="1100" w:right="520" w:hanging="407"/>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options to purchase 4,061,367 shares, and excludes 19,500 shares the receipt of which directors have deferred under Schlumberger’s 2004 Stock and Deferral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-3115310</wp:posOffset>
            </wp:positionV>
            <wp:extent cx="814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43"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our possession and on written representations from reporting persons, that with respect to the fiscal year ended December 31, 2010, all of its executive officers and directors filed on a timely basis the reports required to be filed under Section 16(a) of the Exchange Act, except for a late Form 4 that was filed on January 10, 2011 on behalf of Elizabeth Moler to report the issuance of Schlumberger common stock in connection with her appointment as a director.</w:t>
      </w:r>
    </w:p>
    <w:p>
      <w:pPr>
        <w:spacing w:after="0" w:line="20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 for 2012 Annual General Meeting</w:t>
      </w:r>
    </w:p>
    <w:p>
      <w:pPr>
        <w:spacing w:after="0" w:line="243"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 order for a stockholder proposal to be considered for inclusion in the proxy statement for the 2012 annual general meeting of stockholders, written proposals must be received by the Secretary of the Company, 5599 San Felipe, 17th Floor, Houston, Texas 77056, no later than November [ ], 2011.</w:t>
      </w:r>
    </w:p>
    <w:p>
      <w:pPr>
        <w:spacing w:after="0" w:line="8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Pursuant to the rules under the Exchange Act, the Company may use discretionary authority to vote with respect to stockholder proposals presented in person at the 2012 annual general meeting of stockholders if the stockholder making the proposal has not given notice to the Company by January [ ], 2012.</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Matters</w:t>
      </w:r>
    </w:p>
    <w:p>
      <w:pPr>
        <w:spacing w:after="0" w:line="239" w:lineRule="exact"/>
        <w:rPr>
          <w:sz w:val="20"/>
          <w:szCs w:val="20"/>
          <w:color w:val="auto"/>
        </w:rPr>
      </w:pPr>
    </w:p>
    <w:p>
      <w:pPr>
        <w:ind w:left="700" w:right="80" w:firstLine="397"/>
        <w:spacing w:after="0" w:line="282" w:lineRule="auto"/>
        <w:rPr>
          <w:sz w:val="20"/>
          <w:szCs w:val="20"/>
          <w:color w:val="auto"/>
        </w:rPr>
      </w:pPr>
      <w:r>
        <w:rPr>
          <w:rFonts w:ascii="Arial" w:cs="Arial" w:eastAsia="Arial" w:hAnsi="Arial"/>
          <w:sz w:val="18"/>
          <w:szCs w:val="18"/>
          <w:b w:val="1"/>
          <w:bCs w:val="1"/>
          <w:color w:val="auto"/>
        </w:rPr>
        <w:t>Stockholders may obtain a copy of Schlumberger’s most recent Form 10-K filed with the SEC without charge by writing to the Secretary of the Company at 5599 San Felipe, 17th Floor, Houston, Texas 77056.</w:t>
      </w:r>
    </w:p>
    <w:p>
      <w:pPr>
        <w:spacing w:after="0" w:line="7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$13,500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94" w:lineRule="exact"/>
        <w:rPr>
          <w:sz w:val="20"/>
          <w:szCs w:val="20"/>
          <w:color w:val="auto"/>
        </w:rPr>
      </w:pPr>
    </w:p>
    <w:p>
      <w:pPr>
        <w:ind w:left="700" w:right="520" w:firstLine="397"/>
        <w:spacing w:after="0" w:line="342" w:lineRule="auto"/>
        <w:rPr>
          <w:sz w:val="20"/>
          <w:szCs w:val="20"/>
          <w:color w:val="auto"/>
        </w:rPr>
      </w:pPr>
      <w:r>
        <w:rPr>
          <w:rFonts w:ascii="Arial" w:cs="Arial" w:eastAsia="Arial" w:hAnsi="Arial"/>
          <w:sz w:val="16"/>
          <w:szCs w:val="16"/>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92075</wp:posOffset>
            </wp:positionV>
            <wp:extent cx="1294765"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Alexander C. Juden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 ], 2011</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700"/>
        <w:spacing w:after="0"/>
        <w:rPr>
          <w:sz w:val="20"/>
          <w:szCs w:val="20"/>
          <w:color w:val="auto"/>
        </w:rPr>
      </w:pPr>
      <w:r>
        <w:rPr>
          <w:rFonts w:ascii="Arial" w:cs="Arial" w:eastAsia="Arial" w:hAnsi="Arial"/>
          <w:sz w:val="16"/>
          <w:szCs w:val="16"/>
          <w:b w:val="1"/>
          <w:bCs w:val="1"/>
          <w:u w:val="single" w:color="auto"/>
          <w:color w:val="auto"/>
        </w:rPr>
        <w:t>Appendix A</w:t>
      </w:r>
    </w:p>
    <w:p>
      <w:pPr>
        <w:spacing w:after="0" w:line="158" w:lineRule="exact"/>
        <w:rPr>
          <w:sz w:val="20"/>
          <w:szCs w:val="20"/>
          <w:color w:val="auto"/>
        </w:rPr>
      </w:pPr>
    </w:p>
    <w:p>
      <w:pPr>
        <w:jc w:val="both"/>
        <w:ind w:left="9260" w:hanging="6310"/>
        <w:spacing w:after="0" w:line="342" w:lineRule="auto"/>
        <w:rPr>
          <w:sz w:val="20"/>
          <w:szCs w:val="20"/>
          <w:color w:val="auto"/>
        </w:rPr>
      </w:pPr>
      <w:r>
        <w:rPr>
          <w:rFonts w:ascii="Arial" w:cs="Arial" w:eastAsia="Arial" w:hAnsi="Arial"/>
          <w:sz w:val="16"/>
          <w:szCs w:val="16"/>
          <w:color w:val="auto"/>
        </w:rPr>
        <w:t>[As proposed to be amended April 6, 2011. Deletions are marked as stricken text and additions are marked with an underline.]</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ARTICLES OF INCORPORATION OF THE</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CORPORATION WITH LIMITED LIABILITY</w:t>
      </w:r>
    </w:p>
    <w:p>
      <w:pPr>
        <w:spacing w:after="0" w:line="20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SCHLUMBERGER N.V.</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NAME AND DOMICILE</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1.1. The name of the Company is: </w:t>
      </w:r>
      <w:r>
        <w:rPr>
          <w:rFonts w:ascii="Arial" w:cs="Arial" w:eastAsia="Arial" w:hAnsi="Arial"/>
          <w:sz w:val="18"/>
          <w:szCs w:val="18"/>
          <w:u w:val="single" w:color="auto"/>
          <w:color w:val="auto"/>
        </w:rPr>
        <w:t>SCHLUMBERGER N.V.</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1.2. Abroad and in transactions with foreign entities, persons or organizations, the name SCHLUMBERGER LIMITED may be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used.</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1.3. The Company is incorporated in the Netherlands Antilles and has its corporate seat in Curaçao.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-53340</wp:posOffset>
            </wp:positionV>
            <wp:extent cx="21615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61540" cy="8890"/>
                    </a:xfrm>
                    <a:prstGeom prst="rect">
                      <a:avLst/>
                    </a:prstGeom>
                    <a:noFill/>
                  </pic:spPr>
                </pic:pic>
              </a:graphicData>
            </a:graphic>
          </wp:anchor>
        </w:drawing>
      </w:r>
    </w:p>
    <w:p>
      <w:pPr>
        <w:spacing w:after="0" w:line="111" w:lineRule="exact"/>
        <w:rPr>
          <w:sz w:val="20"/>
          <w:szCs w:val="20"/>
          <w:color w:val="auto"/>
        </w:rPr>
      </w:pPr>
    </w:p>
    <w:p>
      <w:pPr>
        <w:jc w:val="both"/>
        <w:ind w:left="700" w:right="100" w:firstLine="397"/>
        <w:spacing w:after="0" w:line="279" w:lineRule="auto"/>
        <w:rPr>
          <w:sz w:val="20"/>
          <w:szCs w:val="20"/>
          <w:color w:val="auto"/>
        </w:rPr>
      </w:pPr>
      <w:r>
        <w:rPr>
          <w:rFonts w:ascii="Arial" w:cs="Arial" w:eastAsia="Arial" w:hAnsi="Arial"/>
          <w:sz w:val="17"/>
          <w:szCs w:val="17"/>
          <w:color w:val="auto"/>
        </w:rPr>
        <w:t xml:space="preserve">1.4. The Board of Directors has the authority to move the corporate seat of the Company to, or to convert the Company into a legal entity under the laws of, another jurisdiction, as, when, and in the manner permitted by </w:t>
      </w:r>
      <w:r>
        <w:rPr>
          <w:rFonts w:ascii="Arial" w:cs="Arial" w:eastAsia="Arial" w:hAnsi="Arial"/>
          <w:sz w:val="17"/>
          <w:szCs w:val="17"/>
          <w:color w:val="auto"/>
          <w:strike w:val="1"/>
        </w:rPr>
        <w:t>the laws of the Netherlands Antilles</w:t>
      </w:r>
      <w:r>
        <w:rPr>
          <w:rFonts w:ascii="Arial" w:cs="Arial" w:eastAsia="Arial" w:hAnsi="Arial"/>
          <w:sz w:val="17"/>
          <w:szCs w:val="17"/>
          <w:u w:val="single" w:color="auto"/>
          <w:color w:val="auto"/>
        </w:rPr>
        <w:t>Curacao law</w:t>
      </w:r>
      <w:r>
        <w:rPr>
          <w:rFonts w:ascii="Arial" w:cs="Arial" w:eastAsia="Arial" w:hAnsi="Arial"/>
          <w:sz w:val="17"/>
          <w:szCs w:val="17"/>
          <w:color w:val="auto"/>
        </w:rPr>
        <w:t xml:space="preserve">. In particular, the Company may change its place of domicile in accordance with the </w:t>
      </w:r>
      <w:r>
        <w:rPr>
          <w:rFonts w:ascii="Arial" w:cs="Arial" w:eastAsia="Arial" w:hAnsi="Arial"/>
          <w:sz w:val="17"/>
          <w:szCs w:val="17"/>
          <w:color w:val="auto"/>
          <w:strike w:val="1"/>
        </w:rPr>
        <w:t>Netherlands Antilles</w:t>
      </w:r>
      <w:r>
        <w:rPr>
          <w:rFonts w:ascii="Arial" w:cs="Arial" w:eastAsia="Arial" w:hAnsi="Arial"/>
          <w:sz w:val="17"/>
          <w:szCs w:val="17"/>
          <w:u w:val="single" w:color="auto"/>
          <w:color w:val="auto"/>
        </w:rPr>
        <w:t>Curacao</w:t>
      </w:r>
      <w:r>
        <w:rPr>
          <w:rFonts w:ascii="Arial" w:cs="Arial" w:eastAsia="Arial" w:hAnsi="Arial"/>
          <w:sz w:val="17"/>
          <w:szCs w:val="17"/>
          <w:color w:val="auto"/>
        </w:rPr>
        <w:t xml:space="preserve"> Ordinance on Transfer of Domicile to Third Countries pursuant to a resolution of the Board of Directors.</w:t>
      </w:r>
    </w:p>
    <w:p>
      <w:pPr>
        <w:spacing w:after="0" w:line="1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OBJECTS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2</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2.1. The objects of the Company are:</w:t>
      </w:r>
    </w:p>
    <w:p>
      <w:pPr>
        <w:spacing w:after="0" w:line="131" w:lineRule="exact"/>
        <w:rPr>
          <w:sz w:val="20"/>
          <w:szCs w:val="20"/>
          <w:color w:val="auto"/>
        </w:rPr>
      </w:pPr>
    </w:p>
    <w:p>
      <w:pPr>
        <w:ind w:left="1080" w:right="80" w:firstLine="391"/>
        <w:spacing w:after="0" w:line="277" w:lineRule="auto"/>
        <w:tabs>
          <w:tab w:leader="none" w:pos="17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spacing w:after="0" w:line="75" w:lineRule="exact"/>
        <w:rPr>
          <w:rFonts w:ascii="Arial" w:cs="Arial" w:eastAsia="Arial" w:hAnsi="Arial"/>
          <w:sz w:val="18"/>
          <w:szCs w:val="18"/>
          <w:color w:val="auto"/>
        </w:rPr>
      </w:pPr>
    </w:p>
    <w:p>
      <w:pPr>
        <w:ind w:left="1080" w:right="100" w:firstLine="391"/>
        <w:spacing w:after="0" w:line="286" w:lineRule="auto"/>
        <w:tabs>
          <w:tab w:leader="none" w:pos="17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70" w:lineRule="exact"/>
        <w:rPr>
          <w:rFonts w:ascii="Arial" w:cs="Arial" w:eastAsia="Arial" w:hAnsi="Arial"/>
          <w:sz w:val="17"/>
          <w:szCs w:val="17"/>
          <w:color w:val="auto"/>
        </w:rPr>
      </w:pPr>
    </w:p>
    <w:p>
      <w:pPr>
        <w:jc w:val="both"/>
        <w:ind w:left="1080" w:right="180" w:firstLine="391"/>
        <w:spacing w:after="0" w:line="279" w:lineRule="auto"/>
        <w:tabs>
          <w:tab w:leader="none" w:pos="17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76" w:lineRule="exact"/>
        <w:rPr>
          <w:rFonts w:ascii="Arial" w:cs="Arial" w:eastAsia="Arial" w:hAnsi="Arial"/>
          <w:sz w:val="17"/>
          <w:szCs w:val="17"/>
          <w:color w:val="auto"/>
        </w:rPr>
      </w:pPr>
    </w:p>
    <w:p>
      <w:pPr>
        <w:ind w:left="1720" w:hanging="249"/>
        <w:spacing w:after="0"/>
        <w:tabs>
          <w:tab w:leader="none" w:pos="1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undertake, conduct, assist, promote or engage in any scientific, technical or business research and development;</w:t>
      </w:r>
    </w:p>
    <w:p>
      <w:pPr>
        <w:spacing w:after="0" w:line="142" w:lineRule="exact"/>
        <w:rPr>
          <w:rFonts w:ascii="Arial" w:cs="Arial" w:eastAsia="Arial" w:hAnsi="Arial"/>
          <w:sz w:val="17"/>
          <w:szCs w:val="17"/>
          <w:color w:val="auto"/>
        </w:rPr>
      </w:pPr>
    </w:p>
    <w:p>
      <w:pPr>
        <w:ind w:left="1080" w:right="100" w:firstLine="391"/>
        <w:spacing w:after="0" w:line="257" w:lineRule="auto"/>
        <w:tabs>
          <w:tab w:leader="none" w:pos="16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93" w:lineRule="exact"/>
        <w:rPr>
          <w:rFonts w:ascii="Arial" w:cs="Arial" w:eastAsia="Arial" w:hAnsi="Arial"/>
          <w:sz w:val="18"/>
          <w:szCs w:val="18"/>
          <w:color w:val="auto"/>
        </w:rPr>
      </w:pPr>
    </w:p>
    <w:p>
      <w:pPr>
        <w:ind w:left="1080" w:right="140" w:firstLine="391"/>
        <w:spacing w:after="0" w:line="277" w:lineRule="auto"/>
        <w:tabs>
          <w:tab w:leader="none" w:pos="17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20"/>
        <w:spacing w:after="0" w:line="277" w:lineRule="auto"/>
        <w:rPr>
          <w:sz w:val="20"/>
          <w:szCs w:val="20"/>
          <w:color w:val="auto"/>
        </w:rPr>
      </w:pPr>
      <w:r>
        <w:rPr>
          <w:rFonts w:ascii="Arial" w:cs="Arial" w:eastAsia="Arial" w:hAnsi="Arial"/>
          <w:sz w:val="18"/>
          <w:szCs w:val="18"/>
          <w:color w:val="auto"/>
        </w:rPr>
        <w:t>the use of industrial, commercial or scientific equipment, and from compensation or other consideration received for technical assistance or services;</w:t>
      </w:r>
    </w:p>
    <w:p>
      <w:pPr>
        <w:spacing w:after="0" w:line="76" w:lineRule="exact"/>
        <w:rPr>
          <w:sz w:val="20"/>
          <w:szCs w:val="20"/>
          <w:color w:val="auto"/>
        </w:rPr>
      </w:pPr>
    </w:p>
    <w:p>
      <w:pPr>
        <w:ind w:left="1080" w:right="320" w:firstLine="391"/>
        <w:spacing w:after="0" w:line="342" w:lineRule="auto"/>
        <w:tabs>
          <w:tab w:leader="none" w:pos="171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9" w:lineRule="exact"/>
        <w:rPr>
          <w:rFonts w:ascii="Arial" w:cs="Arial" w:eastAsia="Arial" w:hAnsi="Arial"/>
          <w:sz w:val="16"/>
          <w:szCs w:val="16"/>
          <w:color w:val="auto"/>
        </w:rPr>
      </w:pPr>
    </w:p>
    <w:p>
      <w:pPr>
        <w:ind w:left="1080" w:right="420" w:firstLine="391"/>
        <w:spacing w:after="0" w:line="312" w:lineRule="auto"/>
        <w:tabs>
          <w:tab w:leader="none" w:pos="16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52" w:lineRule="exact"/>
        <w:rPr>
          <w:rFonts w:ascii="Arial" w:cs="Arial" w:eastAsia="Arial" w:hAnsi="Arial"/>
          <w:sz w:val="16"/>
          <w:szCs w:val="16"/>
          <w:color w:val="auto"/>
        </w:rPr>
      </w:pPr>
    </w:p>
    <w:p>
      <w:pPr>
        <w:ind w:left="1680" w:hanging="209"/>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2.2. The Company is entitled to do all that in any way may be useful or necessary for the attainment of the above objects or that is connected therewith in the widest sense.</w:t>
      </w:r>
    </w:p>
    <w:p>
      <w:pPr>
        <w:spacing w:after="0" w:line="18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DURATION</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3</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Company shall have perpetual existence.</w:t>
      </w:r>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CAPITAL AND SHARES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4</w:t>
      </w:r>
    </w:p>
    <w:p>
      <w:pPr>
        <w:spacing w:after="0" w:line="243"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 xml:space="preserve">4.1. The nominal capital of the Company (nominal capital being defined in the law and in these Articles of Incorporation as the sum of the par values of all of the issued and outstanding shares in the Company’s capital stock at any time) shall not exceed </w:t>
      </w:r>
      <w:r>
        <w:rPr>
          <w:rFonts w:ascii="Arial" w:cs="Arial" w:eastAsia="Arial" w:hAnsi="Arial"/>
          <w:sz w:val="18"/>
          <w:szCs w:val="18"/>
          <w:color w:val="auto"/>
          <w:strike w:val="1"/>
        </w:rPr>
        <w:t>THIRTY-TWO</w:t>
      </w:r>
      <w:r>
        <w:rPr>
          <w:rFonts w:ascii="Arial" w:cs="Arial" w:eastAsia="Arial" w:hAnsi="Arial"/>
          <w:sz w:val="18"/>
          <w:szCs w:val="18"/>
          <w:u w:val="single" w:color="auto"/>
          <w:color w:val="auto"/>
        </w:rPr>
        <w:t>FORTY-SEVEN</w:t>
      </w:r>
      <w:r>
        <w:rPr>
          <w:rFonts w:ascii="Arial" w:cs="Arial" w:eastAsia="Arial" w:hAnsi="Arial"/>
          <w:sz w:val="18"/>
          <w:szCs w:val="18"/>
          <w:color w:val="auto"/>
        </w:rPr>
        <w:t xml:space="preserve"> MILLION UNITED STATES DOLLARS (US$</w:t>
      </w:r>
      <w:r>
        <w:rPr>
          <w:rFonts w:ascii="Arial" w:cs="Arial" w:eastAsia="Arial" w:hAnsi="Arial"/>
          <w:sz w:val="18"/>
          <w:szCs w:val="18"/>
          <w:color w:val="auto"/>
          <w:strike w:val="1"/>
        </w:rPr>
        <w:t>32,000,000</w:t>
      </w:r>
      <w:r>
        <w:rPr>
          <w:rFonts w:ascii="Arial" w:cs="Arial" w:eastAsia="Arial" w:hAnsi="Arial"/>
          <w:sz w:val="18"/>
          <w:szCs w:val="18"/>
          <w:u w:val="single" w:color="auto"/>
          <w:color w:val="auto"/>
        </w:rPr>
        <w:t>47,000,000</w:t>
      </w:r>
      <w:r>
        <w:rPr>
          <w:rFonts w:ascii="Arial" w:cs="Arial" w:eastAsia="Arial" w:hAnsi="Arial"/>
          <w:sz w:val="18"/>
          <w:szCs w:val="18"/>
          <w:color w:val="auto"/>
        </w:rPr>
        <w:t xml:space="preserve">), divided into (a) </w:t>
      </w:r>
      <w:r>
        <w:rPr>
          <w:rFonts w:ascii="Arial" w:cs="Arial" w:eastAsia="Arial" w:hAnsi="Arial"/>
          <w:sz w:val="18"/>
          <w:szCs w:val="18"/>
          <w:color w:val="auto"/>
          <w:strike w:val="1"/>
        </w:rPr>
        <w:t>three</w:t>
      </w:r>
      <w:r>
        <w:rPr>
          <w:rFonts w:ascii="Arial" w:cs="Arial" w:eastAsia="Arial" w:hAnsi="Arial"/>
          <w:sz w:val="18"/>
          <w:szCs w:val="18"/>
          <w:u w:val="single" w:color="auto"/>
          <w:color w:val="auto"/>
        </w:rPr>
        <w:t>four</w:t>
      </w:r>
      <w:r>
        <w:rPr>
          <w:rFonts w:ascii="Arial" w:cs="Arial" w:eastAsia="Arial" w:hAnsi="Arial"/>
          <w:sz w:val="18"/>
          <w:szCs w:val="18"/>
          <w:color w:val="auto"/>
        </w:rPr>
        <w:t xml:space="preserve"> billion </w:t>
      </w:r>
      <w:r>
        <w:rPr>
          <w:rFonts w:ascii="Arial" w:cs="Arial" w:eastAsia="Arial" w:hAnsi="Arial"/>
          <w:sz w:val="18"/>
          <w:szCs w:val="18"/>
          <w:color w:val="auto"/>
          <w:strike w:val="1"/>
        </w:rPr>
        <w:t>(3,000,000,000</w:t>
      </w:r>
      <w:r>
        <w:rPr>
          <w:rFonts w:ascii="Arial" w:cs="Arial" w:eastAsia="Arial" w:hAnsi="Arial"/>
          <w:sz w:val="18"/>
          <w:szCs w:val="18"/>
          <w:u w:val="single" w:color="auto"/>
          <w:color w:val="auto"/>
        </w:rPr>
        <w:t>five-hundred million (4,500,000,000</w:t>
      </w:r>
      <w:r>
        <w:rPr>
          <w:rFonts w:ascii="Arial" w:cs="Arial" w:eastAsia="Arial" w:hAnsi="Arial"/>
          <w:sz w:val="18"/>
          <w:szCs w:val="18"/>
          <w:color w:val="auto"/>
        </w:rPr>
        <w:t>)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100"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4.2. The actual issue of shares shall be effected by way of written instrument signed by the Company and the acquirer or as otherwise permitted by applicable law. The Company cannot issue shares to itself.</w:t>
      </w:r>
    </w:p>
    <w:p>
      <w:pPr>
        <w:spacing w:after="0" w:line="76" w:lineRule="exact"/>
        <w:rPr>
          <w:sz w:val="20"/>
          <w:szCs w:val="20"/>
          <w:color w:val="auto"/>
        </w:rPr>
      </w:pPr>
    </w:p>
    <w:p>
      <w:pPr>
        <w:jc w:val="both"/>
        <w:ind w:left="700" w:right="200" w:firstLine="397"/>
        <w:spacing w:after="0" w:line="259" w:lineRule="auto"/>
        <w:rPr>
          <w:sz w:val="20"/>
          <w:szCs w:val="20"/>
          <w:color w:val="auto"/>
        </w:rPr>
      </w:pPr>
      <w:r>
        <w:rPr>
          <w:rFonts w:ascii="Arial" w:cs="Arial" w:eastAsia="Arial" w:hAnsi="Arial"/>
          <w:sz w:val="18"/>
          <w:szCs w:val="18"/>
          <w:color w:val="auto"/>
        </w:rPr>
        <w:t>4.3. 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92" w:lineRule="exact"/>
        <w:rPr>
          <w:sz w:val="20"/>
          <w:szCs w:val="20"/>
          <w:color w:val="auto"/>
        </w:rPr>
      </w:pPr>
    </w:p>
    <w:p>
      <w:pPr>
        <w:ind w:left="700" w:right="280" w:firstLine="397"/>
        <w:spacing w:after="0" w:line="308" w:lineRule="auto"/>
        <w:rPr>
          <w:sz w:val="20"/>
          <w:szCs w:val="20"/>
          <w:color w:val="auto"/>
        </w:rPr>
      </w:pPr>
      <w:r>
        <w:rPr>
          <w:rFonts w:ascii="Arial" w:cs="Arial" w:eastAsia="Arial" w:hAnsi="Arial"/>
          <w:sz w:val="17"/>
          <w:szCs w:val="17"/>
          <w:color w:val="auto"/>
        </w:rPr>
        <w:t>4.4. With respect to the issuance of shares, options, warrants or rights to purchase or subscribe for shares, the Board of Directors may enter into and conclude agreements without necessity of any action by the general meeting of stockholders:</w:t>
      </w:r>
    </w:p>
    <w:p>
      <w:pPr>
        <w:spacing w:after="0" w:line="5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 imposing special obligations upon the Company in connection with the purchase of or subscription for shares;</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 concerning the issue of shares on a basis other than that on which participation in the Company is open to the public; or</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c. providing for the payment for shares by means other than by legal tender of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4.5. 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4.6. Prior to the issuance of any series of preferred shares, the Board of Directors shall specify:</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 the distinctive designation of such series and the number of preferred shares to constitute such series;</w:t>
      </w:r>
    </w:p>
    <w:p>
      <w:pPr>
        <w:spacing w:after="0" w:line="131" w:lineRule="exact"/>
        <w:rPr>
          <w:sz w:val="20"/>
          <w:szCs w:val="20"/>
          <w:color w:val="auto"/>
        </w:rPr>
      </w:pPr>
    </w:p>
    <w:p>
      <w:pPr>
        <w:ind w:left="1080" w:right="100" w:firstLine="381"/>
        <w:spacing w:after="0" w:line="286" w:lineRule="auto"/>
        <w:rPr>
          <w:sz w:val="20"/>
          <w:szCs w:val="20"/>
          <w:color w:val="auto"/>
        </w:rPr>
      </w:pPr>
      <w:r>
        <w:rPr>
          <w:rFonts w:ascii="Arial" w:cs="Arial" w:eastAsia="Arial" w:hAnsi="Arial"/>
          <w:sz w:val="17"/>
          <w:szCs w:val="17"/>
          <w:color w:val="auto"/>
        </w:rPr>
        <w:t>b. 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71" w:lineRule="exact"/>
        <w:rPr>
          <w:sz w:val="20"/>
          <w:szCs w:val="20"/>
          <w:color w:val="auto"/>
        </w:rPr>
      </w:pPr>
    </w:p>
    <w:p>
      <w:pPr>
        <w:ind w:left="1480" w:right="180" w:firstLine="372"/>
        <w:spacing w:after="0" w:line="279" w:lineRule="auto"/>
        <w:tabs>
          <w:tab w:leader="none" w:pos="21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76" w:lineRule="exact"/>
        <w:rPr>
          <w:rFonts w:ascii="Arial" w:cs="Arial" w:eastAsia="Arial" w:hAnsi="Arial"/>
          <w:sz w:val="17"/>
          <w:szCs w:val="17"/>
          <w:color w:val="auto"/>
        </w:rPr>
      </w:pPr>
    </w:p>
    <w:p>
      <w:pPr>
        <w:jc w:val="both"/>
        <w:ind w:left="1480" w:right="160" w:firstLine="372"/>
        <w:spacing w:after="0" w:line="259" w:lineRule="auto"/>
        <w:tabs>
          <w:tab w:leader="none" w:pos="21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92" w:lineRule="exact"/>
        <w:rPr>
          <w:rFonts w:ascii="Arial" w:cs="Arial" w:eastAsia="Arial" w:hAnsi="Arial"/>
          <w:sz w:val="18"/>
          <w:szCs w:val="18"/>
          <w:color w:val="auto"/>
        </w:rPr>
      </w:pPr>
    </w:p>
    <w:p>
      <w:pPr>
        <w:ind w:left="1640" w:hanging="169"/>
        <w:spacing w:after="0"/>
        <w:tabs>
          <w:tab w:leader="none" w:pos="1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130" w:lineRule="exact"/>
        <w:rPr>
          <w:rFonts w:ascii="Arial" w:cs="Arial" w:eastAsia="Arial" w:hAnsi="Arial"/>
          <w:sz w:val="18"/>
          <w:szCs w:val="18"/>
          <w:color w:val="auto"/>
        </w:rPr>
      </w:pPr>
    </w:p>
    <w:p>
      <w:pPr>
        <w:ind w:left="1080" w:right="280" w:firstLine="391"/>
        <w:spacing w:after="0" w:line="264" w:lineRule="auto"/>
        <w:tabs>
          <w:tab w:leader="none" w:pos="16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86" w:lineRule="exact"/>
        <w:rPr>
          <w:rFonts w:ascii="Arial" w:cs="Arial" w:eastAsia="Arial" w:hAnsi="Arial"/>
          <w:sz w:val="18"/>
          <w:szCs w:val="18"/>
          <w:color w:val="auto"/>
        </w:rPr>
      </w:pPr>
    </w:p>
    <w:p>
      <w:pPr>
        <w:ind w:left="1080" w:right="80" w:firstLine="391"/>
        <w:spacing w:after="0" w:line="257" w:lineRule="auto"/>
        <w:tabs>
          <w:tab w:leader="none" w:pos="16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93" w:lineRule="exact"/>
        <w:rPr>
          <w:rFonts w:ascii="Arial" w:cs="Arial" w:eastAsia="Arial" w:hAnsi="Arial"/>
          <w:sz w:val="18"/>
          <w:szCs w:val="18"/>
          <w:color w:val="auto"/>
        </w:rPr>
      </w:pPr>
    </w:p>
    <w:p>
      <w:pPr>
        <w:ind w:left="1080" w:right="100" w:firstLine="391"/>
        <w:spacing w:after="0" w:line="277" w:lineRule="auto"/>
        <w:tabs>
          <w:tab w:leader="none" w:pos="16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other terms and conditions of such series which are not inconsistent with these Articles of Incorporation or </w:t>
      </w:r>
      <w:r>
        <w:rPr>
          <w:rFonts w:ascii="Arial" w:cs="Arial" w:eastAsia="Arial" w:hAnsi="Arial"/>
          <w:sz w:val="18"/>
          <w:szCs w:val="18"/>
          <w:color w:val="auto"/>
          <w:strike w:val="1"/>
        </w:rPr>
        <w:t>Netherlands</w:t>
      </w:r>
      <w:r>
        <w:rPr>
          <w:rFonts w:ascii="Arial" w:cs="Arial" w:eastAsia="Arial" w:hAnsi="Arial"/>
          <w:sz w:val="18"/>
          <w:szCs w:val="18"/>
          <w:color w:val="auto"/>
        </w:rPr>
        <w:t xml:space="preserve"> </w:t>
      </w:r>
      <w:r>
        <w:rPr>
          <w:rFonts w:ascii="Arial" w:cs="Arial" w:eastAsia="Arial" w:hAnsi="Arial"/>
          <w:sz w:val="18"/>
          <w:szCs w:val="18"/>
          <w:color w:val="auto"/>
          <w:strike w:val="1"/>
        </w:rPr>
        <w:t>Antilles</w:t>
      </w:r>
      <w:r>
        <w:rPr>
          <w:rFonts w:ascii="Arial" w:cs="Arial" w:eastAsia="Arial" w:hAnsi="Arial"/>
          <w:sz w:val="18"/>
          <w:szCs w:val="18"/>
          <w:u w:val="single" w:color="auto"/>
          <w:color w:val="auto"/>
        </w:rPr>
        <w:t>Curacao</w:t>
      </w:r>
      <w:r>
        <w:rPr>
          <w:rFonts w:ascii="Arial" w:cs="Arial" w:eastAsia="Arial" w:hAnsi="Arial"/>
          <w:sz w:val="18"/>
          <w:szCs w:val="18"/>
          <w:color w:val="auto"/>
        </w:rPr>
        <w:t xml:space="preserve"> law.</w:t>
      </w:r>
    </w:p>
    <w:p>
      <w:pPr>
        <w:spacing w:after="0" w:line="76"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4.7. Certificates for preferred shares may be issued bearing a legend describing the terms and conditions thereof specified by the Board of Directors.</w:t>
      </w:r>
    </w:p>
    <w:p>
      <w:pPr>
        <w:spacing w:after="0" w:line="76"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4.8. 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94"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4.9. 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92" w:lineRule="exact"/>
        <w:rPr>
          <w:sz w:val="20"/>
          <w:szCs w:val="20"/>
          <w:color w:val="auto"/>
        </w:rPr>
      </w:pPr>
    </w:p>
    <w:p>
      <w:pPr>
        <w:ind w:left="5520" w:right="4640" w:hanging="4049"/>
        <w:spacing w:after="0" w:line="945" w:lineRule="auto"/>
        <w:tabs>
          <w:tab w:leader="none" w:pos="1729"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amount paid for such preferred shares on issuance, plus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 all accumulated and unpaid dividends on such preferred shares to the date fixed for distribution.</w:t>
      </w:r>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5</w:t>
      </w:r>
    </w:p>
    <w:p>
      <w:pPr>
        <w:spacing w:after="0" w:line="24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19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6</w:t>
      </w:r>
    </w:p>
    <w:p>
      <w:pPr>
        <w:spacing w:after="0" w:line="243"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 xml:space="preserve">6.1. The Company may, for its own account and for valuable consideration, from time to time acquire fully paid shares of its stock, on such terms and conditions as the Board of Directors may determine, provided that at least one (1) common share remains outstanding with others than the Company and provided further that to the extent required by applicable law (x) the equity (as referred to in article 2:114.2 in conjunction with articles 2:118.7 and 2:118.5 of the </w:t>
      </w:r>
      <w:r>
        <w:rPr>
          <w:rFonts w:ascii="Arial" w:cs="Arial" w:eastAsia="Arial" w:hAnsi="Arial"/>
          <w:sz w:val="17"/>
          <w:szCs w:val="17"/>
          <w:color w:val="auto"/>
          <w:strike w:val="1"/>
        </w:rPr>
        <w:t>Netherlands Antilles</w:t>
      </w:r>
      <w:r>
        <w:rPr>
          <w:rFonts w:ascii="Arial" w:cs="Arial" w:eastAsia="Arial" w:hAnsi="Arial"/>
          <w:sz w:val="17"/>
          <w:szCs w:val="17"/>
          <w:u w:val="single" w:color="auto"/>
          <w:color w:val="auto"/>
        </w:rPr>
        <w:t>Curacao</w:t>
      </w:r>
      <w:r>
        <w:rPr>
          <w:rFonts w:ascii="Arial" w:cs="Arial" w:eastAsia="Arial" w:hAnsi="Arial"/>
          <w:sz w:val="17"/>
          <w:szCs w:val="17"/>
          <w:color w:val="auto"/>
        </w:rPr>
        <w:t xml:space="preserve"> Civil Code (“</w:t>
      </w:r>
      <w:r>
        <w:rPr>
          <w:rFonts w:ascii="Arial" w:cs="Arial" w:eastAsia="Arial" w:hAnsi="Arial"/>
          <w:sz w:val="17"/>
          <w:szCs w:val="17"/>
          <w:color w:val="auto"/>
          <w:strike w:val="1"/>
        </w:rPr>
        <w:t>NACC</w:t>
      </w:r>
      <w:r>
        <w:rPr>
          <w:rFonts w:ascii="Arial" w:cs="Arial" w:eastAsia="Arial" w:hAnsi="Arial"/>
          <w:sz w:val="17"/>
          <w:szCs w:val="17"/>
          <w:u w:val="single" w:color="auto"/>
          <w:color w:val="auto"/>
        </w:rPr>
        <w:t>CC</w:t>
      </w:r>
      <w:r>
        <w:rPr>
          <w:rFonts w:ascii="Arial" w:cs="Arial" w:eastAsia="Arial" w:hAnsi="Arial"/>
          <w:sz w:val="17"/>
          <w:szCs w:val="17"/>
          <w:color w:val="auto"/>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83"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7"/>
          <w:szCs w:val="17"/>
          <w:color w:val="auto"/>
        </w:rPr>
        <w:t>6.2. 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7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6.3. Shares of its stock owned by the Company may be sold at such times, under such conditions and for such consideration as may be determined from time to time by the Board of Directors.</w:t>
      </w:r>
    </w:p>
    <w:p>
      <w:pPr>
        <w:spacing w:after="0" w:line="18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7</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7.1. The shares shall be in registered form.</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7.2. Share certificates for common shares may be issued at the request of the stockholder.</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 xml:space="preserve">7.3. 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stockholder, his address, the number of shares held and the numbers of the share certificates, if any, representing such shares and such other information required to be included under Article 2:109 </w:t>
      </w:r>
      <w:r>
        <w:rPr>
          <w:rFonts w:ascii="Arial" w:cs="Arial" w:eastAsia="Arial" w:hAnsi="Arial"/>
          <w:sz w:val="18"/>
          <w:szCs w:val="18"/>
          <w:color w:val="auto"/>
          <w:strike w:val="1"/>
        </w:rPr>
        <w:t>NACC</w:t>
      </w:r>
      <w:r>
        <w:rPr>
          <w:rFonts w:ascii="Arial" w:cs="Arial" w:eastAsia="Arial" w:hAnsi="Arial"/>
          <w:sz w:val="18"/>
          <w:szCs w:val="18"/>
          <w:u w:val="single" w:color="auto"/>
          <w:color w:val="auto"/>
        </w:rPr>
        <w:t>CC</w:t>
      </w:r>
      <w:r>
        <w:rPr>
          <w:rFonts w:ascii="Arial" w:cs="Arial" w:eastAsia="Arial" w:hAnsi="Arial"/>
          <w:sz w:val="18"/>
          <w:szCs w:val="18"/>
          <w:color w:val="auto"/>
        </w:rPr>
        <w:t xml:space="preserve">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address to the Company in writing.</w:t>
      </w:r>
    </w:p>
    <w:p>
      <w:pPr>
        <w:spacing w:after="0" w:line="103"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7.4. Every transfer and devolution of a share shall be entered in the Register and every such entry shall be signed or otherwise acknowledged by or on behalf of the Board of Directors or by the Registrar.</w:t>
      </w:r>
    </w:p>
    <w:p>
      <w:pPr>
        <w:spacing w:after="0" w:line="76"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7.5. The transfer of shares shall be effected by way of a written instrument of transfer (“deed of transfer”)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w:t>
      </w:r>
    </w:p>
    <w:p>
      <w:pPr>
        <w:spacing w:after="0" w:line="3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 xml:space="preserve">applicable law (Article 2:110.2 </w:t>
      </w:r>
      <w:r>
        <w:rPr>
          <w:rFonts w:ascii="Arial" w:cs="Arial" w:eastAsia="Arial" w:hAnsi="Arial"/>
          <w:sz w:val="18"/>
          <w:szCs w:val="18"/>
          <w:color w:val="auto"/>
          <w:strike w:val="1"/>
        </w:rPr>
        <w:t>NACC</w:t>
      </w:r>
      <w:r>
        <w:rPr>
          <w:rFonts w:ascii="Arial" w:cs="Arial" w:eastAsia="Arial" w:hAnsi="Arial"/>
          <w:sz w:val="18"/>
          <w:szCs w:val="18"/>
          <w:u w:val="single" w:color="auto"/>
          <w:color w:val="auto"/>
        </w:rPr>
        <w:t>CC</w:t>
      </w:r>
      <w:r>
        <w:rPr>
          <w:rFonts w:ascii="Arial" w:cs="Arial" w:eastAsia="Arial" w:hAnsi="Arial"/>
          <w:sz w:val="18"/>
          <w:szCs w:val="18"/>
          <w:color w:val="auto"/>
        </w:rPr>
        <w:t>). The transfer of shares listed on a stock exchange may also be effected in accordance with the trading system applied by such exchange.</w:t>
      </w:r>
    </w:p>
    <w:p>
      <w:pPr>
        <w:spacing w:after="0" w:line="7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7.6. Shares may be pledged by the holder thereof and a usufruct on shares can be granted, provided that, regardless of the terms of such pledge or usufruct, the Company will not be under the obligation to honor voting rights or rights of distribution of the usufructee or pledgee and provided further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7.7. The provisions of the preceding paragraphs shall also apply in the event of a division of joint ownership.</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7.8. If any stockholder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MANAGEMENT</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8</w:t>
      </w:r>
    </w:p>
    <w:p>
      <w:pPr>
        <w:spacing w:after="0" w:line="243" w:lineRule="exact"/>
        <w:rPr>
          <w:sz w:val="20"/>
          <w:szCs w:val="20"/>
          <w:color w:val="auto"/>
        </w:rPr>
      </w:pPr>
    </w:p>
    <w:p>
      <w:pPr>
        <w:ind w:left="700" w:right="320" w:firstLine="397"/>
        <w:spacing w:after="0" w:line="264" w:lineRule="auto"/>
        <w:rPr>
          <w:sz w:val="20"/>
          <w:szCs w:val="20"/>
          <w:color w:val="auto"/>
        </w:rPr>
      </w:pPr>
      <w:r>
        <w:rPr>
          <w:rFonts w:ascii="Arial" w:cs="Arial" w:eastAsia="Arial" w:hAnsi="Arial"/>
          <w:sz w:val="18"/>
          <w:szCs w:val="18"/>
          <w:color w:val="auto"/>
        </w:rPr>
        <w:t>8.1. 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87"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8.2. 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6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8.3. The directors shall be elected at a general meeting of stockholders by a majority of votes cast, in person or by proxy, by the stockholders entitled to vote</w:t>
      </w:r>
      <w:r>
        <w:rPr>
          <w:rFonts w:ascii="Arial" w:cs="Arial" w:eastAsia="Arial" w:hAnsi="Arial"/>
          <w:sz w:val="16"/>
          <w:szCs w:val="16"/>
          <w:u w:val="single" w:color="auto"/>
          <w:color w:val="auto"/>
        </w:rPr>
        <w:t>; provided, that if as of a date that is five (5) business days in advance of the date the Company files 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definitive proxy statement (regardless of whether thereafter revised or supplemented) with the United States Securities and Exchange Commission, the number of nominees exceeds the number of directors to be elected, a number of directors not exceeding the authorized number of directors as fixed in accordance with these Articles of Incorporation, shall be elected by a plurality of the voting power of the shares represented in person or by proxy at any such meeting and entitled to vote on the election of directors. For purposes of this Section 8.3, a majority of the votes cast means that the number of votes cast “for” a director must exceed the number of votes cast “against” that director</w:t>
      </w:r>
      <w:r>
        <w:rPr>
          <w:rFonts w:ascii="Arial" w:cs="Arial" w:eastAsia="Arial" w:hAnsi="Arial"/>
          <w:sz w:val="16"/>
          <w:szCs w:val="16"/>
          <w:color w:val="auto"/>
        </w:rPr>
        <w:t>. The Board of Directors shall be authorized to appoint directors to fill any vacancies on the Board of Directors, any such appointment to be effective until the next general meeting of stockholders. The number of persons constituting the whole Board of Directors shall be not less than five (5) nor more than twenty-four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w:t>
      </w:r>
    </w:p>
    <w:p>
      <w:pPr>
        <w:spacing w:after="0" w:line="36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77" w:lineRule="auto"/>
        <w:rPr>
          <w:sz w:val="20"/>
          <w:szCs w:val="20"/>
          <w:color w:val="auto"/>
        </w:rPr>
      </w:pPr>
      <w:r>
        <w:rPr>
          <w:rFonts w:ascii="Arial" w:cs="Arial" w:eastAsia="Arial" w:hAnsi="Arial"/>
          <w:sz w:val="18"/>
          <w:szCs w:val="18"/>
          <w:color w:val="auto"/>
        </w:rPr>
        <w:t>increase the number of the whole Board of Directors or to suspend or dismiss a director, or at any subsequent general meeting, the stockholders may fill any vacancy or vacancies created by such action.</w:t>
      </w:r>
    </w:p>
    <w:p>
      <w:pPr>
        <w:spacing w:after="0" w:line="76"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8.4. Each director shall be elected to serve until the next annual general meeting of stockholders and until his successor shall be elected and qualify, or until his death, resignation or removal.</w:t>
      </w:r>
    </w:p>
    <w:p>
      <w:pPr>
        <w:spacing w:after="0" w:line="76"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 xml:space="preserve">8.5. Directors need not be </w:t>
      </w:r>
      <w:r>
        <w:rPr>
          <w:rFonts w:ascii="Arial" w:cs="Arial" w:eastAsia="Arial" w:hAnsi="Arial"/>
          <w:sz w:val="18"/>
          <w:szCs w:val="18"/>
          <w:color w:val="auto"/>
          <w:strike w:val="1"/>
        </w:rPr>
        <w:t>Netherlands Antilles citizens or</w:t>
      </w:r>
      <w:r>
        <w:rPr>
          <w:rFonts w:ascii="Arial" w:cs="Arial" w:eastAsia="Arial" w:hAnsi="Arial"/>
          <w:sz w:val="18"/>
          <w:szCs w:val="18"/>
          <w:color w:val="auto"/>
        </w:rPr>
        <w:t xml:space="preserve"> residents of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 xml:space="preserve"> or stockholders of the Company.</w:t>
      </w:r>
    </w:p>
    <w:p>
      <w:pPr>
        <w:spacing w:after="0" w:line="76"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8.6. 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85"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8.7. 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8.8. Meetings of the Board of Directors may be held in or outside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w:t>
      </w:r>
    </w:p>
    <w:p>
      <w:pPr>
        <w:spacing w:after="0" w:line="131"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8.9.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71"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92"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8.11. When action by the Board of Directors is required or permitted to be taken, action at a meeting may be dispensed with if all commercially reasonable efforts have been taken to notify all the directors and if three-fourths of the directors shall consent in writing, by telegram, telefax, electronic mail or other communication device to such action taken or being taken, and provided further that all directors are promptly notified of such action being taken or having been taken.</w:t>
      </w:r>
    </w:p>
    <w:p>
      <w:pPr>
        <w:spacing w:after="0" w:line="1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9</w:t>
      </w:r>
    </w:p>
    <w:p>
      <w:pPr>
        <w:spacing w:after="0" w:line="243"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9.1. The Board of Directors shall at least annually elect or appoint the following officers: a Chairman, a Chief Executive Officer, a Secretary and a Treasurer, each to serve until his successor is elected and qualified or until his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w:t>
      </w: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acknowledged or verified by two or more officers. The Chairman and the Vice Chairman, if any, shall be chosen from among the Board of Directors, but the other officers of the Company need not be members of the Board of Directors.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9.2. The Company shall be represented at law and otherwise, and shall be bound with respect to third parties, by the Board of</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Directors and by:</w:t>
      </w:r>
    </w:p>
    <w:p>
      <w:pPr>
        <w:spacing w:after="0" w:line="116" w:lineRule="exact"/>
        <w:rPr>
          <w:sz w:val="20"/>
          <w:szCs w:val="20"/>
          <w:color w:val="auto"/>
        </w:rPr>
      </w:pPr>
    </w:p>
    <w:p>
      <w:pPr>
        <w:ind w:left="1080" w:right="240" w:firstLine="391"/>
        <w:spacing w:after="0" w:line="277" w:lineRule="auto"/>
        <w:tabs>
          <w:tab w:leader="none" w:pos="17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2060" w:hanging="208"/>
        <w:spacing w:after="0"/>
        <w:tabs>
          <w:tab w:leader="none" w:pos="2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130" w:lineRule="exact"/>
        <w:rPr>
          <w:rFonts w:ascii="Arial" w:cs="Arial" w:eastAsia="Arial" w:hAnsi="Arial"/>
          <w:sz w:val="18"/>
          <w:szCs w:val="18"/>
          <w:color w:val="auto"/>
        </w:rPr>
      </w:pPr>
    </w:p>
    <w:p>
      <w:pPr>
        <w:ind w:left="2120" w:hanging="268"/>
        <w:spacing w:after="0"/>
        <w:tabs>
          <w:tab w:leader="none" w:pos="2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130" w:lineRule="exact"/>
        <w:rPr>
          <w:rFonts w:ascii="Arial" w:cs="Arial" w:eastAsia="Arial" w:hAnsi="Arial"/>
          <w:sz w:val="18"/>
          <w:szCs w:val="18"/>
          <w:color w:val="auto"/>
        </w:rPr>
      </w:pPr>
    </w:p>
    <w:p>
      <w:pPr>
        <w:ind w:left="1080" w:right="180" w:firstLine="391"/>
        <w:spacing w:after="0" w:line="277" w:lineRule="auto"/>
        <w:tabs>
          <w:tab w:leader="none" w:pos="1716"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President;</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Controller;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117" w:lineRule="exact"/>
        <w:rPr>
          <w:rFonts w:ascii="Arial" w:cs="Arial" w:eastAsia="Arial" w:hAnsi="Arial"/>
          <w:sz w:val="18"/>
          <w:szCs w:val="18"/>
          <w:color w:val="auto"/>
        </w:rPr>
      </w:pPr>
    </w:p>
    <w:p>
      <w:pPr>
        <w:ind w:left="2480" w:hanging="491"/>
        <w:spacing w:after="0"/>
        <w:tabs>
          <w:tab w:leader="none" w:pos="2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Secretary.</w:t>
      </w:r>
    </w:p>
    <w:p>
      <w:pPr>
        <w:spacing w:after="0" w:line="131" w:lineRule="exact"/>
        <w:rPr>
          <w:sz w:val="20"/>
          <w:szCs w:val="20"/>
          <w:color w:val="auto"/>
        </w:rPr>
      </w:pPr>
    </w:p>
    <w:p>
      <w:pPr>
        <w:ind w:left="700" w:right="200" w:firstLine="397"/>
        <w:spacing w:after="0" w:line="342" w:lineRule="auto"/>
        <w:rPr>
          <w:sz w:val="20"/>
          <w:szCs w:val="20"/>
          <w:color w:val="auto"/>
        </w:rPr>
      </w:pPr>
      <w:r>
        <w:rPr>
          <w:rFonts w:ascii="Arial" w:cs="Arial" w:eastAsia="Arial" w:hAnsi="Arial"/>
          <w:sz w:val="16"/>
          <w:szCs w:val="16"/>
          <w:color w:val="auto"/>
        </w:rPr>
        <w:t>9.3. 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29"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9.4. 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9.5. 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87"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9.6. The Board of Directors may grant general or specific authority to additional agents or to committees, giving such agents or committees such general or limited powers or duties as it may deem appropriate.</w:t>
      </w:r>
    </w:p>
    <w:p>
      <w:pPr>
        <w:spacing w:after="0" w:line="76"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9.7. In the event of a conflict of interest between the Company and one or more directors, the Company shall be represented as determined from time to time by the Board of Directors.</w:t>
      </w:r>
    </w:p>
    <w:p>
      <w:pPr>
        <w:spacing w:after="0" w:line="76"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9.8. 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60"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9.9. The directors, the holders of the above-mentioned offices and other persons authorized by the Board of Directors to represent the Company shall receive such compensation as the Board of Directors may from time to time prescribe.</w:t>
      </w: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10</w:t>
      </w:r>
    </w:p>
    <w:p>
      <w:pPr>
        <w:spacing w:after="0" w:line="243"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30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77"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10.3. To the extent that a present or former director or officer of the Company has been successful on the merits or otherwise in defense of any action, suit or proceeding referred to in paragraphs 1 and 2 of this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Article, or in defense of any claim, issue or matter therein, such person shall be indemnified against expenses (including attorneys’ fees) actually and reasonably incurred by such person in connection therewith.</w:t>
      </w:r>
    </w:p>
    <w:p>
      <w:pPr>
        <w:spacing w:after="0" w:line="76"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52"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99"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99"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78"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8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9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MEETINGS OF STOCKHOLDERS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11</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11.1. All general meetings of stockholders shall be held in Curaçao or anywhere else in the Netherlands Antilles.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-53340</wp:posOffset>
            </wp:positionV>
            <wp:extent cx="20599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9940" cy="8890"/>
                    </a:xfrm>
                    <a:prstGeom prst="rect">
                      <a:avLst/>
                    </a:prstGeom>
                    <a:noFill/>
                  </pic:spPr>
                </pic:pic>
              </a:graphicData>
            </a:graphic>
          </wp:anchor>
        </w:drawing>
      </w:r>
    </w:p>
    <w:p>
      <w:pPr>
        <w:spacing w:after="0" w:line="39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11.2. 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33"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 xml:space="preserve">11.3. 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2:129 </w:t>
      </w:r>
      <w:r>
        <w:rPr>
          <w:rFonts w:ascii="Arial" w:cs="Arial" w:eastAsia="Arial" w:hAnsi="Arial"/>
          <w:sz w:val="17"/>
          <w:szCs w:val="17"/>
          <w:color w:val="auto"/>
          <w:strike w:val="1"/>
        </w:rPr>
        <w:t>NACC</w:t>
      </w:r>
      <w:r>
        <w:rPr>
          <w:rFonts w:ascii="Arial" w:cs="Arial" w:eastAsia="Arial" w:hAnsi="Arial"/>
          <w:sz w:val="17"/>
          <w:szCs w:val="17"/>
          <w:u w:val="single" w:color="auto"/>
          <w:color w:val="auto"/>
        </w:rPr>
        <w:t>CC</w:t>
      </w:r>
      <w:r>
        <w:rPr>
          <w:rFonts w:ascii="Arial" w:cs="Arial" w:eastAsia="Arial" w:hAnsi="Arial"/>
          <w:sz w:val="17"/>
          <w:szCs w:val="17"/>
          <w:color w:val="auto"/>
        </w:rPr>
        <w:t>, or by one or more holders of shares representing in the aggregate a majority of the shares then outstanding, or as provided for in Article 8.6.</w:t>
      </w:r>
    </w:p>
    <w:p>
      <w:pPr>
        <w:spacing w:after="0" w:line="3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11.4. Notice of meetings of stockholders, whether annual general meetings or special general meetings, stating the time and place of the meeting, shall be given to the stockholders not less than twenty (20) or more than sixty (60) days prior to the date of the meeting in question by notice to each stockholder at the address thereof appearing in the Register.</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11.5. All notices of general meetings of stockholders shall state the matters to be considered at the meeting.</w:t>
      </w:r>
    </w:p>
    <w:p>
      <w:pPr>
        <w:spacing w:after="0" w:line="10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11.6. 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46" w:lineRule="exact"/>
        <w:rPr>
          <w:sz w:val="20"/>
          <w:szCs w:val="20"/>
          <w:color w:val="auto"/>
        </w:rPr>
      </w:pPr>
    </w:p>
    <w:p>
      <w:pPr>
        <w:ind w:left="700" w:right="120" w:firstLine="397"/>
        <w:spacing w:after="0" w:line="293" w:lineRule="auto"/>
        <w:rPr>
          <w:sz w:val="20"/>
          <w:szCs w:val="20"/>
          <w:color w:val="auto"/>
        </w:rPr>
      </w:pPr>
      <w:r>
        <w:rPr>
          <w:rFonts w:ascii="Arial" w:cs="Arial" w:eastAsia="Arial" w:hAnsi="Arial"/>
          <w:sz w:val="16"/>
          <w:szCs w:val="16"/>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30" w:lineRule="exact"/>
        <w:rPr>
          <w:sz w:val="20"/>
          <w:szCs w:val="20"/>
          <w:color w:val="auto"/>
        </w:rPr>
      </w:pPr>
    </w:p>
    <w:p>
      <w:pPr>
        <w:ind w:left="700" w:right="260" w:firstLine="397"/>
        <w:spacing w:after="0" w:line="342" w:lineRule="auto"/>
        <w:rPr>
          <w:sz w:val="20"/>
          <w:szCs w:val="20"/>
          <w:color w:val="auto"/>
        </w:rPr>
      </w:pPr>
      <w:r>
        <w:rPr>
          <w:rFonts w:ascii="Arial" w:cs="Arial" w:eastAsia="Arial" w:hAnsi="Arial"/>
          <w:sz w:val="16"/>
          <w:szCs w:val="16"/>
          <w:color w:val="auto"/>
        </w:rPr>
        <w:t>11.8. For purposes of these Articles of Incorporation, “electronic transmission” means any form of communication, not directly involving the physical transmission of paper, that creates a record that may be retained, retrieved, and reviewed by a recipient thereof.</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12</w:t>
      </w:r>
    </w:p>
    <w:p>
      <w:pPr>
        <w:spacing w:after="0" w:line="243" w:lineRule="exact"/>
        <w:rPr>
          <w:sz w:val="20"/>
          <w:szCs w:val="20"/>
          <w:color w:val="auto"/>
        </w:rPr>
      </w:pPr>
    </w:p>
    <w:p>
      <w:pPr>
        <w:jc w:val="both"/>
        <w:ind w:left="700" w:right="140" w:firstLine="397"/>
        <w:spacing w:after="0" w:line="312" w:lineRule="auto"/>
        <w:rPr>
          <w:sz w:val="20"/>
          <w:szCs w:val="20"/>
          <w:color w:val="auto"/>
        </w:rPr>
      </w:pPr>
      <w:r>
        <w:rPr>
          <w:rFonts w:ascii="Arial" w:cs="Arial" w:eastAsia="Arial" w:hAnsi="Arial"/>
          <w:sz w:val="16"/>
          <w:szCs w:val="16"/>
          <w:color w:val="auto"/>
        </w:rPr>
        <w:t>12.1. Every stockholder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2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12.2. Each holder of common shares and each holder of preferred shares shall be entitled to one vote for each common share or preferred share held.</w:t>
      </w:r>
    </w:p>
    <w:p>
      <w:pPr>
        <w:spacing w:after="0" w:line="35" w:lineRule="exact"/>
        <w:rPr>
          <w:sz w:val="20"/>
          <w:szCs w:val="20"/>
          <w:color w:val="auto"/>
        </w:rPr>
      </w:pPr>
    </w:p>
    <w:p>
      <w:pPr>
        <w:ind w:left="700" w:right="120" w:firstLine="397"/>
        <w:spacing w:after="0" w:line="284" w:lineRule="auto"/>
        <w:rPr>
          <w:sz w:val="20"/>
          <w:szCs w:val="20"/>
          <w:color w:val="auto"/>
        </w:rPr>
      </w:pPr>
      <w:r>
        <w:rPr>
          <w:rFonts w:ascii="Arial" w:cs="Arial" w:eastAsia="Arial" w:hAnsi="Arial"/>
          <w:sz w:val="16"/>
          <w:szCs w:val="16"/>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w:t>
      </w:r>
    </w:p>
    <w:p>
      <w:pPr>
        <w:spacing w:after="0" w:line="5" w:lineRule="exact"/>
        <w:rPr>
          <w:sz w:val="20"/>
          <w:szCs w:val="20"/>
          <w:color w:val="auto"/>
        </w:rPr>
      </w:pPr>
    </w:p>
    <w:p>
      <w:pPr>
        <w:ind w:left="700" w:right="120" w:hanging="7"/>
        <w:spacing w:after="0" w:line="255" w:lineRule="auto"/>
        <w:tabs>
          <w:tab w:leader="none" w:pos="10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days immediately preceding such meeting. In lieu of closing the stock transfer books, the Board of Directors may fix in advance a date as the record date for any such determination of stockholders, such date in any case to be not more than sixty (60) days and, in case of a</w:t>
      </w:r>
    </w:p>
    <w:p>
      <w:pPr>
        <w:spacing w:after="0" w:line="36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4" w:lineRule="auto"/>
        <w:rPr>
          <w:sz w:val="20"/>
          <w:szCs w:val="20"/>
          <w:color w:val="auto"/>
        </w:rPr>
      </w:pPr>
      <w:r>
        <w:rPr>
          <w:rFonts w:ascii="Arial" w:cs="Arial" w:eastAsia="Arial" w:hAnsi="Arial"/>
          <w:sz w:val="18"/>
          <w:szCs w:val="18"/>
          <w:color w:val="auto"/>
        </w:rPr>
        <w:t>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0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13</w:t>
      </w:r>
    </w:p>
    <w:p>
      <w:pPr>
        <w:spacing w:after="0" w:line="243"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60" w:lineRule="exact"/>
        <w:rPr>
          <w:sz w:val="20"/>
          <w:szCs w:val="20"/>
          <w:color w:val="auto"/>
        </w:rPr>
      </w:pPr>
    </w:p>
    <w:p>
      <w:pPr>
        <w:ind w:left="700" w:right="60" w:firstLine="397"/>
        <w:spacing w:after="0" w:line="276" w:lineRule="auto"/>
        <w:rPr>
          <w:sz w:val="20"/>
          <w:szCs w:val="20"/>
          <w:color w:val="auto"/>
        </w:rPr>
      </w:pPr>
      <w:r>
        <w:rPr>
          <w:rFonts w:ascii="Arial" w:cs="Arial" w:eastAsia="Arial" w:hAnsi="Arial"/>
          <w:sz w:val="17"/>
          <w:szCs w:val="17"/>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37" w:lineRule="exact"/>
        <w:rPr>
          <w:sz w:val="20"/>
          <w:szCs w:val="20"/>
          <w:color w:val="auto"/>
        </w:rPr>
      </w:pPr>
    </w:p>
    <w:p>
      <w:pPr>
        <w:ind w:left="700" w:right="880" w:firstLine="397"/>
        <w:spacing w:after="0" w:line="277"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104"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46"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13.6. 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SEPARATE MEETINGS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14</w:t>
      </w:r>
    </w:p>
    <w:p>
      <w:pPr>
        <w:spacing w:after="0" w:line="243"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14.1. Separate meetings of holders of each series of preferred shares (each a “Series Meeting”) can be held and may be convened by any two or more members of the Board of Directors.</w:t>
      </w:r>
    </w:p>
    <w:p>
      <w:pPr>
        <w:spacing w:after="0" w:line="35"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49"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 xml:space="preserve">14.4. The Series Meetings do not have to be held in </w:t>
      </w:r>
      <w:r>
        <w:rPr>
          <w:rFonts w:ascii="Arial" w:cs="Arial" w:eastAsia="Arial" w:hAnsi="Arial"/>
          <w:sz w:val="18"/>
          <w:szCs w:val="18"/>
          <w:color w:val="auto"/>
          <w:strike w:val="1"/>
        </w:rPr>
        <w:t>the Netherlands Antilles</w:t>
      </w:r>
      <w:r>
        <w:rPr>
          <w:rFonts w:ascii="Arial" w:cs="Arial" w:eastAsia="Arial" w:hAnsi="Arial"/>
          <w:sz w:val="18"/>
          <w:szCs w:val="18"/>
          <w:u w:val="single" w:color="auto"/>
          <w:color w:val="auto"/>
        </w:rPr>
        <w:t>Curacao</w:t>
      </w:r>
      <w:r>
        <w:rPr>
          <w:rFonts w:ascii="Arial" w:cs="Arial" w:eastAsia="Arial" w:hAnsi="Arial"/>
          <w:sz w:val="18"/>
          <w:szCs w:val="18"/>
          <w:color w:val="auto"/>
        </w:rPr>
        <w:t xml:space="preserve"> but may be held in conjunction with any general meeting of stockholders.</w:t>
      </w:r>
    </w:p>
    <w:p>
      <w:pPr>
        <w:spacing w:after="0" w:line="35"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 xml:space="preserve">14.5. To a Series Meeting all the provisions of these Articles of Incorporation and </w:t>
      </w:r>
      <w:r>
        <w:rPr>
          <w:rFonts w:ascii="Arial" w:cs="Arial" w:eastAsia="Arial" w:hAnsi="Arial"/>
          <w:sz w:val="17"/>
          <w:szCs w:val="17"/>
          <w:color w:val="auto"/>
          <w:strike w:val="1"/>
        </w:rPr>
        <w:t>the laws of the Netherlands Antilles</w:t>
      </w:r>
      <w:r>
        <w:rPr>
          <w:rFonts w:ascii="Arial" w:cs="Arial" w:eastAsia="Arial" w:hAnsi="Arial"/>
          <w:sz w:val="17"/>
          <w:szCs w:val="17"/>
          <w:u w:val="single" w:color="auto"/>
          <w:color w:val="auto"/>
        </w:rPr>
        <w:t>Curacao law</w:t>
      </w:r>
      <w:r>
        <w:rPr>
          <w:rFonts w:ascii="Arial" w:cs="Arial" w:eastAsia="Arial" w:hAnsi="Arial"/>
          <w:sz w:val="17"/>
          <w:szCs w:val="17"/>
          <w:color w:val="auto"/>
        </w:rPr>
        <w:t xml:space="preserve"> as to General Meetings of Stockholders shall, mutatis mutandis, apply, if not otherwise provided in this Article.</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FISCAL YEAR</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15</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BALANCE SHEET AND PROFIT AND LOSS ACCOUNT</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16</w:t>
      </w:r>
    </w:p>
    <w:p>
      <w:pPr>
        <w:spacing w:after="0" w:line="243"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43"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pacing w:after="0" w:line="18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DISTRIBUTION OF PROFITS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17</w:t>
      </w:r>
    </w:p>
    <w:p>
      <w:pPr>
        <w:spacing w:after="0" w:line="243"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19"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4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49"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35"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23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DISPOSITION OF THE COMPANY’S ASSETS</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18</w:t>
      </w:r>
    </w:p>
    <w:p>
      <w:pPr>
        <w:spacing w:after="0" w:line="243"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LIQUIDATION</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19</w:t>
      </w:r>
    </w:p>
    <w:p>
      <w:pPr>
        <w:spacing w:after="0" w:line="243"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BUY OUT</w:t>
      </w:r>
    </w:p>
    <w:p>
      <w:pPr>
        <w:spacing w:after="0" w:line="13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Article 20</w:t>
      </w:r>
    </w:p>
    <w:p>
      <w:pPr>
        <w:spacing w:after="0" w:line="24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 xml:space="preserve">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w:t>
      </w:r>
      <w:r>
        <w:rPr>
          <w:rFonts w:ascii="Arial" w:cs="Arial" w:eastAsia="Arial" w:hAnsi="Arial"/>
          <w:sz w:val="18"/>
          <w:szCs w:val="18"/>
          <w:color w:val="auto"/>
          <w:strike w:val="1"/>
        </w:rPr>
        <w:t>NACC</w:t>
      </w:r>
      <w:r>
        <w:rPr>
          <w:rFonts w:ascii="Arial" w:cs="Arial" w:eastAsia="Arial" w:hAnsi="Arial"/>
          <w:sz w:val="18"/>
          <w:szCs w:val="18"/>
          <w:u w:val="single" w:color="auto"/>
          <w:color w:val="auto"/>
        </w:rPr>
        <w:t>CC</w:t>
      </w:r>
      <w:r>
        <w:rPr>
          <w:rFonts w:ascii="Arial" w:cs="Arial" w:eastAsia="Arial" w:hAnsi="Arial"/>
          <w:sz w:val="18"/>
          <w:szCs w:val="18"/>
          <w:color w:val="auto"/>
        </w:rPr>
        <w:t>.</w:t>
      </w:r>
    </w:p>
    <w:p>
      <w:pPr>
        <w:spacing w:after="0" w:line="1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AMENDMENTS</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21</w:t>
      </w:r>
    </w:p>
    <w:p>
      <w:pPr>
        <w:spacing w:after="0" w:line="243" w:lineRule="exact"/>
        <w:rPr>
          <w:sz w:val="20"/>
          <w:szCs w:val="20"/>
          <w:color w:val="auto"/>
        </w:rPr>
      </w:pPr>
    </w:p>
    <w:p>
      <w:pPr>
        <w:ind w:left="700" w:right="240" w:firstLine="397"/>
        <w:spacing w:after="0" w:line="297" w:lineRule="auto"/>
        <w:rPr>
          <w:sz w:val="20"/>
          <w:szCs w:val="20"/>
          <w:color w:val="auto"/>
        </w:rPr>
      </w:pPr>
      <w:r>
        <w:rPr>
          <w:rFonts w:ascii="Arial" w:cs="Arial" w:eastAsia="Arial" w:hAnsi="Arial"/>
          <w:sz w:val="16"/>
          <w:szCs w:val="16"/>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23"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9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OFFICIAL LANGUAGE</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Article 22</w:t>
      </w:r>
    </w:p>
    <w:p>
      <w:pPr>
        <w:spacing w:after="0" w:line="2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4493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844931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220345</wp:posOffset>
            </wp:positionV>
            <wp:extent cx="6174740" cy="79495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4740" cy="794956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o"/>
      <w:numFmt w:val="bullet"/>
      <w:start w:val="1"/>
    </w:lvl>
    <w:lvl w:ilvl="1">
      <w:lvlJc w:val="left"/>
      <w:lvlText w:val="(%2)"/>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lvl w:ilvl="1">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lvl w:ilvl="1">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9"/>
    </w:lvl>
    <w:lvl w:ilvl="1">
      <w:lvlJc w:val="left"/>
      <w:lvlText w:val="(%2)"/>
      <w:numFmt w:val="decimal"/>
      <w:start w:val="10"/>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3"/>
    </w:lvl>
  </w:abstractNum>
  <w:abstractNum w:abstractNumId="38">
    <w:nsid w:val="79A1DEAA"/>
    <w:multiLevelType w:val="hybridMultilevel"/>
    <w:lvl w:ilvl="0">
      <w:lvlJc w:val="left"/>
      <w:lvlText w:val="(%1)"/>
      <w:numFmt w:val="lowerRoman"/>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3"/>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3"/>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8"/>
    </w:lvl>
  </w:abstractNum>
  <w:abstractNum w:abstractNumId="59">
    <w:nsid w:val="61574095"/>
    <w:multiLevelType w:val="hybridMultilevel"/>
    <w:lvl w:ilvl="0">
      <w:lvlJc w:val="left"/>
      <w:lvlText w:val="%1"/>
      <w:numFmt w:val="lowerLetter"/>
      <w:start w:val="1"/>
    </w:lvl>
    <w:lvl w:ilvl="1">
      <w:lvlJc w:val="left"/>
      <w:lvlText w:val="(%2)"/>
      <w:numFmt w:val="decimal"/>
      <w:start w:val="1"/>
    </w:lvl>
  </w:abstractNum>
  <w:abstractNum w:abstractNumId="60">
    <w:nsid w:val="7E0C57B1"/>
    <w:multiLevelType w:val="hybridMultilevel"/>
    <w:lvl w:ilvl="0">
      <w:lvlJc w:val="left"/>
      <w:lvlText w:val="%1."/>
      <w:numFmt w:val="lowerLetter"/>
      <w:start w:val="3"/>
    </w:lvl>
    <w:lvl w:ilvl="1">
      <w:lvlJc w:val="left"/>
      <w:lvlText w:val="%2"/>
      <w:numFmt w:val="decimal"/>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3">
    <w:nsid w:val="310C50B3"/>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2019-12-10T03:34:44Z</dcterms:created>
  <dcterms:modified xsi:type="dcterms:W3CDTF">2019-12-10T03:34:44Z</dcterms:modified>
</cp:coreProperties>
</file>