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Merad Abdellah</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4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05/28/2020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Arial" w:cs="Arial" w:eastAsia="Arial" w:hAnsi="Arial"/>
                <w:sz w:val="17"/>
                <w:szCs w:val="17"/>
                <w:color w:val="0000FF"/>
              </w:rPr>
              <w:t>EVP, Performance Management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05/28/2020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14,822</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19.191</w:t>
            </w:r>
            <w:r>
              <w:rPr>
                <w:rFonts w:ascii="Arial" w:cs="Arial" w:eastAsia="Arial" w:hAnsi="Arial"/>
                <w:sz w:val="22"/>
                <w:szCs w:val="22"/>
                <w:color w:val="008000"/>
                <w:w w:val="93"/>
                <w:vertAlign w:val="superscript"/>
              </w:rPr>
              <w:t>(1)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54,750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$19.182 to $19.205.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05/29/2020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9211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2020-05-29T14:52:27Z</dcterms:created>
  <dcterms:modified xsi:type="dcterms:W3CDTF">2020-05-29T14:52:27Z</dcterms:modified>
</cp:coreProperties>
</file>