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w:t>
      </w:r>
    </w:p>
    <w:p>
      <w:pPr>
        <w:spacing w:after="0" w:line="360"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UNITED STATES</w:t>
      </w:r>
    </w:p>
    <w:p>
      <w:pPr>
        <w:jc w:val="center"/>
        <w:ind w:right="2819"/>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819"/>
        <w:spacing w:after="0" w:line="238" w:lineRule="auto"/>
        <w:rPr>
          <w:sz w:val="20"/>
          <w:szCs w:val="20"/>
          <w:color w:val="auto"/>
        </w:rPr>
      </w:pPr>
      <w:r>
        <w:rPr>
          <w:rFonts w:ascii="Courier New" w:cs="Courier New" w:eastAsia="Courier New" w:hAnsi="Courier New"/>
          <w:sz w:val="16"/>
          <w:szCs w:val="16"/>
          <w:color w:val="auto"/>
        </w:rPr>
        <w:t>Washington, D.C. 20549</w:t>
      </w:r>
    </w:p>
    <w:p>
      <w:pPr>
        <w:spacing w:after="0" w:line="361" w:lineRule="exact"/>
        <w:rPr>
          <w:sz w:val="24"/>
          <w:szCs w:val="24"/>
          <w:color w:val="auto"/>
        </w:rPr>
      </w:pPr>
    </w:p>
    <w:p>
      <w:pPr>
        <w:jc w:val="center"/>
        <w:ind w:right="2819"/>
        <w:spacing w:after="0"/>
        <w:rPr>
          <w:sz w:val="20"/>
          <w:szCs w:val="20"/>
          <w:color w:val="auto"/>
        </w:rPr>
      </w:pPr>
      <w:r>
        <w:rPr>
          <w:rFonts w:ascii="Courier New" w:cs="Courier New" w:eastAsia="Courier New" w:hAnsi="Courier New"/>
          <w:sz w:val="16"/>
          <w:szCs w:val="16"/>
          <w:color w:val="auto"/>
        </w:rPr>
        <w:t>FORM 8-K</w:t>
      </w:r>
    </w:p>
    <w:p>
      <w:pPr>
        <w:spacing w:after="0" w:line="180" w:lineRule="exact"/>
        <w:rPr>
          <w:sz w:val="24"/>
          <w:szCs w:val="24"/>
          <w:color w:val="auto"/>
        </w:rPr>
      </w:pPr>
    </w:p>
    <w:p>
      <w:pPr>
        <w:ind w:left="3000"/>
        <w:spacing w:after="0"/>
        <w:rPr>
          <w:sz w:val="20"/>
          <w:szCs w:val="20"/>
          <w:color w:val="auto"/>
        </w:rPr>
      </w:pPr>
      <w:r>
        <w:rPr>
          <w:rFonts w:ascii="Courier New" w:cs="Courier New" w:eastAsia="Courier New" w:hAnsi="Courier New"/>
          <w:sz w:val="16"/>
          <w:szCs w:val="16"/>
          <w:color w:val="auto"/>
        </w:rPr>
        <w:t>CURRENT REPORT</w:t>
      </w:r>
    </w:p>
    <w:p>
      <w:pPr>
        <w:spacing w:after="0" w:line="360" w:lineRule="exact"/>
        <w:rPr>
          <w:sz w:val="24"/>
          <w:szCs w:val="24"/>
          <w:color w:val="auto"/>
        </w:rPr>
      </w:pPr>
    </w:p>
    <w:p>
      <w:pPr>
        <w:ind w:left="460"/>
        <w:spacing w:after="0"/>
        <w:rPr>
          <w:sz w:val="20"/>
          <w:szCs w:val="20"/>
          <w:color w:val="auto"/>
        </w:rPr>
      </w:pPr>
      <w:r>
        <w:rPr>
          <w:rFonts w:ascii="Courier New" w:cs="Courier New" w:eastAsia="Courier New" w:hAnsi="Courier New"/>
          <w:sz w:val="16"/>
          <w:szCs w:val="16"/>
          <w:color w:val="auto"/>
        </w:rPr>
        <w:t>Pursuant to Section 13 or 15(d) of the Securities Exchange Act of 1934</w:t>
      </w:r>
    </w:p>
    <w:p>
      <w:pPr>
        <w:spacing w:after="0" w:line="360" w:lineRule="exact"/>
        <w:rPr>
          <w:sz w:val="24"/>
          <w:szCs w:val="24"/>
          <w:color w:val="auto"/>
        </w:rPr>
      </w:pPr>
    </w:p>
    <w:p>
      <w:pPr>
        <w:ind w:left="460"/>
        <w:spacing w:after="0"/>
        <w:tabs>
          <w:tab w:leader="none" w:pos="5320" w:val="left"/>
        </w:tabs>
        <w:rPr>
          <w:sz w:val="20"/>
          <w:szCs w:val="20"/>
          <w:color w:val="auto"/>
        </w:rPr>
      </w:pPr>
      <w:r>
        <w:rPr>
          <w:rFonts w:ascii="Courier New" w:cs="Courier New" w:eastAsia="Courier New" w:hAnsi="Courier New"/>
          <w:sz w:val="16"/>
          <w:szCs w:val="16"/>
          <w:color w:val="auto"/>
        </w:rPr>
        <w:t>Date of Report (Date of earliest event reported):</w:t>
      </w:r>
      <w:r>
        <w:rPr>
          <w:sz w:val="20"/>
          <w:szCs w:val="20"/>
          <w:color w:val="auto"/>
        </w:rPr>
        <w:tab/>
      </w:r>
      <w:r>
        <w:rPr>
          <w:rFonts w:ascii="Courier New" w:cs="Courier New" w:eastAsia="Courier New" w:hAnsi="Courier New"/>
          <w:sz w:val="15"/>
          <w:szCs w:val="15"/>
          <w:color w:val="auto"/>
        </w:rPr>
        <w:t>December 30, 1999</w:t>
      </w:r>
    </w:p>
    <w:p>
      <w:pPr>
        <w:spacing w:after="0" w:line="360" w:lineRule="exact"/>
        <w:rPr>
          <w:sz w:val="24"/>
          <w:szCs w:val="24"/>
          <w:color w:val="auto"/>
        </w:rPr>
      </w:pPr>
    </w:p>
    <w:p>
      <w:pPr>
        <w:ind w:left="2900"/>
        <w:spacing w:after="0"/>
        <w:rPr>
          <w:sz w:val="20"/>
          <w:szCs w:val="20"/>
          <w:color w:val="auto"/>
        </w:rPr>
      </w:pPr>
      <w:r>
        <w:rPr>
          <w:rFonts w:ascii="Courier New" w:cs="Courier New" w:eastAsia="Courier New" w:hAnsi="Courier New"/>
          <w:sz w:val="16"/>
          <w:szCs w:val="16"/>
          <w:color w:val="auto"/>
        </w:rPr>
        <w:t>SCHLUMBERGER N.V.</w:t>
      </w:r>
    </w:p>
    <w:p>
      <w:pPr>
        <w:ind w:left="2620"/>
        <w:spacing w:after="0"/>
        <w:rPr>
          <w:sz w:val="20"/>
          <w:szCs w:val="20"/>
          <w:color w:val="auto"/>
        </w:rPr>
      </w:pPr>
      <w:r>
        <w:rPr>
          <w:rFonts w:ascii="Courier New" w:cs="Courier New" w:eastAsia="Courier New" w:hAnsi="Courier New"/>
          <w:sz w:val="16"/>
          <w:szCs w:val="16"/>
          <w:color w:val="auto"/>
        </w:rPr>
        <w:t>(Schlumberger Limited)</w:t>
      </w:r>
    </w:p>
    <w:p>
      <w:pPr>
        <w:ind w:left="1320"/>
        <w:spacing w:after="0" w:line="238" w:lineRule="auto"/>
        <w:rPr>
          <w:sz w:val="20"/>
          <w:szCs w:val="20"/>
          <w:color w:val="auto"/>
        </w:rPr>
      </w:pPr>
      <w:r>
        <w:rPr>
          <w:rFonts w:ascii="Courier New" w:cs="Courier New" w:eastAsia="Courier New" w:hAnsi="Courier New"/>
          <w:sz w:val="16"/>
          <w:szCs w:val="16"/>
          <w:color w:val="auto"/>
        </w:rPr>
        <w:t>(Exact name of registrant as specified in charter)</w:t>
      </w:r>
    </w:p>
    <w:p>
      <w:pPr>
        <w:spacing w:after="0" w:line="200" w:lineRule="exact"/>
        <w:rPr>
          <w:sz w:val="24"/>
          <w:szCs w:val="24"/>
          <w:color w:val="auto"/>
        </w:rPr>
      </w:pPr>
    </w:p>
    <w:p>
      <w:pPr>
        <w:spacing w:after="0" w:line="341" w:lineRule="exact"/>
        <w:rPr>
          <w:sz w:val="24"/>
          <w:szCs w:val="24"/>
          <w:color w:val="auto"/>
        </w:rPr>
      </w:pPr>
    </w:p>
    <w:tbl>
      <w:tblPr>
        <w:tblLayout w:type="fixed"/>
        <w:tblInd w:w="100" w:type="dxa"/>
        <w:tblCellMar>
          <w:top w:w="0" w:type="dxa"/>
          <w:left w:w="0" w:type="dxa"/>
          <w:bottom w:w="0" w:type="dxa"/>
          <w:right w:w="0" w:type="dxa"/>
        </w:tblCellMar>
      </w:tblPr>
      <w:tr>
        <w:trPr>
          <w:trHeight w:val="181"/>
        </w:trPr>
        <w:tc>
          <w:tcPr>
            <w:tcW w:w="2760" w:type="dxa"/>
            <w:vAlign w:val="bottom"/>
          </w:tcPr>
          <w:p>
            <w:pPr>
              <w:jc w:val="center"/>
              <w:ind w:right="82"/>
              <w:spacing w:after="0"/>
              <w:rPr>
                <w:sz w:val="20"/>
                <w:szCs w:val="20"/>
                <w:color w:val="auto"/>
              </w:rPr>
            </w:pPr>
            <w:r>
              <w:rPr>
                <w:rFonts w:ascii="Courier New" w:cs="Courier New" w:eastAsia="Courier New" w:hAnsi="Courier New"/>
                <w:sz w:val="16"/>
                <w:szCs w:val="16"/>
                <w:color w:val="auto"/>
                <w:w w:val="97"/>
              </w:rPr>
              <w:t>Netherlands Antilles</w:t>
            </w:r>
          </w:p>
        </w:tc>
        <w:tc>
          <w:tcPr>
            <w:tcW w:w="3060" w:type="dxa"/>
            <w:vAlign w:val="bottom"/>
          </w:tcPr>
          <w:p>
            <w:pPr>
              <w:jc w:val="center"/>
              <w:spacing w:after="0"/>
              <w:rPr>
                <w:sz w:val="20"/>
                <w:szCs w:val="20"/>
                <w:color w:val="auto"/>
              </w:rPr>
            </w:pPr>
            <w:r>
              <w:rPr>
                <w:rFonts w:ascii="Courier New" w:cs="Courier New" w:eastAsia="Courier New" w:hAnsi="Courier New"/>
                <w:sz w:val="16"/>
                <w:szCs w:val="16"/>
                <w:color w:val="auto"/>
                <w:w w:val="97"/>
              </w:rPr>
              <w:t>001-04601</w:t>
            </w:r>
          </w:p>
        </w:tc>
        <w:tc>
          <w:tcPr>
            <w:tcW w:w="356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52-0684746</w:t>
            </w:r>
          </w:p>
        </w:tc>
      </w:tr>
      <w:tr>
        <w:trPr>
          <w:trHeight w:val="181"/>
        </w:trPr>
        <w:tc>
          <w:tcPr>
            <w:tcW w:w="27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(State or other jurisdiction</w:t>
            </w:r>
          </w:p>
        </w:tc>
        <w:tc>
          <w:tcPr>
            <w:tcW w:w="3060" w:type="dxa"/>
            <w:vAlign w:val="bottom"/>
          </w:tcPr>
          <w:p>
            <w:pPr>
              <w:jc w:val="center"/>
              <w:spacing w:after="0"/>
              <w:rPr>
                <w:sz w:val="20"/>
                <w:szCs w:val="20"/>
                <w:color w:val="auto"/>
              </w:rPr>
            </w:pPr>
            <w:r>
              <w:rPr>
                <w:rFonts w:ascii="Courier New" w:cs="Courier New" w:eastAsia="Courier New" w:hAnsi="Courier New"/>
                <w:sz w:val="16"/>
                <w:szCs w:val="16"/>
                <w:color w:val="auto"/>
                <w:w w:val="97"/>
              </w:rPr>
              <w:t>(Commission File No.)</w:t>
            </w:r>
          </w:p>
        </w:tc>
        <w:tc>
          <w:tcPr>
            <w:tcW w:w="3560" w:type="dxa"/>
            <w:vAlign w:val="bottom"/>
          </w:tcPr>
          <w:p>
            <w:pPr>
              <w:ind w:left="180"/>
              <w:spacing w:after="0"/>
              <w:rPr>
                <w:sz w:val="20"/>
                <w:szCs w:val="20"/>
                <w:color w:val="auto"/>
              </w:rPr>
            </w:pPr>
            <w:r>
              <w:rPr>
                <w:rFonts w:ascii="Courier New" w:cs="Courier New" w:eastAsia="Courier New" w:hAnsi="Courier New"/>
                <w:sz w:val="16"/>
                <w:szCs w:val="16"/>
                <w:color w:val="auto"/>
                <w:w w:val="97"/>
              </w:rPr>
              <w:t>(I.R.S. Employer Identification No.)</w:t>
            </w:r>
          </w:p>
        </w:tc>
      </w:tr>
      <w:tr>
        <w:trPr>
          <w:trHeight w:val="181"/>
        </w:trPr>
        <w:tc>
          <w:tcPr>
            <w:tcW w:w="2760" w:type="dxa"/>
            <w:vAlign w:val="bottom"/>
          </w:tcPr>
          <w:p>
            <w:pPr>
              <w:jc w:val="center"/>
              <w:ind w:right="162"/>
              <w:spacing w:after="0"/>
              <w:rPr>
                <w:sz w:val="20"/>
                <w:szCs w:val="20"/>
                <w:color w:val="auto"/>
              </w:rPr>
            </w:pPr>
            <w:r>
              <w:rPr>
                <w:rFonts w:ascii="Courier New" w:cs="Courier New" w:eastAsia="Courier New" w:hAnsi="Courier New"/>
                <w:sz w:val="16"/>
                <w:szCs w:val="16"/>
                <w:color w:val="auto"/>
                <w:w w:val="98"/>
              </w:rPr>
              <w:t>of incorporation)</w:t>
            </w:r>
          </w:p>
        </w:tc>
        <w:tc>
          <w:tcPr>
            <w:tcW w:w="306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361"/>
        </w:trPr>
        <w:tc>
          <w:tcPr>
            <w:tcW w:w="27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42, rue Saint-Dominque</w:t>
            </w:r>
          </w:p>
        </w:tc>
        <w:tc>
          <w:tcPr>
            <w:tcW w:w="3060" w:type="dxa"/>
            <w:vAlign w:val="bottom"/>
          </w:tcPr>
          <w:p>
            <w:pPr>
              <w:jc w:val="center"/>
              <w:spacing w:after="0"/>
              <w:rPr>
                <w:sz w:val="20"/>
                <w:szCs w:val="20"/>
                <w:color w:val="auto"/>
              </w:rPr>
            </w:pPr>
            <w:r>
              <w:rPr>
                <w:rFonts w:ascii="Courier New" w:cs="Courier New" w:eastAsia="Courier New" w:hAnsi="Courier New"/>
                <w:sz w:val="16"/>
                <w:szCs w:val="16"/>
                <w:color w:val="auto"/>
                <w:w w:val="97"/>
              </w:rPr>
              <w:t>277 Park Avenue</w:t>
            </w:r>
          </w:p>
        </w:tc>
        <w:tc>
          <w:tcPr>
            <w:tcW w:w="356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7"/>
              </w:rPr>
              <w:t>Parkstraat 83</w:t>
            </w:r>
          </w:p>
        </w:tc>
      </w:tr>
      <w:tr>
        <w:trPr>
          <w:trHeight w:val="181"/>
        </w:trPr>
        <w:tc>
          <w:tcPr>
            <w:tcW w:w="2760" w:type="dxa"/>
            <w:vAlign w:val="bottom"/>
          </w:tcPr>
          <w:p>
            <w:pPr>
              <w:jc w:val="center"/>
              <w:ind w:right="182"/>
              <w:spacing w:after="0"/>
              <w:rPr>
                <w:sz w:val="20"/>
                <w:szCs w:val="20"/>
                <w:color w:val="auto"/>
              </w:rPr>
            </w:pPr>
            <w:r>
              <w:rPr>
                <w:rFonts w:ascii="Courier New" w:cs="Courier New" w:eastAsia="Courier New" w:hAnsi="Courier New"/>
                <w:sz w:val="16"/>
                <w:szCs w:val="16"/>
                <w:color w:val="auto"/>
                <w:w w:val="97"/>
              </w:rPr>
              <w:t>Paris, France 75007</w:t>
            </w:r>
          </w:p>
        </w:tc>
        <w:tc>
          <w:tcPr>
            <w:tcW w:w="3060" w:type="dxa"/>
            <w:vAlign w:val="bottom"/>
          </w:tcPr>
          <w:p>
            <w:pPr>
              <w:jc w:val="center"/>
              <w:spacing w:after="0"/>
              <w:rPr>
                <w:sz w:val="20"/>
                <w:szCs w:val="20"/>
                <w:color w:val="auto"/>
              </w:rPr>
            </w:pPr>
            <w:r>
              <w:rPr>
                <w:rFonts w:ascii="Courier New" w:cs="Courier New" w:eastAsia="Courier New" w:hAnsi="Courier New"/>
                <w:sz w:val="16"/>
                <w:szCs w:val="16"/>
                <w:color w:val="auto"/>
                <w:w w:val="97"/>
              </w:rPr>
              <w:t>New York, New York, USA 10172</w:t>
            </w:r>
          </w:p>
        </w:tc>
        <w:tc>
          <w:tcPr>
            <w:tcW w:w="356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The Hague</w:t>
            </w:r>
          </w:p>
        </w:tc>
      </w:tr>
      <w:tr>
        <w:trPr>
          <w:trHeight w:val="181"/>
        </w:trPr>
        <w:tc>
          <w:tcPr>
            <w:tcW w:w="2760" w:type="dxa"/>
            <w:vAlign w:val="bottom"/>
          </w:tcPr>
          <w:p>
            <w:pPr>
              <w:jc w:val="center"/>
              <w:ind w:right="62"/>
              <w:spacing w:after="0"/>
              <w:rPr>
                <w:sz w:val="20"/>
                <w:szCs w:val="20"/>
                <w:color w:val="auto"/>
              </w:rPr>
            </w:pPr>
            <w:r>
              <w:rPr>
                <w:rFonts w:ascii="Courier New" w:cs="Courier New" w:eastAsia="Courier New" w:hAnsi="Courier New"/>
                <w:sz w:val="16"/>
                <w:szCs w:val="16"/>
                <w:color w:val="auto"/>
                <w:w w:val="97"/>
              </w:rPr>
              <w:t>(33-1) 4062-1000</w:t>
            </w:r>
          </w:p>
        </w:tc>
        <w:tc>
          <w:tcPr>
            <w:tcW w:w="306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(212) 350-9400</w:t>
            </w:r>
          </w:p>
        </w:tc>
        <w:tc>
          <w:tcPr>
            <w:tcW w:w="3560" w:type="dxa"/>
            <w:vAlign w:val="bottom"/>
          </w:tcPr>
          <w:p>
            <w:pPr>
              <w:jc w:val="center"/>
              <w:ind w:left="2"/>
              <w:spacing w:after="0"/>
              <w:rPr>
                <w:sz w:val="20"/>
                <w:szCs w:val="20"/>
                <w:color w:val="auto"/>
              </w:rPr>
            </w:pPr>
            <w:r>
              <w:rPr>
                <w:rFonts w:ascii="Courier New" w:cs="Courier New" w:eastAsia="Courier New" w:hAnsi="Courier New"/>
                <w:sz w:val="16"/>
                <w:szCs w:val="16"/>
                <w:color w:val="auto"/>
                <w:w w:val="97"/>
              </w:rPr>
              <w:t>The Netherlands</w:t>
            </w:r>
          </w:p>
        </w:tc>
      </w:tr>
      <w:tr>
        <w:trPr>
          <w:trHeight w:val="181"/>
        </w:trPr>
        <w:tc>
          <w:tcPr>
            <w:tcW w:w="27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56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2514 JG</w:t>
            </w:r>
          </w:p>
        </w:tc>
      </w:tr>
      <w:tr>
        <w:trPr>
          <w:trHeight w:val="181"/>
        </w:trPr>
        <w:tc>
          <w:tcPr>
            <w:tcW w:w="27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356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(31-70) 310-5447</w:t>
            </w:r>
          </w:p>
        </w:tc>
      </w:tr>
    </w:tbl>
    <w:p>
      <w:pPr>
        <w:spacing w:after="0" w:line="360" w:lineRule="exact"/>
        <w:rPr>
          <w:sz w:val="24"/>
          <w:szCs w:val="24"/>
          <w:color w:val="auto"/>
        </w:rPr>
      </w:pPr>
    </w:p>
    <w:p>
      <w:pPr>
        <w:jc w:val="center"/>
        <w:ind w:right="2719"/>
        <w:spacing w:after="0"/>
        <w:rPr>
          <w:sz w:val="20"/>
          <w:szCs w:val="20"/>
          <w:color w:val="auto"/>
        </w:rPr>
      </w:pPr>
      <w:r>
        <w:rPr>
          <w:rFonts w:ascii="Courier New" w:cs="Courier New" w:eastAsia="Courier New" w:hAnsi="Courier New"/>
          <w:sz w:val="16"/>
          <w:szCs w:val="16"/>
          <w:color w:val="auto"/>
        </w:rPr>
        <w:t>(Address, including Zip Code, and Telephone Number, Including Area Code, of</w:t>
      </w:r>
    </w:p>
    <w:p>
      <w:pPr>
        <w:jc w:val="center"/>
        <w:ind w:right="2819"/>
        <w:spacing w:after="0"/>
        <w:rPr>
          <w:sz w:val="20"/>
          <w:szCs w:val="20"/>
          <w:color w:val="auto"/>
        </w:rPr>
      </w:pPr>
      <w:r>
        <w:rPr>
          <w:rFonts w:ascii="Courier New" w:cs="Courier New" w:eastAsia="Courier New" w:hAnsi="Courier New"/>
          <w:sz w:val="16"/>
          <w:szCs w:val="16"/>
          <w:color w:val="auto"/>
        </w:rPr>
        <w:t>Principal Executive Offices)</w:t>
      </w:r>
    </w:p>
    <w:p>
      <w:pPr>
        <w:spacing w:after="0" w:line="36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594" w:right="1440" w:bottom="1440" w:gutter="0" w:footer="0" w:header="0"/>
        </w:sectPr>
      </w:pPr>
    </w:p>
    <w:bookmarkStart w:id="1" w:name="page2"/>
    <w:bookmarkEnd w:id="1"/>
    <w:p>
      <w:pPr>
        <w:spacing w:after="0"/>
        <w:tabs>
          <w:tab w:leader="none" w:pos="8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Acquisition or Disposition of Assets.</w:t>
      </w:r>
    </w:p>
    <w:p>
      <w:pPr>
        <w:spacing w:after="0" w:line="185" w:lineRule="exact"/>
        <w:rPr>
          <w:sz w:val="20"/>
          <w:szCs w:val="20"/>
          <w:color w:val="auto"/>
        </w:rPr>
      </w:pPr>
    </w:p>
    <w:p>
      <w:pPr>
        <w:ind w:right="940" w:firstLine="469"/>
        <w:spacing w:after="0" w:line="238" w:lineRule="auto"/>
        <w:rPr>
          <w:sz w:val="20"/>
          <w:szCs w:val="20"/>
          <w:color w:val="auto"/>
        </w:rPr>
      </w:pPr>
      <w:r>
        <w:rPr>
          <w:rFonts w:ascii="Courier New" w:cs="Courier New" w:eastAsia="Courier New" w:hAnsi="Courier New"/>
          <w:sz w:val="16"/>
          <w:szCs w:val="16"/>
          <w:color w:val="auto"/>
        </w:rPr>
        <w:t>On December 30, 1999, we completed the spin-off of our offshore contract drilling business, Sedco Forex Holdings Limited, to our shareholders. On that date, each of our shareholders received one share of Sedco Forex for each share of Schlumberger common stock owned as of December 20, 1999. On December 31, 1999, Sedco Forex merged with a subsidiary of Transocean Offshore Inc. A copy of our December 31, 1999 press release regarding the spin-off and the merger is attached to this current report on Form 8-K as Exhibit 99 and is incorporated into this report by this reference.</w:t>
      </w:r>
    </w:p>
    <w:p>
      <w:pPr>
        <w:spacing w:after="0" w:line="187" w:lineRule="exact"/>
        <w:rPr>
          <w:sz w:val="20"/>
          <w:szCs w:val="20"/>
          <w:color w:val="auto"/>
        </w:rPr>
      </w:pPr>
    </w:p>
    <w:p>
      <w:pPr>
        <w:ind w:right="940" w:firstLine="469"/>
        <w:spacing w:after="0" w:line="238" w:lineRule="auto"/>
        <w:rPr>
          <w:sz w:val="20"/>
          <w:szCs w:val="20"/>
          <w:color w:val="auto"/>
        </w:rPr>
      </w:pPr>
      <w:r>
        <w:rPr>
          <w:rFonts w:ascii="Courier New" w:cs="Courier New" w:eastAsia="Courier New" w:hAnsi="Courier New"/>
          <w:sz w:val="16"/>
          <w:szCs w:val="16"/>
          <w:color w:val="auto"/>
        </w:rPr>
        <w:t>In connection with the spin-off of Sedco Forex, each option to acquire Schlumberger common stock outstanding under our employee stock option plans has been equitably adjusted to reflect the approximate decrease in the fair market value of Schlumberger common stock resulting from the spin-off. As a result, the number of shares purchasable under each option has been increased by multiplying the number of shares by a factor of 1.099 and the exercise price per share of each option has been decreased by dividing the exercise price by a factor of 1.099. Appropriate rounding adjustments were also made.</w:t>
      </w:r>
    </w:p>
    <w:p>
      <w:pPr>
        <w:spacing w:after="0" w:line="187" w:lineRule="exact"/>
        <w:rPr>
          <w:sz w:val="20"/>
          <w:szCs w:val="20"/>
          <w:color w:val="auto"/>
        </w:rPr>
      </w:pPr>
    </w:p>
    <w:p>
      <w:pPr>
        <w:ind w:right="940" w:firstLine="469"/>
        <w:spacing w:after="0" w:line="237" w:lineRule="auto"/>
        <w:rPr>
          <w:sz w:val="20"/>
          <w:szCs w:val="20"/>
          <w:color w:val="auto"/>
        </w:rPr>
      </w:pPr>
      <w:r>
        <w:rPr>
          <w:rFonts w:ascii="Courier New" w:cs="Courier New" w:eastAsia="Courier New" w:hAnsi="Courier New"/>
          <w:sz w:val="16"/>
          <w:szCs w:val="16"/>
          <w:color w:val="auto"/>
        </w:rPr>
        <w:t>The table below shows, for each of our registration statements on Form S-8, the number of shares available for issuance under that Form S-8 prior to the adjustment for the spin-off and the number of shares available for issuance under that Form S-8 after being adjusted for the spin-off by the factor described above.</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0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88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6"/>
              </w:rPr>
              <w:t>Registered Shares</w:t>
            </w:r>
          </w:p>
        </w:tc>
      </w:tr>
      <w:tr>
        <w:trPr>
          <w:trHeight w:val="181"/>
        </w:trPr>
        <w:tc>
          <w:tcPr>
            <w:tcW w:w="800" w:type="dxa"/>
            <w:vAlign w:val="bottom"/>
          </w:tcPr>
          <w:p>
            <w:pPr>
              <w:spacing w:after="0"/>
              <w:rPr>
                <w:sz w:val="15"/>
                <w:szCs w:val="15"/>
                <w:color w:val="auto"/>
              </w:rPr>
            </w:pPr>
          </w:p>
        </w:tc>
        <w:tc>
          <w:tcPr>
            <w:tcW w:w="5760" w:type="dxa"/>
            <w:vAlign w:val="bottom"/>
          </w:tcPr>
          <w:p>
            <w:pPr>
              <w:spacing w:after="0"/>
              <w:rPr>
                <w:sz w:val="15"/>
                <w:szCs w:val="15"/>
                <w:color w:val="auto"/>
              </w:rPr>
            </w:pPr>
          </w:p>
        </w:tc>
        <w:tc>
          <w:tcPr>
            <w:tcW w:w="188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8"/>
              </w:rPr>
              <w:t>Available Prior</w:t>
            </w:r>
          </w:p>
        </w:tc>
      </w:tr>
      <w:tr>
        <w:trPr>
          <w:trHeight w:val="181"/>
        </w:trPr>
        <w:tc>
          <w:tcPr>
            <w:tcW w:w="800" w:type="dxa"/>
            <w:vAlign w:val="bottom"/>
          </w:tcPr>
          <w:p>
            <w:pPr>
              <w:spacing w:after="0"/>
              <w:rPr>
                <w:sz w:val="15"/>
                <w:szCs w:val="15"/>
                <w:color w:val="auto"/>
              </w:rPr>
            </w:pPr>
          </w:p>
        </w:tc>
        <w:tc>
          <w:tcPr>
            <w:tcW w:w="5760" w:type="dxa"/>
            <w:vAlign w:val="bottom"/>
          </w:tcPr>
          <w:p>
            <w:pPr>
              <w:ind w:left="1640"/>
              <w:spacing w:after="0"/>
              <w:rPr>
                <w:sz w:val="20"/>
                <w:szCs w:val="20"/>
                <w:color w:val="auto"/>
              </w:rPr>
            </w:pPr>
            <w:r>
              <w:rPr>
                <w:rFonts w:ascii="Courier New" w:cs="Courier New" w:eastAsia="Courier New" w:hAnsi="Courier New"/>
                <w:sz w:val="16"/>
                <w:szCs w:val="16"/>
                <w:color w:val="auto"/>
              </w:rPr>
              <w:t>Form S-8</w:t>
            </w:r>
          </w:p>
        </w:tc>
        <w:tc>
          <w:tcPr>
            <w:tcW w:w="188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7"/>
              </w:rPr>
              <w:t>to Adjustment</w:t>
            </w:r>
          </w:p>
        </w:tc>
      </w:tr>
      <w:tr>
        <w:trPr>
          <w:trHeight w:val="181"/>
        </w:trPr>
        <w:tc>
          <w:tcPr>
            <w:tcW w:w="800" w:type="dxa"/>
            <w:vAlign w:val="bottom"/>
          </w:tcPr>
          <w:p>
            <w:pPr>
              <w:spacing w:after="0"/>
              <w:rPr>
                <w:sz w:val="15"/>
                <w:szCs w:val="15"/>
                <w:color w:val="auto"/>
              </w:rPr>
            </w:pPr>
          </w:p>
        </w:tc>
        <w:tc>
          <w:tcPr>
            <w:tcW w:w="5760" w:type="dxa"/>
            <w:vAlign w:val="bottom"/>
          </w:tcPr>
          <w:p>
            <w:pPr>
              <w:ind w:left="1640"/>
              <w:spacing w:after="0"/>
              <w:rPr>
                <w:sz w:val="20"/>
                <w:szCs w:val="20"/>
                <w:color w:val="auto"/>
              </w:rPr>
            </w:pPr>
            <w:r>
              <w:rPr>
                <w:rFonts w:ascii="Courier New" w:cs="Courier New" w:eastAsia="Courier New" w:hAnsi="Courier New"/>
                <w:sz w:val="16"/>
                <w:szCs w:val="16"/>
                <w:color w:val="auto"/>
              </w:rPr>
              <w:t>--------</w:t>
            </w:r>
          </w:p>
        </w:tc>
        <w:tc>
          <w:tcPr>
            <w:tcW w:w="1880" w:type="dxa"/>
            <w:vAlign w:val="bottom"/>
          </w:tcPr>
          <w:p>
            <w:pPr>
              <w:jc w:val="center"/>
              <w:ind w:left="222"/>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800" w:type="dxa"/>
            <w:vAlign w:val="bottom"/>
          </w:tcPr>
          <w:p>
            <w:pPr>
              <w:spacing w:after="0"/>
              <w:rPr>
                <w:sz w:val="20"/>
                <w:szCs w:val="20"/>
                <w:color w:val="auto"/>
              </w:rPr>
            </w:pPr>
            <w:r>
              <w:rPr>
                <w:rFonts w:ascii="Courier New" w:cs="Courier New" w:eastAsia="Courier New" w:hAnsi="Courier New"/>
                <w:sz w:val="16"/>
                <w:szCs w:val="16"/>
                <w:color w:val="auto"/>
              </w:rPr>
              <w:t>Reg. No.</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333-62545 filed August 31, 1998</w:t>
            </w:r>
          </w:p>
        </w:tc>
        <w:tc>
          <w:tcPr>
            <w:tcW w:w="1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1,582,824</w:t>
            </w:r>
          </w:p>
        </w:tc>
      </w:tr>
      <w:tr>
        <w:trPr>
          <w:trHeight w:val="181"/>
        </w:trPr>
        <w:tc>
          <w:tcPr>
            <w:tcW w:w="6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1997 Long-Term Incentive Plan of Camco International Inc.</w:t>
            </w:r>
          </w:p>
        </w:tc>
        <w:tc>
          <w:tcPr>
            <w:tcW w:w="1880" w:type="dxa"/>
            <w:vAlign w:val="bottom"/>
          </w:tcPr>
          <w:p>
            <w:pPr>
              <w:spacing w:after="0"/>
              <w:rPr>
                <w:sz w:val="15"/>
                <w:szCs w:val="15"/>
                <w:color w:val="auto"/>
              </w:rPr>
            </w:pPr>
          </w:p>
        </w:tc>
      </w:tr>
      <w:tr>
        <w:trPr>
          <w:trHeight w:val="181"/>
        </w:trPr>
        <w:tc>
          <w:tcPr>
            <w:tcW w:w="6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Long-Term Incentive Plan of Camco International Inc.</w:t>
            </w:r>
          </w:p>
        </w:tc>
        <w:tc>
          <w:tcPr>
            <w:tcW w:w="1880" w:type="dxa"/>
            <w:vAlign w:val="bottom"/>
          </w:tcPr>
          <w:p>
            <w:pPr>
              <w:spacing w:after="0"/>
              <w:rPr>
                <w:sz w:val="15"/>
                <w:szCs w:val="15"/>
                <w:color w:val="auto"/>
              </w:rPr>
            </w:pPr>
          </w:p>
        </w:tc>
      </w:tr>
      <w:tr>
        <w:trPr>
          <w:trHeight w:val="181"/>
        </w:trPr>
        <w:tc>
          <w:tcPr>
            <w:tcW w:w="6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Production Operators Corp. 1992 Long-Term Incentive Plan</w:t>
            </w:r>
          </w:p>
        </w:tc>
        <w:tc>
          <w:tcPr>
            <w:tcW w:w="1880" w:type="dxa"/>
            <w:vAlign w:val="bottom"/>
          </w:tcPr>
          <w:p>
            <w:pPr>
              <w:spacing w:after="0"/>
              <w:rPr>
                <w:sz w:val="15"/>
                <w:szCs w:val="15"/>
                <w:color w:val="auto"/>
              </w:rPr>
            </w:pPr>
          </w:p>
        </w:tc>
      </w:tr>
      <w:tr>
        <w:trPr>
          <w:trHeight w:val="181"/>
        </w:trPr>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Camco</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1996 Savings Related Share Option Scheme</w:t>
            </w:r>
          </w:p>
        </w:tc>
        <w:tc>
          <w:tcPr>
            <w:tcW w:w="1880" w:type="dxa"/>
            <w:vAlign w:val="bottom"/>
          </w:tcPr>
          <w:p>
            <w:pPr>
              <w:spacing w:after="0"/>
              <w:rPr>
                <w:sz w:val="15"/>
                <w:szCs w:val="15"/>
                <w:color w:val="auto"/>
              </w:rPr>
            </w:pPr>
          </w:p>
        </w:tc>
      </w:tr>
      <w:tr>
        <w:trPr>
          <w:trHeight w:val="181"/>
        </w:trPr>
        <w:tc>
          <w:tcPr>
            <w:tcW w:w="800" w:type="dxa"/>
            <w:vAlign w:val="bottom"/>
          </w:tcPr>
          <w:p>
            <w:pPr>
              <w:ind w:left="280"/>
              <w:spacing w:after="0"/>
              <w:rPr>
                <w:sz w:val="20"/>
                <w:szCs w:val="20"/>
                <w:color w:val="auto"/>
              </w:rPr>
            </w:pPr>
            <w:r>
              <w:rPr>
                <w:rFonts w:ascii="Courier New" w:cs="Courier New" w:eastAsia="Courier New" w:hAnsi="Courier New"/>
                <w:sz w:val="16"/>
                <w:szCs w:val="16"/>
                <w:color w:val="auto"/>
              </w:rPr>
              <w:t>Camco</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International Inc. Amended and Restated Stock Option Plan</w:t>
            </w:r>
          </w:p>
        </w:tc>
        <w:tc>
          <w:tcPr>
            <w:tcW w:w="1880" w:type="dxa"/>
            <w:vAlign w:val="bottom"/>
          </w:tcPr>
          <w:p>
            <w:pPr>
              <w:spacing w:after="0"/>
              <w:rPr>
                <w:sz w:val="15"/>
                <w:szCs w:val="15"/>
                <w:color w:val="auto"/>
              </w:rPr>
            </w:pPr>
          </w:p>
        </w:tc>
      </w:tr>
      <w:tr>
        <w:trPr>
          <w:trHeight w:val="181"/>
        </w:trPr>
        <w:tc>
          <w:tcPr>
            <w:tcW w:w="656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for Nonemployee Directors</w:t>
            </w:r>
          </w:p>
        </w:tc>
        <w:tc>
          <w:tcPr>
            <w:tcW w:w="1880" w:type="dxa"/>
            <w:vAlign w:val="bottom"/>
          </w:tcPr>
          <w:p>
            <w:pPr>
              <w:spacing w:after="0"/>
              <w:rPr>
                <w:sz w:val="15"/>
                <w:szCs w:val="15"/>
                <w:color w:val="auto"/>
              </w:rPr>
            </w:pPr>
          </w:p>
        </w:tc>
      </w:t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Reg. No.</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333-40227 filed November 14, 1997</w:t>
            </w:r>
          </w:p>
        </w:tc>
        <w:tc>
          <w:tcPr>
            <w:tcW w:w="1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1,922</w:t>
            </w:r>
          </w:p>
        </w:tc>
      </w:tr>
      <w:tr>
        <w:trPr>
          <w:trHeight w:val="181"/>
        </w:trPr>
        <w:tc>
          <w:tcPr>
            <w:tcW w:w="6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Interactive Video Systems, Inc. 1995 Incentive Stock Option Plan</w:t>
            </w:r>
          </w:p>
        </w:tc>
        <w:tc>
          <w:tcPr>
            <w:tcW w:w="1880" w:type="dxa"/>
            <w:vAlign w:val="bottom"/>
          </w:tcPr>
          <w:p>
            <w:pPr>
              <w:spacing w:after="0"/>
              <w:rPr>
                <w:sz w:val="15"/>
                <w:szCs w:val="15"/>
                <w:color w:val="auto"/>
              </w:rPr>
            </w:pPr>
          </w:p>
        </w:tc>
      </w:t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Reg. No.</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33-86424 filed November 17, 1994</w:t>
            </w:r>
          </w:p>
        </w:tc>
        <w:tc>
          <w:tcPr>
            <w:tcW w:w="1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18,747,314</w:t>
            </w:r>
          </w:p>
        </w:tc>
      </w:tr>
      <w:tr>
        <w:trPr>
          <w:trHeight w:val="181"/>
        </w:trPr>
        <w:tc>
          <w:tcPr>
            <w:tcW w:w="6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Schlumberger 1994 Stock Option Plan</w:t>
            </w:r>
          </w:p>
        </w:tc>
        <w:tc>
          <w:tcPr>
            <w:tcW w:w="1880" w:type="dxa"/>
            <w:vAlign w:val="bottom"/>
          </w:tcPr>
          <w:p>
            <w:pPr>
              <w:spacing w:after="0"/>
              <w:rPr>
                <w:sz w:val="15"/>
                <w:szCs w:val="15"/>
                <w:color w:val="auto"/>
              </w:rPr>
            </w:pPr>
          </w:p>
        </w:tc>
      </w:t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Reg. No.</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33-35606 filed June 27, 1990</w:t>
            </w:r>
          </w:p>
        </w:tc>
        <w:tc>
          <w:tcPr>
            <w:tcW w:w="1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8,952,264</w:t>
            </w:r>
          </w:p>
        </w:tc>
      </w:tr>
      <w:tr>
        <w:trPr>
          <w:trHeight w:val="181"/>
        </w:trPr>
        <w:tc>
          <w:tcPr>
            <w:tcW w:w="6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Schlumberger 1989 Stock Incentive Plan</w:t>
            </w:r>
          </w:p>
        </w:tc>
        <w:tc>
          <w:tcPr>
            <w:tcW w:w="1880" w:type="dxa"/>
            <w:vAlign w:val="bottom"/>
          </w:tcPr>
          <w:p>
            <w:pPr>
              <w:spacing w:after="0"/>
              <w:rPr>
                <w:sz w:val="15"/>
                <w:szCs w:val="15"/>
                <w:color w:val="auto"/>
              </w:rPr>
            </w:pPr>
          </w:p>
        </w:tc>
      </w:tr>
      <w:tr>
        <w:trPr>
          <w:trHeight w:val="181"/>
        </w:trPr>
        <w:tc>
          <w:tcPr>
            <w:tcW w:w="800" w:type="dxa"/>
            <w:vAlign w:val="bottom"/>
          </w:tcPr>
          <w:p>
            <w:pPr>
              <w:spacing w:after="0"/>
              <w:rPr>
                <w:sz w:val="20"/>
                <w:szCs w:val="20"/>
                <w:color w:val="auto"/>
              </w:rPr>
            </w:pPr>
            <w:r>
              <w:rPr>
                <w:rFonts w:ascii="Courier New" w:cs="Courier New" w:eastAsia="Courier New" w:hAnsi="Courier New"/>
                <w:sz w:val="16"/>
                <w:szCs w:val="16"/>
                <w:color w:val="auto"/>
              </w:rPr>
              <w:t>Reg. No.</w:t>
            </w:r>
          </w:p>
        </w:tc>
        <w:tc>
          <w:tcPr>
            <w:tcW w:w="5760" w:type="dxa"/>
            <w:vAlign w:val="bottom"/>
          </w:tcPr>
          <w:p>
            <w:pPr>
              <w:ind w:left="40"/>
              <w:spacing w:after="0"/>
              <w:rPr>
                <w:sz w:val="20"/>
                <w:szCs w:val="20"/>
                <w:color w:val="auto"/>
              </w:rPr>
            </w:pPr>
            <w:r>
              <w:rPr>
                <w:rFonts w:ascii="Courier New" w:cs="Courier New" w:eastAsia="Courier New" w:hAnsi="Courier New"/>
                <w:sz w:val="16"/>
                <w:szCs w:val="16"/>
                <w:color w:val="auto"/>
              </w:rPr>
              <w:t>33-47592 filed May 15, 1992</w:t>
            </w:r>
          </w:p>
        </w:tc>
        <w:tc>
          <w:tcPr>
            <w:tcW w:w="18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33,179</w:t>
            </w:r>
          </w:p>
        </w:tc>
      </w:tr>
      <w:tr>
        <w:trPr>
          <w:trHeight w:val="181"/>
        </w:trPr>
        <w:tc>
          <w:tcPr>
            <w:tcW w:w="65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Schlumberger Discounted Stock Purchase Plan</w:t>
            </w:r>
          </w:p>
        </w:tc>
        <w:tc>
          <w:tcPr>
            <w:tcW w:w="1880" w:type="dxa"/>
            <w:vAlign w:val="bottom"/>
          </w:tcPr>
          <w:p>
            <w:pPr>
              <w:spacing w:after="0"/>
              <w:rPr>
                <w:sz w:val="15"/>
                <w:szCs w:val="15"/>
                <w:color w:val="auto"/>
              </w:rPr>
            </w:pPr>
          </w:p>
        </w:tc>
      </w:tr>
    </w:tbl>
    <w:p>
      <w:pPr>
        <w:spacing w:after="0" w:line="36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Registered Shares</w:t>
      </w:r>
    </w:p>
    <w:p>
      <w:pPr>
        <w:spacing w:after="0" w:line="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Available After</w:t>
      </w:r>
    </w:p>
    <w:p>
      <w:pPr>
        <w:ind w:left="280"/>
        <w:spacing w:after="0"/>
        <w:rPr>
          <w:sz w:val="20"/>
          <w:szCs w:val="20"/>
          <w:color w:val="auto"/>
        </w:rPr>
      </w:pPr>
      <w:r>
        <w:rPr>
          <w:rFonts w:ascii="Courier New" w:cs="Courier New" w:eastAsia="Courier New" w:hAnsi="Courier New"/>
          <w:sz w:val="16"/>
          <w:szCs w:val="16"/>
          <w:color w:val="auto"/>
        </w:rPr>
        <w:t>Adjustment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1,739,523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920"/>
        <w:spacing w:after="0"/>
        <w:rPr>
          <w:sz w:val="20"/>
          <w:szCs w:val="20"/>
          <w:color w:val="auto"/>
        </w:rPr>
      </w:pPr>
      <w:r>
        <w:rPr>
          <w:rFonts w:ascii="Courier New" w:cs="Courier New" w:eastAsia="Courier New" w:hAnsi="Courier New"/>
          <w:sz w:val="16"/>
          <w:szCs w:val="16"/>
          <w:color w:val="auto"/>
        </w:rPr>
        <w:t>2,112</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20,603,298</w:t>
      </w:r>
    </w:p>
    <w:p>
      <w:pPr>
        <w:spacing w:after="0" w:line="18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9,838,538</w:t>
      </w:r>
    </w:p>
    <w:p>
      <w:pPr>
        <w:spacing w:after="0" w:line="1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36,463</w:t>
      </w:r>
    </w:p>
    <w:p>
      <w:pPr>
        <w:sectPr>
          <w:pgSz w:w="11900" w:h="16838" w:orient="portrait"/>
          <w:cols w:equalWidth="0" w:num="2">
            <w:col w:w="8440" w:space="580"/>
            <w:col w:w="1580"/>
          </w:cols>
          <w:pgMar w:left="320" w:top="654" w:right="979" w:bottom="1440" w:gutter="0" w:footer="0" w:header="0"/>
        </w:sectPr>
      </w:pPr>
    </w:p>
    <w:bookmarkStart w:id="2" w:name="page3"/>
    <w:bookmarkEnd w:id="2"/>
    <w:p>
      <w:pPr>
        <w:spacing w:after="0"/>
        <w:tabs>
          <w:tab w:leader="none" w:pos="82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Other Events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(a) Submission of matters to a vote of shareholders</w:t>
      </w:r>
    </w:p>
    <w:p>
      <w:pPr>
        <w:spacing w:after="0" w:line="185" w:lineRule="exact"/>
        <w:rPr>
          <w:sz w:val="20"/>
          <w:szCs w:val="20"/>
          <w:color w:val="auto"/>
        </w:rPr>
      </w:pPr>
    </w:p>
    <w:p>
      <w:pPr>
        <w:ind w:right="3560" w:firstLine="469"/>
        <w:spacing w:after="0" w:line="258" w:lineRule="auto"/>
        <w:rPr>
          <w:sz w:val="20"/>
          <w:szCs w:val="20"/>
          <w:color w:val="auto"/>
        </w:rPr>
      </w:pPr>
      <w:r>
        <w:rPr>
          <w:rFonts w:ascii="Courier New" w:cs="Courier New" w:eastAsia="Courier New" w:hAnsi="Courier New"/>
          <w:sz w:val="15"/>
          <w:szCs w:val="15"/>
          <w:color w:val="auto"/>
        </w:rPr>
        <w:t>A special general meeting of our shareholders was held on December 10, 1999. At that meeting, our shareholders voted to approve the spin-off of Sedco Forex. There were 549,851,321 shares of our common eligible to be voted at the meeting, of which 371,661,164 shares were voted. The results were as follows:</w:t>
      </w:r>
    </w:p>
    <w:p>
      <w:pPr>
        <w:spacing w:after="0" w:line="167" w:lineRule="exact"/>
        <w:rPr>
          <w:sz w:val="20"/>
          <w:szCs w:val="20"/>
          <w:color w:val="auto"/>
        </w:rPr>
      </w:pPr>
    </w:p>
    <w:tbl>
      <w:tblPr>
        <w:tblLayout w:type="fixed"/>
        <w:tblInd w:w="1400" w:type="dxa"/>
        <w:tblCellMar>
          <w:top w:w="0" w:type="dxa"/>
          <w:left w:w="0" w:type="dxa"/>
          <w:bottom w:w="0" w:type="dxa"/>
          <w:right w:w="0" w:type="dxa"/>
        </w:tblCellMar>
      </w:tblPr>
      <w:tr>
        <w:trPr>
          <w:trHeight w:val="181"/>
        </w:trPr>
        <w:tc>
          <w:tcPr>
            <w:tcW w:w="1740" w:type="dxa"/>
            <w:vAlign w:val="bottom"/>
          </w:tcPr>
          <w:p>
            <w:pPr>
              <w:spacing w:after="0"/>
              <w:rPr>
                <w:sz w:val="20"/>
                <w:szCs w:val="20"/>
                <w:color w:val="auto"/>
              </w:rPr>
            </w:pPr>
            <w:r>
              <w:rPr>
                <w:rFonts w:ascii="Courier New" w:cs="Courier New" w:eastAsia="Courier New" w:hAnsi="Courier New"/>
                <w:sz w:val="16"/>
                <w:szCs w:val="16"/>
                <w:color w:val="auto"/>
              </w:rPr>
              <w:t>For</w:t>
            </w:r>
          </w:p>
        </w:tc>
        <w:tc>
          <w:tcPr>
            <w:tcW w:w="2400" w:type="dxa"/>
            <w:vAlign w:val="bottom"/>
          </w:tcPr>
          <w:p>
            <w:pPr>
              <w:jc w:val="right"/>
              <w:spacing w:after="0"/>
              <w:rPr>
                <w:sz w:val="20"/>
                <w:szCs w:val="20"/>
                <w:color w:val="auto"/>
              </w:rPr>
            </w:pPr>
            <w:r>
              <w:rPr>
                <w:rFonts w:ascii="Courier New" w:cs="Courier New" w:eastAsia="Courier New" w:hAnsi="Courier New"/>
                <w:sz w:val="16"/>
                <w:szCs w:val="16"/>
                <w:color w:val="auto"/>
              </w:rPr>
              <w:t>368,722,084.02</w:t>
            </w:r>
          </w:p>
        </w:tc>
      </w:tr>
      <w:tr>
        <w:trPr>
          <w:trHeight w:val="361"/>
        </w:trPr>
        <w:tc>
          <w:tcPr>
            <w:tcW w:w="1740" w:type="dxa"/>
            <w:vAlign w:val="bottom"/>
          </w:tcPr>
          <w:p>
            <w:pPr>
              <w:spacing w:after="0"/>
              <w:rPr>
                <w:sz w:val="20"/>
                <w:szCs w:val="20"/>
                <w:color w:val="auto"/>
              </w:rPr>
            </w:pPr>
            <w:r>
              <w:rPr>
                <w:rFonts w:ascii="Courier New" w:cs="Courier New" w:eastAsia="Courier New" w:hAnsi="Courier New"/>
                <w:sz w:val="16"/>
                <w:szCs w:val="16"/>
                <w:color w:val="auto"/>
              </w:rPr>
              <w:t>Against</w:t>
            </w:r>
          </w:p>
        </w:tc>
        <w:tc>
          <w:tcPr>
            <w:tcW w:w="2400" w:type="dxa"/>
            <w:vAlign w:val="bottom"/>
          </w:tcPr>
          <w:p>
            <w:pPr>
              <w:jc w:val="right"/>
              <w:spacing w:after="0"/>
              <w:rPr>
                <w:sz w:val="20"/>
                <w:szCs w:val="20"/>
                <w:color w:val="auto"/>
              </w:rPr>
            </w:pPr>
            <w:r>
              <w:rPr>
                <w:rFonts w:ascii="Courier New" w:cs="Courier New" w:eastAsia="Courier New" w:hAnsi="Courier New"/>
                <w:sz w:val="16"/>
                <w:szCs w:val="16"/>
                <w:color w:val="auto"/>
              </w:rPr>
              <w:t>1,281,903.46</w:t>
            </w:r>
          </w:p>
        </w:tc>
      </w:tr>
      <w:tr>
        <w:trPr>
          <w:trHeight w:val="361"/>
        </w:trPr>
        <w:tc>
          <w:tcPr>
            <w:tcW w:w="1740" w:type="dxa"/>
            <w:vAlign w:val="bottom"/>
          </w:tcPr>
          <w:p>
            <w:pPr>
              <w:spacing w:after="0"/>
              <w:rPr>
                <w:sz w:val="20"/>
                <w:szCs w:val="20"/>
                <w:color w:val="auto"/>
              </w:rPr>
            </w:pPr>
            <w:r>
              <w:rPr>
                <w:rFonts w:ascii="Courier New" w:cs="Courier New" w:eastAsia="Courier New" w:hAnsi="Courier New"/>
                <w:sz w:val="16"/>
                <w:szCs w:val="16"/>
                <w:color w:val="auto"/>
              </w:rPr>
              <w:t>Abstain</w:t>
            </w:r>
          </w:p>
        </w:tc>
        <w:tc>
          <w:tcPr>
            <w:tcW w:w="2400" w:type="dxa"/>
            <w:vAlign w:val="bottom"/>
          </w:tcPr>
          <w:p>
            <w:pPr>
              <w:jc w:val="right"/>
              <w:spacing w:after="0"/>
              <w:rPr>
                <w:sz w:val="20"/>
                <w:szCs w:val="20"/>
                <w:color w:val="auto"/>
              </w:rPr>
            </w:pPr>
            <w:r>
              <w:rPr>
                <w:rFonts w:ascii="Courier New" w:cs="Courier New" w:eastAsia="Courier New" w:hAnsi="Courier New"/>
                <w:sz w:val="16"/>
                <w:szCs w:val="16"/>
                <w:color w:val="auto"/>
              </w:rPr>
              <w:t>1,657,176.52</w:t>
            </w:r>
          </w:p>
        </w:tc>
      </w:tr>
    </w:tbl>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(b) Earnings charge</w:t>
      </w:r>
    </w:p>
    <w:p>
      <w:pPr>
        <w:spacing w:after="0" w:line="185" w:lineRule="exact"/>
        <w:rPr>
          <w:sz w:val="20"/>
          <w:szCs w:val="20"/>
          <w:color w:val="auto"/>
        </w:rPr>
      </w:pPr>
    </w:p>
    <w:p>
      <w:pPr>
        <w:ind w:right="4120" w:firstLine="469"/>
        <w:spacing w:after="0" w:line="236" w:lineRule="auto"/>
        <w:rPr>
          <w:sz w:val="20"/>
          <w:szCs w:val="20"/>
          <w:color w:val="auto"/>
        </w:rPr>
      </w:pPr>
      <w:r>
        <w:rPr>
          <w:rFonts w:ascii="Courier New" w:cs="Courier New" w:eastAsia="Courier New" w:hAnsi="Courier New"/>
          <w:sz w:val="16"/>
          <w:szCs w:val="16"/>
          <w:color w:val="auto"/>
        </w:rPr>
        <w:t>On January 10, 2000, Schlumberger announced that it will record the following fourth quarter 1999 charges:</w:t>
      </w:r>
    </w:p>
    <w:p>
      <w:pPr>
        <w:spacing w:after="0" w:line="185" w:lineRule="exact"/>
        <w:rPr>
          <w:sz w:val="20"/>
          <w:szCs w:val="20"/>
          <w:color w:val="auto"/>
        </w:rPr>
      </w:pPr>
    </w:p>
    <w:p>
      <w:pPr>
        <w:jc w:val="both"/>
        <w:ind w:left="740" w:right="4020" w:hanging="274"/>
        <w:spacing w:after="0" w:line="237" w:lineRule="auto"/>
        <w:tabs>
          <w:tab w:leader="none" w:pos="7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$50 million as part of discontinued operations for costs directly associated with the spin-off of its offshore drilling business to shareholders.</w:t>
      </w:r>
    </w:p>
    <w:p>
      <w:pPr>
        <w:spacing w:after="0" w:line="185" w:lineRule="exact"/>
        <w:rPr>
          <w:sz w:val="20"/>
          <w:szCs w:val="20"/>
          <w:color w:val="auto"/>
        </w:rPr>
      </w:pPr>
    </w:p>
    <w:p>
      <w:pPr>
        <w:jc w:val="both"/>
        <w:ind w:left="740" w:right="3740" w:hanging="274"/>
        <w:spacing w:after="0" w:line="264" w:lineRule="auto"/>
        <w:tabs>
          <w:tab w:leader="none" w:pos="7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 million against income from continuing operations related to the restructuring of its land drilling activity because of the spin-off.</w:t>
      </w:r>
    </w:p>
    <w:p>
      <w:pPr>
        <w:spacing w:after="0" w:line="168" w:lineRule="exact"/>
        <w:rPr>
          <w:sz w:val="20"/>
          <w:szCs w:val="20"/>
          <w:color w:val="auto"/>
        </w:rPr>
      </w:pPr>
    </w:p>
    <w:p>
      <w:pPr>
        <w:ind w:left="740" w:right="3460" w:hanging="274"/>
        <w:spacing w:after="0" w:line="236" w:lineRule="auto"/>
        <w:tabs>
          <w:tab w:leader="none" w:pos="7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$26 million against income from continuing operations related primarily to the reduction of its marine seismic fleet.</w:t>
      </w:r>
    </w:p>
    <w:p>
      <w:pPr>
        <w:spacing w:after="0" w:line="185" w:lineRule="exact"/>
        <w:rPr>
          <w:sz w:val="20"/>
          <w:szCs w:val="20"/>
          <w:color w:val="auto"/>
        </w:rPr>
      </w:pPr>
    </w:p>
    <w:p>
      <w:pPr>
        <w:ind w:right="3380"/>
        <w:spacing w:after="0" w:line="236" w:lineRule="auto"/>
        <w:rPr>
          <w:sz w:val="20"/>
          <w:szCs w:val="20"/>
          <w:color w:val="auto"/>
        </w:rPr>
      </w:pPr>
      <w:r>
        <w:rPr>
          <w:rFonts w:ascii="Courier New" w:cs="Courier New" w:eastAsia="Courier New" w:hAnsi="Courier New"/>
          <w:sz w:val="16"/>
          <w:szCs w:val="16"/>
          <w:color w:val="auto"/>
        </w:rPr>
        <w:t>The total charge to income from continuing operations will be $63 million ($0.11 per share).</w:t>
      </w:r>
    </w:p>
    <w:p>
      <w:pPr>
        <w:spacing w:after="0" w:line="361"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7.</w:t>
      </w:r>
      <w:r>
        <w:rPr>
          <w:sz w:val="20"/>
          <w:szCs w:val="20"/>
          <w:color w:val="auto"/>
        </w:rPr>
        <w:tab/>
      </w:r>
      <w:r>
        <w:rPr>
          <w:rFonts w:ascii="Courier New" w:cs="Courier New" w:eastAsia="Courier New" w:hAnsi="Courier New"/>
          <w:sz w:val="15"/>
          <w:szCs w:val="15"/>
          <w:color w:val="auto"/>
        </w:rPr>
        <w:t>Financial Statements and Exhibits</w:t>
      </w:r>
    </w:p>
    <w:p>
      <w:pPr>
        <w:spacing w:after="0" w:line="180" w:lineRule="exact"/>
        <w:rPr>
          <w:sz w:val="20"/>
          <w:szCs w:val="20"/>
          <w:color w:val="auto"/>
        </w:rPr>
      </w:pPr>
    </w:p>
    <w:p>
      <w:pPr>
        <w:ind w:left="840" w:hanging="374"/>
        <w:spacing w:after="0"/>
        <w:tabs>
          <w:tab w:leader="none" w:pos="8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 Forma Financial Information.</w:t>
      </w:r>
    </w:p>
    <w:p>
      <w:pPr>
        <w:spacing w:after="0" w:line="200" w:lineRule="exact"/>
        <w:rPr>
          <w:rFonts w:ascii="Courier New" w:cs="Courier New" w:eastAsia="Courier New" w:hAnsi="Courier New"/>
          <w:sz w:val="16"/>
          <w:szCs w:val="16"/>
          <w:color w:val="auto"/>
        </w:rPr>
      </w:pPr>
    </w:p>
    <w:p>
      <w:pPr>
        <w:spacing w:after="0" w:line="345" w:lineRule="exact"/>
        <w:rPr>
          <w:rFonts w:ascii="Courier New" w:cs="Courier New" w:eastAsia="Courier New" w:hAnsi="Courier New"/>
          <w:sz w:val="16"/>
          <w:szCs w:val="16"/>
          <w:color w:val="auto"/>
        </w:rPr>
      </w:pPr>
    </w:p>
    <w:p>
      <w:pPr>
        <w:jc w:val="both"/>
        <w:ind w:left="840"/>
        <w:spacing w:after="0" w:line="256"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Unaudited Condensed Pro Forma Balance Sheet as of September 30, 1999.................................. F-2 Unaudited Condensed Pro Forma Statement of Operations for the Nine Months Ended September 30, 1999.... F-3 Unaudited Condensed Pro Forma Statement of Operations for the Nine Months Ended September 30, 1998.... F-4 Unaudited Condensed Pro Forma Statement of Operations for the Year Ended December 31, 1998............ F-5 Unaudited Condensed Pro Forma Statement of Operations for the Year Ended December 31, 1997............ F-6 Unaudited Condensed Pro Forma Statement of Operations for the Year Ended December 31, 1996............ F-7 Notes to Unaudited Condensed Pro Forma Financial Statements........................................... F-8</w:t>
      </w:r>
    </w:p>
    <w:p>
      <w:pPr>
        <w:spacing w:after="0" w:line="351" w:lineRule="exact"/>
        <w:rPr>
          <w:rFonts w:ascii="Courier New" w:cs="Courier New" w:eastAsia="Courier New" w:hAnsi="Courier New"/>
          <w:sz w:val="16"/>
          <w:szCs w:val="16"/>
          <w:color w:val="auto"/>
        </w:rPr>
      </w:pPr>
    </w:p>
    <w:p>
      <w:pPr>
        <w:ind w:left="840" w:hanging="374"/>
        <w:spacing w:after="0"/>
        <w:tabs>
          <w:tab w:leader="none" w:pos="8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5" w:lineRule="exact"/>
        <w:rPr>
          <w:sz w:val="20"/>
          <w:szCs w:val="20"/>
          <w:color w:val="auto"/>
        </w:rPr>
      </w:pPr>
    </w:p>
    <w:p>
      <w:pPr>
        <w:ind w:left="940" w:right="3380" w:hanging="750"/>
        <w:spacing w:after="0" w:line="237" w:lineRule="auto"/>
        <w:tabs>
          <w:tab w:leader="none" w:pos="920" w:val="left"/>
        </w:tabs>
        <w:rPr>
          <w:sz w:val="20"/>
          <w:szCs w:val="20"/>
          <w:color w:val="auto"/>
        </w:rPr>
      </w:pPr>
      <w:r>
        <w:rPr>
          <w:rFonts w:ascii="Courier New" w:cs="Courier New" w:eastAsia="Courier New" w:hAnsi="Courier New"/>
          <w:sz w:val="16"/>
          <w:szCs w:val="16"/>
          <w:color w:val="auto"/>
        </w:rPr>
        <w:t>2.1</w:t>
        <w:tab/>
        <w:t>- Agreement and Plan of Merger dated as of July 12, 1999 among Schlumberger Limited, Sedco Forex Holdings Limited and Transocean Offshore Inc. (incorporated by reference to Annex A of our Schedule 14A Proxy Statement filed November 1, 1999)</w:t>
      </w:r>
    </w:p>
    <w:p>
      <w:pPr>
        <w:spacing w:after="0" w:line="187" w:lineRule="exact"/>
        <w:rPr>
          <w:sz w:val="20"/>
          <w:szCs w:val="20"/>
          <w:color w:val="auto"/>
        </w:rPr>
      </w:pPr>
    </w:p>
    <w:p>
      <w:pPr>
        <w:ind w:left="940" w:right="3380" w:hanging="750"/>
        <w:spacing w:after="0" w:line="237" w:lineRule="auto"/>
        <w:tabs>
          <w:tab w:leader="none" w:pos="920" w:val="left"/>
        </w:tabs>
        <w:rPr>
          <w:sz w:val="20"/>
          <w:szCs w:val="20"/>
          <w:color w:val="auto"/>
        </w:rPr>
      </w:pPr>
      <w:r>
        <w:rPr>
          <w:rFonts w:ascii="Courier New" w:cs="Courier New" w:eastAsia="Courier New" w:hAnsi="Courier New"/>
          <w:sz w:val="16"/>
          <w:szCs w:val="16"/>
          <w:color w:val="auto"/>
        </w:rPr>
        <w:t>2.2</w:t>
        <w:tab/>
        <w:t>- Distribution Agreement dated as of July 12, 1999 between Schlumberger Limited and Sedco Forex Holdings Limited (incorporated by reference to Annex B of our Schedule 14A Proxy Statement filed November 1, 1999)</w:t>
      </w:r>
    </w:p>
    <w:p>
      <w:pPr>
        <w:spacing w:after="0" w:line="187" w:lineRule="exact"/>
        <w:rPr>
          <w:sz w:val="20"/>
          <w:szCs w:val="20"/>
          <w:color w:val="auto"/>
        </w:rPr>
      </w:pPr>
    </w:p>
    <w:p>
      <w:pPr>
        <w:ind w:left="1220" w:right="3460" w:hanging="750"/>
        <w:spacing w:after="0" w:line="236" w:lineRule="auto"/>
        <w:tabs>
          <w:tab w:leader="none" w:pos="1200" w:val="left"/>
        </w:tabs>
        <w:rPr>
          <w:sz w:val="20"/>
          <w:szCs w:val="20"/>
          <w:color w:val="auto"/>
        </w:rPr>
      </w:pPr>
      <w:r>
        <w:rPr>
          <w:rFonts w:ascii="Courier New" w:cs="Courier New" w:eastAsia="Courier New" w:hAnsi="Courier New"/>
          <w:sz w:val="16"/>
          <w:szCs w:val="16"/>
          <w:color w:val="auto"/>
        </w:rPr>
        <w:t>99.1 -</w:t>
        <w:tab/>
        <w:t>Press Release dated December 31, 1999 announcing the completion of the spin-off and the merger</w:t>
      </w:r>
    </w:p>
    <w:p>
      <w:pPr>
        <w:spacing w:after="0" w:line="180"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3</w:t>
      </w:r>
    </w:p>
    <w:p>
      <w:pPr>
        <w:sectPr>
          <w:pgSz w:w="11900" w:h="16838" w:orient="portrait"/>
          <w:cols w:equalWidth="0" w:num="1">
            <w:col w:w="10880"/>
          </w:cols>
          <w:pgMar w:left="320" w:top="654" w:right="699" w:bottom="1440" w:gutter="0" w:footer="0" w:header="0"/>
        </w:sectPr>
      </w:pPr>
    </w:p>
    <w:bookmarkStart w:id="3" w:name="page4"/>
    <w:bookmarkEnd w:id="3"/>
    <w:p>
      <w:pPr>
        <w:ind w:left="3180"/>
        <w:spacing w:after="0"/>
        <w:rPr>
          <w:sz w:val="20"/>
          <w:szCs w:val="20"/>
          <w:color w:val="auto"/>
        </w:rPr>
      </w:pPr>
      <w:r>
        <w:rPr>
          <w:rFonts w:ascii="Courier New" w:cs="Courier New" w:eastAsia="Courier New" w:hAnsi="Courier New"/>
          <w:sz w:val="16"/>
          <w:szCs w:val="16"/>
          <w:color w:val="auto"/>
        </w:rPr>
        <w:t>SIGNATURES</w:t>
      </w:r>
    </w:p>
    <w:p>
      <w:pPr>
        <w:spacing w:after="0" w:line="365" w:lineRule="exact"/>
        <w:rPr>
          <w:sz w:val="20"/>
          <w:szCs w:val="20"/>
          <w:color w:val="auto"/>
        </w:rPr>
      </w:pPr>
    </w:p>
    <w:p>
      <w:pPr>
        <w:ind w:right="291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361"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SCHLUMBERGER N.V.</w:t>
      </w:r>
    </w:p>
    <w:p>
      <w:pPr>
        <w:ind w:left="3480"/>
        <w:spacing w:after="0"/>
        <w:rPr>
          <w:sz w:val="20"/>
          <w:szCs w:val="20"/>
          <w:color w:val="auto"/>
        </w:rPr>
      </w:pPr>
      <w:r>
        <w:rPr>
          <w:rFonts w:ascii="Courier New" w:cs="Courier New" w:eastAsia="Courier New" w:hAnsi="Courier New"/>
          <w:sz w:val="16"/>
          <w:szCs w:val="16"/>
          <w:color w:val="auto"/>
        </w:rPr>
        <w:t>(Schlumberger Limited)</w:t>
      </w:r>
    </w:p>
    <w:p>
      <w:pPr>
        <w:sectPr>
          <w:pgSz w:w="11900" w:h="16838" w:orient="portrait"/>
          <w:cols w:equalWidth="0" w:num="1">
            <w:col w:w="10139"/>
          </w:cols>
          <w:pgMar w:left="320" w:top="654" w:right="1440" w:bottom="1440" w:gutter="0" w:footer="0" w:header="0"/>
        </w:sectPr>
      </w:pPr>
    </w:p>
    <w:p>
      <w:pPr>
        <w:spacing w:after="0" w:line="3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10, 1999</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460"/>
        <w:spacing w:after="0"/>
        <w:tabs>
          <w:tab w:leader="none" w:pos="1000" w:val="left"/>
        </w:tabs>
        <w:rPr>
          <w:sz w:val="20"/>
          <w:szCs w:val="20"/>
          <w:color w:val="auto"/>
        </w:rPr>
      </w:pPr>
      <w:r>
        <w:rPr>
          <w:rFonts w:ascii="Courier New" w:cs="Courier New" w:eastAsia="Courier New" w:hAnsi="Courier New"/>
          <w:sz w:val="16"/>
          <w:szCs w:val="16"/>
          <w:color w:val="auto"/>
        </w:rPr>
        <w:t>/s/</w:t>
        <w:tab/>
        <w:t>JACK LIU</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_________________________________</w:t>
      </w:r>
    </w:p>
    <w:p>
      <w:pPr>
        <w:spacing w:after="0" w:line="6" w:lineRule="exact"/>
        <w:rPr>
          <w:sz w:val="20"/>
          <w:szCs w:val="20"/>
          <w:color w:val="auto"/>
        </w:rPr>
      </w:pPr>
    </w:p>
    <w:p>
      <w:pPr>
        <w:ind w:left="360"/>
        <w:spacing w:after="0"/>
        <w:tabs>
          <w:tab w:leader="none" w:pos="1000" w:val="left"/>
        </w:tabs>
        <w:rPr>
          <w:sz w:val="20"/>
          <w:szCs w:val="20"/>
          <w:color w:val="auto"/>
        </w:rPr>
      </w:pPr>
      <w:r>
        <w:rPr>
          <w:rFonts w:ascii="Courier New" w:cs="Courier New" w:eastAsia="Courier New" w:hAnsi="Courier New"/>
          <w:sz w:val="16"/>
          <w:szCs w:val="16"/>
          <w:color w:val="auto"/>
        </w:rPr>
        <w:t>Name:</w:t>
        <w:tab/>
        <w:t>Jack Liu</w:t>
      </w:r>
    </w:p>
    <w:p>
      <w:pPr>
        <w:spacing w:after="0" w:line="1" w:lineRule="exact"/>
        <w:rPr>
          <w:sz w:val="20"/>
          <w:szCs w:val="20"/>
          <w:color w:val="auto"/>
        </w:rPr>
      </w:pPr>
    </w:p>
    <w:p>
      <w:pPr>
        <w:sectPr>
          <w:pgSz w:w="11900" w:h="16838" w:orient="portrait"/>
          <w:cols w:equalWidth="0" w:num="3">
            <w:col w:w="560" w:space="180"/>
            <w:col w:w="2020" w:space="720"/>
            <w:col w:w="6659"/>
          </w:cols>
          <w:pgMar w:left="320" w:top="654" w:right="1440" w:bottom="1440" w:gutter="0" w:footer="0" w:header="0"/>
          <w:type w:val="continuous"/>
        </w:sectPr>
      </w:pPr>
    </w:p>
    <w:p>
      <w:pPr>
        <w:jc w:val="right"/>
        <w:ind w:right="2639"/>
        <w:spacing w:after="0"/>
        <w:rPr>
          <w:sz w:val="20"/>
          <w:szCs w:val="20"/>
          <w:color w:val="auto"/>
        </w:rPr>
      </w:pPr>
      <w:r>
        <w:rPr>
          <w:rFonts w:ascii="Courier New" w:cs="Courier New" w:eastAsia="Courier New" w:hAnsi="Courier New"/>
          <w:sz w:val="16"/>
          <w:szCs w:val="16"/>
          <w:color w:val="auto"/>
        </w:rPr>
        <w:t>Title: Executive Vice President-Finance</w:t>
      </w:r>
    </w:p>
    <w:p>
      <w:pPr>
        <w:ind w:left="4500"/>
        <w:spacing w:after="0" w:line="238" w:lineRule="auto"/>
        <w:rPr>
          <w:sz w:val="20"/>
          <w:szCs w:val="20"/>
          <w:color w:val="auto"/>
        </w:rPr>
      </w:pPr>
      <w:r>
        <w:rPr>
          <w:rFonts w:ascii="Courier New" w:cs="Courier New" w:eastAsia="Courier New" w:hAnsi="Courier New"/>
          <w:sz w:val="16"/>
          <w:szCs w:val="16"/>
          <w:color w:val="auto"/>
        </w:rPr>
        <w:t>Chief Financial Officer</w:t>
      </w:r>
    </w:p>
    <w:p>
      <w:pPr>
        <w:ind w:left="4500"/>
        <w:spacing w:after="0"/>
        <w:rPr>
          <w:sz w:val="20"/>
          <w:szCs w:val="20"/>
          <w:color w:val="auto"/>
        </w:rPr>
      </w:pPr>
      <w:r>
        <w:rPr>
          <w:rFonts w:ascii="Courier New" w:cs="Courier New" w:eastAsia="Courier New" w:hAnsi="Courier New"/>
          <w:sz w:val="16"/>
          <w:szCs w:val="16"/>
          <w:color w:val="auto"/>
        </w:rPr>
        <w:t>Chief Accounting Officer</w:t>
      </w:r>
    </w:p>
    <w:p>
      <w:pPr>
        <w:spacing w:after="0" w:line="179"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Page 4</w:t>
      </w:r>
    </w:p>
    <w:p>
      <w:pPr>
        <w:sectPr>
          <w:pgSz w:w="11900" w:h="16838" w:orient="portrait"/>
          <w:cols w:equalWidth="0" w:num="1">
            <w:col w:w="10139"/>
          </w:cols>
          <w:pgMar w:left="320" w:top="654" w:right="1440" w:bottom="1440" w:gutter="0" w:footer="0" w:header="0"/>
          <w:type w:val="continuous"/>
        </w:sectPr>
      </w:pPr>
    </w:p>
    <w:bookmarkStart w:id="4" w:name="page5"/>
    <w:bookmarkEnd w:id="4"/>
    <w:p>
      <w:pPr>
        <w:ind w:left="1320"/>
        <w:spacing w:after="0"/>
        <w:rPr>
          <w:sz w:val="20"/>
          <w:szCs w:val="20"/>
          <w:color w:val="auto"/>
        </w:rPr>
      </w:pPr>
      <w:r>
        <w:rPr>
          <w:rFonts w:ascii="Courier New" w:cs="Courier New" w:eastAsia="Courier New" w:hAnsi="Courier New"/>
          <w:sz w:val="16"/>
          <w:szCs w:val="16"/>
          <w:color w:val="auto"/>
        </w:rPr>
        <w:t>Unaudited Condensed Pro Forma Financial Statements</w:t>
      </w:r>
    </w:p>
    <w:p>
      <w:pPr>
        <w:spacing w:after="0" w:line="185" w:lineRule="exact"/>
        <w:rPr>
          <w:sz w:val="20"/>
          <w:szCs w:val="20"/>
          <w:color w:val="auto"/>
        </w:rPr>
      </w:pPr>
    </w:p>
    <w:p>
      <w:pPr>
        <w:jc w:val="both"/>
        <w:ind w:right="3379" w:firstLine="469"/>
        <w:spacing w:after="0" w:line="237" w:lineRule="auto"/>
        <w:rPr>
          <w:sz w:val="20"/>
          <w:szCs w:val="20"/>
          <w:color w:val="auto"/>
        </w:rPr>
      </w:pPr>
      <w:r>
        <w:rPr>
          <w:rFonts w:ascii="Courier New" w:cs="Courier New" w:eastAsia="Courier New" w:hAnsi="Courier New"/>
          <w:sz w:val="16"/>
          <w:szCs w:val="16"/>
          <w:color w:val="auto"/>
        </w:rPr>
        <w:t>The following unaudited condensed pro forma financial statements of Schlumberger reflect the spin-off of Sedco Forex and other related party adjustments in connection with the spin-off.</w:t>
      </w:r>
    </w:p>
    <w:p>
      <w:pPr>
        <w:spacing w:after="0" w:line="185" w:lineRule="exact"/>
        <w:rPr>
          <w:sz w:val="20"/>
          <w:szCs w:val="20"/>
          <w:color w:val="auto"/>
        </w:rPr>
      </w:pPr>
    </w:p>
    <w:p>
      <w:pPr>
        <w:ind w:right="2719" w:firstLine="469"/>
        <w:spacing w:after="0" w:line="237" w:lineRule="auto"/>
        <w:rPr>
          <w:sz w:val="20"/>
          <w:szCs w:val="20"/>
          <w:color w:val="auto"/>
        </w:rPr>
      </w:pPr>
      <w:r>
        <w:rPr>
          <w:rFonts w:ascii="Courier New" w:cs="Courier New" w:eastAsia="Courier New" w:hAnsi="Courier New"/>
          <w:sz w:val="16"/>
          <w:szCs w:val="16"/>
          <w:color w:val="auto"/>
        </w:rPr>
        <w:t>We derived these unaudited condensed pro forma financial statements from the audited and unaudited financial statements of Schlumberger and Sedco Forex for the periods indicated. The statements of operations assume the spin-off was completed on January 1 of the period presented. The balance sheet assumes the spin-off was completed on September 30, 1999.</w:t>
      </w:r>
    </w:p>
    <w:p>
      <w:pPr>
        <w:spacing w:after="0" w:line="188" w:lineRule="exact"/>
        <w:rPr>
          <w:sz w:val="20"/>
          <w:szCs w:val="20"/>
          <w:color w:val="auto"/>
        </w:rPr>
      </w:pPr>
    </w:p>
    <w:p>
      <w:pPr>
        <w:ind w:right="2639" w:firstLine="469"/>
        <w:spacing w:after="0" w:line="238" w:lineRule="auto"/>
        <w:rPr>
          <w:sz w:val="20"/>
          <w:szCs w:val="20"/>
          <w:color w:val="auto"/>
        </w:rPr>
      </w:pPr>
      <w:r>
        <w:rPr>
          <w:rFonts w:ascii="Courier New" w:cs="Courier New" w:eastAsia="Courier New" w:hAnsi="Courier New"/>
          <w:sz w:val="16"/>
          <w:szCs w:val="16"/>
          <w:color w:val="auto"/>
        </w:rPr>
        <w:t>If the spin-off had been completed earlier, Schlumberger and Sedco Forex might have performed differently. You should not rely on the pro forma financial information as an indication of the financial position or results of operations that Schlumberger or Sedco Forex would have achieved had the spin-off taken place earlier or of the future results that Schlumberger or Sedco Forex will achieve after the spin-off.</w:t>
      </w:r>
    </w:p>
    <w:p>
      <w:pPr>
        <w:spacing w:after="0" w:line="186" w:lineRule="exact"/>
        <w:rPr>
          <w:sz w:val="20"/>
          <w:szCs w:val="20"/>
          <w:color w:val="auto"/>
        </w:rPr>
      </w:pPr>
    </w:p>
    <w:p>
      <w:pPr>
        <w:ind w:right="2919" w:firstLine="469"/>
        <w:spacing w:after="0" w:line="236" w:lineRule="auto"/>
        <w:rPr>
          <w:sz w:val="20"/>
          <w:szCs w:val="20"/>
          <w:color w:val="auto"/>
        </w:rPr>
      </w:pPr>
      <w:r>
        <w:rPr>
          <w:rFonts w:ascii="Courier New" w:cs="Courier New" w:eastAsia="Courier New" w:hAnsi="Courier New"/>
          <w:sz w:val="16"/>
          <w:szCs w:val="16"/>
          <w:color w:val="auto"/>
        </w:rPr>
        <w:t>Schlumberger is expected to incur fees and expenses of approximately $50 million in connection with the spin-off and related transactions.</w:t>
      </w:r>
    </w:p>
    <w:p>
      <w:pPr>
        <w:spacing w:after="0" w:line="180" w:lineRule="exact"/>
        <w:rPr>
          <w:sz w:val="20"/>
          <w:szCs w:val="20"/>
          <w:color w:val="auto"/>
        </w:rPr>
      </w:pPr>
    </w:p>
    <w:p>
      <w:pPr>
        <w:ind w:left="3560"/>
        <w:spacing w:after="0"/>
        <w:rPr>
          <w:sz w:val="20"/>
          <w:szCs w:val="20"/>
          <w:color w:val="auto"/>
        </w:rPr>
      </w:pPr>
      <w:r>
        <w:rPr>
          <w:rFonts w:ascii="Courier New" w:cs="Courier New" w:eastAsia="Courier New" w:hAnsi="Courier New"/>
          <w:sz w:val="16"/>
          <w:szCs w:val="16"/>
          <w:color w:val="auto"/>
        </w:rPr>
        <w:t>F-1</w:t>
      </w:r>
    </w:p>
    <w:p>
      <w:pPr>
        <w:sectPr>
          <w:pgSz w:w="11900" w:h="16838" w:orient="portrait"/>
          <w:cols w:equalWidth="0" w:num="1">
            <w:col w:w="10139"/>
          </w:cols>
          <w:pgMar w:left="320" w:top="654" w:right="1440" w:bottom="1440" w:gutter="0" w:footer="0" w:header="0"/>
        </w:sectPr>
      </w:pPr>
    </w:p>
    <w:bookmarkStart w:id="5" w:name="page6"/>
    <w:bookmarkEnd w:id="5"/>
    <w:p>
      <w:pPr>
        <w:ind w:left="1684"/>
        <w:spacing w:after="0"/>
        <w:rPr>
          <w:sz w:val="20"/>
          <w:szCs w:val="20"/>
          <w:color w:val="auto"/>
        </w:rPr>
      </w:pPr>
      <w:r>
        <w:rPr>
          <w:rFonts w:ascii="Courier New" w:cs="Courier New" w:eastAsia="Courier New" w:hAnsi="Courier New"/>
          <w:sz w:val="16"/>
          <w:szCs w:val="16"/>
          <w:color w:val="auto"/>
        </w:rPr>
        <w:t>Unaudited Condensed Pro Forma Balance Sheet</w:t>
      </w:r>
    </w:p>
    <w:tbl>
      <w:tblPr>
        <w:tblLayout w:type="fixed"/>
        <w:tblInd w:w="4" w:type="dxa"/>
        <w:tblCellMar>
          <w:top w:w="0" w:type="dxa"/>
          <w:left w:w="0" w:type="dxa"/>
          <w:bottom w:w="0" w:type="dxa"/>
          <w:right w:w="0" w:type="dxa"/>
        </w:tblCellMar>
      </w:tblPr>
      <w:tr>
        <w:trPr>
          <w:trHeight w:val="181"/>
        </w:trPr>
        <w:tc>
          <w:tcPr>
            <w:tcW w:w="548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rPr>
              <w:t>As of September 30, 1999</w:t>
            </w:r>
          </w:p>
        </w:tc>
        <w:tc>
          <w:tcPr>
            <w:tcW w:w="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722"/>
        </w:trPr>
        <w:tc>
          <w:tcPr>
            <w:tcW w:w="4040" w:type="dxa"/>
            <w:vAlign w:val="bottom"/>
          </w:tcPr>
          <w:p>
            <w:pPr>
              <w:spacing w:after="0"/>
              <w:rPr>
                <w:sz w:val="24"/>
                <w:szCs w:val="24"/>
                <w:color w:val="auto"/>
              </w:rPr>
            </w:pPr>
          </w:p>
        </w:tc>
        <w:tc>
          <w:tcPr>
            <w:tcW w:w="224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Historical</w:t>
            </w: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Pro Forma</w:t>
            </w:r>
          </w:p>
        </w:tc>
      </w:tr>
      <w:tr>
        <w:trPr>
          <w:trHeight w:val="181"/>
        </w:trPr>
        <w:tc>
          <w:tcPr>
            <w:tcW w:w="4040" w:type="dxa"/>
            <w:vAlign w:val="bottom"/>
          </w:tcPr>
          <w:p>
            <w:pPr>
              <w:spacing w:after="0"/>
              <w:rPr>
                <w:sz w:val="15"/>
                <w:szCs w:val="15"/>
                <w:color w:val="auto"/>
              </w:rPr>
            </w:pPr>
          </w:p>
        </w:tc>
        <w:tc>
          <w:tcPr>
            <w:tcW w:w="3800" w:type="dxa"/>
            <w:vAlign w:val="bottom"/>
            <w:gridSpan w:val="3"/>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1"/>
        </w:trPr>
        <w:tc>
          <w:tcPr>
            <w:tcW w:w="4040" w:type="dxa"/>
            <w:vAlign w:val="bottom"/>
          </w:tcPr>
          <w:p>
            <w:pPr>
              <w:spacing w:after="0"/>
              <w:rPr>
                <w:sz w:val="15"/>
                <w:szCs w:val="15"/>
                <w:color w:val="auto"/>
              </w:rPr>
            </w:pP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Schlumberger</w:t>
            </w:r>
          </w:p>
        </w:tc>
        <w:tc>
          <w:tcPr>
            <w:tcW w:w="236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rPr>
              <w:t>Sedco Forex</w:t>
            </w:r>
          </w:p>
        </w:tc>
        <w:tc>
          <w:tcPr>
            <w:tcW w:w="2100" w:type="dxa"/>
            <w:vAlign w:val="bottom"/>
            <w:gridSpan w:val="2"/>
          </w:tcPr>
          <w:p>
            <w:pPr>
              <w:jc w:val="right"/>
              <w:ind w:right="562"/>
              <w:spacing w:after="0"/>
              <w:rPr>
                <w:sz w:val="20"/>
                <w:szCs w:val="20"/>
                <w:color w:val="auto"/>
              </w:rPr>
            </w:pPr>
            <w:r>
              <w:rPr>
                <w:rFonts w:ascii="Courier New" w:cs="Courier New" w:eastAsia="Courier New" w:hAnsi="Courier New"/>
                <w:sz w:val="16"/>
                <w:szCs w:val="16"/>
                <w:color w:val="auto"/>
              </w:rPr>
              <w:t>Adjustments(1)</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Schlumberger</w:t>
            </w:r>
          </w:p>
        </w:tc>
      </w:tr>
      <w:tr>
        <w:trPr>
          <w:trHeight w:val="181"/>
        </w:trPr>
        <w:tc>
          <w:tcPr>
            <w:tcW w:w="4040" w:type="dxa"/>
            <w:vAlign w:val="bottom"/>
          </w:tcPr>
          <w:p>
            <w:pPr>
              <w:spacing w:after="0"/>
              <w:rPr>
                <w:sz w:val="15"/>
                <w:szCs w:val="15"/>
                <w:color w:val="auto"/>
              </w:rPr>
            </w:pP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36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56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40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(amounts in thousands)</w:t>
            </w: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361"/>
        </w:trPr>
        <w:tc>
          <w:tcPr>
            <w:tcW w:w="4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7"/>
              </w:rPr>
              <w:t>Cash and Cash Equivalents................</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$ 4,021,531</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25,560</w:t>
            </w:r>
          </w:p>
        </w:tc>
        <w:tc>
          <w:tcPr>
            <w:tcW w:w="5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(9,440)(a)</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  3,986,531</w:t>
            </w:r>
          </w:p>
        </w:tc>
      </w:tr>
      <w:tr>
        <w:trPr>
          <w:trHeight w:val="181"/>
        </w:trPr>
        <w:tc>
          <w:tcPr>
            <w:tcW w:w="4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7"/>
              </w:rPr>
              <w:t>Accounts Receivable......................</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2,694,001</w:t>
            </w:r>
          </w:p>
        </w:tc>
        <w:tc>
          <w:tcPr>
            <w:tcW w:w="800" w:type="dxa"/>
            <w:vAlign w:val="bottom"/>
          </w:tcPr>
          <w:p>
            <w:pPr>
              <w:spacing w:after="0"/>
              <w:rPr>
                <w:sz w:val="15"/>
                <w:szCs w:val="15"/>
                <w:color w:val="auto"/>
              </w:rPr>
            </w:pPr>
          </w:p>
        </w:tc>
        <w:tc>
          <w:tcPr>
            <w:tcW w:w="15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164,303</w:t>
            </w:r>
          </w:p>
        </w:tc>
        <w:tc>
          <w:tcPr>
            <w:tcW w:w="560" w:type="dxa"/>
            <w:vAlign w:val="bottom"/>
          </w:tcPr>
          <w:p>
            <w:pPr>
              <w:spacing w:after="0"/>
              <w:rPr>
                <w:sz w:val="15"/>
                <w:szCs w:val="15"/>
                <w:color w:val="auto"/>
              </w:rPr>
            </w:pP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2,529,698</w:t>
            </w:r>
          </w:p>
        </w:tc>
      </w:tr>
      <w:tr>
        <w:trPr>
          <w:trHeight w:val="181"/>
        </w:trPr>
        <w:tc>
          <w:tcPr>
            <w:tcW w:w="4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7"/>
              </w:rPr>
              <w:t>Other Current Assets.....................</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1,922,464</w:t>
            </w:r>
          </w:p>
        </w:tc>
        <w:tc>
          <w:tcPr>
            <w:tcW w:w="800" w:type="dxa"/>
            <w:vAlign w:val="bottom"/>
          </w:tcPr>
          <w:p>
            <w:pPr>
              <w:spacing w:after="0"/>
              <w:rPr>
                <w:sz w:val="15"/>
                <w:szCs w:val="15"/>
                <w:color w:val="auto"/>
              </w:rPr>
            </w:pPr>
          </w:p>
        </w:tc>
        <w:tc>
          <w:tcPr>
            <w:tcW w:w="15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139,659</w:t>
            </w:r>
          </w:p>
        </w:tc>
        <w:tc>
          <w:tcPr>
            <w:tcW w:w="560" w:type="dxa"/>
            <w:vAlign w:val="bottom"/>
          </w:tcPr>
          <w:p>
            <w:pPr>
              <w:spacing w:after="0"/>
              <w:rPr>
                <w:sz w:val="15"/>
                <w:szCs w:val="15"/>
                <w:color w:val="auto"/>
              </w:rPr>
            </w:pP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387,840(b)</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2,170,645</w:t>
            </w:r>
          </w:p>
        </w:tc>
      </w:tr>
      <w:tr>
        <w:trPr>
          <w:trHeight w:val="181"/>
        </w:trPr>
        <w:tc>
          <w:tcPr>
            <w:tcW w:w="4040" w:type="dxa"/>
            <w:vAlign w:val="bottom"/>
          </w:tcPr>
          <w:p>
            <w:pPr>
              <w:spacing w:after="0"/>
              <w:rPr>
                <w:sz w:val="15"/>
                <w:szCs w:val="15"/>
                <w:color w:val="auto"/>
              </w:rPr>
            </w:pP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36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4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Total Current Assets................</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8,637,996</w:t>
            </w:r>
          </w:p>
        </w:tc>
        <w:tc>
          <w:tcPr>
            <w:tcW w:w="800" w:type="dxa"/>
            <w:vAlign w:val="bottom"/>
          </w:tcPr>
          <w:p>
            <w:pPr>
              <w:spacing w:after="0"/>
              <w:rPr>
                <w:sz w:val="15"/>
                <w:szCs w:val="15"/>
                <w:color w:val="auto"/>
              </w:rPr>
            </w:pPr>
          </w:p>
        </w:tc>
        <w:tc>
          <w:tcPr>
            <w:tcW w:w="15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329,522</w:t>
            </w:r>
          </w:p>
        </w:tc>
        <w:tc>
          <w:tcPr>
            <w:tcW w:w="560" w:type="dxa"/>
            <w:vAlign w:val="bottom"/>
          </w:tcPr>
          <w:p>
            <w:pPr>
              <w:spacing w:after="0"/>
              <w:rPr>
                <w:sz w:val="15"/>
                <w:szCs w:val="15"/>
                <w:color w:val="auto"/>
              </w:rPr>
            </w:pP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378,400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8,686,874</w:t>
            </w:r>
          </w:p>
        </w:tc>
      </w:tr>
      <w:tr>
        <w:trPr>
          <w:trHeight w:val="361"/>
        </w:trPr>
        <w:tc>
          <w:tcPr>
            <w:tcW w:w="4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7"/>
              </w:rPr>
              <w:t>Long-Term Investments, held to maturity..</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694,679</w:t>
            </w:r>
          </w:p>
        </w:tc>
        <w:tc>
          <w:tcPr>
            <w:tcW w:w="800" w:type="dxa"/>
            <w:vAlign w:val="bottom"/>
          </w:tcPr>
          <w:p>
            <w:pPr>
              <w:spacing w:after="0"/>
              <w:rPr>
                <w:sz w:val="24"/>
                <w:szCs w:val="24"/>
                <w:color w:val="auto"/>
              </w:rPr>
            </w:pPr>
          </w:p>
        </w:tc>
        <w:tc>
          <w:tcPr>
            <w:tcW w:w="15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24"/>
                <w:szCs w:val="24"/>
                <w:color w:val="auto"/>
              </w:rPr>
            </w:pP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694,679</w:t>
            </w:r>
          </w:p>
        </w:tc>
      </w:tr>
      <w:tr>
        <w:trPr>
          <w:trHeight w:val="181"/>
        </w:trPr>
        <w:tc>
          <w:tcPr>
            <w:tcW w:w="4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7"/>
              </w:rPr>
              <w:t>Property and Equipment, net..............</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4,869,269</w:t>
            </w:r>
          </w:p>
        </w:tc>
        <w:tc>
          <w:tcPr>
            <w:tcW w:w="800" w:type="dxa"/>
            <w:vAlign w:val="bottom"/>
          </w:tcPr>
          <w:p>
            <w:pPr>
              <w:spacing w:after="0"/>
              <w:rPr>
                <w:sz w:val="15"/>
                <w:szCs w:val="15"/>
                <w:color w:val="auto"/>
              </w:rPr>
            </w:pPr>
          </w:p>
        </w:tc>
        <w:tc>
          <w:tcPr>
            <w:tcW w:w="1560" w:type="dxa"/>
            <w:vAlign w:val="bottom"/>
          </w:tcPr>
          <w:p>
            <w:pPr>
              <w:jc w:val="right"/>
              <w:ind w:right="622"/>
              <w:spacing w:after="0"/>
              <w:rPr>
                <w:sz w:val="20"/>
                <w:szCs w:val="20"/>
                <w:color w:val="auto"/>
              </w:rPr>
            </w:pPr>
            <w:r>
              <w:rPr>
                <w:rFonts w:ascii="Courier New" w:cs="Courier New" w:eastAsia="Courier New" w:hAnsi="Courier New"/>
                <w:sz w:val="16"/>
                <w:szCs w:val="16"/>
                <w:color w:val="auto"/>
                <w:w w:val="97"/>
              </w:rPr>
              <w:t>1,229,435</w:t>
            </w:r>
          </w:p>
        </w:tc>
        <w:tc>
          <w:tcPr>
            <w:tcW w:w="560" w:type="dxa"/>
            <w:vAlign w:val="bottom"/>
          </w:tcPr>
          <w:p>
            <w:pPr>
              <w:spacing w:after="0"/>
              <w:rPr>
                <w:sz w:val="15"/>
                <w:szCs w:val="15"/>
                <w:color w:val="auto"/>
              </w:rPr>
            </w:pP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3,639,834</w:t>
            </w:r>
          </w:p>
        </w:tc>
      </w:tr>
      <w:tr>
        <w:trPr>
          <w:trHeight w:val="181"/>
        </w:trPr>
        <w:tc>
          <w:tcPr>
            <w:tcW w:w="4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7"/>
              </w:rPr>
              <w:t>Goodwill and Intangibles, net............</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1,321,744</w:t>
            </w:r>
          </w:p>
        </w:tc>
        <w:tc>
          <w:tcPr>
            <w:tcW w:w="800" w:type="dxa"/>
            <w:vAlign w:val="bottom"/>
          </w:tcPr>
          <w:p>
            <w:pPr>
              <w:spacing w:after="0"/>
              <w:rPr>
                <w:sz w:val="15"/>
                <w:szCs w:val="15"/>
                <w:color w:val="auto"/>
              </w:rPr>
            </w:pPr>
          </w:p>
        </w:tc>
        <w:tc>
          <w:tcPr>
            <w:tcW w:w="15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560" w:type="dxa"/>
            <w:vAlign w:val="bottom"/>
          </w:tcPr>
          <w:p>
            <w:pPr>
              <w:spacing w:after="0"/>
              <w:rPr>
                <w:sz w:val="15"/>
                <w:szCs w:val="15"/>
                <w:color w:val="auto"/>
              </w:rPr>
            </w:pP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1,321,744</w:t>
            </w:r>
          </w:p>
        </w:tc>
      </w:tr>
      <w:tr>
        <w:trPr>
          <w:trHeight w:val="181"/>
        </w:trPr>
        <w:tc>
          <w:tcPr>
            <w:tcW w:w="4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7"/>
              </w:rPr>
              <w:t>Other Assets.............................</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835,710</w:t>
            </w:r>
          </w:p>
        </w:tc>
        <w:tc>
          <w:tcPr>
            <w:tcW w:w="800" w:type="dxa"/>
            <w:vAlign w:val="bottom"/>
          </w:tcPr>
          <w:p>
            <w:pPr>
              <w:spacing w:after="0"/>
              <w:rPr>
                <w:sz w:val="15"/>
                <w:szCs w:val="15"/>
                <w:color w:val="auto"/>
              </w:rPr>
            </w:pPr>
          </w:p>
        </w:tc>
        <w:tc>
          <w:tcPr>
            <w:tcW w:w="15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58,510</w:t>
            </w:r>
          </w:p>
        </w:tc>
        <w:tc>
          <w:tcPr>
            <w:tcW w:w="560" w:type="dxa"/>
            <w:vAlign w:val="bottom"/>
          </w:tcPr>
          <w:p>
            <w:pPr>
              <w:spacing w:after="0"/>
              <w:rPr>
                <w:sz w:val="15"/>
                <w:szCs w:val="15"/>
                <w:color w:val="auto"/>
              </w:rPr>
            </w:pP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1,000(c)</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778,200</w:t>
            </w:r>
          </w:p>
        </w:tc>
      </w:tr>
      <w:tr>
        <w:trPr>
          <w:trHeight w:val="181"/>
        </w:trPr>
        <w:tc>
          <w:tcPr>
            <w:tcW w:w="4040" w:type="dxa"/>
            <w:vAlign w:val="bottom"/>
          </w:tcPr>
          <w:p>
            <w:pPr>
              <w:spacing w:after="0"/>
              <w:rPr>
                <w:sz w:val="15"/>
                <w:szCs w:val="15"/>
                <w:color w:val="auto"/>
              </w:rPr>
            </w:pP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36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4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7"/>
              </w:rPr>
              <w:t>Total Assets.............................</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16,359,398</w:t>
            </w:r>
          </w:p>
        </w:tc>
        <w:tc>
          <w:tcPr>
            <w:tcW w:w="800" w:type="dxa"/>
            <w:vAlign w:val="bottom"/>
          </w:tcPr>
          <w:p>
            <w:pPr>
              <w:spacing w:after="0"/>
              <w:rPr>
                <w:sz w:val="15"/>
                <w:szCs w:val="15"/>
                <w:color w:val="auto"/>
              </w:rPr>
            </w:pPr>
          </w:p>
        </w:tc>
        <w:tc>
          <w:tcPr>
            <w:tcW w:w="1560" w:type="dxa"/>
            <w:vAlign w:val="bottom"/>
          </w:tcPr>
          <w:p>
            <w:pPr>
              <w:jc w:val="right"/>
              <w:ind w:right="622"/>
              <w:spacing w:after="0"/>
              <w:rPr>
                <w:sz w:val="20"/>
                <w:szCs w:val="20"/>
                <w:color w:val="auto"/>
              </w:rPr>
            </w:pPr>
            <w:r>
              <w:rPr>
                <w:rFonts w:ascii="Courier New" w:cs="Courier New" w:eastAsia="Courier New" w:hAnsi="Courier New"/>
                <w:sz w:val="16"/>
                <w:szCs w:val="16"/>
                <w:color w:val="auto"/>
                <w:w w:val="97"/>
              </w:rPr>
              <w:t>1,617,467</w:t>
            </w:r>
          </w:p>
        </w:tc>
        <w:tc>
          <w:tcPr>
            <w:tcW w:w="560" w:type="dxa"/>
            <w:vAlign w:val="bottom"/>
          </w:tcPr>
          <w:p>
            <w:pPr>
              <w:spacing w:after="0"/>
              <w:rPr>
                <w:sz w:val="15"/>
                <w:szCs w:val="15"/>
                <w:color w:val="auto"/>
              </w:rPr>
            </w:pP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379,400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15,121,331</w:t>
            </w:r>
          </w:p>
        </w:tc>
      </w:tr>
      <w:tr>
        <w:trPr>
          <w:trHeight w:val="181"/>
        </w:trPr>
        <w:tc>
          <w:tcPr>
            <w:tcW w:w="4040" w:type="dxa"/>
            <w:vAlign w:val="bottom"/>
          </w:tcPr>
          <w:p>
            <w:pPr>
              <w:spacing w:after="0"/>
              <w:rPr>
                <w:sz w:val="15"/>
                <w:szCs w:val="15"/>
                <w:color w:val="auto"/>
              </w:rPr>
            </w:pP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36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4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7"/>
              </w:rPr>
              <w:t>Current Liabilities......................</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$ 3,716,014</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344,032</w:t>
            </w:r>
          </w:p>
        </w:tc>
        <w:tc>
          <w:tcPr>
            <w:tcW w:w="560" w:type="dxa"/>
            <w:vAlign w:val="bottom"/>
          </w:tcPr>
          <w:p>
            <w:pPr>
              <w:spacing w:after="0"/>
              <w:rPr>
                <w:sz w:val="24"/>
                <w:szCs w:val="24"/>
                <w:color w:val="auto"/>
              </w:rPr>
            </w:pP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106,989(d)</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3,478,971</w:t>
            </w:r>
          </w:p>
        </w:tc>
      </w:tr>
      <w:tr>
        <w:trPr>
          <w:trHeight w:val="181"/>
        </w:trPr>
        <w:tc>
          <w:tcPr>
            <w:tcW w:w="4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7"/>
              </w:rPr>
              <w:t>Long-Term Debt...........................</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3,563,146</w:t>
            </w:r>
          </w:p>
        </w:tc>
        <w:tc>
          <w:tcPr>
            <w:tcW w:w="800" w:type="dxa"/>
            <w:vAlign w:val="bottom"/>
          </w:tcPr>
          <w:p>
            <w:pPr>
              <w:spacing w:after="0"/>
              <w:rPr>
                <w:sz w:val="15"/>
                <w:szCs w:val="15"/>
                <w:color w:val="auto"/>
              </w:rPr>
            </w:pPr>
          </w:p>
        </w:tc>
        <w:tc>
          <w:tcPr>
            <w:tcW w:w="15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72,753</w:t>
            </w:r>
          </w:p>
        </w:tc>
        <w:tc>
          <w:tcPr>
            <w:tcW w:w="560" w:type="dxa"/>
            <w:vAlign w:val="bottom"/>
          </w:tcPr>
          <w:p>
            <w:pPr>
              <w:spacing w:after="0"/>
              <w:rPr>
                <w:sz w:val="15"/>
                <w:szCs w:val="15"/>
                <w:color w:val="auto"/>
              </w:rPr>
            </w:pP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3,490,393</w:t>
            </w:r>
          </w:p>
        </w:tc>
      </w:tr>
      <w:tr>
        <w:trPr>
          <w:trHeight w:val="181"/>
        </w:trPr>
        <w:tc>
          <w:tcPr>
            <w:tcW w:w="4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7"/>
              </w:rPr>
              <w:t>Related Party Debt.......................</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spacing w:after="0"/>
              <w:rPr>
                <w:sz w:val="15"/>
                <w:szCs w:val="15"/>
                <w:color w:val="auto"/>
              </w:rPr>
            </w:pPr>
          </w:p>
        </w:tc>
        <w:tc>
          <w:tcPr>
            <w:tcW w:w="15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502,163</w:t>
            </w:r>
          </w:p>
        </w:tc>
        <w:tc>
          <w:tcPr>
            <w:tcW w:w="560" w:type="dxa"/>
            <w:vAlign w:val="bottom"/>
          </w:tcPr>
          <w:p>
            <w:pPr>
              <w:spacing w:after="0"/>
              <w:rPr>
                <w:sz w:val="15"/>
                <w:szCs w:val="15"/>
                <w:color w:val="auto"/>
              </w:rPr>
            </w:pP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502,163(e)</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4040" w:type="dxa"/>
            <w:vAlign w:val="bottom"/>
          </w:tcPr>
          <w:p>
            <w:pPr>
              <w:spacing w:after="0"/>
              <w:rPr>
                <w:sz w:val="20"/>
                <w:szCs w:val="20"/>
                <w:color w:val="auto"/>
              </w:rPr>
            </w:pPr>
            <w:r>
              <w:rPr>
                <w:rFonts w:ascii="Courier New" w:cs="Courier New" w:eastAsia="Courier New" w:hAnsi="Courier New"/>
                <w:sz w:val="16"/>
                <w:szCs w:val="16"/>
                <w:color w:val="auto"/>
              </w:rPr>
              <w:t>Postretirement Benefits and Other</w:t>
            </w:r>
          </w:p>
        </w:tc>
        <w:tc>
          <w:tcPr>
            <w:tcW w:w="1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1"/>
        </w:trPr>
        <w:tc>
          <w:tcPr>
            <w:tcW w:w="4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Credits.............................</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794,126</w:t>
            </w:r>
          </w:p>
        </w:tc>
        <w:tc>
          <w:tcPr>
            <w:tcW w:w="800" w:type="dxa"/>
            <w:vAlign w:val="bottom"/>
          </w:tcPr>
          <w:p>
            <w:pPr>
              <w:spacing w:after="0"/>
              <w:rPr>
                <w:sz w:val="15"/>
                <w:szCs w:val="15"/>
                <w:color w:val="auto"/>
              </w:rPr>
            </w:pPr>
          </w:p>
        </w:tc>
        <w:tc>
          <w:tcPr>
            <w:tcW w:w="15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97,827</w:t>
            </w:r>
          </w:p>
        </w:tc>
        <w:tc>
          <w:tcPr>
            <w:tcW w:w="560" w:type="dxa"/>
            <w:vAlign w:val="bottom"/>
          </w:tcPr>
          <w:p>
            <w:pPr>
              <w:spacing w:after="0"/>
              <w:rPr>
                <w:sz w:val="15"/>
                <w:szCs w:val="15"/>
                <w:color w:val="auto"/>
              </w:rPr>
            </w:pPr>
          </w:p>
        </w:tc>
        <w:tc>
          <w:tcPr>
            <w:tcW w:w="15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9,021(f)</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705,320</w:t>
            </w:r>
          </w:p>
        </w:tc>
      </w:tr>
      <w:tr>
        <w:trPr>
          <w:trHeight w:val="181"/>
        </w:trPr>
        <w:tc>
          <w:tcPr>
            <w:tcW w:w="40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7"/>
              </w:rPr>
              <w:t>Shareholders Equity......................</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8,286,112</w:t>
            </w:r>
          </w:p>
        </w:tc>
        <w:tc>
          <w:tcPr>
            <w:tcW w:w="800" w:type="dxa"/>
            <w:vAlign w:val="bottom"/>
          </w:tcPr>
          <w:p>
            <w:pPr>
              <w:spacing w:after="0"/>
              <w:rPr>
                <w:sz w:val="15"/>
                <w:szCs w:val="15"/>
                <w:color w:val="auto"/>
              </w:rPr>
            </w:pPr>
          </w:p>
        </w:tc>
        <w:tc>
          <w:tcPr>
            <w:tcW w:w="1560" w:type="dxa"/>
            <w:vAlign w:val="bottom"/>
          </w:tcPr>
          <w:p>
            <w:pPr>
              <w:jc w:val="right"/>
              <w:ind w:right="622"/>
              <w:spacing w:after="0"/>
              <w:rPr>
                <w:sz w:val="20"/>
                <w:szCs w:val="20"/>
                <w:color w:val="auto"/>
              </w:rPr>
            </w:pPr>
            <w:r>
              <w:rPr>
                <w:rFonts w:ascii="Courier New" w:cs="Courier New" w:eastAsia="Courier New" w:hAnsi="Courier New"/>
                <w:sz w:val="16"/>
                <w:szCs w:val="16"/>
                <w:color w:val="auto"/>
              </w:rPr>
              <w:t>600,692</w:t>
            </w:r>
          </w:p>
        </w:tc>
        <w:tc>
          <w:tcPr>
            <w:tcW w:w="560" w:type="dxa"/>
            <w:vAlign w:val="bottom"/>
          </w:tcPr>
          <w:p>
            <w:pPr>
              <w:spacing w:after="0"/>
              <w:rPr>
                <w:sz w:val="15"/>
                <w:szCs w:val="15"/>
                <w:color w:val="auto"/>
              </w:rPr>
            </w:pPr>
          </w:p>
        </w:tc>
        <w:tc>
          <w:tcPr>
            <w:tcW w:w="15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(238,773)(g)</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7,446,647</w:t>
            </w:r>
          </w:p>
        </w:tc>
      </w:tr>
      <w:tr>
        <w:trPr>
          <w:trHeight w:val="181"/>
        </w:trPr>
        <w:tc>
          <w:tcPr>
            <w:tcW w:w="4040" w:type="dxa"/>
            <w:vAlign w:val="bottom"/>
          </w:tcPr>
          <w:p>
            <w:pPr>
              <w:spacing w:after="0"/>
              <w:rPr>
                <w:sz w:val="15"/>
                <w:szCs w:val="15"/>
                <w:color w:val="auto"/>
              </w:rPr>
            </w:pP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36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4040" w:type="dxa"/>
            <w:vAlign w:val="bottom"/>
          </w:tcPr>
          <w:p>
            <w:pPr>
              <w:spacing w:after="0"/>
              <w:rPr>
                <w:sz w:val="20"/>
                <w:szCs w:val="20"/>
                <w:color w:val="auto"/>
              </w:rPr>
            </w:pPr>
            <w:r>
              <w:rPr>
                <w:rFonts w:ascii="Courier New" w:cs="Courier New" w:eastAsia="Courier New" w:hAnsi="Courier New"/>
                <w:sz w:val="16"/>
                <w:szCs w:val="16"/>
                <w:color w:val="auto"/>
              </w:rPr>
              <w:t>Total Liabilities and Shareholders'</w:t>
            </w:r>
          </w:p>
        </w:tc>
        <w:tc>
          <w:tcPr>
            <w:tcW w:w="1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1"/>
        </w:trPr>
        <w:tc>
          <w:tcPr>
            <w:tcW w:w="4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Equity................................</w:t>
            </w: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$16,359,398</w:t>
            </w:r>
          </w:p>
        </w:tc>
        <w:tc>
          <w:tcPr>
            <w:tcW w:w="800" w:type="dxa"/>
            <w:vAlign w:val="bottom"/>
          </w:tcPr>
          <w:p>
            <w:pPr>
              <w:spacing w:after="0"/>
              <w:rPr>
                <w:sz w:val="15"/>
                <w:szCs w:val="15"/>
                <w:color w:val="auto"/>
              </w:rPr>
            </w:pPr>
          </w:p>
        </w:tc>
        <w:tc>
          <w:tcPr>
            <w:tcW w:w="1560" w:type="dxa"/>
            <w:vAlign w:val="bottom"/>
          </w:tcPr>
          <w:p>
            <w:pPr>
              <w:jc w:val="right"/>
              <w:ind w:right="622"/>
              <w:spacing w:after="0"/>
              <w:rPr>
                <w:sz w:val="20"/>
                <w:szCs w:val="20"/>
                <w:color w:val="auto"/>
              </w:rPr>
            </w:pPr>
            <w:r>
              <w:rPr>
                <w:rFonts w:ascii="Courier New" w:cs="Courier New" w:eastAsia="Courier New" w:hAnsi="Courier New"/>
                <w:sz w:val="16"/>
                <w:szCs w:val="16"/>
                <w:color w:val="auto"/>
                <w:w w:val="97"/>
              </w:rPr>
              <w:t>1,617,467</w:t>
            </w:r>
          </w:p>
        </w:tc>
        <w:tc>
          <w:tcPr>
            <w:tcW w:w="560" w:type="dxa"/>
            <w:vAlign w:val="bottom"/>
          </w:tcPr>
          <w:p>
            <w:pPr>
              <w:spacing w:after="0"/>
              <w:rPr>
                <w:sz w:val="15"/>
                <w:szCs w:val="15"/>
                <w:color w:val="auto"/>
              </w:rPr>
            </w:pPr>
          </w:p>
        </w:tc>
        <w:tc>
          <w:tcPr>
            <w:tcW w:w="15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379,400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15,121,331</w:t>
            </w:r>
          </w:p>
        </w:tc>
      </w:tr>
      <w:tr>
        <w:trPr>
          <w:trHeight w:val="181"/>
        </w:trPr>
        <w:tc>
          <w:tcPr>
            <w:tcW w:w="4040" w:type="dxa"/>
            <w:vAlign w:val="bottom"/>
          </w:tcPr>
          <w:p>
            <w:pPr>
              <w:spacing w:after="0"/>
              <w:rPr>
                <w:sz w:val="15"/>
                <w:szCs w:val="15"/>
                <w:color w:val="auto"/>
              </w:rPr>
            </w:pPr>
          </w:p>
        </w:tc>
        <w:tc>
          <w:tcPr>
            <w:tcW w:w="144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2360" w:type="dxa"/>
            <w:vAlign w:val="bottom"/>
            <w:gridSpan w:val="2"/>
          </w:tcPr>
          <w:p>
            <w:pPr>
              <w:jc w:val="right"/>
              <w:ind w:right="622"/>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_______________</w:t>
      </w:r>
    </w:p>
    <w:p>
      <w:pPr>
        <w:spacing w:after="0" w:line="185" w:lineRule="exact"/>
        <w:rPr>
          <w:sz w:val="20"/>
          <w:szCs w:val="20"/>
          <w:color w:val="auto"/>
        </w:rPr>
      </w:pPr>
    </w:p>
    <w:p>
      <w:pPr>
        <w:ind w:left="464" w:right="4400" w:hanging="464"/>
        <w:spacing w:after="0" w:line="236" w:lineRule="auto"/>
        <w:tabs>
          <w:tab w:leader="none" w:pos="46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See Notes to the Schlumberger Unaudited Condensed Pro Forma Financial Statements.</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F-2</w:t>
      </w:r>
    </w:p>
    <w:p>
      <w:pPr>
        <w:sectPr>
          <w:pgSz w:w="11900" w:h="16838" w:orient="portrait"/>
          <w:cols w:equalWidth="0" w:num="1">
            <w:col w:w="11344"/>
          </w:cols>
          <w:pgMar w:left="316" w:top="654" w:right="239" w:bottom="1440" w:gutter="0" w:footer="0" w:header="0"/>
        </w:sectPr>
      </w:pPr>
    </w:p>
    <w:bookmarkStart w:id="6" w:name="page7"/>
    <w:bookmarkEnd w:id="6"/>
    <w:p>
      <w:pPr>
        <w:ind w:left="1224"/>
        <w:spacing w:after="0"/>
        <w:rPr>
          <w:sz w:val="20"/>
          <w:szCs w:val="20"/>
          <w:color w:val="auto"/>
        </w:rPr>
      </w:pPr>
      <w:r>
        <w:rPr>
          <w:rFonts w:ascii="Courier New" w:cs="Courier New" w:eastAsia="Courier New" w:hAnsi="Courier New"/>
          <w:sz w:val="16"/>
          <w:szCs w:val="16"/>
          <w:color w:val="auto"/>
        </w:rPr>
        <w:t>Unaudited Condensed Pro Forma Statement of Operations</w:t>
      </w:r>
    </w:p>
    <w:tbl>
      <w:tblPr>
        <w:tblLayout w:type="fixed"/>
        <w:tblInd w:w="4" w:type="dxa"/>
        <w:tblCellMar>
          <w:top w:w="0" w:type="dxa"/>
          <w:left w:w="0" w:type="dxa"/>
          <w:bottom w:w="0" w:type="dxa"/>
          <w:right w:w="0" w:type="dxa"/>
        </w:tblCellMar>
      </w:tblPr>
      <w:tr>
        <w:trPr>
          <w:trHeight w:val="181"/>
        </w:trPr>
        <w:tc>
          <w:tcPr>
            <w:tcW w:w="6380" w:type="dxa"/>
            <w:vAlign w:val="bottom"/>
            <w:gridSpan w:val="5"/>
          </w:tcPr>
          <w:p>
            <w:pPr>
              <w:jc w:val="right"/>
              <w:ind w:right="582"/>
              <w:spacing w:after="0"/>
              <w:rPr>
                <w:sz w:val="20"/>
                <w:szCs w:val="20"/>
                <w:color w:val="auto"/>
              </w:rPr>
            </w:pPr>
            <w:r>
              <w:rPr>
                <w:rFonts w:ascii="Courier New" w:cs="Courier New" w:eastAsia="Courier New" w:hAnsi="Courier New"/>
                <w:sz w:val="16"/>
                <w:szCs w:val="16"/>
                <w:color w:val="auto"/>
              </w:rPr>
              <w:t>For the Nine Months Ended September 30, 1999</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722"/>
        </w:trPr>
        <w:tc>
          <w:tcPr>
            <w:tcW w:w="2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60" w:type="dxa"/>
            <w:vAlign w:val="bottom"/>
            <w:gridSpan w:val="2"/>
          </w:tcPr>
          <w:p>
            <w:pPr>
              <w:jc w:val="right"/>
              <w:ind w:right="142"/>
              <w:spacing w:after="0"/>
              <w:rPr>
                <w:sz w:val="20"/>
                <w:szCs w:val="20"/>
                <w:color w:val="auto"/>
              </w:rPr>
            </w:pPr>
            <w:r>
              <w:rPr>
                <w:rFonts w:ascii="Courier New" w:cs="Courier New" w:eastAsia="Courier New" w:hAnsi="Courier New"/>
                <w:sz w:val="16"/>
                <w:szCs w:val="16"/>
                <w:color w:val="auto"/>
              </w:rPr>
              <w:t>Historical</w:t>
            </w: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Pro Forma</w:t>
            </w:r>
          </w:p>
        </w:tc>
      </w:tr>
      <w:tr>
        <w:trPr>
          <w:trHeight w:val="181"/>
        </w:trPr>
        <w:tc>
          <w:tcPr>
            <w:tcW w:w="2860" w:type="dxa"/>
            <w:vAlign w:val="bottom"/>
          </w:tcPr>
          <w:p>
            <w:pPr>
              <w:spacing w:after="0"/>
              <w:rPr>
                <w:sz w:val="15"/>
                <w:szCs w:val="15"/>
                <w:color w:val="auto"/>
              </w:rPr>
            </w:pPr>
          </w:p>
        </w:tc>
        <w:tc>
          <w:tcPr>
            <w:tcW w:w="352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2860" w:type="dxa"/>
            <w:vAlign w:val="bottom"/>
          </w:tcPr>
          <w:p>
            <w:pPr>
              <w:spacing w:after="0"/>
              <w:rPr>
                <w:sz w:val="15"/>
                <w:szCs w:val="15"/>
                <w:color w:val="auto"/>
              </w:rPr>
            </w:pPr>
          </w:p>
        </w:tc>
        <w:tc>
          <w:tcPr>
            <w:tcW w:w="136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Schlumberger</w:t>
            </w:r>
          </w:p>
        </w:tc>
        <w:tc>
          <w:tcPr>
            <w:tcW w:w="21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Sedco Forex</w:t>
            </w:r>
          </w:p>
        </w:tc>
        <w:tc>
          <w:tcPr>
            <w:tcW w:w="1700" w:type="dxa"/>
            <w:vAlign w:val="bottom"/>
            <w:gridSpan w:val="2"/>
          </w:tcPr>
          <w:p>
            <w:pPr>
              <w:jc w:val="right"/>
              <w:ind w:right="222"/>
              <w:spacing w:after="0"/>
              <w:rPr>
                <w:sz w:val="20"/>
                <w:szCs w:val="20"/>
                <w:color w:val="auto"/>
              </w:rPr>
            </w:pPr>
            <w:r>
              <w:rPr>
                <w:rFonts w:ascii="Courier New" w:cs="Courier New" w:eastAsia="Courier New" w:hAnsi="Courier New"/>
                <w:sz w:val="16"/>
                <w:szCs w:val="16"/>
                <w:color w:val="auto"/>
              </w:rPr>
              <w:t>Adjustments</w:t>
            </w:r>
          </w:p>
        </w:tc>
        <w:tc>
          <w:tcPr>
            <w:tcW w:w="780" w:type="dxa"/>
            <w:vAlign w:val="bottom"/>
          </w:tcPr>
          <w:p>
            <w:pPr>
              <w:spacing w:after="0"/>
              <w:rPr>
                <w:sz w:val="15"/>
                <w:szCs w:val="15"/>
                <w:color w:val="auto"/>
              </w:rPr>
            </w:pPr>
          </w:p>
        </w:tc>
        <w:tc>
          <w:tcPr>
            <w:tcW w:w="12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Schlumberger</w:t>
            </w:r>
          </w:p>
        </w:tc>
      </w:tr>
      <w:tr>
        <w:trPr>
          <w:trHeight w:val="181"/>
        </w:trPr>
        <w:tc>
          <w:tcPr>
            <w:tcW w:w="2860" w:type="dxa"/>
            <w:vAlign w:val="bottom"/>
          </w:tcPr>
          <w:p>
            <w:pPr>
              <w:spacing w:after="0"/>
              <w:rPr>
                <w:sz w:val="15"/>
                <w:szCs w:val="15"/>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2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w:t>
            </w:r>
          </w:p>
        </w:tc>
      </w:tr>
      <w:tr>
        <w:trPr>
          <w:trHeight w:val="181"/>
        </w:trPr>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4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9"/>
              </w:rPr>
              <w:t>(amounts in thousands, except per share amounts)</w:t>
            </w: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61"/>
        </w:trPr>
        <w:tc>
          <w:tcPr>
            <w:tcW w:w="28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Operating</w:t>
            </w: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$ 6,730,040</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514,393</w:t>
            </w:r>
          </w:p>
        </w:tc>
        <w:tc>
          <w:tcPr>
            <w:tcW w:w="70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6,215,647</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Interest and other Income</w:t>
            </w:r>
          </w:p>
        </w:tc>
        <w:tc>
          <w:tcPr>
            <w:tcW w:w="28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286,534</w:t>
            </w:r>
          </w:p>
        </w:tc>
        <w:tc>
          <w:tcPr>
            <w:tcW w:w="980" w:type="dxa"/>
            <w:vAlign w:val="bottom"/>
          </w:tcPr>
          <w:p>
            <w:pPr>
              <w:spacing w:after="0"/>
              <w:rPr>
                <w:sz w:val="15"/>
                <w:szCs w:val="15"/>
                <w:color w:val="auto"/>
              </w:rPr>
            </w:pP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8,818</w:t>
            </w:r>
          </w:p>
        </w:tc>
        <w:tc>
          <w:tcPr>
            <w:tcW w:w="700" w:type="dxa"/>
            <w:vAlign w:val="bottom"/>
          </w:tcPr>
          <w:p>
            <w:pPr>
              <w:spacing w:after="0"/>
              <w:rPr>
                <w:sz w:val="15"/>
                <w:szCs w:val="15"/>
                <w:color w:val="auto"/>
              </w:rPr>
            </w:pP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277,716</w:t>
            </w:r>
          </w:p>
        </w:tc>
      </w:tr>
      <w:tr>
        <w:trPr>
          <w:trHeight w:val="181"/>
        </w:trPr>
        <w:tc>
          <w:tcPr>
            <w:tcW w:w="286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7,016,574</w:t>
            </w:r>
          </w:p>
        </w:tc>
        <w:tc>
          <w:tcPr>
            <w:tcW w:w="980" w:type="dxa"/>
            <w:vAlign w:val="bottom"/>
          </w:tcPr>
          <w:p>
            <w:pPr>
              <w:spacing w:after="0"/>
              <w:rPr>
                <w:sz w:val="15"/>
                <w:szCs w:val="15"/>
                <w:color w:val="auto"/>
              </w:rPr>
            </w:pP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523,211</w:t>
            </w:r>
          </w:p>
        </w:tc>
        <w:tc>
          <w:tcPr>
            <w:tcW w:w="700" w:type="dxa"/>
            <w:vAlign w:val="bottom"/>
          </w:tcPr>
          <w:p>
            <w:pPr>
              <w:spacing w:after="0"/>
              <w:rPr>
                <w:sz w:val="15"/>
                <w:szCs w:val="15"/>
                <w:color w:val="auto"/>
              </w:rPr>
            </w:pP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6,493,963</w:t>
            </w:r>
          </w:p>
        </w:tc>
      </w:tr>
      <w:tr>
        <w:trPr>
          <w:trHeight w:val="181"/>
        </w:trPr>
        <w:tc>
          <w:tcPr>
            <w:tcW w:w="286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8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Cost of goods sold and</w:t>
            </w:r>
          </w:p>
        </w:tc>
        <w:tc>
          <w:tcPr>
            <w:tcW w:w="28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5,382,887</w:t>
            </w:r>
          </w:p>
        </w:tc>
        <w:tc>
          <w:tcPr>
            <w:tcW w:w="980" w:type="dxa"/>
            <w:vAlign w:val="bottom"/>
          </w:tcPr>
          <w:p>
            <w:pPr>
              <w:spacing w:after="0"/>
              <w:rPr>
                <w:sz w:val="15"/>
                <w:szCs w:val="15"/>
                <w:color w:val="auto"/>
              </w:rPr>
            </w:pP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438,788</w:t>
            </w:r>
          </w:p>
        </w:tc>
        <w:tc>
          <w:tcPr>
            <w:tcW w:w="700" w:type="dxa"/>
            <w:vAlign w:val="bottom"/>
          </w:tcPr>
          <w:p>
            <w:pPr>
              <w:spacing w:after="0"/>
              <w:rPr>
                <w:sz w:val="15"/>
                <w:szCs w:val="15"/>
                <w:color w:val="auto"/>
              </w:rPr>
            </w:pP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31,546</w:t>
            </w:r>
          </w:p>
        </w:tc>
        <w:tc>
          <w:tcPr>
            <w:tcW w:w="78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4,975,645</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services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Research &amp; engineering</w:t>
            </w:r>
          </w:p>
        </w:tc>
        <w:tc>
          <w:tcPr>
            <w:tcW w:w="28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398,565</w:t>
            </w:r>
          </w:p>
        </w:tc>
        <w:tc>
          <w:tcPr>
            <w:tcW w:w="980" w:type="dxa"/>
            <w:vAlign w:val="bottom"/>
          </w:tcPr>
          <w:p>
            <w:pPr>
              <w:spacing w:after="0"/>
              <w:rPr>
                <w:sz w:val="15"/>
                <w:szCs w:val="15"/>
                <w:color w:val="auto"/>
              </w:rPr>
            </w:pP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9,026</w:t>
            </w:r>
          </w:p>
        </w:tc>
        <w:tc>
          <w:tcPr>
            <w:tcW w:w="700" w:type="dxa"/>
            <w:vAlign w:val="bottom"/>
          </w:tcPr>
          <w:p>
            <w:pPr>
              <w:spacing w:after="0"/>
              <w:rPr>
                <w:sz w:val="15"/>
                <w:szCs w:val="15"/>
                <w:color w:val="auto"/>
              </w:rPr>
            </w:pP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389,539</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Marketing</w:t>
            </w:r>
          </w:p>
        </w:tc>
        <w:tc>
          <w:tcPr>
            <w:tcW w:w="28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324,006</w:t>
            </w:r>
          </w:p>
        </w:tc>
        <w:tc>
          <w:tcPr>
            <w:tcW w:w="980" w:type="dxa"/>
            <w:vAlign w:val="bottom"/>
          </w:tcPr>
          <w:p>
            <w:pPr>
              <w:spacing w:after="0"/>
              <w:rPr>
                <w:sz w:val="15"/>
                <w:szCs w:val="15"/>
                <w:color w:val="auto"/>
              </w:rPr>
            </w:pP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810</w:t>
            </w:r>
          </w:p>
        </w:tc>
        <w:tc>
          <w:tcPr>
            <w:tcW w:w="700" w:type="dxa"/>
            <w:vAlign w:val="bottom"/>
          </w:tcPr>
          <w:p>
            <w:pPr>
              <w:spacing w:after="0"/>
              <w:rPr>
                <w:sz w:val="15"/>
                <w:szCs w:val="15"/>
                <w:color w:val="auto"/>
              </w:rPr>
            </w:pP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323,196</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General</w:t>
            </w:r>
          </w:p>
        </w:tc>
        <w:tc>
          <w:tcPr>
            <w:tcW w:w="28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300,904</w:t>
            </w:r>
          </w:p>
        </w:tc>
        <w:tc>
          <w:tcPr>
            <w:tcW w:w="980" w:type="dxa"/>
            <w:vAlign w:val="bottom"/>
          </w:tcPr>
          <w:p>
            <w:pPr>
              <w:spacing w:after="0"/>
              <w:rPr>
                <w:sz w:val="15"/>
                <w:szCs w:val="15"/>
                <w:color w:val="auto"/>
              </w:rPr>
            </w:pP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11,683</w:t>
            </w:r>
          </w:p>
        </w:tc>
        <w:tc>
          <w:tcPr>
            <w:tcW w:w="700" w:type="dxa"/>
            <w:vAlign w:val="bottom"/>
          </w:tcPr>
          <w:p>
            <w:pPr>
              <w:spacing w:after="0"/>
              <w:rPr>
                <w:sz w:val="15"/>
                <w:szCs w:val="15"/>
                <w:color w:val="auto"/>
              </w:rPr>
            </w:pP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289,221</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Interest</w:t>
            </w:r>
          </w:p>
        </w:tc>
        <w:tc>
          <w:tcPr>
            <w:tcW w:w="28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142,420</w:t>
            </w:r>
          </w:p>
        </w:tc>
        <w:tc>
          <w:tcPr>
            <w:tcW w:w="980" w:type="dxa"/>
            <w:vAlign w:val="bottom"/>
          </w:tcPr>
          <w:p>
            <w:pPr>
              <w:spacing w:after="0"/>
              <w:rPr>
                <w:sz w:val="15"/>
                <w:szCs w:val="15"/>
                <w:color w:val="auto"/>
              </w:rPr>
            </w:pP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9,512</w:t>
            </w:r>
          </w:p>
        </w:tc>
        <w:tc>
          <w:tcPr>
            <w:tcW w:w="700" w:type="dxa"/>
            <w:vAlign w:val="bottom"/>
          </w:tcPr>
          <w:p>
            <w:pPr>
              <w:spacing w:after="0"/>
              <w:rPr>
                <w:sz w:val="15"/>
                <w:szCs w:val="15"/>
                <w:color w:val="auto"/>
              </w:rPr>
            </w:pP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132,908</w:t>
            </w:r>
          </w:p>
        </w:tc>
      </w:tr>
      <w:tr>
        <w:trPr>
          <w:trHeight w:val="181"/>
        </w:trPr>
        <w:tc>
          <w:tcPr>
            <w:tcW w:w="286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2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6,548,782</w:t>
            </w:r>
          </w:p>
        </w:tc>
        <w:tc>
          <w:tcPr>
            <w:tcW w:w="980" w:type="dxa"/>
            <w:vAlign w:val="bottom"/>
          </w:tcPr>
          <w:p>
            <w:pPr>
              <w:spacing w:after="0"/>
              <w:rPr>
                <w:sz w:val="15"/>
                <w:szCs w:val="15"/>
                <w:color w:val="auto"/>
              </w:rPr>
            </w:pP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469,819</w:t>
            </w:r>
          </w:p>
        </w:tc>
        <w:tc>
          <w:tcPr>
            <w:tcW w:w="700" w:type="dxa"/>
            <w:vAlign w:val="bottom"/>
          </w:tcPr>
          <w:p>
            <w:pPr>
              <w:spacing w:after="0"/>
              <w:rPr>
                <w:sz w:val="15"/>
                <w:szCs w:val="15"/>
                <w:color w:val="auto"/>
              </w:rPr>
            </w:pP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31,546</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6,110,509</w:t>
            </w:r>
          </w:p>
        </w:tc>
      </w:tr>
      <w:tr>
        <w:trPr>
          <w:trHeight w:val="181"/>
        </w:trPr>
        <w:tc>
          <w:tcPr>
            <w:tcW w:w="286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Income before taxes</w:t>
            </w:r>
          </w:p>
        </w:tc>
        <w:tc>
          <w:tcPr>
            <w:tcW w:w="280" w:type="dxa"/>
            <w:vAlign w:val="bottom"/>
          </w:tcPr>
          <w:p>
            <w:pPr>
              <w:spacing w:after="0"/>
              <w:rPr>
                <w:sz w:val="24"/>
                <w:szCs w:val="24"/>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467,792</w:t>
            </w:r>
          </w:p>
        </w:tc>
        <w:tc>
          <w:tcPr>
            <w:tcW w:w="980" w:type="dxa"/>
            <w:vAlign w:val="bottom"/>
          </w:tcPr>
          <w:p>
            <w:pPr>
              <w:spacing w:after="0"/>
              <w:rPr>
                <w:sz w:val="24"/>
                <w:szCs w:val="24"/>
                <w:color w:val="auto"/>
              </w:rPr>
            </w:pP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53,392</w:t>
            </w:r>
          </w:p>
        </w:tc>
        <w:tc>
          <w:tcPr>
            <w:tcW w:w="700" w:type="dxa"/>
            <w:vAlign w:val="bottom"/>
          </w:tcPr>
          <w:p>
            <w:pPr>
              <w:spacing w:after="0"/>
              <w:rPr>
                <w:sz w:val="24"/>
                <w:szCs w:val="24"/>
                <w:color w:val="auto"/>
              </w:rPr>
            </w:pP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(31,546)</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382,854</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Taxes on income</w:t>
            </w:r>
          </w:p>
        </w:tc>
        <w:tc>
          <w:tcPr>
            <w:tcW w:w="28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112,357</w:t>
            </w:r>
          </w:p>
        </w:tc>
        <w:tc>
          <w:tcPr>
            <w:tcW w:w="980" w:type="dxa"/>
            <w:vAlign w:val="bottom"/>
          </w:tcPr>
          <w:p>
            <w:pPr>
              <w:spacing w:after="0"/>
              <w:rPr>
                <w:sz w:val="15"/>
                <w:szCs w:val="15"/>
                <w:color w:val="auto"/>
              </w:rPr>
            </w:pP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366</w:t>
            </w:r>
          </w:p>
        </w:tc>
        <w:tc>
          <w:tcPr>
            <w:tcW w:w="700" w:type="dxa"/>
            <w:vAlign w:val="bottom"/>
          </w:tcPr>
          <w:p>
            <w:pPr>
              <w:spacing w:after="0"/>
              <w:rPr>
                <w:sz w:val="15"/>
                <w:szCs w:val="15"/>
                <w:color w:val="auto"/>
              </w:rPr>
            </w:pP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111,991</w:t>
            </w:r>
          </w:p>
        </w:tc>
      </w:tr>
      <w:tr>
        <w:trPr>
          <w:trHeight w:val="181"/>
        </w:trPr>
        <w:tc>
          <w:tcPr>
            <w:tcW w:w="286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28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355,435</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53,026</w:t>
            </w:r>
          </w:p>
        </w:tc>
        <w:tc>
          <w:tcPr>
            <w:tcW w:w="70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(31,546)</w:t>
            </w:r>
          </w:p>
        </w:tc>
        <w:tc>
          <w:tcPr>
            <w:tcW w:w="780" w:type="dxa"/>
            <w:vAlign w:val="bottom"/>
          </w:tcPr>
          <w:p>
            <w:pPr>
              <w:spacing w:after="0"/>
              <w:rPr>
                <w:sz w:val="15"/>
                <w:szCs w:val="15"/>
                <w:color w:val="auto"/>
              </w:rPr>
            </w:pP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270,863</w:t>
            </w:r>
          </w:p>
        </w:tc>
      </w:tr>
      <w:tr>
        <w:trPr>
          <w:trHeight w:val="181"/>
        </w:trPr>
        <w:tc>
          <w:tcPr>
            <w:tcW w:w="286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86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Basic</w:t>
            </w:r>
          </w:p>
        </w:tc>
        <w:tc>
          <w:tcPr>
            <w:tcW w:w="28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$0.64</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0.50</w:t>
            </w:r>
          </w:p>
        </w:tc>
      </w:tr>
      <w:tr>
        <w:trPr>
          <w:trHeight w:val="181"/>
        </w:trPr>
        <w:tc>
          <w:tcPr>
            <w:tcW w:w="286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Diluted</w:t>
            </w:r>
          </w:p>
        </w:tc>
        <w:tc>
          <w:tcPr>
            <w:tcW w:w="28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$0.64</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0.48</w:t>
            </w:r>
          </w:p>
        </w:tc>
      </w:tr>
      <w:tr>
        <w:trPr>
          <w:trHeight w:val="181"/>
        </w:trPr>
        <w:tc>
          <w:tcPr>
            <w:tcW w:w="286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86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1"/>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Outstanding:</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Basic</w:t>
            </w:r>
          </w:p>
        </w:tc>
        <w:tc>
          <w:tcPr>
            <w:tcW w:w="28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547,386</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547,386</w:t>
            </w:r>
          </w:p>
        </w:tc>
      </w:tr>
      <w:tr>
        <w:trPr>
          <w:trHeight w:val="181"/>
        </w:trPr>
        <w:tc>
          <w:tcPr>
            <w:tcW w:w="286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Diluted</w:t>
            </w:r>
          </w:p>
        </w:tc>
        <w:tc>
          <w:tcPr>
            <w:tcW w:w="28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562,998</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(256)</w:t>
            </w:r>
          </w:p>
        </w:tc>
        <w:tc>
          <w:tcPr>
            <w:tcW w:w="7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w:t>
            </w:r>
          </w:p>
        </w:tc>
        <w:tc>
          <w:tcPr>
            <w:tcW w:w="16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562,742</w:t>
            </w:r>
          </w:p>
        </w:tc>
      </w:tr>
      <w:tr>
        <w:trPr>
          <w:trHeight w:val="181"/>
        </w:trPr>
        <w:tc>
          <w:tcPr>
            <w:tcW w:w="286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8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included in Expenses</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848,911</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96,137</w:t>
            </w:r>
          </w:p>
        </w:tc>
        <w:tc>
          <w:tcPr>
            <w:tcW w:w="70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60" w:type="dxa"/>
            <w:vAlign w:val="bottom"/>
          </w:tcPr>
          <w:p>
            <w:pPr>
              <w:ind w:left="60"/>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752,774</w:t>
            </w:r>
          </w:p>
        </w:tc>
      </w:tr>
      <w:tr>
        <w:trPr>
          <w:trHeight w:val="181"/>
        </w:trPr>
        <w:tc>
          <w:tcPr>
            <w:tcW w:w="286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16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464" w:right="2640" w:hanging="464"/>
        <w:spacing w:after="0" w:line="238" w:lineRule="auto"/>
        <w:tabs>
          <w:tab w:leader="none" w:pos="4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$31,546 represents insurance premiums paid to third party insurance companies for some risks where the insurance risk is then assumed by a Schlumberger wholly owned affiliated company through a reinsurance program. In the consolidated accounts of Schlumberger, the Sedco Forex insurance premium expense is eliminated against the insurance premium income received by the affiliated company.</w:t>
      </w:r>
    </w:p>
    <w:p>
      <w:pPr>
        <w:spacing w:after="0" w:line="185" w:lineRule="exact"/>
        <w:rPr>
          <w:rFonts w:ascii="Courier New" w:cs="Courier New" w:eastAsia="Courier New" w:hAnsi="Courier New"/>
          <w:sz w:val="16"/>
          <w:szCs w:val="16"/>
          <w:color w:val="auto"/>
        </w:rPr>
      </w:pPr>
    </w:p>
    <w:p>
      <w:pPr>
        <w:ind w:left="464" w:right="2920" w:hanging="464"/>
        <w:spacing w:after="0" w:line="236" w:lineRule="auto"/>
        <w:tabs>
          <w:tab w:leader="none" w:pos="46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256 represents the elimination of the dilutive effect of Sedco Forex employees' unexercised stock options.</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F-3</w:t>
      </w:r>
    </w:p>
    <w:p>
      <w:pPr>
        <w:sectPr>
          <w:pgSz w:w="11900" w:h="16838" w:orient="portrait"/>
          <w:cols w:equalWidth="0" w:num="1">
            <w:col w:w="10144"/>
          </w:cols>
          <w:pgMar w:left="316" w:top="654" w:right="1439" w:bottom="1440" w:gutter="0" w:footer="0" w:header="0"/>
        </w:sectPr>
      </w:pPr>
    </w:p>
    <w:bookmarkStart w:id="7" w:name="page8"/>
    <w:bookmarkEnd w:id="7"/>
    <w:p>
      <w:pPr>
        <w:ind w:left="1224"/>
        <w:spacing w:after="0"/>
        <w:rPr>
          <w:sz w:val="20"/>
          <w:szCs w:val="20"/>
          <w:color w:val="auto"/>
        </w:rPr>
      </w:pPr>
      <w:r>
        <w:rPr>
          <w:rFonts w:ascii="Courier New" w:cs="Courier New" w:eastAsia="Courier New" w:hAnsi="Courier New"/>
          <w:sz w:val="16"/>
          <w:szCs w:val="16"/>
          <w:color w:val="auto"/>
        </w:rPr>
        <w:t>Unaudited Condensed Pro Forma Statement of Operations</w:t>
      </w:r>
    </w:p>
    <w:tbl>
      <w:tblPr>
        <w:tblLayout w:type="fixed"/>
        <w:tblInd w:w="4" w:type="dxa"/>
        <w:tblCellMar>
          <w:top w:w="0" w:type="dxa"/>
          <w:left w:w="0" w:type="dxa"/>
          <w:bottom w:w="0" w:type="dxa"/>
          <w:right w:w="0" w:type="dxa"/>
        </w:tblCellMar>
      </w:tblPr>
      <w:tr>
        <w:trPr>
          <w:trHeight w:val="181"/>
        </w:trPr>
        <w:tc>
          <w:tcPr>
            <w:tcW w:w="6340" w:type="dxa"/>
            <w:vAlign w:val="bottom"/>
            <w:gridSpan w:val="5"/>
          </w:tcPr>
          <w:p>
            <w:pPr>
              <w:jc w:val="right"/>
              <w:ind w:right="542"/>
              <w:spacing w:after="0"/>
              <w:rPr>
                <w:sz w:val="20"/>
                <w:szCs w:val="20"/>
                <w:color w:val="auto"/>
              </w:rPr>
            </w:pPr>
            <w:r>
              <w:rPr>
                <w:rFonts w:ascii="Courier New" w:cs="Courier New" w:eastAsia="Courier New" w:hAnsi="Courier New"/>
                <w:sz w:val="16"/>
                <w:szCs w:val="16"/>
                <w:color w:val="auto"/>
              </w:rPr>
              <w:t>For the Nine Months Ended September 30, 1998</w:t>
            </w: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722"/>
        </w:trPr>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8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Historical</w:t>
            </w: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4"/>
              </w:rPr>
              <w:t>Pro Forma</w:t>
            </w:r>
          </w:p>
        </w:tc>
      </w:tr>
      <w:tr>
        <w:trPr>
          <w:trHeight w:val="181"/>
        </w:trPr>
        <w:tc>
          <w:tcPr>
            <w:tcW w:w="2860" w:type="dxa"/>
            <w:vAlign w:val="bottom"/>
          </w:tcPr>
          <w:p>
            <w:pPr>
              <w:spacing w:after="0"/>
              <w:rPr>
                <w:sz w:val="15"/>
                <w:szCs w:val="15"/>
                <w:color w:val="auto"/>
              </w:rPr>
            </w:pPr>
          </w:p>
        </w:tc>
        <w:tc>
          <w:tcPr>
            <w:tcW w:w="3480" w:type="dxa"/>
            <w:vAlign w:val="bottom"/>
            <w:gridSpan w:val="4"/>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2860" w:type="dxa"/>
            <w:vAlign w:val="bottom"/>
          </w:tcPr>
          <w:p>
            <w:pPr>
              <w:spacing w:after="0"/>
              <w:rPr>
                <w:sz w:val="15"/>
                <w:szCs w:val="15"/>
                <w:color w:val="auto"/>
              </w:rPr>
            </w:pPr>
          </w:p>
        </w:tc>
        <w:tc>
          <w:tcPr>
            <w:tcW w:w="14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Schlumberger</w:t>
            </w:r>
          </w:p>
        </w:tc>
        <w:tc>
          <w:tcPr>
            <w:tcW w:w="208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Sedco Forex</w:t>
            </w:r>
          </w:p>
        </w:tc>
        <w:tc>
          <w:tcPr>
            <w:tcW w:w="18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Adjustments</w:t>
            </w:r>
          </w:p>
        </w:tc>
        <w:tc>
          <w:tcPr>
            <w:tcW w:w="760" w:type="dxa"/>
            <w:vAlign w:val="bottom"/>
          </w:tcPr>
          <w:p>
            <w:pPr>
              <w:spacing w:after="0"/>
              <w:rPr>
                <w:sz w:val="15"/>
                <w:szCs w:val="15"/>
                <w:color w:val="auto"/>
              </w:rPr>
            </w:pP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5"/>
              </w:rPr>
              <w:t>Schlumberger</w:t>
            </w:r>
          </w:p>
        </w:tc>
      </w:tr>
      <w:tr>
        <w:trPr>
          <w:trHeight w:val="181"/>
        </w:trPr>
        <w:tc>
          <w:tcPr>
            <w:tcW w:w="2860" w:type="dxa"/>
            <w:vAlign w:val="bottom"/>
          </w:tcPr>
          <w:p>
            <w:pPr>
              <w:spacing w:after="0"/>
              <w:rPr>
                <w:sz w:val="15"/>
                <w:szCs w:val="15"/>
                <w:color w:val="auto"/>
              </w:rPr>
            </w:pPr>
          </w:p>
        </w:tc>
        <w:tc>
          <w:tcPr>
            <w:tcW w:w="140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ind w:left="420"/>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r>
      <w:tr>
        <w:trPr>
          <w:trHeight w:val="181"/>
        </w:trPr>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66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8"/>
              </w:rPr>
              <w:t>(amounts in thousands, except per  share amounts)</w:t>
            </w: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61"/>
        </w:trPr>
        <w:tc>
          <w:tcPr>
            <w:tcW w:w="28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Operating</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9,040,053</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824,481</w:t>
            </w:r>
          </w:p>
        </w:tc>
        <w:tc>
          <w:tcPr>
            <w:tcW w:w="74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8,215,572</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Interest and other Income</w:t>
            </w: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120,989</w:t>
            </w:r>
          </w:p>
        </w:tc>
        <w:tc>
          <w:tcPr>
            <w:tcW w:w="860" w:type="dxa"/>
            <w:vAlign w:val="bottom"/>
          </w:tcPr>
          <w:p>
            <w:pPr>
              <w:spacing w:after="0"/>
              <w:rPr>
                <w:sz w:val="15"/>
                <w:szCs w:val="15"/>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5,019</w:t>
            </w:r>
          </w:p>
        </w:tc>
        <w:tc>
          <w:tcPr>
            <w:tcW w:w="7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115,970</w:t>
            </w:r>
          </w:p>
        </w:tc>
      </w:tr>
      <w:tr>
        <w:trPr>
          <w:trHeight w:val="181"/>
        </w:trPr>
        <w:tc>
          <w:tcPr>
            <w:tcW w:w="28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181"/>
        </w:trPr>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9,161,042</w:t>
            </w:r>
          </w:p>
        </w:tc>
        <w:tc>
          <w:tcPr>
            <w:tcW w:w="860" w:type="dxa"/>
            <w:vAlign w:val="bottom"/>
          </w:tcPr>
          <w:p>
            <w:pPr>
              <w:spacing w:after="0"/>
              <w:rPr>
                <w:sz w:val="15"/>
                <w:szCs w:val="15"/>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829,500</w:t>
            </w:r>
          </w:p>
        </w:tc>
        <w:tc>
          <w:tcPr>
            <w:tcW w:w="7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8,331,542</w:t>
            </w:r>
          </w:p>
        </w:tc>
      </w:tr>
      <w:tr>
        <w:trPr>
          <w:trHeight w:val="181"/>
        </w:trPr>
        <w:tc>
          <w:tcPr>
            <w:tcW w:w="28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28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Cost of goods sold and</w:t>
            </w: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6,956,899</w:t>
            </w:r>
          </w:p>
        </w:tc>
        <w:tc>
          <w:tcPr>
            <w:tcW w:w="860" w:type="dxa"/>
            <w:vAlign w:val="bottom"/>
          </w:tcPr>
          <w:p>
            <w:pPr>
              <w:spacing w:after="0"/>
              <w:rPr>
                <w:sz w:val="15"/>
                <w:szCs w:val="15"/>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503,884</w:t>
            </w:r>
          </w:p>
        </w:tc>
        <w:tc>
          <w:tcPr>
            <w:tcW w:w="7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40,995</w:t>
            </w: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6,494,010</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services</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Research &amp; engineering</w:t>
            </w: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430,884</w:t>
            </w:r>
          </w:p>
        </w:tc>
        <w:tc>
          <w:tcPr>
            <w:tcW w:w="860" w:type="dxa"/>
            <w:vAlign w:val="bottom"/>
          </w:tcPr>
          <w:p>
            <w:pPr>
              <w:spacing w:after="0"/>
              <w:rPr>
                <w:sz w:val="15"/>
                <w:szCs w:val="15"/>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8,731</w:t>
            </w:r>
          </w:p>
        </w:tc>
        <w:tc>
          <w:tcPr>
            <w:tcW w:w="7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422,153</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Marketing</w:t>
            </w: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349,081</w:t>
            </w:r>
          </w:p>
        </w:tc>
        <w:tc>
          <w:tcPr>
            <w:tcW w:w="860" w:type="dxa"/>
            <w:vAlign w:val="bottom"/>
          </w:tcPr>
          <w:p>
            <w:pPr>
              <w:spacing w:after="0"/>
              <w:rPr>
                <w:sz w:val="15"/>
                <w:szCs w:val="15"/>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349,081</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General</w:t>
            </w: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341,439</w:t>
            </w:r>
          </w:p>
        </w:tc>
        <w:tc>
          <w:tcPr>
            <w:tcW w:w="860" w:type="dxa"/>
            <w:vAlign w:val="bottom"/>
          </w:tcPr>
          <w:p>
            <w:pPr>
              <w:spacing w:after="0"/>
              <w:rPr>
                <w:sz w:val="15"/>
                <w:szCs w:val="15"/>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19,126</w:t>
            </w:r>
          </w:p>
        </w:tc>
        <w:tc>
          <w:tcPr>
            <w:tcW w:w="7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322,313</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Interest</w:t>
            </w: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92,854</w:t>
            </w:r>
          </w:p>
        </w:tc>
        <w:tc>
          <w:tcPr>
            <w:tcW w:w="860" w:type="dxa"/>
            <w:vAlign w:val="bottom"/>
          </w:tcPr>
          <w:p>
            <w:pPr>
              <w:spacing w:after="0"/>
              <w:rPr>
                <w:sz w:val="15"/>
                <w:szCs w:val="15"/>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12,278</w:t>
            </w:r>
          </w:p>
        </w:tc>
        <w:tc>
          <w:tcPr>
            <w:tcW w:w="7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80,576</w:t>
            </w:r>
          </w:p>
        </w:tc>
      </w:tr>
      <w:tr>
        <w:trPr>
          <w:trHeight w:val="181"/>
        </w:trPr>
        <w:tc>
          <w:tcPr>
            <w:tcW w:w="28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181"/>
        </w:trPr>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8,171,157</w:t>
            </w:r>
          </w:p>
        </w:tc>
        <w:tc>
          <w:tcPr>
            <w:tcW w:w="860" w:type="dxa"/>
            <w:vAlign w:val="bottom"/>
          </w:tcPr>
          <w:p>
            <w:pPr>
              <w:spacing w:after="0"/>
              <w:rPr>
                <w:sz w:val="15"/>
                <w:szCs w:val="15"/>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544,019</w:t>
            </w:r>
          </w:p>
        </w:tc>
        <w:tc>
          <w:tcPr>
            <w:tcW w:w="7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40,995</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7,668,133</w:t>
            </w:r>
          </w:p>
        </w:tc>
      </w:tr>
      <w:tr>
        <w:trPr>
          <w:trHeight w:val="181"/>
        </w:trPr>
        <w:tc>
          <w:tcPr>
            <w:tcW w:w="28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Income before taxes</w:t>
            </w:r>
          </w:p>
        </w:tc>
        <w:tc>
          <w:tcPr>
            <w:tcW w:w="3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989,885</w:t>
            </w:r>
          </w:p>
        </w:tc>
        <w:tc>
          <w:tcPr>
            <w:tcW w:w="860" w:type="dxa"/>
            <w:vAlign w:val="bottom"/>
          </w:tcPr>
          <w:p>
            <w:pPr>
              <w:spacing w:after="0"/>
              <w:rPr>
                <w:sz w:val="24"/>
                <w:szCs w:val="24"/>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285,481</w:t>
            </w:r>
          </w:p>
        </w:tc>
        <w:tc>
          <w:tcPr>
            <w:tcW w:w="740" w:type="dxa"/>
            <w:vAlign w:val="bottom"/>
          </w:tcPr>
          <w:p>
            <w:pPr>
              <w:spacing w:after="0"/>
              <w:rPr>
                <w:sz w:val="24"/>
                <w:szCs w:val="24"/>
                <w:color w:val="auto"/>
              </w:rPr>
            </w:pP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(40,995)</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663,409</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Taxes on income</w:t>
            </w: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252,532</w:t>
            </w:r>
          </w:p>
        </w:tc>
        <w:tc>
          <w:tcPr>
            <w:tcW w:w="860" w:type="dxa"/>
            <w:vAlign w:val="bottom"/>
          </w:tcPr>
          <w:p>
            <w:pPr>
              <w:spacing w:after="0"/>
              <w:rPr>
                <w:sz w:val="15"/>
                <w:szCs w:val="15"/>
                <w:color w:val="auto"/>
              </w:rPr>
            </w:pP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35,017</w:t>
            </w:r>
          </w:p>
        </w:tc>
        <w:tc>
          <w:tcPr>
            <w:tcW w:w="7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217,515</w:t>
            </w:r>
          </w:p>
        </w:tc>
      </w:tr>
      <w:tr>
        <w:trPr>
          <w:trHeight w:val="181"/>
        </w:trPr>
        <w:tc>
          <w:tcPr>
            <w:tcW w:w="28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181"/>
        </w:trPr>
        <w:tc>
          <w:tcPr>
            <w:tcW w:w="28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737,353</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250,464</w:t>
            </w:r>
          </w:p>
        </w:tc>
        <w:tc>
          <w:tcPr>
            <w:tcW w:w="74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(40,995)</w:t>
            </w:r>
          </w:p>
        </w:tc>
        <w:tc>
          <w:tcPr>
            <w:tcW w:w="7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445,894</w:t>
            </w:r>
          </w:p>
        </w:tc>
      </w:tr>
      <w:tr>
        <w:trPr>
          <w:trHeight w:val="181"/>
        </w:trPr>
        <w:tc>
          <w:tcPr>
            <w:tcW w:w="28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286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Basic</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1.36</w:t>
            </w: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0.82</w:t>
            </w:r>
          </w:p>
        </w:tc>
      </w:tr>
      <w:tr>
        <w:trPr>
          <w:trHeight w:val="181"/>
        </w:trPr>
        <w:tc>
          <w:tcPr>
            <w:tcW w:w="28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Diluted</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1.31</w:t>
            </w: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0.79</w:t>
            </w:r>
          </w:p>
        </w:tc>
      </w:tr>
      <w:tr>
        <w:trPr>
          <w:trHeight w:val="181"/>
        </w:trPr>
        <w:tc>
          <w:tcPr>
            <w:tcW w:w="28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286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1"/>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Outstanding:</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Basic</w:t>
            </w: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543,800</w:t>
            </w: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543,800</w:t>
            </w:r>
          </w:p>
        </w:tc>
      </w:tr>
      <w:tr>
        <w:trPr>
          <w:trHeight w:val="181"/>
        </w:trPr>
        <w:tc>
          <w:tcPr>
            <w:tcW w:w="28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Diluted</w:t>
            </w:r>
          </w:p>
        </w:tc>
        <w:tc>
          <w:tcPr>
            <w:tcW w:w="3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563,137</w:t>
            </w: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(315)</w:t>
            </w:r>
          </w:p>
        </w:tc>
        <w:tc>
          <w:tcPr>
            <w:tcW w:w="7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562,822</w:t>
            </w:r>
          </w:p>
        </w:tc>
      </w:tr>
      <w:tr>
        <w:trPr>
          <w:trHeight w:val="181"/>
        </w:trPr>
        <w:tc>
          <w:tcPr>
            <w:tcW w:w="28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361"/>
        </w:trPr>
        <w:tc>
          <w:tcPr>
            <w:tcW w:w="28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included in Expenses</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845,088</w:t>
            </w:r>
          </w:p>
        </w:tc>
        <w:tc>
          <w:tcPr>
            <w:tcW w:w="86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92,661</w:t>
            </w:r>
          </w:p>
        </w:tc>
        <w:tc>
          <w:tcPr>
            <w:tcW w:w="740" w:type="dxa"/>
            <w:vAlign w:val="bottom"/>
          </w:tcPr>
          <w:p>
            <w:pPr>
              <w:ind w:left="4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752,427</w:t>
            </w:r>
          </w:p>
        </w:tc>
      </w:tr>
      <w:tr>
        <w:trPr>
          <w:trHeight w:val="181"/>
        </w:trPr>
        <w:tc>
          <w:tcPr>
            <w:tcW w:w="28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080" w:type="dxa"/>
            <w:vAlign w:val="bottom"/>
            <w:gridSpan w:val="2"/>
          </w:tcPr>
          <w:p>
            <w:pPr>
              <w:jc w:val="right"/>
              <w:ind w:right="342"/>
              <w:spacing w:after="0"/>
              <w:rPr>
                <w:sz w:val="20"/>
                <w:szCs w:val="20"/>
                <w:color w:val="auto"/>
              </w:rPr>
            </w:pPr>
            <w:r>
              <w:rPr>
                <w:rFonts w:ascii="Courier New" w:cs="Courier New" w:eastAsia="Courier New" w:hAnsi="Courier New"/>
                <w:sz w:val="16"/>
                <w:szCs w:val="16"/>
                <w:color w:val="auto"/>
              </w:rPr>
              <w:t>===========</w:t>
            </w:r>
          </w:p>
        </w:tc>
        <w:tc>
          <w:tcPr>
            <w:tcW w:w="18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6"/>
              </w:rPr>
              <w:t>=============</w:t>
            </w:r>
          </w:p>
        </w:tc>
      </w:tr>
    </w:tbl>
    <w:p>
      <w:pPr>
        <w:spacing w:after="0" w:line="200" w:lineRule="exact"/>
        <w:rPr>
          <w:sz w:val="20"/>
          <w:szCs w:val="20"/>
          <w:color w:val="auto"/>
        </w:rPr>
      </w:pPr>
    </w:p>
    <w:p>
      <w:pPr>
        <w:spacing w:after="0" w:line="346" w:lineRule="exact"/>
        <w:rPr>
          <w:sz w:val="20"/>
          <w:szCs w:val="20"/>
          <w:color w:val="auto"/>
        </w:rPr>
      </w:pPr>
    </w:p>
    <w:p>
      <w:pPr>
        <w:ind w:left="464" w:right="2640" w:hanging="464"/>
        <w:spacing w:after="0" w:line="238" w:lineRule="auto"/>
        <w:tabs>
          <w:tab w:leader="none" w:pos="4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$40,995 represents insurance premiums paid to third party insurance companies for some risks where the insurance risk is then assumed by a Schlumberger wholly owned affiliated company through a reinsurance program. In the consolidated accounts of Schlumberger, the Sedco Forex insurance premium expense is eliminated against the insurance premium income received by the affiliated company.</w:t>
      </w:r>
    </w:p>
    <w:p>
      <w:pPr>
        <w:spacing w:after="0" w:line="366" w:lineRule="exact"/>
        <w:rPr>
          <w:rFonts w:ascii="Courier New" w:cs="Courier New" w:eastAsia="Courier New" w:hAnsi="Courier New"/>
          <w:sz w:val="16"/>
          <w:szCs w:val="16"/>
          <w:color w:val="auto"/>
        </w:rPr>
      </w:pPr>
    </w:p>
    <w:p>
      <w:pPr>
        <w:ind w:left="464" w:right="2920" w:hanging="464"/>
        <w:spacing w:after="0" w:line="236" w:lineRule="auto"/>
        <w:tabs>
          <w:tab w:leader="none" w:pos="46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315 represents the elimination of the dilutive effect of Sedco Forex employees' unexercised stock options.</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F-4</w:t>
      </w:r>
    </w:p>
    <w:p>
      <w:pPr>
        <w:sectPr>
          <w:pgSz w:w="11900" w:h="16838" w:orient="portrait"/>
          <w:cols w:equalWidth="0" w:num="1">
            <w:col w:w="10144"/>
          </w:cols>
          <w:pgMar w:left="316" w:top="654" w:right="1439" w:bottom="1440" w:gutter="0" w:footer="0" w:header="0"/>
        </w:sectPr>
      </w:pPr>
    </w:p>
    <w:bookmarkStart w:id="8" w:name="page9"/>
    <w:bookmarkEnd w:id="8"/>
    <w:p>
      <w:pPr>
        <w:ind w:left="1224"/>
        <w:spacing w:after="0"/>
        <w:rPr>
          <w:sz w:val="20"/>
          <w:szCs w:val="20"/>
          <w:color w:val="auto"/>
        </w:rPr>
      </w:pPr>
      <w:r>
        <w:rPr>
          <w:rFonts w:ascii="Courier New" w:cs="Courier New" w:eastAsia="Courier New" w:hAnsi="Courier New"/>
          <w:sz w:val="16"/>
          <w:szCs w:val="16"/>
          <w:color w:val="auto"/>
        </w:rPr>
        <w:t>Unaudited Condensed Pro Forma Statement of Operations</w:t>
      </w:r>
    </w:p>
    <w:tbl>
      <w:tblPr>
        <w:tblLayout w:type="fixed"/>
        <w:tblInd w:w="4" w:type="dxa"/>
        <w:tblCellMar>
          <w:top w:w="0" w:type="dxa"/>
          <w:left w:w="0" w:type="dxa"/>
          <w:bottom w:w="0" w:type="dxa"/>
          <w:right w:w="0" w:type="dxa"/>
        </w:tblCellMar>
      </w:tblPr>
      <w:tr>
        <w:trPr>
          <w:trHeight w:val="181"/>
        </w:trPr>
        <w:tc>
          <w:tcPr>
            <w:tcW w:w="6420" w:type="dxa"/>
            <w:vAlign w:val="bottom"/>
            <w:gridSpan w:val="5"/>
          </w:tcPr>
          <w:p>
            <w:pPr>
              <w:jc w:val="right"/>
              <w:ind w:right="1002"/>
              <w:spacing w:after="0"/>
              <w:rPr>
                <w:sz w:val="20"/>
                <w:szCs w:val="20"/>
                <w:color w:val="auto"/>
              </w:rPr>
            </w:pPr>
            <w:r>
              <w:rPr>
                <w:rFonts w:ascii="Courier New" w:cs="Courier New" w:eastAsia="Courier New" w:hAnsi="Courier New"/>
                <w:sz w:val="16"/>
                <w:szCs w:val="16"/>
                <w:color w:val="auto"/>
              </w:rPr>
              <w:t>For the Year Ended December 31, 1998</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722"/>
        </w:trPr>
        <w:tc>
          <w:tcPr>
            <w:tcW w:w="2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92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Historical</w:t>
            </w: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4"/>
              </w:rPr>
              <w:t>Pro Forma</w:t>
            </w:r>
          </w:p>
        </w:tc>
      </w:tr>
      <w:tr>
        <w:trPr>
          <w:trHeight w:val="181"/>
        </w:trPr>
        <w:tc>
          <w:tcPr>
            <w:tcW w:w="2860" w:type="dxa"/>
            <w:vAlign w:val="bottom"/>
          </w:tcPr>
          <w:p>
            <w:pPr>
              <w:spacing w:after="0"/>
              <w:rPr>
                <w:sz w:val="15"/>
                <w:szCs w:val="15"/>
                <w:color w:val="auto"/>
              </w:rPr>
            </w:pPr>
          </w:p>
        </w:tc>
        <w:tc>
          <w:tcPr>
            <w:tcW w:w="356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2860" w:type="dxa"/>
            <w:vAlign w:val="bottom"/>
          </w:tcPr>
          <w:p>
            <w:pPr>
              <w:spacing w:after="0"/>
              <w:rPr>
                <w:sz w:val="15"/>
                <w:szCs w:val="15"/>
                <w:color w:val="auto"/>
              </w:rPr>
            </w:pPr>
          </w:p>
        </w:tc>
        <w:tc>
          <w:tcPr>
            <w:tcW w:w="14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Schlumberger</w:t>
            </w:r>
          </w:p>
        </w:tc>
        <w:tc>
          <w:tcPr>
            <w:tcW w:w="2100" w:type="dxa"/>
            <w:vAlign w:val="bottom"/>
            <w:gridSpan w:val="2"/>
          </w:tcPr>
          <w:p>
            <w:pPr>
              <w:jc w:val="right"/>
              <w:ind w:right="422"/>
              <w:spacing w:after="0"/>
              <w:rPr>
                <w:sz w:val="20"/>
                <w:szCs w:val="20"/>
                <w:color w:val="auto"/>
              </w:rPr>
            </w:pPr>
            <w:r>
              <w:rPr>
                <w:rFonts w:ascii="Courier New" w:cs="Courier New" w:eastAsia="Courier New" w:hAnsi="Courier New"/>
                <w:sz w:val="16"/>
                <w:szCs w:val="16"/>
                <w:color w:val="auto"/>
              </w:rPr>
              <w:t>Sedco Forex</w:t>
            </w:r>
          </w:p>
        </w:tc>
        <w:tc>
          <w:tcPr>
            <w:tcW w:w="15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Adjustments</w:t>
            </w:r>
          </w:p>
        </w:tc>
        <w:tc>
          <w:tcPr>
            <w:tcW w:w="940" w:type="dxa"/>
            <w:vAlign w:val="bottom"/>
          </w:tcPr>
          <w:p>
            <w:pPr>
              <w:spacing w:after="0"/>
              <w:rPr>
                <w:sz w:val="15"/>
                <w:szCs w:val="15"/>
                <w:color w:val="auto"/>
              </w:rPr>
            </w:pPr>
          </w:p>
        </w:tc>
        <w:tc>
          <w:tcPr>
            <w:tcW w:w="1120" w:type="dxa"/>
            <w:vAlign w:val="bottom"/>
            <w:gridSpan w:val="2"/>
          </w:tcPr>
          <w:p>
            <w:pPr>
              <w:spacing w:after="0"/>
              <w:rPr>
                <w:sz w:val="20"/>
                <w:szCs w:val="20"/>
                <w:color w:val="auto"/>
              </w:rPr>
            </w:pPr>
            <w:r>
              <w:rPr>
                <w:rFonts w:ascii="Courier New" w:cs="Courier New" w:eastAsia="Courier New" w:hAnsi="Courier New"/>
                <w:sz w:val="16"/>
                <w:szCs w:val="16"/>
                <w:color w:val="auto"/>
                <w:w w:val="95"/>
              </w:rPr>
              <w:t>Schlumberger</w:t>
            </w:r>
          </w:p>
        </w:tc>
      </w:tr>
      <w:tr>
        <w:trPr>
          <w:trHeight w:val="181"/>
        </w:trPr>
        <w:tc>
          <w:tcPr>
            <w:tcW w:w="2860" w:type="dxa"/>
            <w:vAlign w:val="bottom"/>
          </w:tcPr>
          <w:p>
            <w:pPr>
              <w:spacing w:after="0"/>
              <w:rPr>
                <w:sz w:val="15"/>
                <w:szCs w:val="15"/>
                <w:color w:val="auto"/>
              </w:rPr>
            </w:pPr>
          </w:p>
        </w:tc>
        <w:tc>
          <w:tcPr>
            <w:tcW w:w="14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42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1"/>
        </w:trPr>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0" w:type="dxa"/>
            <w:vAlign w:val="bottom"/>
            <w:gridSpan w:val="5"/>
          </w:tcPr>
          <w:p>
            <w:pPr>
              <w:jc w:val="right"/>
              <w:spacing w:after="0"/>
              <w:rPr>
                <w:sz w:val="20"/>
                <w:szCs w:val="20"/>
                <w:color w:val="auto"/>
              </w:rPr>
            </w:pPr>
            <w:r>
              <w:rPr>
                <w:rFonts w:ascii="Courier New" w:cs="Courier New" w:eastAsia="Courier New" w:hAnsi="Courier New"/>
                <w:sz w:val="16"/>
                <w:szCs w:val="16"/>
                <w:color w:val="auto"/>
                <w:w w:val="97"/>
              </w:rPr>
              <w:t>(amounts in thousands, except per  share amounts)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61"/>
        </w:trPr>
        <w:tc>
          <w:tcPr>
            <w:tcW w:w="286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Operating</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11,815,553</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1,090,523</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$ 10,725,030</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Interest and other Income</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181,756</w:t>
            </w:r>
          </w:p>
        </w:tc>
        <w:tc>
          <w:tcPr>
            <w:tcW w:w="84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8,750</w:t>
            </w:r>
          </w:p>
        </w:tc>
        <w:tc>
          <w:tcPr>
            <w:tcW w:w="62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173,006</w:t>
            </w:r>
          </w:p>
        </w:tc>
      </w:tr>
      <w:tr>
        <w:trPr>
          <w:trHeight w:val="181"/>
        </w:trPr>
        <w:tc>
          <w:tcPr>
            <w:tcW w:w="28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1"/>
        </w:trPr>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11,997,309</w:t>
            </w:r>
          </w:p>
        </w:tc>
        <w:tc>
          <w:tcPr>
            <w:tcW w:w="84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1,099,273</w:t>
            </w:r>
          </w:p>
        </w:tc>
        <w:tc>
          <w:tcPr>
            <w:tcW w:w="62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10,898,036</w:t>
            </w:r>
          </w:p>
        </w:tc>
      </w:tr>
      <w:tr>
        <w:trPr>
          <w:trHeight w:val="181"/>
        </w:trPr>
        <w:tc>
          <w:tcPr>
            <w:tcW w:w="28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286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Cost of goods sold and</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9,034,409</w:t>
            </w:r>
          </w:p>
        </w:tc>
        <w:tc>
          <w:tcPr>
            <w:tcW w:w="84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674,685</w:t>
            </w:r>
          </w:p>
        </w:tc>
        <w:tc>
          <w:tcPr>
            <w:tcW w:w="62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54,659</w:t>
            </w:r>
          </w:p>
        </w:tc>
        <w:tc>
          <w:tcPr>
            <w:tcW w:w="9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(1)</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8,414,383</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services</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Research &amp; engineering</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568,225</w:t>
            </w:r>
          </w:p>
        </w:tc>
        <w:tc>
          <w:tcPr>
            <w:tcW w:w="84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11,343</w:t>
            </w:r>
          </w:p>
        </w:tc>
        <w:tc>
          <w:tcPr>
            <w:tcW w:w="62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556,882</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Marketing</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467,592</w:t>
            </w:r>
          </w:p>
        </w:tc>
        <w:tc>
          <w:tcPr>
            <w:tcW w:w="84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467,592</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General</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454,049</w:t>
            </w:r>
          </w:p>
        </w:tc>
        <w:tc>
          <w:tcPr>
            <w:tcW w:w="84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26,274</w:t>
            </w:r>
          </w:p>
        </w:tc>
        <w:tc>
          <w:tcPr>
            <w:tcW w:w="62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427,775</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Interest</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150,161</w:t>
            </w:r>
          </w:p>
        </w:tc>
        <w:tc>
          <w:tcPr>
            <w:tcW w:w="84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12,950</w:t>
            </w:r>
          </w:p>
        </w:tc>
        <w:tc>
          <w:tcPr>
            <w:tcW w:w="62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137,211</w:t>
            </w:r>
          </w:p>
        </w:tc>
      </w:tr>
      <w:tr>
        <w:trPr>
          <w:trHeight w:val="181"/>
        </w:trPr>
        <w:tc>
          <w:tcPr>
            <w:tcW w:w="28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1"/>
        </w:trPr>
        <w:tc>
          <w:tcPr>
            <w:tcW w:w="28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10,674,436</w:t>
            </w:r>
          </w:p>
        </w:tc>
        <w:tc>
          <w:tcPr>
            <w:tcW w:w="84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725,252</w:t>
            </w:r>
          </w:p>
        </w:tc>
        <w:tc>
          <w:tcPr>
            <w:tcW w:w="62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54,659</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10,003,843</w:t>
            </w:r>
          </w:p>
        </w:tc>
      </w:tr>
      <w:tr>
        <w:trPr>
          <w:trHeight w:val="181"/>
        </w:trPr>
        <w:tc>
          <w:tcPr>
            <w:tcW w:w="28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Income before taxes</w:t>
            </w:r>
          </w:p>
        </w:tc>
        <w:tc>
          <w:tcPr>
            <w:tcW w:w="3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1,322,873</w:t>
            </w:r>
          </w:p>
        </w:tc>
        <w:tc>
          <w:tcPr>
            <w:tcW w:w="840" w:type="dxa"/>
            <w:vAlign w:val="bottom"/>
          </w:tcPr>
          <w:p>
            <w:pPr>
              <w:spacing w:after="0"/>
              <w:rPr>
                <w:sz w:val="24"/>
                <w:szCs w:val="24"/>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374,021</w:t>
            </w:r>
          </w:p>
        </w:tc>
        <w:tc>
          <w:tcPr>
            <w:tcW w:w="620" w:type="dxa"/>
            <w:vAlign w:val="bottom"/>
          </w:tcPr>
          <w:p>
            <w:pPr>
              <w:spacing w:after="0"/>
              <w:rPr>
                <w:sz w:val="24"/>
                <w:szCs w:val="24"/>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(54,659)</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894,193</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Taxes on income</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308,674</w:t>
            </w:r>
          </w:p>
        </w:tc>
        <w:tc>
          <w:tcPr>
            <w:tcW w:w="840" w:type="dxa"/>
            <w:vAlign w:val="bottom"/>
          </w:tcPr>
          <w:p>
            <w:pPr>
              <w:spacing w:after="0"/>
              <w:rPr>
                <w:sz w:val="15"/>
                <w:szCs w:val="15"/>
                <w:color w:val="auto"/>
              </w:rPr>
            </w:pP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32,443</w:t>
            </w:r>
          </w:p>
        </w:tc>
        <w:tc>
          <w:tcPr>
            <w:tcW w:w="62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276,231</w:t>
            </w:r>
          </w:p>
        </w:tc>
      </w:tr>
      <w:tr>
        <w:trPr>
          <w:trHeight w:val="181"/>
        </w:trPr>
        <w:tc>
          <w:tcPr>
            <w:tcW w:w="28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1"/>
        </w:trPr>
        <w:tc>
          <w:tcPr>
            <w:tcW w:w="286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1,014,199</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341,578</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(54,659)</w:t>
            </w:r>
          </w:p>
        </w:tc>
        <w:tc>
          <w:tcPr>
            <w:tcW w:w="9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617,962</w:t>
            </w:r>
          </w:p>
        </w:tc>
      </w:tr>
      <w:tr>
        <w:trPr>
          <w:trHeight w:val="181"/>
        </w:trPr>
        <w:tc>
          <w:tcPr>
            <w:tcW w:w="28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286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Basic</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1.87</w:t>
            </w: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1.14</w:t>
            </w:r>
          </w:p>
        </w:tc>
      </w:tr>
      <w:tr>
        <w:trPr>
          <w:trHeight w:val="181"/>
        </w:trPr>
        <w:tc>
          <w:tcPr>
            <w:tcW w:w="28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Diluted</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1.81</w:t>
            </w: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1.10</w:t>
            </w:r>
          </w:p>
        </w:tc>
      </w:tr>
      <w:tr>
        <w:trPr>
          <w:trHeight w:val="181"/>
        </w:trPr>
        <w:tc>
          <w:tcPr>
            <w:tcW w:w="28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286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1"/>
        </w:trPr>
        <w:tc>
          <w:tcPr>
            <w:tcW w:w="2860" w:type="dxa"/>
            <w:vAlign w:val="bottom"/>
          </w:tcPr>
          <w:p>
            <w:pPr>
              <w:ind w:left="100"/>
              <w:spacing w:after="0"/>
              <w:rPr>
                <w:sz w:val="20"/>
                <w:szCs w:val="20"/>
                <w:color w:val="auto"/>
              </w:rPr>
            </w:pPr>
            <w:r>
              <w:rPr>
                <w:rFonts w:ascii="Courier New" w:cs="Courier New" w:eastAsia="Courier New" w:hAnsi="Courier New"/>
                <w:sz w:val="16"/>
                <w:szCs w:val="16"/>
                <w:color w:val="auto"/>
              </w:rPr>
              <w:t>Outstanding:</w:t>
            </w:r>
          </w:p>
        </w:tc>
        <w:tc>
          <w:tcPr>
            <w:tcW w:w="3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Basic</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544,338</w:t>
            </w: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544,338</w:t>
            </w:r>
          </w:p>
        </w:tc>
      </w:tr>
      <w:tr>
        <w:trPr>
          <w:trHeight w:val="181"/>
        </w:trPr>
        <w:tc>
          <w:tcPr>
            <w:tcW w:w="28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Diluted</w:t>
            </w:r>
          </w:p>
        </w:tc>
        <w:tc>
          <w:tcPr>
            <w:tcW w:w="3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561,855</w:t>
            </w: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(288)</w:t>
            </w:r>
          </w:p>
        </w:tc>
        <w:tc>
          <w:tcPr>
            <w:tcW w:w="9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561,567</w:t>
            </w:r>
          </w:p>
        </w:tc>
      </w:tr>
      <w:tr>
        <w:trPr>
          <w:trHeight w:val="181"/>
        </w:trPr>
        <w:tc>
          <w:tcPr>
            <w:tcW w:w="28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5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r>
        <w:trPr>
          <w:trHeight w:val="361"/>
        </w:trPr>
        <w:tc>
          <w:tcPr>
            <w:tcW w:w="286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1"/>
        </w:trPr>
        <w:tc>
          <w:tcPr>
            <w:tcW w:w="2860" w:type="dxa"/>
            <w:vAlign w:val="bottom"/>
          </w:tcPr>
          <w:p>
            <w:pPr>
              <w:ind w:left="380"/>
              <w:spacing w:after="0"/>
              <w:rPr>
                <w:sz w:val="20"/>
                <w:szCs w:val="20"/>
                <w:color w:val="auto"/>
              </w:rPr>
            </w:pPr>
            <w:r>
              <w:rPr>
                <w:rFonts w:ascii="Courier New" w:cs="Courier New" w:eastAsia="Courier New" w:hAnsi="Courier New"/>
                <w:sz w:val="16"/>
                <w:szCs w:val="16"/>
                <w:color w:val="auto"/>
              </w:rPr>
              <w:t>included in Expenses</w:t>
            </w:r>
          </w:p>
        </w:tc>
        <w:tc>
          <w:tcPr>
            <w:tcW w:w="3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1,136,290</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124,708</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Courier New" w:cs="Courier New" w:eastAsia="Courier New" w:hAnsi="Courier New"/>
                <w:sz w:val="16"/>
                <w:szCs w:val="16"/>
                <w:color w:val="auto"/>
                <w:w w:val="82"/>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1,011,582</w:t>
            </w:r>
          </w:p>
        </w:tc>
      </w:tr>
      <w:tr>
        <w:trPr>
          <w:trHeight w:val="181"/>
        </w:trPr>
        <w:tc>
          <w:tcPr>
            <w:tcW w:w="286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0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6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5"/>
              </w:rPr>
              <w:t>============</w:t>
            </w:r>
          </w:p>
        </w:tc>
      </w:tr>
    </w:tbl>
    <w:p>
      <w:pPr>
        <w:spacing w:after="0" w:line="365" w:lineRule="exact"/>
        <w:rPr>
          <w:sz w:val="20"/>
          <w:szCs w:val="20"/>
          <w:color w:val="auto"/>
        </w:rPr>
      </w:pPr>
    </w:p>
    <w:p>
      <w:pPr>
        <w:ind w:left="464" w:right="2639" w:hanging="464"/>
        <w:spacing w:after="0" w:line="238" w:lineRule="auto"/>
        <w:tabs>
          <w:tab w:leader="none" w:pos="4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$54,659 represents insurance premiums paid to third party insurance companies for some risks where the insurance risk is then assumed by a Schlumberger wholly owned affiliated company through a reinsurance program. In the consolidated accounts of Schlumberger, the Sedco Forex insurance premium expense is eliminated against the insurance premium income received by the affiliated company.</w:t>
      </w:r>
    </w:p>
    <w:p>
      <w:pPr>
        <w:spacing w:after="0" w:line="185" w:lineRule="exact"/>
        <w:rPr>
          <w:rFonts w:ascii="Courier New" w:cs="Courier New" w:eastAsia="Courier New" w:hAnsi="Courier New"/>
          <w:sz w:val="16"/>
          <w:szCs w:val="16"/>
          <w:color w:val="auto"/>
        </w:rPr>
      </w:pPr>
    </w:p>
    <w:p>
      <w:pPr>
        <w:ind w:left="464" w:right="2919" w:hanging="464"/>
        <w:spacing w:after="0" w:line="236" w:lineRule="auto"/>
        <w:tabs>
          <w:tab w:leader="none" w:pos="464"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288 represents the elimination of the dilutive effect of Sedco Forex employees' unexercised stock options.</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F-5</w:t>
      </w:r>
    </w:p>
    <w:p>
      <w:pPr>
        <w:sectPr>
          <w:pgSz w:w="11900" w:h="16838" w:orient="portrait"/>
          <w:cols w:equalWidth="0" w:num="1">
            <w:col w:w="10143"/>
          </w:cols>
          <w:pgMar w:left="316" w:top="654" w:right="1440" w:bottom="1440" w:gutter="0" w:footer="0" w:header="0"/>
        </w:sectPr>
      </w:pPr>
    </w:p>
    <w:bookmarkStart w:id="9" w:name="page10"/>
    <w:bookmarkEnd w:id="9"/>
    <w:p>
      <w:pPr>
        <w:ind w:left="1224"/>
        <w:spacing w:after="0"/>
        <w:rPr>
          <w:sz w:val="20"/>
          <w:szCs w:val="20"/>
          <w:color w:val="auto"/>
        </w:rPr>
      </w:pPr>
      <w:r>
        <w:rPr>
          <w:rFonts w:ascii="Courier New" w:cs="Courier New" w:eastAsia="Courier New" w:hAnsi="Courier New"/>
          <w:sz w:val="16"/>
          <w:szCs w:val="16"/>
          <w:color w:val="auto"/>
        </w:rPr>
        <w:t>Unaudited Condensed Pro Forma Statement of Operations</w:t>
      </w:r>
    </w:p>
    <w:tbl>
      <w:tblPr>
        <w:tblLayout w:type="fixed"/>
        <w:tblInd w:w="4" w:type="dxa"/>
        <w:tblCellMar>
          <w:top w:w="0" w:type="dxa"/>
          <w:left w:w="0" w:type="dxa"/>
          <w:bottom w:w="0" w:type="dxa"/>
          <w:right w:w="0" w:type="dxa"/>
        </w:tblCellMar>
      </w:tblPr>
      <w:tr>
        <w:trPr>
          <w:trHeight w:val="181"/>
        </w:trPr>
        <w:tc>
          <w:tcPr>
            <w:tcW w:w="5340" w:type="dxa"/>
            <w:vAlign w:val="bottom"/>
            <w:gridSpan w:val="4"/>
          </w:tcPr>
          <w:p>
            <w:pPr>
              <w:ind w:left="1960"/>
              <w:spacing w:after="0"/>
              <w:rPr>
                <w:sz w:val="20"/>
                <w:szCs w:val="20"/>
                <w:color w:val="auto"/>
              </w:rPr>
            </w:pPr>
            <w:r>
              <w:rPr>
                <w:rFonts w:ascii="Courier New" w:cs="Courier New" w:eastAsia="Courier New" w:hAnsi="Courier New"/>
                <w:sz w:val="16"/>
                <w:szCs w:val="16"/>
                <w:color w:val="auto"/>
                <w:w w:val="97"/>
              </w:rPr>
              <w:t>For the Year Ended December 31, 1997</w:t>
            </w: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722"/>
        </w:trPr>
        <w:tc>
          <w:tcPr>
            <w:tcW w:w="2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60" w:type="dxa"/>
            <w:vAlign w:val="bottom"/>
            <w:gridSpan w:val="2"/>
          </w:tcPr>
          <w:p>
            <w:pPr>
              <w:ind w:left="860"/>
              <w:spacing w:after="0"/>
              <w:rPr>
                <w:sz w:val="20"/>
                <w:szCs w:val="20"/>
                <w:color w:val="auto"/>
              </w:rPr>
            </w:pPr>
            <w:r>
              <w:rPr>
                <w:rFonts w:ascii="Courier New" w:cs="Courier New" w:eastAsia="Courier New" w:hAnsi="Courier New"/>
                <w:sz w:val="16"/>
                <w:szCs w:val="16"/>
                <w:color w:val="auto"/>
              </w:rPr>
              <w:t>Historical</w:t>
            </w: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Pro Forma</w:t>
            </w:r>
          </w:p>
        </w:tc>
      </w:tr>
      <w:tr>
        <w:trPr>
          <w:trHeight w:val="181"/>
        </w:trPr>
        <w:tc>
          <w:tcPr>
            <w:tcW w:w="2900" w:type="dxa"/>
            <w:vAlign w:val="bottom"/>
          </w:tcPr>
          <w:p>
            <w:pPr>
              <w:spacing w:after="0"/>
              <w:rPr>
                <w:sz w:val="15"/>
                <w:szCs w:val="15"/>
                <w:color w:val="auto"/>
              </w:rPr>
            </w:pPr>
          </w:p>
        </w:tc>
        <w:tc>
          <w:tcPr>
            <w:tcW w:w="348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2900" w:type="dxa"/>
            <w:vAlign w:val="bottom"/>
          </w:tcPr>
          <w:p>
            <w:pPr>
              <w:spacing w:after="0"/>
              <w:rPr>
                <w:sz w:val="15"/>
                <w:szCs w:val="15"/>
                <w:color w:val="auto"/>
              </w:rPr>
            </w:pPr>
          </w:p>
        </w:tc>
        <w:tc>
          <w:tcPr>
            <w:tcW w:w="136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Schlumberger</w:t>
            </w:r>
          </w:p>
        </w:tc>
        <w:tc>
          <w:tcPr>
            <w:tcW w:w="21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Sedco Forex</w:t>
            </w:r>
          </w:p>
        </w:tc>
        <w:tc>
          <w:tcPr>
            <w:tcW w:w="1880" w:type="dxa"/>
            <w:vAlign w:val="bottom"/>
            <w:gridSpan w:val="2"/>
          </w:tcPr>
          <w:p>
            <w:pPr>
              <w:jc w:val="right"/>
              <w:ind w:right="402"/>
              <w:spacing w:after="0"/>
              <w:rPr>
                <w:sz w:val="20"/>
                <w:szCs w:val="20"/>
                <w:color w:val="auto"/>
              </w:rPr>
            </w:pPr>
            <w:r>
              <w:rPr>
                <w:rFonts w:ascii="Courier New" w:cs="Courier New" w:eastAsia="Courier New" w:hAnsi="Courier New"/>
                <w:sz w:val="16"/>
                <w:szCs w:val="16"/>
                <w:color w:val="auto"/>
              </w:rPr>
              <w:t>Adjustments</w:t>
            </w:r>
          </w:p>
        </w:tc>
        <w:tc>
          <w:tcPr>
            <w:tcW w:w="660" w:type="dxa"/>
            <w:vAlign w:val="bottom"/>
          </w:tcPr>
          <w:p>
            <w:pPr>
              <w:spacing w:after="0"/>
              <w:rPr>
                <w:sz w:val="15"/>
                <w:szCs w:val="15"/>
                <w:color w:val="auto"/>
              </w:rPr>
            </w:pPr>
          </w:p>
        </w:tc>
        <w:tc>
          <w:tcPr>
            <w:tcW w:w="14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5"/>
              </w:rPr>
              <w:t>Schlumberger</w:t>
            </w:r>
          </w:p>
        </w:tc>
      </w:tr>
      <w:tr>
        <w:trPr>
          <w:trHeight w:val="181"/>
        </w:trPr>
        <w:tc>
          <w:tcPr>
            <w:tcW w:w="2900" w:type="dxa"/>
            <w:vAlign w:val="bottom"/>
          </w:tcPr>
          <w:p>
            <w:pPr>
              <w:spacing w:after="0"/>
              <w:rPr>
                <w:sz w:val="15"/>
                <w:szCs w:val="15"/>
                <w:color w:val="auto"/>
              </w:rPr>
            </w:pPr>
          </w:p>
        </w:tc>
        <w:tc>
          <w:tcPr>
            <w:tcW w:w="13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4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w w:val="95"/>
              </w:rPr>
              <w:t>------------</w:t>
            </w:r>
          </w:p>
        </w:tc>
      </w:tr>
      <w:tr>
        <w:trPr>
          <w:trHeight w:val="181"/>
        </w:trPr>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16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7"/>
              </w:rPr>
              <w:t>(amounts in thousands, except per</w:t>
            </w:r>
          </w:p>
        </w:tc>
        <w:tc>
          <w:tcPr>
            <w:tcW w:w="15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share amounts)</w:t>
            </w: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1"/>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Operating</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11,543,431</w:t>
            </w:r>
          </w:p>
        </w:tc>
        <w:tc>
          <w:tcPr>
            <w:tcW w:w="10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891,334</w:t>
            </w:r>
          </w:p>
        </w:tc>
        <w:tc>
          <w:tcPr>
            <w:tcW w:w="10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10,652,097</w:t>
            </w:r>
          </w:p>
        </w:tc>
      </w:tr>
      <w:tr>
        <w:trPr>
          <w:trHeight w:val="181"/>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Interest and other Income</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111,334</w:t>
            </w:r>
          </w:p>
        </w:tc>
        <w:tc>
          <w:tcPr>
            <w:tcW w:w="108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8,242</w:t>
            </w:r>
          </w:p>
        </w:tc>
        <w:tc>
          <w:tcPr>
            <w:tcW w:w="10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103,092</w:t>
            </w:r>
          </w:p>
        </w:tc>
      </w:tr>
      <w:tr>
        <w:trPr>
          <w:trHeight w:val="181"/>
        </w:trPr>
        <w:tc>
          <w:tcPr>
            <w:tcW w:w="29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11,654,765</w:t>
            </w:r>
          </w:p>
        </w:tc>
        <w:tc>
          <w:tcPr>
            <w:tcW w:w="108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899,576</w:t>
            </w:r>
          </w:p>
        </w:tc>
        <w:tc>
          <w:tcPr>
            <w:tcW w:w="10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10,755,189</w:t>
            </w:r>
          </w:p>
        </w:tc>
      </w:tr>
      <w:tr>
        <w:trPr>
          <w:trHeight w:val="181"/>
        </w:trPr>
        <w:tc>
          <w:tcPr>
            <w:tcW w:w="29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1"/>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Cost of goods sold and</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8,372,714</w:t>
            </w:r>
          </w:p>
        </w:tc>
        <w:tc>
          <w:tcPr>
            <w:tcW w:w="108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561,784</w:t>
            </w:r>
          </w:p>
        </w:tc>
        <w:tc>
          <w:tcPr>
            <w:tcW w:w="10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36,866</w:t>
            </w:r>
          </w:p>
        </w:tc>
        <w:tc>
          <w:tcPr>
            <w:tcW w:w="6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7,847,796</w:t>
            </w:r>
          </w:p>
        </w:tc>
      </w:tr>
      <w:tr>
        <w:trPr>
          <w:trHeight w:val="181"/>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services</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Research &amp; engineering</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519,365</w:t>
            </w:r>
          </w:p>
        </w:tc>
        <w:tc>
          <w:tcPr>
            <w:tcW w:w="108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9,803</w:t>
            </w:r>
          </w:p>
        </w:tc>
        <w:tc>
          <w:tcPr>
            <w:tcW w:w="10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509,562</w:t>
            </w:r>
          </w:p>
        </w:tc>
      </w:tr>
      <w:tr>
        <w:trPr>
          <w:trHeight w:val="181"/>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Marketing</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433,911</w:t>
            </w:r>
          </w:p>
        </w:tc>
        <w:tc>
          <w:tcPr>
            <w:tcW w:w="108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433,911</w:t>
            </w:r>
          </w:p>
        </w:tc>
      </w:tr>
      <w:tr>
        <w:trPr>
          <w:trHeight w:val="181"/>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General</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428,505</w:t>
            </w:r>
          </w:p>
        </w:tc>
        <w:tc>
          <w:tcPr>
            <w:tcW w:w="108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15,891</w:t>
            </w:r>
          </w:p>
        </w:tc>
        <w:tc>
          <w:tcPr>
            <w:tcW w:w="10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412,614</w:t>
            </w:r>
          </w:p>
        </w:tc>
      </w:tr>
      <w:tr>
        <w:trPr>
          <w:trHeight w:val="181"/>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Interest</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95,316</w:t>
            </w:r>
          </w:p>
        </w:tc>
        <w:tc>
          <w:tcPr>
            <w:tcW w:w="108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19,639</w:t>
            </w:r>
          </w:p>
        </w:tc>
        <w:tc>
          <w:tcPr>
            <w:tcW w:w="10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75,677</w:t>
            </w:r>
          </w:p>
        </w:tc>
      </w:tr>
      <w:tr>
        <w:trPr>
          <w:trHeight w:val="181"/>
        </w:trPr>
        <w:tc>
          <w:tcPr>
            <w:tcW w:w="29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9,849,811</w:t>
            </w:r>
          </w:p>
        </w:tc>
        <w:tc>
          <w:tcPr>
            <w:tcW w:w="108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607,117</w:t>
            </w:r>
          </w:p>
        </w:tc>
        <w:tc>
          <w:tcPr>
            <w:tcW w:w="10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36,866</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9,279,560</w:t>
            </w:r>
          </w:p>
        </w:tc>
      </w:tr>
      <w:tr>
        <w:trPr>
          <w:trHeight w:val="181"/>
        </w:trPr>
        <w:tc>
          <w:tcPr>
            <w:tcW w:w="29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Income before taxes</w:t>
            </w:r>
          </w:p>
        </w:tc>
        <w:tc>
          <w:tcPr>
            <w:tcW w:w="2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1,804,954</w:t>
            </w:r>
          </w:p>
        </w:tc>
        <w:tc>
          <w:tcPr>
            <w:tcW w:w="1080" w:type="dxa"/>
            <w:vAlign w:val="bottom"/>
          </w:tcPr>
          <w:p>
            <w:pPr>
              <w:spacing w:after="0"/>
              <w:rPr>
                <w:sz w:val="24"/>
                <w:szCs w:val="24"/>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292,459</w:t>
            </w:r>
          </w:p>
        </w:tc>
        <w:tc>
          <w:tcPr>
            <w:tcW w:w="1040" w:type="dxa"/>
            <w:vAlign w:val="bottom"/>
          </w:tcPr>
          <w:p>
            <w:pPr>
              <w:spacing w:after="0"/>
              <w:rPr>
                <w:sz w:val="24"/>
                <w:szCs w:val="24"/>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(36,866)</w:t>
            </w: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1,475,629</w:t>
            </w:r>
          </w:p>
        </w:tc>
      </w:tr>
      <w:tr>
        <w:trPr>
          <w:trHeight w:val="181"/>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Taxes on income</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420,405</w:t>
            </w:r>
          </w:p>
        </w:tc>
        <w:tc>
          <w:tcPr>
            <w:tcW w:w="1080" w:type="dxa"/>
            <w:vAlign w:val="bottom"/>
          </w:tcPr>
          <w:p>
            <w:pPr>
              <w:spacing w:after="0"/>
              <w:rPr>
                <w:sz w:val="15"/>
                <w:szCs w:val="15"/>
                <w:color w:val="auto"/>
              </w:rPr>
            </w:pP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32,004</w:t>
            </w:r>
          </w:p>
        </w:tc>
        <w:tc>
          <w:tcPr>
            <w:tcW w:w="10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388,401</w:t>
            </w:r>
          </w:p>
        </w:tc>
      </w:tr>
      <w:tr>
        <w:trPr>
          <w:trHeight w:val="181"/>
        </w:trPr>
        <w:tc>
          <w:tcPr>
            <w:tcW w:w="29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1,384,549</w:t>
            </w:r>
          </w:p>
        </w:tc>
        <w:tc>
          <w:tcPr>
            <w:tcW w:w="10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260,455</w:t>
            </w:r>
          </w:p>
        </w:tc>
        <w:tc>
          <w:tcPr>
            <w:tcW w:w="104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3"/>
              </w:rPr>
              <w:t>(36,866)</w:t>
            </w:r>
          </w:p>
        </w:tc>
        <w:tc>
          <w:tcPr>
            <w:tcW w:w="66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1,087,228</w:t>
            </w:r>
          </w:p>
        </w:tc>
      </w:tr>
      <w:tr>
        <w:trPr>
          <w:trHeight w:val="181"/>
        </w:trPr>
        <w:tc>
          <w:tcPr>
            <w:tcW w:w="29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1"/>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Basic</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2.57</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2.02</w:t>
            </w:r>
          </w:p>
        </w:tc>
      </w:tr>
      <w:tr>
        <w:trPr>
          <w:trHeight w:val="181"/>
        </w:trPr>
        <w:tc>
          <w:tcPr>
            <w:tcW w:w="29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Diluted</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2.47</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1.94</w:t>
            </w:r>
          </w:p>
        </w:tc>
      </w:tr>
      <w:tr>
        <w:trPr>
          <w:trHeight w:val="181"/>
        </w:trPr>
        <w:tc>
          <w:tcPr>
            <w:tcW w:w="29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Weighted Average Shares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1"/>
        </w:trPr>
        <w:tc>
          <w:tcPr>
            <w:tcW w:w="2900" w:type="dxa"/>
            <w:vAlign w:val="bottom"/>
          </w:tcPr>
          <w:p>
            <w:pPr>
              <w:ind w:left="100"/>
              <w:spacing w:after="0"/>
              <w:rPr>
                <w:sz w:val="20"/>
                <w:szCs w:val="20"/>
                <w:color w:val="auto"/>
              </w:rPr>
            </w:pPr>
            <w:r>
              <w:rPr>
                <w:rFonts w:ascii="Courier New" w:cs="Courier New" w:eastAsia="Courier New" w:hAnsi="Courier New"/>
                <w:sz w:val="16"/>
                <w:szCs w:val="16"/>
                <w:color w:val="auto"/>
              </w:rPr>
              <w:t>Outstanding:</w:t>
            </w: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1"/>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Basic</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539,330</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539,330</w:t>
            </w:r>
          </w:p>
        </w:tc>
      </w:tr>
      <w:tr>
        <w:trPr>
          <w:trHeight w:val="181"/>
        </w:trPr>
        <w:tc>
          <w:tcPr>
            <w:tcW w:w="29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Diluted</w:t>
            </w: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559,653</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(220)</w:t>
            </w:r>
          </w:p>
        </w:tc>
        <w:tc>
          <w:tcPr>
            <w:tcW w:w="66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w:t>
            </w:r>
          </w:p>
        </w:tc>
        <w:tc>
          <w:tcPr>
            <w:tcW w:w="32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559,433</w:t>
            </w:r>
          </w:p>
        </w:tc>
      </w:tr>
      <w:tr>
        <w:trPr>
          <w:trHeight w:val="181"/>
        </w:trPr>
        <w:tc>
          <w:tcPr>
            <w:tcW w:w="29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9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1"/>
        </w:trPr>
        <w:tc>
          <w:tcPr>
            <w:tcW w:w="2900" w:type="dxa"/>
            <w:vAlign w:val="bottom"/>
          </w:tcPr>
          <w:p>
            <w:pPr>
              <w:ind w:left="460"/>
              <w:spacing w:after="0"/>
              <w:rPr>
                <w:sz w:val="20"/>
                <w:szCs w:val="20"/>
                <w:color w:val="auto"/>
              </w:rPr>
            </w:pPr>
            <w:r>
              <w:rPr>
                <w:rFonts w:ascii="Courier New" w:cs="Courier New" w:eastAsia="Courier New" w:hAnsi="Courier New"/>
                <w:sz w:val="16"/>
                <w:szCs w:val="16"/>
                <w:color w:val="auto"/>
              </w:rPr>
              <w:t>included in Expenses</w:t>
            </w:r>
          </w:p>
        </w:tc>
        <w:tc>
          <w:tcPr>
            <w:tcW w:w="28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1,035,003</w:t>
            </w:r>
          </w:p>
        </w:tc>
        <w:tc>
          <w:tcPr>
            <w:tcW w:w="1080" w:type="dxa"/>
            <w:vAlign w:val="bottom"/>
          </w:tcPr>
          <w:p>
            <w:pPr>
              <w:ind w:left="62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302"/>
              <w:spacing w:after="0"/>
              <w:rPr>
                <w:sz w:val="20"/>
                <w:szCs w:val="20"/>
                <w:color w:val="auto"/>
              </w:rPr>
            </w:pPr>
            <w:r>
              <w:rPr>
                <w:rFonts w:ascii="Courier New" w:cs="Courier New" w:eastAsia="Courier New" w:hAnsi="Courier New"/>
                <w:sz w:val="16"/>
                <w:szCs w:val="16"/>
                <w:color w:val="auto"/>
                <w:w w:val="95"/>
              </w:rPr>
              <w:t>110,780</w:t>
            </w:r>
          </w:p>
        </w:tc>
        <w:tc>
          <w:tcPr>
            <w:tcW w:w="104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32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924,223</w:t>
            </w:r>
          </w:p>
        </w:tc>
      </w:tr>
      <w:tr>
        <w:trPr>
          <w:trHeight w:val="181"/>
        </w:trPr>
        <w:tc>
          <w:tcPr>
            <w:tcW w:w="290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2120" w:type="dxa"/>
            <w:vAlign w:val="bottom"/>
            <w:gridSpan w:val="2"/>
          </w:tcPr>
          <w:p>
            <w:pPr>
              <w:jc w:val="right"/>
              <w:ind w:right="302"/>
              <w:spacing w:after="0"/>
              <w:rPr>
                <w:sz w:val="20"/>
                <w:szCs w:val="20"/>
                <w:color w:val="auto"/>
              </w:rPr>
            </w:pPr>
            <w:r>
              <w:rPr>
                <w:rFonts w:ascii="Courier New" w:cs="Courier New" w:eastAsia="Courier New" w:hAnsi="Courier New"/>
                <w:sz w:val="16"/>
                <w:szCs w:val="16"/>
                <w:color w:val="auto"/>
              </w:rPr>
              <w:t>============</w:t>
            </w:r>
          </w:p>
        </w:tc>
        <w:tc>
          <w:tcPr>
            <w:tcW w:w="188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660" w:type="dxa"/>
            <w:vAlign w:val="bottom"/>
          </w:tcPr>
          <w:p>
            <w:pPr>
              <w:spacing w:after="0"/>
              <w:rPr>
                <w:sz w:val="15"/>
                <w:szCs w:val="15"/>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1024" w:right="3000" w:hanging="1024"/>
        <w:spacing w:after="0" w:line="256" w:lineRule="auto"/>
        <w:tabs>
          <w:tab w:leader="none" w:pos="1024"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$36,866 represents insurance premiums paid to third party insurance companies for some risks where the insurance risk is then assumed by a Schlumberger wholly owned affiliated company through a reinsurance program. In the consolidated accounts of Schlumberger, the Sedco Forex insurance premium expense is eliminated against the insurance premium income received by the affiliated company.</w:t>
      </w:r>
    </w:p>
    <w:p>
      <w:pPr>
        <w:spacing w:after="0" w:line="176" w:lineRule="exact"/>
        <w:rPr>
          <w:rFonts w:ascii="Courier New" w:cs="Courier New" w:eastAsia="Courier New" w:hAnsi="Courier New"/>
          <w:sz w:val="15"/>
          <w:szCs w:val="15"/>
          <w:color w:val="auto"/>
        </w:rPr>
      </w:pPr>
    </w:p>
    <w:p>
      <w:pPr>
        <w:ind w:left="1024" w:right="3100" w:hanging="1024"/>
        <w:spacing w:after="0" w:line="236" w:lineRule="auto"/>
        <w:tabs>
          <w:tab w:leader="none" w:pos="1024"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220 represents the elimination of the dilutive effect of Sedco Forex employees' unexercised stock options.</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F-6</w:t>
      </w:r>
    </w:p>
    <w:p>
      <w:pPr>
        <w:sectPr>
          <w:pgSz w:w="11900" w:h="16838" w:orient="portrait"/>
          <w:cols w:equalWidth="0" w:num="1">
            <w:col w:w="10324"/>
          </w:cols>
          <w:pgMar w:left="316" w:top="654" w:right="1259" w:bottom="1440" w:gutter="0" w:footer="0" w:header="0"/>
        </w:sectPr>
      </w:pPr>
    </w:p>
    <w:bookmarkStart w:id="10" w:name="page11"/>
    <w:bookmarkEnd w:id="10"/>
    <w:p>
      <w:pPr>
        <w:ind w:left="1224"/>
        <w:spacing w:after="0"/>
        <w:rPr>
          <w:sz w:val="20"/>
          <w:szCs w:val="20"/>
          <w:color w:val="auto"/>
        </w:rPr>
      </w:pPr>
      <w:r>
        <w:rPr>
          <w:rFonts w:ascii="Courier New" w:cs="Courier New" w:eastAsia="Courier New" w:hAnsi="Courier New"/>
          <w:sz w:val="16"/>
          <w:szCs w:val="16"/>
          <w:color w:val="auto"/>
        </w:rPr>
        <w:t>Unaudited Condensed Pro Forma Statement of Operations</w:t>
      </w:r>
    </w:p>
    <w:tbl>
      <w:tblPr>
        <w:tblLayout w:type="fixed"/>
        <w:tblInd w:w="4" w:type="dxa"/>
        <w:tblCellMar>
          <w:top w:w="0" w:type="dxa"/>
          <w:left w:w="0" w:type="dxa"/>
          <w:bottom w:w="0" w:type="dxa"/>
          <w:right w:w="0" w:type="dxa"/>
        </w:tblCellMar>
      </w:tblPr>
      <w:tr>
        <w:trPr>
          <w:trHeight w:val="181"/>
        </w:trPr>
        <w:tc>
          <w:tcPr>
            <w:tcW w:w="5440" w:type="dxa"/>
            <w:vAlign w:val="bottom"/>
            <w:gridSpan w:val="3"/>
          </w:tcPr>
          <w:p>
            <w:pPr>
              <w:jc w:val="right"/>
              <w:ind w:right="22"/>
              <w:spacing w:after="0"/>
              <w:rPr>
                <w:sz w:val="20"/>
                <w:szCs w:val="20"/>
                <w:color w:val="auto"/>
              </w:rPr>
            </w:pPr>
            <w:r>
              <w:rPr>
                <w:rFonts w:ascii="Courier New" w:cs="Courier New" w:eastAsia="Courier New" w:hAnsi="Courier New"/>
                <w:sz w:val="16"/>
                <w:szCs w:val="16"/>
                <w:color w:val="auto"/>
              </w:rPr>
              <w:t>For the Year Ended December 31, 1996</w:t>
            </w: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722"/>
        </w:trPr>
        <w:tc>
          <w:tcPr>
            <w:tcW w:w="3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Historical</w:t>
            </w: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Pro Forma</w:t>
            </w:r>
          </w:p>
        </w:tc>
      </w:tr>
      <w:tr>
        <w:trPr>
          <w:trHeight w:val="181"/>
        </w:trPr>
        <w:tc>
          <w:tcPr>
            <w:tcW w:w="3520" w:type="dxa"/>
            <w:vAlign w:val="bottom"/>
          </w:tcPr>
          <w:p>
            <w:pPr>
              <w:spacing w:after="0"/>
              <w:rPr>
                <w:sz w:val="15"/>
                <w:szCs w:val="15"/>
                <w:color w:val="auto"/>
              </w:rPr>
            </w:pPr>
          </w:p>
        </w:tc>
        <w:tc>
          <w:tcPr>
            <w:tcW w:w="3560" w:type="dxa"/>
            <w:vAlign w:val="bottom"/>
            <w:gridSpan w:val="4"/>
          </w:tcPr>
          <w:p>
            <w:pPr>
              <w:ind w:left="140"/>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3520" w:type="dxa"/>
            <w:vAlign w:val="bottom"/>
          </w:tcPr>
          <w:p>
            <w:pPr>
              <w:spacing w:after="0"/>
              <w:rPr>
                <w:sz w:val="15"/>
                <w:szCs w:val="15"/>
                <w:color w:val="auto"/>
              </w:rPr>
            </w:pPr>
          </w:p>
        </w:tc>
        <w:tc>
          <w:tcPr>
            <w:tcW w:w="1920" w:type="dxa"/>
            <w:vAlign w:val="bottom"/>
            <w:gridSpan w:val="2"/>
          </w:tcPr>
          <w:p>
            <w:pPr>
              <w:jc w:val="right"/>
              <w:ind w:right="582"/>
              <w:spacing w:after="0"/>
              <w:rPr>
                <w:sz w:val="20"/>
                <w:szCs w:val="20"/>
                <w:color w:val="auto"/>
              </w:rPr>
            </w:pPr>
            <w:r>
              <w:rPr>
                <w:rFonts w:ascii="Courier New" w:cs="Courier New" w:eastAsia="Courier New" w:hAnsi="Courier New"/>
                <w:sz w:val="16"/>
                <w:szCs w:val="16"/>
                <w:color w:val="auto"/>
              </w:rPr>
              <w:t>Schlumberger</w:t>
            </w:r>
          </w:p>
        </w:tc>
        <w:tc>
          <w:tcPr>
            <w:tcW w:w="16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Sedco Forex</w:t>
            </w:r>
          </w:p>
        </w:tc>
        <w:tc>
          <w:tcPr>
            <w:tcW w:w="15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Adjustments</w:t>
            </w:r>
          </w:p>
        </w:tc>
        <w:tc>
          <w:tcPr>
            <w:tcW w:w="94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Schlumberger</w:t>
            </w:r>
          </w:p>
        </w:tc>
      </w:tr>
      <w:tr>
        <w:trPr>
          <w:trHeight w:val="181"/>
        </w:trPr>
        <w:tc>
          <w:tcPr>
            <w:tcW w:w="3520" w:type="dxa"/>
            <w:vAlign w:val="bottom"/>
          </w:tcPr>
          <w:p>
            <w:pPr>
              <w:spacing w:after="0"/>
              <w:rPr>
                <w:sz w:val="15"/>
                <w:szCs w:val="15"/>
                <w:color w:val="auto"/>
              </w:rPr>
            </w:pPr>
          </w:p>
        </w:tc>
        <w:tc>
          <w:tcPr>
            <w:tcW w:w="1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4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36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r>
      <w:tr>
        <w:trPr>
          <w:trHeight w:val="181"/>
        </w:trPr>
        <w:tc>
          <w:tcPr>
            <w:tcW w:w="3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580" w:type="dxa"/>
            <w:vAlign w:val="bottom"/>
            <w:gridSpan w:val="6"/>
          </w:tcPr>
          <w:p>
            <w:pPr>
              <w:jc w:val="right"/>
              <w:spacing w:after="0"/>
              <w:rPr>
                <w:sz w:val="20"/>
                <w:szCs w:val="20"/>
                <w:color w:val="auto"/>
              </w:rPr>
            </w:pPr>
            <w:r>
              <w:rPr>
                <w:rFonts w:ascii="Courier New" w:cs="Courier New" w:eastAsia="Courier New" w:hAnsi="Courier New"/>
                <w:sz w:val="16"/>
                <w:szCs w:val="16"/>
                <w:color w:val="auto"/>
              </w:rPr>
              <w:t>(amounts in thousands, except per share amounts)</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61"/>
        </w:trPr>
        <w:tc>
          <w:tcPr>
            <w:tcW w:w="3520" w:type="dxa"/>
            <w:vAlign w:val="bottom"/>
          </w:tcPr>
          <w:p>
            <w:pPr>
              <w:spacing w:after="0"/>
              <w:rPr>
                <w:sz w:val="20"/>
                <w:szCs w:val="20"/>
                <w:color w:val="auto"/>
              </w:rPr>
            </w:pPr>
            <w:r>
              <w:rPr>
                <w:rFonts w:ascii="Courier New" w:cs="Courier New" w:eastAsia="Courier New" w:hAnsi="Courier New"/>
                <w:sz w:val="16"/>
                <w:szCs w:val="16"/>
                <w:color w:val="auto"/>
              </w:rPr>
              <w:t>Revenue:</w:t>
            </w: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1"/>
        </w:trPr>
        <w:tc>
          <w:tcPr>
            <w:tcW w:w="3520" w:type="dxa"/>
            <w:vAlign w:val="bottom"/>
          </w:tcPr>
          <w:p>
            <w:pPr>
              <w:ind w:left="460"/>
              <w:spacing w:after="0"/>
              <w:rPr>
                <w:sz w:val="20"/>
                <w:szCs w:val="20"/>
                <w:color w:val="auto"/>
              </w:rPr>
            </w:pPr>
            <w:r>
              <w:rPr>
                <w:rFonts w:ascii="Courier New" w:cs="Courier New" w:eastAsia="Courier New" w:hAnsi="Courier New"/>
                <w:sz w:val="16"/>
                <w:szCs w:val="16"/>
                <w:color w:val="auto"/>
              </w:rPr>
              <w:t>Operating</w:t>
            </w: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9,701,685</w:t>
            </w: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663,245</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9,038,440</w:t>
            </w:r>
          </w:p>
        </w:tc>
      </w:tr>
      <w:tr>
        <w:trPr>
          <w:trHeight w:val="181"/>
        </w:trPr>
        <w:tc>
          <w:tcPr>
            <w:tcW w:w="3520" w:type="dxa"/>
            <w:vAlign w:val="bottom"/>
          </w:tcPr>
          <w:p>
            <w:pPr>
              <w:ind w:left="460"/>
              <w:spacing w:after="0"/>
              <w:rPr>
                <w:sz w:val="20"/>
                <w:szCs w:val="20"/>
                <w:color w:val="auto"/>
              </w:rPr>
            </w:pPr>
            <w:r>
              <w:rPr>
                <w:rFonts w:ascii="Courier New" w:cs="Courier New" w:eastAsia="Courier New" w:hAnsi="Courier New"/>
                <w:sz w:val="16"/>
                <w:szCs w:val="16"/>
                <w:color w:val="auto"/>
              </w:rPr>
              <w:t>Interest and other Income</w:t>
            </w:r>
          </w:p>
        </w:tc>
        <w:tc>
          <w:tcPr>
            <w:tcW w:w="420" w:type="dxa"/>
            <w:vAlign w:val="bottom"/>
          </w:tcPr>
          <w:p>
            <w:pPr>
              <w:spacing w:after="0"/>
              <w:rPr>
                <w:sz w:val="15"/>
                <w:szCs w:val="15"/>
                <w:color w:val="auto"/>
              </w:rPr>
            </w:pP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72,818</w:t>
            </w:r>
          </w:p>
        </w:tc>
        <w:tc>
          <w:tcPr>
            <w:tcW w:w="4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8,066</w:t>
            </w:r>
          </w:p>
        </w:tc>
        <w:tc>
          <w:tcPr>
            <w:tcW w:w="62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64,752</w:t>
            </w:r>
          </w:p>
        </w:tc>
      </w:tr>
      <w:tr>
        <w:trPr>
          <w:trHeight w:val="181"/>
        </w:trPr>
        <w:tc>
          <w:tcPr>
            <w:tcW w:w="3520" w:type="dxa"/>
            <w:vAlign w:val="bottom"/>
          </w:tcPr>
          <w:p>
            <w:pPr>
              <w:spacing w:after="0"/>
              <w:rPr>
                <w:sz w:val="15"/>
                <w:szCs w:val="15"/>
                <w:color w:val="auto"/>
              </w:rPr>
            </w:pPr>
          </w:p>
        </w:tc>
        <w:tc>
          <w:tcPr>
            <w:tcW w:w="19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3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9,774,503</w:t>
            </w:r>
          </w:p>
        </w:tc>
        <w:tc>
          <w:tcPr>
            <w:tcW w:w="4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671,311</w:t>
            </w:r>
          </w:p>
        </w:tc>
        <w:tc>
          <w:tcPr>
            <w:tcW w:w="62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9,103,192</w:t>
            </w:r>
          </w:p>
        </w:tc>
      </w:tr>
      <w:tr>
        <w:trPr>
          <w:trHeight w:val="181"/>
        </w:trPr>
        <w:tc>
          <w:tcPr>
            <w:tcW w:w="3520" w:type="dxa"/>
            <w:vAlign w:val="bottom"/>
          </w:tcPr>
          <w:p>
            <w:pPr>
              <w:spacing w:after="0"/>
              <w:rPr>
                <w:sz w:val="15"/>
                <w:szCs w:val="15"/>
                <w:color w:val="auto"/>
              </w:rPr>
            </w:pPr>
          </w:p>
        </w:tc>
        <w:tc>
          <w:tcPr>
            <w:tcW w:w="19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3520" w:type="dxa"/>
            <w:vAlign w:val="bottom"/>
          </w:tcPr>
          <w:p>
            <w:pPr>
              <w:spacing w:after="0"/>
              <w:rPr>
                <w:sz w:val="20"/>
                <w:szCs w:val="20"/>
                <w:color w:val="auto"/>
              </w:rPr>
            </w:pPr>
            <w:r>
              <w:rPr>
                <w:rFonts w:ascii="Courier New" w:cs="Courier New" w:eastAsia="Courier New" w:hAnsi="Courier New"/>
                <w:sz w:val="16"/>
                <w:szCs w:val="16"/>
                <w:color w:val="auto"/>
              </w:rPr>
              <w:t>Expenses:</w:t>
            </w: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3520" w:type="dxa"/>
            <w:vAlign w:val="bottom"/>
          </w:tcPr>
          <w:p>
            <w:pPr>
              <w:ind w:left="460"/>
              <w:spacing w:after="0"/>
              <w:rPr>
                <w:sz w:val="20"/>
                <w:szCs w:val="20"/>
                <w:color w:val="auto"/>
              </w:rPr>
            </w:pPr>
            <w:r>
              <w:rPr>
                <w:rFonts w:ascii="Courier New" w:cs="Courier New" w:eastAsia="Courier New" w:hAnsi="Courier New"/>
                <w:sz w:val="16"/>
                <w:szCs w:val="16"/>
                <w:color w:val="auto"/>
              </w:rPr>
              <w:t>Cost of goods sold and services</w:t>
            </w:r>
          </w:p>
        </w:tc>
        <w:tc>
          <w:tcPr>
            <w:tcW w:w="420" w:type="dxa"/>
            <w:vAlign w:val="bottom"/>
          </w:tcPr>
          <w:p>
            <w:pPr>
              <w:spacing w:after="0"/>
              <w:rPr>
                <w:sz w:val="15"/>
                <w:szCs w:val="15"/>
                <w:color w:val="auto"/>
              </w:rPr>
            </w:pP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7,282,010</w:t>
            </w:r>
          </w:p>
        </w:tc>
        <w:tc>
          <w:tcPr>
            <w:tcW w:w="4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476,374</w:t>
            </w:r>
          </w:p>
        </w:tc>
        <w:tc>
          <w:tcPr>
            <w:tcW w:w="62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27,043</w:t>
            </w:r>
          </w:p>
        </w:tc>
        <w:tc>
          <w:tcPr>
            <w:tcW w:w="940" w:type="dxa"/>
            <w:vAlign w:val="bottom"/>
          </w:tcPr>
          <w:p>
            <w:pPr>
              <w:jc w:val="right"/>
              <w:ind w:right="522"/>
              <w:spacing w:after="0"/>
              <w:rPr>
                <w:sz w:val="20"/>
                <w:szCs w:val="20"/>
                <w:color w:val="auto"/>
              </w:rPr>
            </w:pPr>
            <w:r>
              <w:rPr>
                <w:rFonts w:ascii="Courier New" w:cs="Courier New" w:eastAsia="Courier New" w:hAnsi="Courier New"/>
                <w:sz w:val="16"/>
                <w:szCs w:val="16"/>
                <w:color w:val="auto"/>
              </w:rPr>
              <w:t>(1)</w:t>
            </w:r>
          </w:p>
        </w:tc>
        <w:tc>
          <w:tcPr>
            <w:tcW w:w="34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6,832,679</w:t>
            </w:r>
          </w:p>
        </w:tc>
      </w:tr>
      <w:tr>
        <w:trPr>
          <w:trHeight w:val="181"/>
        </w:trPr>
        <w:tc>
          <w:tcPr>
            <w:tcW w:w="3520" w:type="dxa"/>
            <w:vAlign w:val="bottom"/>
          </w:tcPr>
          <w:p>
            <w:pPr>
              <w:ind w:left="460"/>
              <w:spacing w:after="0"/>
              <w:rPr>
                <w:sz w:val="20"/>
                <w:szCs w:val="20"/>
                <w:color w:val="auto"/>
              </w:rPr>
            </w:pPr>
            <w:r>
              <w:rPr>
                <w:rFonts w:ascii="Courier New" w:cs="Courier New" w:eastAsia="Courier New" w:hAnsi="Courier New"/>
                <w:sz w:val="16"/>
                <w:szCs w:val="16"/>
                <w:color w:val="auto"/>
              </w:rPr>
              <w:t>Research &amp; engineering</w:t>
            </w:r>
          </w:p>
        </w:tc>
        <w:tc>
          <w:tcPr>
            <w:tcW w:w="420" w:type="dxa"/>
            <w:vAlign w:val="bottom"/>
          </w:tcPr>
          <w:p>
            <w:pPr>
              <w:spacing w:after="0"/>
              <w:rPr>
                <w:sz w:val="15"/>
                <w:szCs w:val="15"/>
                <w:color w:val="auto"/>
              </w:rPr>
            </w:pP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478,875</w:t>
            </w:r>
          </w:p>
        </w:tc>
        <w:tc>
          <w:tcPr>
            <w:tcW w:w="4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10,179</w:t>
            </w:r>
          </w:p>
        </w:tc>
        <w:tc>
          <w:tcPr>
            <w:tcW w:w="62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468,696</w:t>
            </w:r>
          </w:p>
        </w:tc>
      </w:tr>
      <w:tr>
        <w:trPr>
          <w:trHeight w:val="181"/>
        </w:trPr>
        <w:tc>
          <w:tcPr>
            <w:tcW w:w="3520" w:type="dxa"/>
            <w:vAlign w:val="bottom"/>
          </w:tcPr>
          <w:p>
            <w:pPr>
              <w:ind w:left="460"/>
              <w:spacing w:after="0"/>
              <w:rPr>
                <w:sz w:val="20"/>
                <w:szCs w:val="20"/>
                <w:color w:val="auto"/>
              </w:rPr>
            </w:pPr>
            <w:r>
              <w:rPr>
                <w:rFonts w:ascii="Courier New" w:cs="Courier New" w:eastAsia="Courier New" w:hAnsi="Courier New"/>
                <w:sz w:val="16"/>
                <w:szCs w:val="16"/>
                <w:color w:val="auto"/>
              </w:rPr>
              <w:t>Marketing</w:t>
            </w:r>
          </w:p>
        </w:tc>
        <w:tc>
          <w:tcPr>
            <w:tcW w:w="420" w:type="dxa"/>
            <w:vAlign w:val="bottom"/>
          </w:tcPr>
          <w:p>
            <w:pPr>
              <w:spacing w:after="0"/>
              <w:rPr>
                <w:sz w:val="15"/>
                <w:szCs w:val="15"/>
                <w:color w:val="auto"/>
              </w:rPr>
            </w:pP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399,808</w:t>
            </w:r>
          </w:p>
        </w:tc>
        <w:tc>
          <w:tcPr>
            <w:tcW w:w="4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399,808</w:t>
            </w:r>
          </w:p>
        </w:tc>
      </w:tr>
      <w:tr>
        <w:trPr>
          <w:trHeight w:val="181"/>
        </w:trPr>
        <w:tc>
          <w:tcPr>
            <w:tcW w:w="3520" w:type="dxa"/>
            <w:vAlign w:val="bottom"/>
          </w:tcPr>
          <w:p>
            <w:pPr>
              <w:ind w:left="460"/>
              <w:spacing w:after="0"/>
              <w:rPr>
                <w:sz w:val="20"/>
                <w:szCs w:val="20"/>
                <w:color w:val="auto"/>
              </w:rPr>
            </w:pPr>
            <w:r>
              <w:rPr>
                <w:rFonts w:ascii="Courier New" w:cs="Courier New" w:eastAsia="Courier New" w:hAnsi="Courier New"/>
                <w:sz w:val="16"/>
                <w:szCs w:val="16"/>
                <w:color w:val="auto"/>
              </w:rPr>
              <w:t>General</w:t>
            </w:r>
          </w:p>
        </w:tc>
        <w:tc>
          <w:tcPr>
            <w:tcW w:w="420" w:type="dxa"/>
            <w:vAlign w:val="bottom"/>
          </w:tcPr>
          <w:p>
            <w:pPr>
              <w:spacing w:after="0"/>
              <w:rPr>
                <w:sz w:val="15"/>
                <w:szCs w:val="15"/>
                <w:color w:val="auto"/>
              </w:rPr>
            </w:pP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422,327</w:t>
            </w:r>
          </w:p>
        </w:tc>
        <w:tc>
          <w:tcPr>
            <w:tcW w:w="4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13,800</w:t>
            </w:r>
          </w:p>
        </w:tc>
        <w:tc>
          <w:tcPr>
            <w:tcW w:w="62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408,527</w:t>
            </w:r>
          </w:p>
        </w:tc>
      </w:tr>
      <w:tr>
        <w:trPr>
          <w:trHeight w:val="181"/>
        </w:trPr>
        <w:tc>
          <w:tcPr>
            <w:tcW w:w="3520" w:type="dxa"/>
            <w:vAlign w:val="bottom"/>
          </w:tcPr>
          <w:p>
            <w:pPr>
              <w:ind w:left="460"/>
              <w:spacing w:after="0"/>
              <w:rPr>
                <w:sz w:val="20"/>
                <w:szCs w:val="20"/>
                <w:color w:val="auto"/>
              </w:rPr>
            </w:pPr>
            <w:r>
              <w:rPr>
                <w:rFonts w:ascii="Courier New" w:cs="Courier New" w:eastAsia="Courier New" w:hAnsi="Courier New"/>
                <w:sz w:val="16"/>
                <w:szCs w:val="16"/>
                <w:color w:val="auto"/>
              </w:rPr>
              <w:t>Interest</w:t>
            </w:r>
          </w:p>
        </w:tc>
        <w:tc>
          <w:tcPr>
            <w:tcW w:w="420" w:type="dxa"/>
            <w:vAlign w:val="bottom"/>
          </w:tcPr>
          <w:p>
            <w:pPr>
              <w:spacing w:after="0"/>
              <w:rPr>
                <w:sz w:val="15"/>
                <w:szCs w:val="15"/>
                <w:color w:val="auto"/>
              </w:rPr>
            </w:pP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79,862</w:t>
            </w:r>
          </w:p>
        </w:tc>
        <w:tc>
          <w:tcPr>
            <w:tcW w:w="4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7,887</w:t>
            </w:r>
          </w:p>
        </w:tc>
        <w:tc>
          <w:tcPr>
            <w:tcW w:w="62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71,975</w:t>
            </w:r>
          </w:p>
        </w:tc>
      </w:tr>
      <w:tr>
        <w:trPr>
          <w:trHeight w:val="181"/>
        </w:trPr>
        <w:tc>
          <w:tcPr>
            <w:tcW w:w="3520" w:type="dxa"/>
            <w:vAlign w:val="bottom"/>
          </w:tcPr>
          <w:p>
            <w:pPr>
              <w:ind w:left="460"/>
              <w:spacing w:after="0"/>
              <w:rPr>
                <w:sz w:val="20"/>
                <w:szCs w:val="20"/>
                <w:color w:val="auto"/>
              </w:rPr>
            </w:pPr>
            <w:r>
              <w:rPr>
                <w:rFonts w:ascii="Courier New" w:cs="Courier New" w:eastAsia="Courier New" w:hAnsi="Courier New"/>
                <w:sz w:val="16"/>
                <w:szCs w:val="16"/>
                <w:color w:val="auto"/>
              </w:rPr>
              <w:t>Unusual items</w:t>
            </w:r>
          </w:p>
        </w:tc>
        <w:tc>
          <w:tcPr>
            <w:tcW w:w="420" w:type="dxa"/>
            <w:vAlign w:val="bottom"/>
          </w:tcPr>
          <w:p>
            <w:pPr>
              <w:spacing w:after="0"/>
              <w:rPr>
                <w:sz w:val="15"/>
                <w:szCs w:val="15"/>
                <w:color w:val="auto"/>
              </w:rPr>
            </w:pP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333,091</w:t>
            </w:r>
          </w:p>
        </w:tc>
        <w:tc>
          <w:tcPr>
            <w:tcW w:w="4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62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333,091</w:t>
            </w:r>
          </w:p>
        </w:tc>
      </w:tr>
      <w:tr>
        <w:trPr>
          <w:trHeight w:val="181"/>
        </w:trPr>
        <w:tc>
          <w:tcPr>
            <w:tcW w:w="3520" w:type="dxa"/>
            <w:vAlign w:val="bottom"/>
          </w:tcPr>
          <w:p>
            <w:pPr>
              <w:spacing w:after="0"/>
              <w:rPr>
                <w:sz w:val="15"/>
                <w:szCs w:val="15"/>
                <w:color w:val="auto"/>
              </w:rPr>
            </w:pPr>
          </w:p>
        </w:tc>
        <w:tc>
          <w:tcPr>
            <w:tcW w:w="19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3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8,995,973</w:t>
            </w:r>
          </w:p>
        </w:tc>
        <w:tc>
          <w:tcPr>
            <w:tcW w:w="4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508,240</w:t>
            </w:r>
          </w:p>
        </w:tc>
        <w:tc>
          <w:tcPr>
            <w:tcW w:w="62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27,043</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8,514,776</w:t>
            </w:r>
          </w:p>
        </w:tc>
      </w:tr>
      <w:tr>
        <w:trPr>
          <w:trHeight w:val="181"/>
        </w:trPr>
        <w:tc>
          <w:tcPr>
            <w:tcW w:w="3520" w:type="dxa"/>
            <w:vAlign w:val="bottom"/>
          </w:tcPr>
          <w:p>
            <w:pPr>
              <w:spacing w:after="0"/>
              <w:rPr>
                <w:sz w:val="15"/>
                <w:szCs w:val="15"/>
                <w:color w:val="auto"/>
              </w:rPr>
            </w:pPr>
          </w:p>
        </w:tc>
        <w:tc>
          <w:tcPr>
            <w:tcW w:w="19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3520" w:type="dxa"/>
            <w:vAlign w:val="bottom"/>
          </w:tcPr>
          <w:p>
            <w:pPr>
              <w:ind w:left="460"/>
              <w:spacing w:after="0"/>
              <w:rPr>
                <w:sz w:val="20"/>
                <w:szCs w:val="20"/>
                <w:color w:val="auto"/>
              </w:rPr>
            </w:pPr>
            <w:r>
              <w:rPr>
                <w:rFonts w:ascii="Courier New" w:cs="Courier New" w:eastAsia="Courier New" w:hAnsi="Courier New"/>
                <w:sz w:val="16"/>
                <w:szCs w:val="16"/>
                <w:color w:val="auto"/>
              </w:rPr>
              <w:t>Income before taxes</w:t>
            </w:r>
          </w:p>
        </w:tc>
        <w:tc>
          <w:tcPr>
            <w:tcW w:w="420" w:type="dxa"/>
            <w:vAlign w:val="bottom"/>
          </w:tcPr>
          <w:p>
            <w:pPr>
              <w:spacing w:after="0"/>
              <w:rPr>
                <w:sz w:val="24"/>
                <w:szCs w:val="24"/>
                <w:color w:val="auto"/>
              </w:rPr>
            </w:pP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778,530</w:t>
            </w:r>
          </w:p>
        </w:tc>
        <w:tc>
          <w:tcPr>
            <w:tcW w:w="480" w:type="dxa"/>
            <w:vAlign w:val="bottom"/>
          </w:tcPr>
          <w:p>
            <w:pPr>
              <w:spacing w:after="0"/>
              <w:rPr>
                <w:sz w:val="24"/>
                <w:szCs w:val="24"/>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163,071</w:t>
            </w:r>
          </w:p>
        </w:tc>
        <w:tc>
          <w:tcPr>
            <w:tcW w:w="6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(27,043)</w:t>
            </w: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588,416</w:t>
            </w:r>
          </w:p>
        </w:tc>
      </w:tr>
      <w:tr>
        <w:trPr>
          <w:trHeight w:val="181"/>
        </w:trPr>
        <w:tc>
          <w:tcPr>
            <w:tcW w:w="3520" w:type="dxa"/>
            <w:vAlign w:val="bottom"/>
          </w:tcPr>
          <w:p>
            <w:pPr>
              <w:ind w:left="460"/>
              <w:spacing w:after="0"/>
              <w:rPr>
                <w:sz w:val="20"/>
                <w:szCs w:val="20"/>
                <w:color w:val="auto"/>
              </w:rPr>
            </w:pPr>
            <w:r>
              <w:rPr>
                <w:rFonts w:ascii="Courier New" w:cs="Courier New" w:eastAsia="Courier New" w:hAnsi="Courier New"/>
                <w:sz w:val="16"/>
                <w:szCs w:val="16"/>
                <w:color w:val="auto"/>
              </w:rPr>
              <w:t>Taxes on income</w:t>
            </w:r>
          </w:p>
        </w:tc>
        <w:tc>
          <w:tcPr>
            <w:tcW w:w="420" w:type="dxa"/>
            <w:vAlign w:val="bottom"/>
          </w:tcPr>
          <w:p>
            <w:pPr>
              <w:spacing w:after="0"/>
              <w:rPr>
                <w:sz w:val="15"/>
                <w:szCs w:val="15"/>
                <w:color w:val="auto"/>
              </w:rPr>
            </w:pPr>
          </w:p>
        </w:tc>
        <w:tc>
          <w:tcPr>
            <w:tcW w:w="150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(140,957)</w:t>
            </w:r>
          </w:p>
        </w:tc>
        <w:tc>
          <w:tcPr>
            <w:tcW w:w="480" w:type="dxa"/>
            <w:vAlign w:val="bottom"/>
          </w:tcPr>
          <w:p>
            <w:pPr>
              <w:spacing w:after="0"/>
              <w:rPr>
                <w:sz w:val="15"/>
                <w:szCs w:val="15"/>
                <w:color w:val="auto"/>
              </w:rPr>
            </w:pP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15,536</w:t>
            </w:r>
          </w:p>
        </w:tc>
        <w:tc>
          <w:tcPr>
            <w:tcW w:w="62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(156,493)</w:t>
            </w:r>
          </w:p>
        </w:tc>
      </w:tr>
      <w:tr>
        <w:trPr>
          <w:trHeight w:val="181"/>
        </w:trPr>
        <w:tc>
          <w:tcPr>
            <w:tcW w:w="3520" w:type="dxa"/>
            <w:vAlign w:val="bottom"/>
          </w:tcPr>
          <w:p>
            <w:pPr>
              <w:spacing w:after="0"/>
              <w:rPr>
                <w:sz w:val="15"/>
                <w:szCs w:val="15"/>
                <w:color w:val="auto"/>
              </w:rPr>
            </w:pPr>
          </w:p>
        </w:tc>
        <w:tc>
          <w:tcPr>
            <w:tcW w:w="19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35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919,487</w:t>
            </w: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147,535</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(27,043)</w:t>
            </w:r>
          </w:p>
        </w:tc>
        <w:tc>
          <w:tcPr>
            <w:tcW w:w="940" w:type="dxa"/>
            <w:vAlign w:val="bottom"/>
          </w:tcPr>
          <w:p>
            <w:pPr>
              <w:spacing w:after="0"/>
              <w:rPr>
                <w:sz w:val="15"/>
                <w:szCs w:val="15"/>
                <w:color w:val="auto"/>
              </w:rPr>
            </w:pP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744,909</w:t>
            </w:r>
          </w:p>
        </w:tc>
      </w:tr>
      <w:tr>
        <w:trPr>
          <w:trHeight w:val="181"/>
        </w:trPr>
        <w:tc>
          <w:tcPr>
            <w:tcW w:w="3520" w:type="dxa"/>
            <w:vAlign w:val="bottom"/>
          </w:tcPr>
          <w:p>
            <w:pPr>
              <w:spacing w:after="0"/>
              <w:rPr>
                <w:sz w:val="15"/>
                <w:szCs w:val="15"/>
                <w:color w:val="auto"/>
              </w:rPr>
            </w:pPr>
          </w:p>
        </w:tc>
        <w:tc>
          <w:tcPr>
            <w:tcW w:w="19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352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3520" w:type="dxa"/>
            <w:vAlign w:val="bottom"/>
          </w:tcPr>
          <w:p>
            <w:pPr>
              <w:ind w:left="460"/>
              <w:spacing w:after="0"/>
              <w:rPr>
                <w:sz w:val="20"/>
                <w:szCs w:val="20"/>
                <w:color w:val="auto"/>
              </w:rPr>
            </w:pPr>
            <w:r>
              <w:rPr>
                <w:rFonts w:ascii="Courier New" w:cs="Courier New" w:eastAsia="Courier New" w:hAnsi="Courier New"/>
                <w:sz w:val="16"/>
                <w:szCs w:val="16"/>
                <w:color w:val="auto"/>
              </w:rPr>
              <w:t>Basic</w:t>
            </w: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1.72</w:t>
            </w: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1.39</w:t>
            </w:r>
          </w:p>
        </w:tc>
      </w:tr>
      <w:tr>
        <w:trPr>
          <w:trHeight w:val="181"/>
        </w:trPr>
        <w:tc>
          <w:tcPr>
            <w:tcW w:w="3520" w:type="dxa"/>
            <w:vAlign w:val="bottom"/>
          </w:tcPr>
          <w:p>
            <w:pPr>
              <w:spacing w:after="0"/>
              <w:rPr>
                <w:sz w:val="15"/>
                <w:szCs w:val="15"/>
                <w:color w:val="auto"/>
              </w:rPr>
            </w:pPr>
          </w:p>
        </w:tc>
        <w:tc>
          <w:tcPr>
            <w:tcW w:w="19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3520" w:type="dxa"/>
            <w:vAlign w:val="bottom"/>
          </w:tcPr>
          <w:p>
            <w:pPr>
              <w:ind w:left="460"/>
              <w:spacing w:after="0"/>
              <w:rPr>
                <w:sz w:val="20"/>
                <w:szCs w:val="20"/>
                <w:color w:val="auto"/>
              </w:rPr>
            </w:pPr>
            <w:r>
              <w:rPr>
                <w:rFonts w:ascii="Courier New" w:cs="Courier New" w:eastAsia="Courier New" w:hAnsi="Courier New"/>
                <w:sz w:val="16"/>
                <w:szCs w:val="16"/>
                <w:color w:val="auto"/>
              </w:rPr>
              <w:t>Diluted</w:t>
            </w: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1.69</w:t>
            </w: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1.37</w:t>
            </w:r>
          </w:p>
        </w:tc>
      </w:tr>
      <w:tr>
        <w:trPr>
          <w:trHeight w:val="181"/>
        </w:trPr>
        <w:tc>
          <w:tcPr>
            <w:tcW w:w="3520" w:type="dxa"/>
            <w:vAlign w:val="bottom"/>
          </w:tcPr>
          <w:p>
            <w:pPr>
              <w:spacing w:after="0"/>
              <w:rPr>
                <w:sz w:val="15"/>
                <w:szCs w:val="15"/>
                <w:color w:val="auto"/>
              </w:rPr>
            </w:pPr>
          </w:p>
        </w:tc>
        <w:tc>
          <w:tcPr>
            <w:tcW w:w="19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352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4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1"/>
        </w:trPr>
        <w:tc>
          <w:tcPr>
            <w:tcW w:w="3520" w:type="dxa"/>
            <w:vAlign w:val="bottom"/>
          </w:tcPr>
          <w:p>
            <w:pPr>
              <w:ind w:left="460"/>
              <w:spacing w:after="0"/>
              <w:rPr>
                <w:sz w:val="20"/>
                <w:szCs w:val="20"/>
                <w:color w:val="auto"/>
              </w:rPr>
            </w:pPr>
            <w:r>
              <w:rPr>
                <w:rFonts w:ascii="Courier New" w:cs="Courier New" w:eastAsia="Courier New" w:hAnsi="Courier New"/>
                <w:sz w:val="16"/>
                <w:szCs w:val="16"/>
                <w:color w:val="auto"/>
              </w:rPr>
              <w:t>Basic</w:t>
            </w:r>
          </w:p>
        </w:tc>
        <w:tc>
          <w:tcPr>
            <w:tcW w:w="420" w:type="dxa"/>
            <w:vAlign w:val="bottom"/>
          </w:tcPr>
          <w:p>
            <w:pPr>
              <w:spacing w:after="0"/>
              <w:rPr>
                <w:sz w:val="15"/>
                <w:szCs w:val="15"/>
                <w:color w:val="auto"/>
              </w:rPr>
            </w:pP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534,298</w:t>
            </w: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534,298</w:t>
            </w:r>
          </w:p>
        </w:tc>
      </w:tr>
      <w:tr>
        <w:trPr>
          <w:trHeight w:val="181"/>
        </w:trPr>
        <w:tc>
          <w:tcPr>
            <w:tcW w:w="3520" w:type="dxa"/>
            <w:vAlign w:val="bottom"/>
          </w:tcPr>
          <w:p>
            <w:pPr>
              <w:spacing w:after="0"/>
              <w:rPr>
                <w:sz w:val="15"/>
                <w:szCs w:val="15"/>
                <w:color w:val="auto"/>
              </w:rPr>
            </w:pPr>
          </w:p>
        </w:tc>
        <w:tc>
          <w:tcPr>
            <w:tcW w:w="19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1"/>
        </w:trPr>
        <w:tc>
          <w:tcPr>
            <w:tcW w:w="3520" w:type="dxa"/>
            <w:vAlign w:val="bottom"/>
          </w:tcPr>
          <w:p>
            <w:pPr>
              <w:ind w:left="460"/>
              <w:spacing w:after="0"/>
              <w:rPr>
                <w:sz w:val="20"/>
                <w:szCs w:val="20"/>
                <w:color w:val="auto"/>
              </w:rPr>
            </w:pPr>
            <w:r>
              <w:rPr>
                <w:rFonts w:ascii="Courier New" w:cs="Courier New" w:eastAsia="Courier New" w:hAnsi="Courier New"/>
                <w:sz w:val="16"/>
                <w:szCs w:val="16"/>
                <w:color w:val="auto"/>
              </w:rPr>
              <w:t>Diluted</w:t>
            </w:r>
          </w:p>
        </w:tc>
        <w:tc>
          <w:tcPr>
            <w:tcW w:w="420" w:type="dxa"/>
            <w:vAlign w:val="bottom"/>
          </w:tcPr>
          <w:p>
            <w:pPr>
              <w:spacing w:after="0"/>
              <w:rPr>
                <w:sz w:val="15"/>
                <w:szCs w:val="15"/>
                <w:color w:val="auto"/>
              </w:rPr>
            </w:pP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545,609</w:t>
            </w: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20" w:type="dxa"/>
            <w:vAlign w:val="bottom"/>
            <w:gridSpan w:val="2"/>
          </w:tcPr>
          <w:p>
            <w:pPr>
              <w:jc w:val="right"/>
              <w:ind w:right="522"/>
              <w:spacing w:after="0"/>
              <w:rPr>
                <w:sz w:val="20"/>
                <w:szCs w:val="20"/>
                <w:color w:val="auto"/>
              </w:rPr>
            </w:pPr>
            <w:r>
              <w:rPr>
                <w:rFonts w:ascii="Courier New" w:cs="Courier New" w:eastAsia="Courier New" w:hAnsi="Courier New"/>
                <w:sz w:val="16"/>
                <w:szCs w:val="16"/>
                <w:color w:val="auto"/>
              </w:rPr>
              <w:t>(156) (2)</w:t>
            </w:r>
          </w:p>
        </w:tc>
        <w:tc>
          <w:tcPr>
            <w:tcW w:w="340" w:type="dxa"/>
            <w:vAlign w:val="bottom"/>
          </w:tcPr>
          <w:p>
            <w:pPr>
              <w:spacing w:after="0"/>
              <w:rPr>
                <w:sz w:val="15"/>
                <w:szCs w:val="15"/>
                <w:color w:val="auto"/>
              </w:rPr>
            </w:pP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545,453</w:t>
            </w:r>
          </w:p>
        </w:tc>
      </w:tr>
      <w:tr>
        <w:trPr>
          <w:trHeight w:val="181"/>
        </w:trPr>
        <w:tc>
          <w:tcPr>
            <w:tcW w:w="3520" w:type="dxa"/>
            <w:vAlign w:val="bottom"/>
          </w:tcPr>
          <w:p>
            <w:pPr>
              <w:spacing w:after="0"/>
              <w:rPr>
                <w:sz w:val="15"/>
                <w:szCs w:val="15"/>
                <w:color w:val="auto"/>
              </w:rPr>
            </w:pPr>
          </w:p>
        </w:tc>
        <w:tc>
          <w:tcPr>
            <w:tcW w:w="19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5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361"/>
        </w:trPr>
        <w:tc>
          <w:tcPr>
            <w:tcW w:w="352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4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1"/>
        </w:trPr>
        <w:tc>
          <w:tcPr>
            <w:tcW w:w="3520" w:type="dxa"/>
            <w:vAlign w:val="bottom"/>
          </w:tcPr>
          <w:p>
            <w:pPr>
              <w:ind w:left="460"/>
              <w:spacing w:after="0"/>
              <w:rPr>
                <w:sz w:val="20"/>
                <w:szCs w:val="20"/>
                <w:color w:val="auto"/>
              </w:rPr>
            </w:pPr>
            <w:r>
              <w:rPr>
                <w:rFonts w:ascii="Courier New" w:cs="Courier New" w:eastAsia="Courier New" w:hAnsi="Courier New"/>
                <w:sz w:val="16"/>
                <w:szCs w:val="16"/>
                <w:color w:val="auto"/>
              </w:rPr>
              <w:t>included in Expenses</w:t>
            </w:r>
          </w:p>
        </w:tc>
        <w:tc>
          <w:tcPr>
            <w:tcW w:w="42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5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940,582</w:t>
            </w:r>
          </w:p>
        </w:tc>
        <w:tc>
          <w:tcPr>
            <w:tcW w:w="4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103,610</w:t>
            </w:r>
          </w:p>
        </w:tc>
        <w:tc>
          <w:tcPr>
            <w:tcW w:w="62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34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
              <w:spacing w:after="0"/>
              <w:rPr>
                <w:sz w:val="20"/>
                <w:szCs w:val="20"/>
                <w:color w:val="auto"/>
              </w:rPr>
            </w:pPr>
            <w:r>
              <w:rPr>
                <w:rFonts w:ascii="Courier New" w:cs="Courier New" w:eastAsia="Courier New" w:hAnsi="Courier New"/>
                <w:sz w:val="16"/>
                <w:szCs w:val="16"/>
                <w:color w:val="auto"/>
              </w:rPr>
              <w:t>836,972</w:t>
            </w:r>
          </w:p>
        </w:tc>
      </w:tr>
      <w:tr>
        <w:trPr>
          <w:trHeight w:val="181"/>
        </w:trPr>
        <w:tc>
          <w:tcPr>
            <w:tcW w:w="3520" w:type="dxa"/>
            <w:vAlign w:val="bottom"/>
          </w:tcPr>
          <w:p>
            <w:pPr>
              <w:spacing w:after="0"/>
              <w:rPr>
                <w:sz w:val="15"/>
                <w:szCs w:val="15"/>
                <w:color w:val="auto"/>
              </w:rPr>
            </w:pPr>
          </w:p>
        </w:tc>
        <w:tc>
          <w:tcPr>
            <w:tcW w:w="1920" w:type="dxa"/>
            <w:vAlign w:val="bottom"/>
            <w:gridSpan w:val="2"/>
          </w:tcPr>
          <w:p>
            <w:pPr>
              <w:jc w:val="right"/>
              <w:ind w:right="382"/>
              <w:spacing w:after="0"/>
              <w:rPr>
                <w:sz w:val="20"/>
                <w:szCs w:val="20"/>
                <w:color w:val="auto"/>
              </w:rPr>
            </w:pPr>
            <w:r>
              <w:rPr>
                <w:rFonts w:ascii="Courier New" w:cs="Courier New" w:eastAsia="Courier New" w:hAnsi="Courier New"/>
                <w:sz w:val="16"/>
                <w:szCs w:val="16"/>
                <w:color w:val="auto"/>
              </w:rPr>
              <w:t>==============</w:t>
            </w:r>
          </w:p>
        </w:tc>
        <w:tc>
          <w:tcPr>
            <w:tcW w:w="1640" w:type="dxa"/>
            <w:vAlign w:val="bottom"/>
            <w:gridSpan w:val="2"/>
          </w:tcPr>
          <w:p>
            <w:pPr>
              <w:jc w:val="right"/>
              <w:ind w:right="242"/>
              <w:spacing w:after="0"/>
              <w:rPr>
                <w:sz w:val="20"/>
                <w:szCs w:val="20"/>
                <w:color w:val="auto"/>
              </w:rPr>
            </w:pPr>
            <w:r>
              <w:rPr>
                <w:rFonts w:ascii="Courier New" w:cs="Courier New" w:eastAsia="Courier New" w:hAnsi="Courier New"/>
                <w:sz w:val="16"/>
                <w:szCs w:val="16"/>
                <w:color w:val="auto"/>
              </w:rPr>
              <w:t>============</w:t>
            </w:r>
          </w:p>
        </w:tc>
        <w:tc>
          <w:tcPr>
            <w:tcW w:w="1500" w:type="dxa"/>
            <w:vAlign w:val="bottom"/>
            <w:gridSpan w:val="2"/>
          </w:tcPr>
          <w:p>
            <w:pPr>
              <w:jc w:val="right"/>
              <w:ind w:right="62"/>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spacing w:after="0"/>
              <w:rPr>
                <w:sz w:val="15"/>
                <w:szCs w:val="15"/>
                <w:color w:val="auto"/>
              </w:rPr>
            </w:pPr>
          </w:p>
        </w:tc>
        <w:tc>
          <w:tcPr>
            <w:tcW w:w="136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464" w:right="3380" w:hanging="464"/>
        <w:spacing w:after="0" w:line="238" w:lineRule="auto"/>
        <w:tabs>
          <w:tab w:leader="none" w:pos="46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$27,043 represents insurance premiums paid to third party insurance companies for some risks where the insurance risk is then assumed by a Schlumberger wholly owned affiliated company through a reinsurance program. In the consolidated accounts of Schlumberger, the Sedco Forex insurance premium expense is eliminated against the insurance premium income received by the affiliated company.</w:t>
      </w:r>
    </w:p>
    <w:p>
      <w:pPr>
        <w:spacing w:after="0" w:line="185" w:lineRule="exact"/>
        <w:rPr>
          <w:rFonts w:ascii="Courier New" w:cs="Courier New" w:eastAsia="Courier New" w:hAnsi="Courier New"/>
          <w:sz w:val="16"/>
          <w:szCs w:val="16"/>
          <w:color w:val="auto"/>
        </w:rPr>
      </w:pPr>
    </w:p>
    <w:p>
      <w:pPr>
        <w:ind w:left="464" w:right="3660" w:hanging="464"/>
        <w:spacing w:after="0" w:line="236" w:lineRule="auto"/>
        <w:tabs>
          <w:tab w:leader="none" w:pos="464"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156 represents the elimination of the dilutive effect of Sedco Forex employees' unexercised stock options.</w:t>
      </w:r>
    </w:p>
    <w:p>
      <w:pPr>
        <w:spacing w:after="0" w:line="18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F-7</w:t>
      </w:r>
    </w:p>
    <w:p>
      <w:pPr>
        <w:sectPr>
          <w:pgSz w:w="11900" w:h="16838" w:orient="portrait"/>
          <w:cols w:equalWidth="0" w:num="1">
            <w:col w:w="10884"/>
          </w:cols>
          <w:pgMar w:left="316" w:top="654" w:right="699" w:bottom="1440" w:gutter="0" w:footer="0" w:header="0"/>
        </w:sectPr>
      </w:pPr>
    </w:p>
    <w:bookmarkStart w:id="11" w:name="page12"/>
    <w:bookmarkEnd w:id="11"/>
    <w:p>
      <w:pPr>
        <w:jc w:val="center"/>
        <w:ind w:right="2816"/>
        <w:spacing w:after="0"/>
        <w:rPr>
          <w:sz w:val="20"/>
          <w:szCs w:val="20"/>
          <w:color w:val="auto"/>
        </w:rPr>
      </w:pPr>
      <w:r>
        <w:rPr>
          <w:rFonts w:ascii="Courier New" w:cs="Courier New" w:eastAsia="Courier New" w:hAnsi="Courier New"/>
          <w:sz w:val="16"/>
          <w:szCs w:val="16"/>
          <w:color w:val="auto"/>
        </w:rPr>
        <w:t>Notes to Unaudited Condensed Pro Forma</w:t>
      </w:r>
    </w:p>
    <w:p>
      <w:pPr>
        <w:jc w:val="center"/>
        <w:ind w:right="2816"/>
        <w:spacing w:after="0"/>
        <w:rPr>
          <w:sz w:val="20"/>
          <w:szCs w:val="20"/>
          <w:color w:val="auto"/>
        </w:rPr>
      </w:pPr>
      <w:r>
        <w:rPr>
          <w:rFonts w:ascii="Courier New" w:cs="Courier New" w:eastAsia="Courier New" w:hAnsi="Courier New"/>
          <w:sz w:val="16"/>
          <w:szCs w:val="16"/>
          <w:color w:val="auto"/>
        </w:rPr>
        <w:t>Financial Statements</w:t>
      </w:r>
    </w:p>
    <w:p>
      <w:pPr>
        <w:spacing w:after="0" w:line="179" w:lineRule="exact"/>
        <w:rPr>
          <w:sz w:val="20"/>
          <w:szCs w:val="20"/>
          <w:color w:val="auto"/>
        </w:rPr>
      </w:pPr>
    </w:p>
    <w:p>
      <w:pPr>
        <w:jc w:val="center"/>
        <w:ind w:right="2916"/>
        <w:spacing w:after="0"/>
        <w:rPr>
          <w:sz w:val="20"/>
          <w:szCs w:val="20"/>
          <w:color w:val="auto"/>
        </w:rPr>
      </w:pPr>
      <w:r>
        <w:rPr>
          <w:rFonts w:ascii="Courier New" w:cs="Courier New" w:eastAsia="Courier New" w:hAnsi="Courier New"/>
          <w:sz w:val="16"/>
          <w:szCs w:val="16"/>
          <w:color w:val="auto"/>
        </w:rPr>
        <w:t>(Amounts in thousands, except for per share amounts or unless otherwise</w:t>
      </w:r>
    </w:p>
    <w:p>
      <w:pPr>
        <w:jc w:val="center"/>
        <w:ind w:right="2816"/>
        <w:spacing w:after="0"/>
        <w:rPr>
          <w:sz w:val="20"/>
          <w:szCs w:val="20"/>
          <w:color w:val="auto"/>
        </w:rPr>
      </w:pPr>
      <w:r>
        <w:rPr>
          <w:rFonts w:ascii="Courier New" w:cs="Courier New" w:eastAsia="Courier New" w:hAnsi="Courier New"/>
          <w:sz w:val="16"/>
          <w:szCs w:val="16"/>
          <w:color w:val="auto"/>
        </w:rPr>
        <w:t>indicated)</w:t>
      </w:r>
    </w:p>
    <w:p>
      <w:pPr>
        <w:spacing w:after="0" w:line="365" w:lineRule="exact"/>
        <w:rPr>
          <w:sz w:val="20"/>
          <w:szCs w:val="20"/>
          <w:color w:val="auto"/>
        </w:rPr>
      </w:pPr>
    </w:p>
    <w:p>
      <w:pPr>
        <w:ind w:left="464" w:right="2639" w:hanging="464"/>
        <w:spacing w:after="0" w:line="238" w:lineRule="auto"/>
        <w:tabs>
          <w:tab w:leader="none" w:pos="464"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unaudited condensed pro forma balance sheet eliminates the amounts of the historical Sedco Forex balance sheet and reflects the pro forma adjustments to reflect the following transactions between Schlumberger and Sedco Forex effected prior to the spin-off as required by the distribution agreement dated July 12, 1999 between Schlumberger and Sedco Forex relating to the spin-off.</w:t>
      </w:r>
    </w:p>
    <w:p>
      <w:pPr>
        <w:spacing w:after="0" w:line="186" w:lineRule="exact"/>
        <w:rPr>
          <w:sz w:val="20"/>
          <w:szCs w:val="20"/>
          <w:color w:val="auto"/>
        </w:rPr>
      </w:pPr>
    </w:p>
    <w:p>
      <w:pPr>
        <w:ind w:left="1404" w:right="3099" w:hanging="465"/>
        <w:spacing w:after="0" w:line="236" w:lineRule="auto"/>
        <w:tabs>
          <w:tab w:leader="none" w:pos="140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is adjusted to the required minimum cash balance of $35 million;</w:t>
      </w:r>
    </w:p>
    <w:p>
      <w:pPr>
        <w:spacing w:after="0" w:line="185" w:lineRule="exact"/>
        <w:rPr>
          <w:sz w:val="20"/>
          <w:szCs w:val="20"/>
          <w:color w:val="auto"/>
        </w:rPr>
      </w:pPr>
    </w:p>
    <w:p>
      <w:pPr>
        <w:ind w:left="1404" w:right="2819" w:hanging="465"/>
        <w:spacing w:after="0" w:line="236" w:lineRule="auto"/>
        <w:tabs>
          <w:tab w:leader="none" w:pos="1404"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assets and liabilities included in the historical Sedco Forex accounts are retained by Schlumberger;</w:t>
      </w:r>
    </w:p>
    <w:p>
      <w:pPr>
        <w:spacing w:after="0" w:line="180" w:lineRule="exact"/>
        <w:rPr>
          <w:sz w:val="20"/>
          <w:szCs w:val="20"/>
          <w:color w:val="auto"/>
        </w:rPr>
      </w:pPr>
    </w:p>
    <w:p>
      <w:pPr>
        <w:ind w:left="1404" w:hanging="465"/>
        <w:spacing w:after="0"/>
        <w:tabs>
          <w:tab w:leader="none" w:pos="140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receivable and payable balances are eliminated;</w:t>
      </w:r>
    </w:p>
    <w:p>
      <w:pPr>
        <w:spacing w:after="0" w:line="185" w:lineRule="exact"/>
        <w:rPr>
          <w:sz w:val="20"/>
          <w:szCs w:val="20"/>
          <w:color w:val="auto"/>
        </w:rPr>
      </w:pPr>
    </w:p>
    <w:p>
      <w:pPr>
        <w:ind w:left="1404" w:right="2719" w:hanging="465"/>
        <w:spacing w:after="0" w:line="236" w:lineRule="auto"/>
        <w:tabs>
          <w:tab w:leader="none" w:pos="1404"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debt is adjusted to $313 million, which represents the actual amount transferred in the spin-off.</w:t>
      </w:r>
    </w:p>
    <w:p>
      <w:pPr>
        <w:spacing w:after="0" w:line="185" w:lineRule="exact"/>
        <w:rPr>
          <w:sz w:val="20"/>
          <w:szCs w:val="20"/>
          <w:color w:val="auto"/>
        </w:rPr>
      </w:pPr>
    </w:p>
    <w:p>
      <w:pPr>
        <w:ind w:left="1404" w:right="2999" w:hanging="465"/>
        <w:spacing w:after="0" w:line="264" w:lineRule="auto"/>
        <w:tabs>
          <w:tab w:leader="none" w:pos="140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net amount of the pro forma distribution is treated as an adjustment to the net shareholder's equity of Sedco Forex.</w:t>
      </w:r>
    </w:p>
    <w:p>
      <w:pPr>
        <w:spacing w:after="0" w:line="168" w:lineRule="exact"/>
        <w:rPr>
          <w:sz w:val="20"/>
          <w:szCs w:val="20"/>
          <w:color w:val="auto"/>
        </w:rPr>
      </w:pPr>
    </w:p>
    <w:p>
      <w:pPr>
        <w:ind w:left="464" w:right="2919"/>
        <w:spacing w:after="0" w:line="236" w:lineRule="auto"/>
        <w:rPr>
          <w:sz w:val="20"/>
          <w:szCs w:val="20"/>
          <w:color w:val="auto"/>
        </w:rPr>
      </w:pPr>
      <w:r>
        <w:rPr>
          <w:rFonts w:ascii="Courier New" w:cs="Courier New" w:eastAsia="Courier New" w:hAnsi="Courier New"/>
          <w:sz w:val="16"/>
          <w:szCs w:val="16"/>
          <w:color w:val="auto"/>
        </w:rPr>
        <w:t>A summary of the pro forma distribution agreement adjustments by balance sheet caption is as follows:</w:t>
      </w:r>
    </w:p>
    <w:p>
      <w:pPr>
        <w:spacing w:after="0" w:line="185" w:lineRule="exact"/>
        <w:rPr>
          <w:sz w:val="20"/>
          <w:szCs w:val="20"/>
          <w:color w:val="auto"/>
        </w:rPr>
      </w:pPr>
    </w:p>
    <w:p>
      <w:pPr>
        <w:ind w:left="464" w:right="2819" w:firstLine="945"/>
        <w:spacing w:after="0" w:line="237" w:lineRule="auto"/>
        <w:tabs>
          <w:tab w:leader="none" w:pos="187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and cash equivalents - Represents the cash adjustment to increase Sedco Forex cash to the $35 million required minimum cash balance.</w:t>
      </w:r>
    </w:p>
    <w:p>
      <w:pPr>
        <w:spacing w:after="0" w:line="185" w:lineRule="exact"/>
        <w:rPr>
          <w:rFonts w:ascii="Courier New" w:cs="Courier New" w:eastAsia="Courier New" w:hAnsi="Courier New"/>
          <w:sz w:val="16"/>
          <w:szCs w:val="16"/>
          <w:color w:val="auto"/>
        </w:rPr>
      </w:pPr>
    </w:p>
    <w:p>
      <w:pPr>
        <w:ind w:left="464" w:right="2819" w:firstLine="945"/>
        <w:spacing w:after="0" w:line="264" w:lineRule="auto"/>
        <w:tabs>
          <w:tab w:leader="none" w:pos="1872"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current assets - A reconciliation of the pro forma distribution agreement adjustments to other current assets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1404" w:type="dxa"/>
        <w:tblCellMar>
          <w:top w:w="0" w:type="dxa"/>
          <w:left w:w="0" w:type="dxa"/>
          <w:bottom w:w="0" w:type="dxa"/>
          <w:right w:w="0" w:type="dxa"/>
        </w:tblCellMar>
      </w:tblPr>
      <w:tr>
        <w:trPr>
          <w:trHeight w:val="181"/>
        </w:trPr>
        <w:tc>
          <w:tcPr>
            <w:tcW w:w="54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Estimated deferred tax assets retained by Schlumberger...</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  2,000</w:t>
            </w:r>
          </w:p>
        </w:tc>
      </w:tr>
      <w:tr>
        <w:trPr>
          <w:trHeight w:val="181"/>
        </w:trPr>
        <w:tc>
          <w:tcPr>
            <w:tcW w:w="54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Estimated related party receivables......................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73,068</w:t>
            </w:r>
          </w:p>
        </w:tc>
      </w:tr>
      <w:tr>
        <w:trPr>
          <w:trHeight w:val="181"/>
        </w:trPr>
        <w:tc>
          <w:tcPr>
            <w:tcW w:w="5460" w:type="dxa"/>
            <w:vAlign w:val="bottom"/>
          </w:tcPr>
          <w:p>
            <w:pPr>
              <w:jc w:val="right"/>
              <w:ind w:right="962"/>
              <w:spacing w:after="0"/>
              <w:rPr>
                <w:sz w:val="20"/>
                <w:szCs w:val="20"/>
                <w:color w:val="auto"/>
              </w:rPr>
            </w:pPr>
            <w:r>
              <w:rPr>
                <w:rFonts w:ascii="Courier New" w:cs="Courier New" w:eastAsia="Courier New" w:hAnsi="Courier New"/>
                <w:sz w:val="16"/>
                <w:szCs w:val="16"/>
                <w:color w:val="auto"/>
                <w:w w:val="97"/>
              </w:rPr>
              <w:t>To eliminate related party debt and establish a</w:t>
            </w:r>
          </w:p>
        </w:tc>
        <w:tc>
          <w:tcPr>
            <w:tcW w:w="840" w:type="dxa"/>
            <w:vAlign w:val="bottom"/>
          </w:tcPr>
          <w:p>
            <w:pPr>
              <w:spacing w:after="0"/>
              <w:rPr>
                <w:sz w:val="15"/>
                <w:szCs w:val="15"/>
                <w:color w:val="auto"/>
              </w:rPr>
            </w:pPr>
          </w:p>
        </w:tc>
      </w:tr>
      <w:tr>
        <w:trPr>
          <w:trHeight w:val="181"/>
        </w:trPr>
        <w:tc>
          <w:tcPr>
            <w:tcW w:w="5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receivable from Transocean pursuant to the distribution</w:t>
            </w:r>
          </w:p>
        </w:tc>
        <w:tc>
          <w:tcPr>
            <w:tcW w:w="840" w:type="dxa"/>
            <w:vAlign w:val="bottom"/>
          </w:tcPr>
          <w:p>
            <w:pPr>
              <w:spacing w:after="0"/>
              <w:rPr>
                <w:sz w:val="15"/>
                <w:szCs w:val="15"/>
                <w:color w:val="auto"/>
              </w:rPr>
            </w:pPr>
          </w:p>
        </w:tc>
      </w:tr>
      <w:tr>
        <w:trPr>
          <w:trHeight w:val="181"/>
        </w:trPr>
        <w:tc>
          <w:tcPr>
            <w:tcW w:w="5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agreement..............................................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312,772</w:t>
            </w:r>
          </w:p>
        </w:tc>
      </w:tr>
      <w:tr>
        <w:trPr>
          <w:trHeight w:val="181"/>
        </w:trPr>
        <w:tc>
          <w:tcPr>
            <w:tcW w:w="5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54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Total pro forma adjustment to other current assets..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$387,840</w:t>
            </w:r>
          </w:p>
        </w:tc>
      </w:tr>
      <w:tr>
        <w:trPr>
          <w:trHeight w:val="181"/>
        </w:trPr>
        <w:tc>
          <w:tcPr>
            <w:tcW w:w="54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5" w:lineRule="exact"/>
        <w:rPr>
          <w:sz w:val="20"/>
          <w:szCs w:val="20"/>
          <w:color w:val="auto"/>
        </w:rPr>
      </w:pPr>
    </w:p>
    <w:p>
      <w:pPr>
        <w:ind w:left="464" w:right="3099" w:firstLine="945"/>
        <w:spacing w:after="0" w:line="236" w:lineRule="auto"/>
        <w:tabs>
          <w:tab w:leader="none" w:pos="1872"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assets - Represents estimated deferred tax assets retained by Schlumberger.</w:t>
      </w:r>
    </w:p>
    <w:p>
      <w:pPr>
        <w:spacing w:after="0" w:line="185" w:lineRule="exact"/>
        <w:rPr>
          <w:rFonts w:ascii="Courier New" w:cs="Courier New" w:eastAsia="Courier New" w:hAnsi="Courier New"/>
          <w:sz w:val="16"/>
          <w:szCs w:val="16"/>
          <w:color w:val="auto"/>
        </w:rPr>
      </w:pPr>
    </w:p>
    <w:p>
      <w:pPr>
        <w:ind w:left="464" w:right="2919" w:firstLine="945"/>
        <w:spacing w:after="0" w:line="264" w:lineRule="auto"/>
        <w:tabs>
          <w:tab w:leader="none" w:pos="1872"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liabilities - A reconciliation of the pro forma distribution agreement adjustments to current liabilities is as follows:</w:t>
      </w:r>
    </w:p>
    <w:p>
      <w:pPr>
        <w:spacing w:after="0" w:line="200" w:lineRule="exact"/>
        <w:rPr>
          <w:sz w:val="20"/>
          <w:szCs w:val="20"/>
          <w:color w:val="auto"/>
        </w:rPr>
      </w:pPr>
    </w:p>
    <w:p>
      <w:pPr>
        <w:spacing w:after="0" w:line="324" w:lineRule="exact"/>
        <w:rPr>
          <w:sz w:val="20"/>
          <w:szCs w:val="20"/>
          <w:color w:val="auto"/>
        </w:rPr>
      </w:pPr>
    </w:p>
    <w:p>
      <w:pPr>
        <w:jc w:val="right"/>
        <w:ind w:right="759"/>
        <w:spacing w:after="0"/>
        <w:tabs>
          <w:tab w:leader="none" w:pos="720" w:val="left"/>
        </w:tabs>
        <w:rPr>
          <w:sz w:val="20"/>
          <w:szCs w:val="20"/>
          <w:color w:val="auto"/>
        </w:rPr>
      </w:pPr>
      <w:r>
        <w:rPr>
          <w:rFonts w:ascii="Courier New" w:cs="Courier New" w:eastAsia="Courier New" w:hAnsi="Courier New"/>
          <w:sz w:val="16"/>
          <w:szCs w:val="16"/>
          <w:color w:val="auto"/>
        </w:rPr>
        <w:t>Estimated employee benefit and other liabilities retained by Schlumberger..</w:t>
      </w:r>
      <w:r>
        <w:rPr>
          <w:sz w:val="20"/>
          <w:szCs w:val="20"/>
          <w:color w:val="auto"/>
        </w:rPr>
        <w:tab/>
      </w:r>
      <w:r>
        <w:rPr>
          <w:rFonts w:ascii="Courier New" w:cs="Courier New" w:eastAsia="Courier New" w:hAnsi="Courier New"/>
          <w:sz w:val="15"/>
          <w:szCs w:val="15"/>
          <w:color w:val="auto"/>
        </w:rPr>
        <w:t>$ 30,000</w:t>
      </w:r>
    </w:p>
    <w:tbl>
      <w:tblPr>
        <w:tblLayout w:type="fixed"/>
        <w:tblInd w:w="1404" w:type="dxa"/>
        <w:tblCellMar>
          <w:top w:w="0" w:type="dxa"/>
          <w:left w:w="0" w:type="dxa"/>
          <w:bottom w:w="0" w:type="dxa"/>
          <w:right w:w="0" w:type="dxa"/>
        </w:tblCellMar>
      </w:tblPr>
      <w:tr>
        <w:trPr>
          <w:trHeight w:val="181"/>
        </w:trPr>
        <w:tc>
          <w:tcPr>
            <w:tcW w:w="31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7"/>
              </w:rPr>
              <w:t>Estimated current tax liabilities</w:t>
            </w:r>
          </w:p>
        </w:tc>
        <w:tc>
          <w:tcPr>
            <w:tcW w:w="4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retained by Schlumberger.................</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15,000</w:t>
            </w:r>
          </w:p>
        </w:tc>
      </w:tr>
      <w:tr>
        <w:trPr>
          <w:trHeight w:val="181"/>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w w:val="95"/>
              </w:rPr>
              <w:t>Eliminated</w:t>
            </w:r>
          </w:p>
        </w:tc>
        <w:tc>
          <w:tcPr>
            <w:tcW w:w="2100" w:type="dxa"/>
            <w:vAlign w:val="bottom"/>
          </w:tcPr>
          <w:p>
            <w:pPr>
              <w:jc w:val="right"/>
              <w:spacing w:after="0"/>
              <w:rPr>
                <w:sz w:val="20"/>
                <w:szCs w:val="20"/>
                <w:color w:val="auto"/>
              </w:rPr>
            </w:pPr>
            <w:r>
              <w:rPr>
                <w:rFonts w:ascii="Courier New" w:cs="Courier New" w:eastAsia="Courier New" w:hAnsi="Courier New"/>
                <w:sz w:val="16"/>
                <w:szCs w:val="16"/>
                <w:color w:val="auto"/>
                <w:w w:val="98"/>
              </w:rPr>
              <w:t>related party payables</w:t>
            </w:r>
          </w:p>
        </w:tc>
        <w:tc>
          <w:tcPr>
            <w:tcW w:w="404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7"/>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61,989</w:t>
            </w:r>
          </w:p>
        </w:tc>
      </w:tr>
      <w:tr>
        <w:trPr>
          <w:trHeight w:val="181"/>
        </w:trPr>
        <w:tc>
          <w:tcPr>
            <w:tcW w:w="1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Total</w:t>
            </w:r>
          </w:p>
        </w:tc>
        <w:tc>
          <w:tcPr>
            <w:tcW w:w="61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pro forma adjustment to other current liabilities...............</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$106,989</w:t>
            </w:r>
          </w:p>
        </w:tc>
      </w:tr>
      <w:tr>
        <w:trPr>
          <w:trHeight w:val="181"/>
        </w:trPr>
        <w:tc>
          <w:tcPr>
            <w:tcW w:w="10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40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0" w:lineRule="exact"/>
        <w:rPr>
          <w:sz w:val="20"/>
          <w:szCs w:val="20"/>
          <w:color w:val="auto"/>
        </w:rPr>
      </w:pPr>
    </w:p>
    <w:p>
      <w:pPr>
        <w:ind w:left="1884" w:hanging="475"/>
        <w:spacing w:after="0"/>
        <w:tabs>
          <w:tab w:leader="none" w:pos="1884"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Related Party - Represents adjustment to reflect related</w:t>
      </w:r>
    </w:p>
    <w:p>
      <w:pPr>
        <w:ind w:left="46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party debt: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1404" w:type="dxa"/>
        <w:tblCellMar>
          <w:top w:w="0" w:type="dxa"/>
          <w:left w:w="0" w:type="dxa"/>
          <w:bottom w:w="0" w:type="dxa"/>
          <w:right w:w="0" w:type="dxa"/>
        </w:tblCellMar>
      </w:tblPr>
      <w:tr>
        <w:trPr>
          <w:trHeight w:val="181"/>
        </w:trPr>
        <w:tc>
          <w:tcPr>
            <w:tcW w:w="714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w w:val="97"/>
              </w:rPr>
              <w:t>Amount actually transferred on closing date................................</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$189,391</w:t>
            </w:r>
          </w:p>
        </w:tc>
      </w:tr>
      <w:tr>
        <w:trPr>
          <w:trHeight w:val="181"/>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w w:val="97"/>
              </w:rPr>
              <w:t>To eliminate</w:t>
            </w:r>
          </w:p>
        </w:tc>
        <w:tc>
          <w:tcPr>
            <w:tcW w:w="59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8"/>
              </w:rPr>
              <w:t>related party debt and establish a receivable from Transocean</w:t>
            </w:r>
          </w:p>
        </w:tc>
        <w:tc>
          <w:tcPr>
            <w:tcW w:w="840" w:type="dxa"/>
            <w:vAlign w:val="bottom"/>
          </w:tcPr>
          <w:p>
            <w:pPr>
              <w:spacing w:after="0"/>
              <w:rPr>
                <w:sz w:val="15"/>
                <w:szCs w:val="15"/>
                <w:color w:val="auto"/>
              </w:rPr>
            </w:pPr>
          </w:p>
        </w:tc>
      </w:tr>
      <w:tr>
        <w:trPr>
          <w:trHeight w:val="181"/>
        </w:trPr>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pursuant to</w:t>
            </w:r>
          </w:p>
        </w:tc>
        <w:tc>
          <w:tcPr>
            <w:tcW w:w="596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the distribution agreement....................................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312,772</w:t>
            </w:r>
          </w:p>
        </w:tc>
      </w:tr>
    </w:tbl>
    <w:p>
      <w:pPr>
        <w:spacing w:after="0" w:line="4" w:lineRule="exact"/>
        <w:rPr>
          <w:sz w:val="20"/>
          <w:szCs w:val="20"/>
          <w:color w:val="auto"/>
        </w:rPr>
      </w:pPr>
    </w:p>
    <w:p>
      <w:pPr>
        <w:ind w:left="8644"/>
        <w:spacing w:after="0"/>
        <w:rPr>
          <w:sz w:val="20"/>
          <w:szCs w:val="20"/>
          <w:color w:val="auto"/>
        </w:rPr>
      </w:pPr>
      <w:r>
        <w:rPr>
          <w:rFonts w:ascii="Courier New" w:cs="Courier New" w:eastAsia="Courier New" w:hAnsi="Courier New"/>
          <w:sz w:val="15"/>
          <w:szCs w:val="15"/>
          <w:color w:val="auto"/>
        </w:rPr>
        <w:t>--------</w:t>
      </w:r>
    </w:p>
    <w:p>
      <w:pPr>
        <w:spacing w:after="0" w:line="6" w:lineRule="exact"/>
        <w:rPr>
          <w:sz w:val="20"/>
          <w:szCs w:val="20"/>
          <w:color w:val="auto"/>
        </w:rPr>
      </w:pPr>
    </w:p>
    <w:p>
      <w:pPr>
        <w:jc w:val="right"/>
        <w:ind w:right="759"/>
        <w:spacing w:after="0"/>
        <w:rPr>
          <w:sz w:val="20"/>
          <w:szCs w:val="20"/>
          <w:color w:val="auto"/>
        </w:rPr>
      </w:pPr>
      <w:r>
        <w:rPr>
          <w:rFonts w:ascii="Courier New" w:cs="Courier New" w:eastAsia="Courier New" w:hAnsi="Courier New"/>
          <w:sz w:val="16"/>
          <w:szCs w:val="16"/>
          <w:color w:val="auto"/>
        </w:rPr>
        <w:t>$502,163</w:t>
      </w:r>
    </w:p>
    <w:p>
      <w:pPr>
        <w:jc w:val="right"/>
        <w:ind w:right="75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0" w:lineRule="exact"/>
        <w:rPr>
          <w:sz w:val="20"/>
          <w:szCs w:val="20"/>
          <w:color w:val="auto"/>
        </w:rPr>
      </w:pPr>
    </w:p>
    <w:p>
      <w:pPr>
        <w:ind w:left="3564"/>
        <w:spacing w:after="0"/>
        <w:rPr>
          <w:sz w:val="20"/>
          <w:szCs w:val="20"/>
          <w:color w:val="auto"/>
        </w:rPr>
      </w:pPr>
      <w:r>
        <w:rPr>
          <w:rFonts w:ascii="Courier New" w:cs="Courier New" w:eastAsia="Courier New" w:hAnsi="Courier New"/>
          <w:sz w:val="16"/>
          <w:szCs w:val="16"/>
          <w:color w:val="auto"/>
        </w:rPr>
        <w:t>F-8</w:t>
      </w:r>
    </w:p>
    <w:p>
      <w:pPr>
        <w:sectPr>
          <w:pgSz w:w="11900" w:h="16838" w:orient="portrait"/>
          <w:cols w:equalWidth="0" w:num="1">
            <w:col w:w="10143"/>
          </w:cols>
          <w:pgMar w:left="316" w:top="654" w:right="1440" w:bottom="812" w:gutter="0" w:footer="0" w:header="0"/>
        </w:sectPr>
      </w:pPr>
    </w:p>
    <w:bookmarkStart w:id="12" w:name="page13"/>
    <w:bookmarkEnd w:id="12"/>
    <w:p>
      <w:pPr>
        <w:ind w:left="-660" w:right="2819" w:firstLine="945"/>
        <w:spacing w:after="0" w:line="237" w:lineRule="auto"/>
        <w:tabs>
          <w:tab w:leader="none" w:pos="74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taxes and other credits - A reconciliation of the pro forma distribution agreement adjustments to deferred taxes and other credits is as follows:</w:t>
      </w:r>
    </w:p>
    <w:p>
      <w:pPr>
        <w:spacing w:after="0" w:line="200" w:lineRule="exact"/>
        <w:rPr>
          <w:sz w:val="20"/>
          <w:szCs w:val="20"/>
          <w:color w:val="auto"/>
        </w:rPr>
      </w:pPr>
    </w:p>
    <w:p>
      <w:pPr>
        <w:spacing w:after="0" w:line="342"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2120" w:type="dxa"/>
            <w:vAlign w:val="bottom"/>
            <w:gridSpan w:val="2"/>
          </w:tcPr>
          <w:p>
            <w:pPr>
              <w:spacing w:after="0"/>
              <w:rPr>
                <w:sz w:val="20"/>
                <w:szCs w:val="20"/>
                <w:color w:val="auto"/>
              </w:rPr>
            </w:pPr>
            <w:r>
              <w:rPr>
                <w:rFonts w:ascii="Courier New" w:cs="Courier New" w:eastAsia="Courier New" w:hAnsi="Courier New"/>
                <w:sz w:val="16"/>
                <w:szCs w:val="16"/>
                <w:color w:val="auto"/>
                <w:w w:val="99"/>
              </w:rPr>
              <w:t>Postretirement benefit</w:t>
            </w:r>
          </w:p>
        </w:tc>
        <w:tc>
          <w:tcPr>
            <w:tcW w:w="3980" w:type="dxa"/>
            <w:vAlign w:val="bottom"/>
          </w:tcPr>
          <w:p>
            <w:pPr>
              <w:ind w:left="40"/>
              <w:spacing w:after="0"/>
              <w:rPr>
                <w:sz w:val="20"/>
                <w:szCs w:val="20"/>
                <w:color w:val="auto"/>
              </w:rPr>
            </w:pPr>
            <w:r>
              <w:rPr>
                <w:rFonts w:ascii="Courier New" w:cs="Courier New" w:eastAsia="Courier New" w:hAnsi="Courier New"/>
                <w:sz w:val="16"/>
                <w:szCs w:val="16"/>
                <w:color w:val="auto"/>
                <w:w w:val="99"/>
              </w:rPr>
              <w:t>liability retained by Schlumberger.......</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5,521</w:t>
            </w:r>
          </w:p>
        </w:tc>
      </w:tr>
      <w:tr>
        <w:trPr>
          <w:trHeight w:val="181"/>
        </w:trPr>
        <w:tc>
          <w:tcPr>
            <w:tcW w:w="5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employee-related</w:t>
            </w:r>
          </w:p>
        </w:tc>
        <w:tc>
          <w:tcPr>
            <w:tcW w:w="3980" w:type="dxa"/>
            <w:vAlign w:val="bottom"/>
          </w:tcPr>
          <w:p>
            <w:pPr>
              <w:ind w:left="40"/>
              <w:spacing w:after="0"/>
              <w:rPr>
                <w:sz w:val="20"/>
                <w:szCs w:val="20"/>
                <w:color w:val="auto"/>
              </w:rPr>
            </w:pPr>
            <w:r>
              <w:rPr>
                <w:rFonts w:ascii="Courier New" w:cs="Courier New" w:eastAsia="Courier New" w:hAnsi="Courier New"/>
                <w:sz w:val="16"/>
                <w:szCs w:val="16"/>
                <w:color w:val="auto"/>
                <w:w w:val="99"/>
              </w:rPr>
              <w:t>liabilities retained by Schlumberger.....</w:t>
            </w:r>
          </w:p>
        </w:tc>
        <w:tc>
          <w:tcPr>
            <w:tcW w:w="2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3,500</w:t>
            </w:r>
          </w:p>
        </w:tc>
      </w:tr>
      <w:tr>
        <w:trPr>
          <w:trHeight w:val="181"/>
        </w:trPr>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1"/>
        </w:trPr>
        <w:tc>
          <w:tcPr>
            <w:tcW w:w="52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582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98"/>
              </w:rPr>
              <w:t>pro forma adjustment to deferred taxes and other credits..  $</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9,021</w:t>
            </w:r>
          </w:p>
        </w:tc>
      </w:tr>
      <w:tr>
        <w:trPr>
          <w:trHeight w:val="181"/>
        </w:trPr>
        <w:tc>
          <w:tcPr>
            <w:tcW w:w="5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9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5" w:lineRule="exact"/>
        <w:rPr>
          <w:sz w:val="20"/>
          <w:szCs w:val="20"/>
          <w:color w:val="auto"/>
        </w:rPr>
      </w:pPr>
    </w:p>
    <w:p>
      <w:pPr>
        <w:ind w:left="-660" w:right="2819" w:firstLine="945"/>
        <w:spacing w:after="0" w:line="264" w:lineRule="auto"/>
        <w:tabs>
          <w:tab w:leader="none" w:pos="7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equity - A reconciliation of the pro forma distribution agreement adjustments to shareholder's equity is as follows:</w:t>
      </w:r>
    </w:p>
    <w:p>
      <w:pPr>
        <w:spacing w:after="0" w:line="200" w:lineRule="exact"/>
        <w:rPr>
          <w:sz w:val="20"/>
          <w:szCs w:val="20"/>
          <w:color w:val="auto"/>
        </w:rPr>
      </w:pPr>
    </w:p>
    <w:p>
      <w:pPr>
        <w:spacing w:after="0" w:line="324" w:lineRule="exact"/>
        <w:rPr>
          <w:sz w:val="20"/>
          <w:szCs w:val="20"/>
          <w:color w:val="auto"/>
        </w:rPr>
      </w:pPr>
    </w:p>
    <w:tbl>
      <w:tblPr>
        <w:tblLayout w:type="fixed"/>
        <w:tblInd w:w="280" w:type="dxa"/>
        <w:tblCellMar>
          <w:top w:w="0" w:type="dxa"/>
          <w:left w:w="0" w:type="dxa"/>
          <w:bottom w:w="0" w:type="dxa"/>
          <w:right w:w="0" w:type="dxa"/>
        </w:tblCellMar>
      </w:tblPr>
      <w:tr>
        <w:trPr>
          <w:trHeight w:val="181"/>
        </w:trPr>
        <w:tc>
          <w:tcPr>
            <w:tcW w:w="5680" w:type="dxa"/>
            <w:vAlign w:val="bottom"/>
          </w:tcPr>
          <w:p>
            <w:pPr>
              <w:spacing w:after="0"/>
              <w:rPr>
                <w:sz w:val="20"/>
                <w:szCs w:val="20"/>
                <w:color w:val="auto"/>
              </w:rPr>
            </w:pPr>
            <w:r>
              <w:rPr>
                <w:rFonts w:ascii="Courier New" w:cs="Courier New" w:eastAsia="Courier New" w:hAnsi="Courier New"/>
                <w:sz w:val="16"/>
                <w:szCs w:val="16"/>
                <w:color w:val="auto"/>
              </w:rPr>
              <w:t>Net liabilities to be retained by Schlumberger...........</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  (51,021)</w:t>
            </w:r>
          </w:p>
        </w:tc>
      </w:tr>
      <w:tr>
        <w:trPr>
          <w:trHeight w:val="181"/>
        </w:trPr>
        <w:tc>
          <w:tcPr>
            <w:tcW w:w="5680" w:type="dxa"/>
            <w:vAlign w:val="bottom"/>
          </w:tcPr>
          <w:p>
            <w:pPr>
              <w:spacing w:after="0"/>
              <w:rPr>
                <w:sz w:val="20"/>
                <w:szCs w:val="20"/>
                <w:color w:val="auto"/>
              </w:rPr>
            </w:pPr>
            <w:r>
              <w:rPr>
                <w:rFonts w:ascii="Courier New" w:cs="Courier New" w:eastAsia="Courier New" w:hAnsi="Courier New"/>
                <w:sz w:val="16"/>
                <w:szCs w:val="16"/>
                <w:color w:val="auto"/>
              </w:rPr>
              <w:t>Cash adjustment for required minimum cash balance........</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(9,440)</w:t>
            </w:r>
          </w:p>
        </w:tc>
      </w:tr>
      <w:tr>
        <w:trPr>
          <w:trHeight w:val="181"/>
        </w:trPr>
        <w:tc>
          <w:tcPr>
            <w:tcW w:w="5680" w:type="dxa"/>
            <w:vAlign w:val="bottom"/>
          </w:tcPr>
          <w:p>
            <w:pPr>
              <w:spacing w:after="0"/>
              <w:rPr>
                <w:sz w:val="20"/>
                <w:szCs w:val="20"/>
                <w:color w:val="auto"/>
              </w:rPr>
            </w:pPr>
            <w:r>
              <w:rPr>
                <w:rFonts w:ascii="Courier New" w:cs="Courier New" w:eastAsia="Courier New" w:hAnsi="Courier New"/>
                <w:sz w:val="16"/>
                <w:szCs w:val="16"/>
                <w:color w:val="auto"/>
              </w:rPr>
              <w:t>Adjustment to related party debt.........................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(189,391)</w:t>
            </w:r>
          </w:p>
        </w:tc>
      </w:tr>
      <w:tr>
        <w:trPr>
          <w:trHeight w:val="181"/>
        </w:trPr>
        <w:tc>
          <w:tcPr>
            <w:tcW w:w="5680" w:type="dxa"/>
            <w:vAlign w:val="bottom"/>
          </w:tcPr>
          <w:p>
            <w:pPr>
              <w:spacing w:after="0"/>
              <w:rPr>
                <w:sz w:val="20"/>
                <w:szCs w:val="20"/>
                <w:color w:val="auto"/>
              </w:rPr>
            </w:pPr>
            <w:r>
              <w:rPr>
                <w:rFonts w:ascii="Courier New" w:cs="Courier New" w:eastAsia="Courier New" w:hAnsi="Courier New"/>
                <w:sz w:val="16"/>
                <w:szCs w:val="16"/>
                <w:color w:val="auto"/>
              </w:rPr>
              <w:t>Settlement of related party receivables and payables.....</w:t>
            </w: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11,079</w:t>
            </w:r>
          </w:p>
        </w:tc>
      </w:tr>
      <w:tr>
        <w:trPr>
          <w:trHeight w:val="181"/>
        </w:trPr>
        <w:tc>
          <w:tcPr>
            <w:tcW w:w="5680" w:type="dxa"/>
            <w:vAlign w:val="bottom"/>
          </w:tcPr>
          <w:p>
            <w:pPr>
              <w:spacing w:after="0"/>
              <w:rPr>
                <w:sz w:val="15"/>
                <w:szCs w:val="15"/>
                <w:color w:val="auto"/>
              </w:rPr>
            </w:pP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1"/>
        </w:trPr>
        <w:tc>
          <w:tcPr>
            <w:tcW w:w="5680" w:type="dxa"/>
            <w:vAlign w:val="bottom"/>
          </w:tcPr>
          <w:p>
            <w:pPr>
              <w:ind w:left="560"/>
              <w:spacing w:after="0"/>
              <w:rPr>
                <w:sz w:val="20"/>
                <w:szCs w:val="20"/>
                <w:color w:val="auto"/>
              </w:rPr>
            </w:pPr>
            <w:r>
              <w:rPr>
                <w:rFonts w:ascii="Courier New" w:cs="Courier New" w:eastAsia="Courier New" w:hAnsi="Courier New"/>
                <w:sz w:val="16"/>
                <w:szCs w:val="16"/>
                <w:color w:val="auto"/>
              </w:rPr>
              <w:t>Total pro forma adjustment to shareholder's equity..</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 (238,773)</w:t>
            </w:r>
          </w:p>
        </w:tc>
      </w:tr>
      <w:tr>
        <w:trPr>
          <w:trHeight w:val="181"/>
        </w:trPr>
        <w:tc>
          <w:tcPr>
            <w:tcW w:w="5680" w:type="dxa"/>
            <w:vAlign w:val="bottom"/>
          </w:tcPr>
          <w:p>
            <w:pPr>
              <w:spacing w:after="0"/>
              <w:rPr>
                <w:sz w:val="15"/>
                <w:szCs w:val="15"/>
                <w:color w:val="auto"/>
              </w:rPr>
            </w:pPr>
          </w:p>
        </w:tc>
        <w:tc>
          <w:tcPr>
            <w:tcW w:w="12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542"/>
        </w:trPr>
        <w:tc>
          <w:tcPr>
            <w:tcW w:w="5680" w:type="dxa"/>
            <w:vAlign w:val="bottom"/>
          </w:tcPr>
          <w:p>
            <w:pPr>
              <w:ind w:left="2160"/>
              <w:spacing w:after="0"/>
              <w:rPr>
                <w:sz w:val="20"/>
                <w:szCs w:val="20"/>
                <w:color w:val="auto"/>
              </w:rPr>
            </w:pPr>
            <w:r>
              <w:rPr>
                <w:rFonts w:ascii="Courier New" w:cs="Courier New" w:eastAsia="Courier New" w:hAnsi="Courier New"/>
                <w:sz w:val="16"/>
                <w:szCs w:val="16"/>
                <w:color w:val="auto"/>
              </w:rPr>
              <w:t>F-9</w:t>
            </w:r>
          </w:p>
        </w:tc>
        <w:tc>
          <w:tcPr>
            <w:tcW w:w="1280" w:type="dxa"/>
            <w:vAlign w:val="bottom"/>
          </w:tcPr>
          <w:p>
            <w:pPr>
              <w:spacing w:after="0"/>
              <w:rPr>
                <w:sz w:val="24"/>
                <w:szCs w:val="24"/>
                <w:color w:val="auto"/>
              </w:rPr>
            </w:pPr>
          </w:p>
        </w:tc>
      </w:tr>
    </w:tbl>
    <w:p>
      <w:pPr>
        <w:sectPr>
          <w:pgSz w:w="11900" w:h="16838" w:orient="portrait"/>
          <w:cols w:equalWidth="0" w:num="1">
            <w:col w:w="9019"/>
          </w:cols>
          <w:pgMar w:left="1440" w:top="659" w:right="1440"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40" w:type="dxa"/>
            <w:vAlign w:val="bottom"/>
          </w:tcPr>
          <w:p>
            <w:pPr>
              <w:jc w:val="right"/>
              <w:ind w:right="2842"/>
              <w:spacing w:after="0"/>
              <w:rPr>
                <w:sz w:val="20"/>
                <w:szCs w:val="20"/>
                <w:color w:val="auto"/>
              </w:rPr>
            </w:pPr>
            <w:r>
              <w:rPr>
                <w:rFonts w:ascii="Courier New" w:cs="Courier New" w:eastAsia="Courier New" w:hAnsi="Courier New"/>
                <w:sz w:val="16"/>
                <w:szCs w:val="16"/>
                <w:color w:val="auto"/>
              </w:rPr>
              <w:t>INDEX TO EXHIBITS</w:t>
            </w:r>
          </w:p>
        </w:tc>
      </w:tr>
      <w:tr>
        <w:trPr>
          <w:trHeight w:val="361"/>
        </w:trPr>
        <w:tc>
          <w:tcPr>
            <w:tcW w:w="74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240" w:type="dxa"/>
            <w:vAlign w:val="bottom"/>
          </w:tcPr>
          <w:p>
            <w:pPr>
              <w:spacing w:after="0"/>
              <w:rPr>
                <w:sz w:val="24"/>
                <w:szCs w:val="24"/>
                <w:color w:val="auto"/>
              </w:rPr>
            </w:pPr>
          </w:p>
        </w:tc>
        <w:tc>
          <w:tcPr>
            <w:tcW w:w="6440" w:type="dxa"/>
            <w:vAlign w:val="bottom"/>
          </w:tcPr>
          <w:p>
            <w:pPr>
              <w:ind w:left="2680"/>
              <w:spacing w:after="0"/>
              <w:rPr>
                <w:sz w:val="20"/>
                <w:szCs w:val="20"/>
                <w:color w:val="auto"/>
              </w:rPr>
            </w:pPr>
            <w:r>
              <w:rPr>
                <w:rFonts w:ascii="Courier New" w:cs="Courier New" w:eastAsia="Courier New" w:hAnsi="Courier New"/>
                <w:sz w:val="16"/>
                <w:szCs w:val="16"/>
                <w:color w:val="auto"/>
              </w:rPr>
              <w:t>Exhibit</w:t>
            </w:r>
          </w:p>
        </w:tc>
      </w:tr>
      <w:tr>
        <w:trPr>
          <w:trHeight w:val="181"/>
        </w:trPr>
        <w:tc>
          <w:tcPr>
            <w:tcW w:w="740" w:type="dxa"/>
            <w:vAlign w:val="bottom"/>
          </w:tcPr>
          <w:p>
            <w:pPr>
              <w:spacing w:after="0"/>
              <w:rPr>
                <w:sz w:val="20"/>
                <w:szCs w:val="20"/>
                <w:color w:val="auto"/>
              </w:rPr>
            </w:pPr>
            <w:r>
              <w:rPr>
                <w:rFonts w:ascii="Courier New" w:cs="Courier New" w:eastAsia="Courier New" w:hAnsi="Courier New"/>
                <w:sz w:val="16"/>
                <w:szCs w:val="16"/>
                <w:color w:val="auto"/>
                <w:w w:val="93"/>
              </w:rPr>
              <w:t>- ------</w:t>
            </w:r>
          </w:p>
        </w:tc>
        <w:tc>
          <w:tcPr>
            <w:tcW w:w="240" w:type="dxa"/>
            <w:vAlign w:val="bottom"/>
          </w:tcPr>
          <w:p>
            <w:pPr>
              <w:spacing w:after="0"/>
              <w:rPr>
                <w:sz w:val="15"/>
                <w:szCs w:val="15"/>
                <w:color w:val="auto"/>
              </w:rPr>
            </w:pPr>
          </w:p>
        </w:tc>
        <w:tc>
          <w:tcPr>
            <w:tcW w:w="6440" w:type="dxa"/>
            <w:vAlign w:val="bottom"/>
          </w:tcPr>
          <w:p>
            <w:pPr>
              <w:jc w:val="right"/>
              <w:ind w:right="2842"/>
              <w:spacing w:after="0"/>
              <w:rPr>
                <w:sz w:val="20"/>
                <w:szCs w:val="20"/>
                <w:color w:val="auto"/>
              </w:rPr>
            </w:pPr>
            <w:r>
              <w:rPr>
                <w:rFonts w:ascii="Courier New" w:cs="Courier New" w:eastAsia="Courier New" w:hAnsi="Courier New"/>
                <w:sz w:val="16"/>
                <w:szCs w:val="16"/>
                <w:color w:val="auto"/>
              </w:rPr>
              <w:t>-------</w:t>
            </w:r>
          </w:p>
        </w:tc>
      </w:tr>
      <w:tr>
        <w:trPr>
          <w:trHeight w:val="361"/>
        </w:trPr>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2.1</w:t>
            </w:r>
          </w:p>
        </w:tc>
        <w:tc>
          <w:tcPr>
            <w:tcW w:w="2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82"/>
              </w:rPr>
              <w:t>-</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Agreement and Plan of Merger dated as of July 12, 1999 among</w:t>
            </w:r>
          </w:p>
        </w:tc>
      </w:tr>
      <w:tr>
        <w:trPr>
          <w:trHeight w:val="181"/>
        </w:trPr>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Schlumberger Limited, Sedco Forex Holdings Limited and Transocean</w:t>
            </w:r>
          </w:p>
        </w:tc>
      </w:tr>
      <w:tr>
        <w:trPr>
          <w:trHeight w:val="181"/>
        </w:trPr>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w w:val="97"/>
              </w:rPr>
              <w:t>Offshore Inc. (incorporated by reference to Annex A of our Schedule</w:t>
            </w:r>
          </w:p>
        </w:tc>
      </w:tr>
      <w:tr>
        <w:trPr>
          <w:trHeight w:val="181"/>
        </w:trPr>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14A Proxy Statement filed November 1, 1999)</w:t>
            </w:r>
          </w:p>
        </w:tc>
      </w:tr>
      <w:tr>
        <w:trPr>
          <w:trHeight w:val="361"/>
        </w:trPr>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2.2</w:t>
            </w:r>
          </w:p>
        </w:tc>
        <w:tc>
          <w:tcPr>
            <w:tcW w:w="2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82"/>
              </w:rPr>
              <w:t>-</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Distribution Agreement dated as of July 12, 1999 between</w:t>
            </w:r>
          </w:p>
        </w:tc>
      </w:tr>
      <w:tr>
        <w:trPr>
          <w:trHeight w:val="181"/>
        </w:trPr>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w w:val="97"/>
              </w:rPr>
              <w:t>Schlumberger Limited and Sedco Forex Holdings Limited (incorporated</w:t>
            </w:r>
          </w:p>
        </w:tc>
      </w:tr>
      <w:tr>
        <w:trPr>
          <w:trHeight w:val="181"/>
        </w:trPr>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by reference to Annex B of our Schedule 14A Proxy Statement filed</w:t>
            </w:r>
          </w:p>
        </w:tc>
      </w:tr>
      <w:tr>
        <w:trPr>
          <w:trHeight w:val="181"/>
        </w:trPr>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November 1, 1999)</w:t>
            </w:r>
          </w:p>
        </w:tc>
      </w:tr>
      <w:tr>
        <w:trPr>
          <w:trHeight w:val="361"/>
        </w:trPr>
        <w:tc>
          <w:tcPr>
            <w:tcW w:w="740" w:type="dxa"/>
            <w:vAlign w:val="bottom"/>
          </w:tcPr>
          <w:p>
            <w:pPr>
              <w:ind w:left="100"/>
              <w:spacing w:after="0"/>
              <w:rPr>
                <w:sz w:val="20"/>
                <w:szCs w:val="20"/>
                <w:color w:val="auto"/>
              </w:rPr>
            </w:pPr>
            <w:r>
              <w:rPr>
                <w:rFonts w:ascii="Courier New" w:cs="Courier New" w:eastAsia="Courier New" w:hAnsi="Courier New"/>
                <w:sz w:val="16"/>
                <w:szCs w:val="16"/>
                <w:color w:val="auto"/>
              </w:rPr>
              <w:t>99.1</w:t>
            </w:r>
          </w:p>
        </w:tc>
        <w:tc>
          <w:tcPr>
            <w:tcW w:w="240" w:type="dxa"/>
            <w:vAlign w:val="bottom"/>
          </w:tcPr>
          <w:p>
            <w:pPr>
              <w:jc w:val="right"/>
              <w:ind w:right="62"/>
              <w:spacing w:after="0"/>
              <w:rPr>
                <w:sz w:val="20"/>
                <w:szCs w:val="20"/>
                <w:color w:val="auto"/>
              </w:rPr>
            </w:pPr>
            <w:r>
              <w:rPr>
                <w:rFonts w:ascii="Courier New" w:cs="Courier New" w:eastAsia="Courier New" w:hAnsi="Courier New"/>
                <w:sz w:val="16"/>
                <w:szCs w:val="16"/>
                <w:color w:val="auto"/>
                <w:w w:val="82"/>
              </w:rPr>
              <w:t>-</w:t>
            </w: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w w:val="99"/>
              </w:rPr>
              <w:t>Press Release dated December 31, 1999 announcing the completion of</w:t>
            </w:r>
          </w:p>
        </w:tc>
      </w:tr>
      <w:tr>
        <w:trPr>
          <w:trHeight w:val="181"/>
        </w:trPr>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40" w:type="dxa"/>
            <w:vAlign w:val="bottom"/>
          </w:tcPr>
          <w:p>
            <w:pPr>
              <w:ind w:left="140"/>
              <w:spacing w:after="0"/>
              <w:rPr>
                <w:sz w:val="20"/>
                <w:szCs w:val="20"/>
                <w:color w:val="auto"/>
              </w:rPr>
            </w:pPr>
            <w:r>
              <w:rPr>
                <w:rFonts w:ascii="Courier New" w:cs="Courier New" w:eastAsia="Courier New" w:hAnsi="Courier New"/>
                <w:sz w:val="16"/>
                <w:szCs w:val="16"/>
                <w:color w:val="auto"/>
              </w:rPr>
              <w:t>the spin-off and the merger</w:t>
            </w:r>
          </w:p>
        </w:tc>
      </w:tr>
    </w:tbl>
    <w:p>
      <w:pPr>
        <w:sectPr>
          <w:pgSz w:w="11900" w:h="16838" w:orient="portrait"/>
          <w:cols w:equalWidth="0" w:num="1">
            <w:col w:w="10139"/>
          </w:cols>
          <w:pgMar w:left="320" w:top="654" w:right="1440" w:bottom="1440" w:gutter="0" w:footer="0" w:header="0"/>
        </w:sectPr>
      </w:pPr>
    </w:p>
    <w:bookmarkStart w:id="14" w:name="page15"/>
    <w:bookmarkEnd w:id="14"/>
    <w:p>
      <w:pPr>
        <w:ind w:left="6380"/>
        <w:spacing w:after="0"/>
        <w:rPr>
          <w:sz w:val="20"/>
          <w:szCs w:val="20"/>
          <w:color w:val="auto"/>
        </w:rPr>
      </w:pPr>
      <w:r>
        <w:rPr>
          <w:rFonts w:ascii="Courier New" w:cs="Courier New" w:eastAsia="Courier New" w:hAnsi="Courier New"/>
          <w:sz w:val="15"/>
          <w:szCs w:val="15"/>
          <w:color w:val="auto"/>
        </w:rPr>
        <w:t>EXHIBIT 99.1</w:t>
      </w:r>
    </w:p>
    <w:p>
      <w:pPr>
        <w:spacing w:after="0" w:line="191"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SCHLUMBERGER COMPLETES SPIN-OFF OF SEDCO FOREX; MERGER OF SEDCO FOREX AND TRANSOCEAN OFFSHORE COMPLETED; MERGER RATIO ANNOUNCED</w:t>
      </w:r>
    </w:p>
    <w:p>
      <w:pPr>
        <w:spacing w:after="0" w:line="185" w:lineRule="exact"/>
        <w:rPr>
          <w:sz w:val="20"/>
          <w:szCs w:val="20"/>
          <w:color w:val="auto"/>
        </w:rPr>
      </w:pPr>
    </w:p>
    <w:p>
      <w:pPr>
        <w:ind w:right="2639"/>
        <w:spacing w:after="0" w:line="237" w:lineRule="auto"/>
        <w:rPr>
          <w:sz w:val="20"/>
          <w:szCs w:val="20"/>
          <w:color w:val="auto"/>
        </w:rPr>
      </w:pPr>
      <w:r>
        <w:rPr>
          <w:rFonts w:ascii="Courier New" w:cs="Courier New" w:eastAsia="Courier New" w:hAnsi="Courier New"/>
          <w:sz w:val="16"/>
          <w:szCs w:val="16"/>
          <w:color w:val="auto"/>
        </w:rPr>
        <w:t>NEW YORK, December 31, 1999 - Schlumberger Limited [NYSE:SLB] announced today the completion of the spin-off of its offshore contract drilling business, Sedco Forex, to its stockholders and the subsequent merger of Sedco Forex and Transocean Offshore Inc. [NYSE:RIG], which changed its name to Transocean Sedco Forex Inc. following with the merger.</w:t>
      </w:r>
    </w:p>
    <w:p>
      <w:pPr>
        <w:spacing w:after="0" w:line="188"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Schlumberger stockholders now hold approximately 52% of the ordinary shares of Transocean Sedco Forex Inc. and Transocean Offshore Inc. shareholders hold the remaining 48%. Schlumberger Limited retains no ownership in the combined company.</w:t>
      </w:r>
    </w:p>
    <w:p>
      <w:pPr>
        <w:spacing w:after="0" w:line="187" w:lineRule="exact"/>
        <w:rPr>
          <w:sz w:val="20"/>
          <w:szCs w:val="20"/>
          <w:color w:val="auto"/>
        </w:rPr>
      </w:pPr>
    </w:p>
    <w:p>
      <w:pPr>
        <w:ind w:right="2639"/>
        <w:spacing w:after="0" w:line="237" w:lineRule="auto"/>
        <w:rPr>
          <w:sz w:val="20"/>
          <w:szCs w:val="20"/>
          <w:color w:val="auto"/>
        </w:rPr>
      </w:pPr>
      <w:r>
        <w:rPr>
          <w:rFonts w:ascii="Courier New" w:cs="Courier New" w:eastAsia="Courier New" w:hAnsi="Courier New"/>
          <w:sz w:val="16"/>
          <w:szCs w:val="16"/>
          <w:color w:val="auto"/>
        </w:rPr>
        <w:t>In the spin-off, Schlumberger stockholders received one share of Sedco Forex for each share of Schlumberger owned on the record date of December 20, 1999. In the merger, each Sedco Forex share was exchanged for 0.1936 ordinary share of Transocean Sedco Forex Inc. Stockholders will receive cash in lieu for fractional shares.</w:t>
      </w:r>
    </w:p>
    <w:p>
      <w:pPr>
        <w:spacing w:after="0" w:line="188" w:lineRule="exact"/>
        <w:rPr>
          <w:sz w:val="20"/>
          <w:szCs w:val="20"/>
          <w:color w:val="auto"/>
        </w:rPr>
      </w:pPr>
    </w:p>
    <w:p>
      <w:pPr>
        <w:ind w:right="2639"/>
        <w:spacing w:after="0" w:line="237" w:lineRule="auto"/>
        <w:rPr>
          <w:sz w:val="20"/>
          <w:szCs w:val="20"/>
          <w:color w:val="auto"/>
        </w:rPr>
      </w:pPr>
      <w:r>
        <w:rPr>
          <w:rFonts w:ascii="Courier New" w:cs="Courier New" w:eastAsia="Courier New" w:hAnsi="Courier New"/>
          <w:sz w:val="16"/>
          <w:szCs w:val="16"/>
          <w:color w:val="auto"/>
        </w:rPr>
        <w:t>Results for the Sedco Forex operations spun off by Schlumberger Limited for this transaction will be reported as discontinued operations in Schlumberger fourth quarter 1999 earnings and for all prior earnings periods.</w:t>
      </w:r>
    </w:p>
    <w:p>
      <w:pPr>
        <w:spacing w:after="0" w:line="185" w:lineRule="exact"/>
        <w:rPr>
          <w:sz w:val="20"/>
          <w:szCs w:val="20"/>
          <w:color w:val="auto"/>
        </w:rPr>
      </w:pPr>
    </w:p>
    <w:p>
      <w:pPr>
        <w:ind w:right="2639"/>
        <w:spacing w:after="0" w:line="264" w:lineRule="auto"/>
        <w:rPr>
          <w:sz w:val="20"/>
          <w:szCs w:val="20"/>
          <w:color w:val="auto"/>
        </w:rPr>
      </w:pPr>
      <w:r>
        <w:rPr>
          <w:rFonts w:ascii="Courier New" w:cs="Courier New" w:eastAsia="Courier New" w:hAnsi="Courier New"/>
          <w:sz w:val="15"/>
          <w:szCs w:val="15"/>
          <w:color w:val="auto"/>
        </w:rPr>
        <w:t>Schlumberger is a worldwide leader in technical services, with operations in over 100 countries. In 1998, revenue was $10.73 billion (excluding Sedco Forex).</w:t>
      </w:r>
    </w:p>
    <w:sectPr>
      <w:pgSz w:w="11900" w:h="16838" w:orient="portrait"/>
      <w:cols w:equalWidth="0" w:num="1">
        <w:col w:w="10139"/>
      </w:cols>
      <w:pgMar w:left="320" w:top="5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lowerLetter"/>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1)"/>
      <w:numFmt w:val="lowerLetter"/>
      <w:start w:val="1"/>
    </w:lvl>
  </w:abstractNum>
  <w:abstractNum w:abstractNumId="17">
    <w:nsid w:val="257130A3"/>
    <w:multiLevelType w:val="hybridMultilevel"/>
    <w:lvl w:ilvl="0">
      <w:lvlJc w:val="left"/>
      <w:lvlText w:val="(%1)"/>
      <w:numFmt w:val="lowerLetter"/>
      <w:start w:val="3"/>
    </w:lvl>
  </w:abstractNum>
  <w:abstractNum w:abstractNumId="18">
    <w:nsid w:val="62BBD95A"/>
    <w:multiLevelType w:val="hybridMultilevel"/>
    <w:lvl w:ilvl="0">
      <w:lvlJc w:val="left"/>
      <w:lvlText w:val="(%1)"/>
      <w:numFmt w:val="lowerLetter"/>
      <w:start w:val="5"/>
    </w:lvl>
  </w:abstractNum>
  <w:abstractNum w:abstractNumId="19">
    <w:nsid w:val="436C6125"/>
    <w:multiLevelType w:val="hybridMultilevel"/>
    <w:lvl w:ilvl="0">
      <w:lvlJc w:val="left"/>
      <w:lvlText w:val="(%1)"/>
      <w:numFmt w:val="lowerLetter"/>
      <w:start w:val="6"/>
    </w:lvl>
  </w:abstractNum>
  <w:abstractNum w:abstractNumId="20">
    <w:nsid w:val="628C895D"/>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2020-10-06T19:28:34Z</dcterms:created>
  <dcterms:modified xsi:type="dcterms:W3CDTF">2020-10-06T19:28:34Z</dcterms:modified>
</cp:coreProperties>
</file>