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24"/>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1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On October 21, 2021, the Board of Directors (the “Board”) of Schlumberger Limited (the “Company”) appointed Ms. Vanitha Narayanan and Dr. Ulrich Spiesshofer to serve as members of its Board of Directors effective immediately.</w:t>
      </w:r>
    </w:p>
    <w:p>
      <w:pPr>
        <w:spacing w:after="0" w:line="17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Ms. Narayanan brings a wealth of global leadership and technology experience to the Board following a career spanning three decades at IBM, where she held senior executive positions with responsibility for digital businesses in the United States, Asia-Pacific and India regions, including as Chairman and Managing Director of IBM India. Ms. Narayanan also serves as a director of Renew Power, one of the largest renewable power companies in India.</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Dr. Spiesshofer brings more than 30 years of global leadership experience in industries ranging from oil and gas to power and electrification to automation and digitalization. He is the former President and Chief Executive Officer of ABB, Ltd., a leading power and automation technology company headquartered in Switzerland, where he served for 14 years as an executive committee member. Dr. Spiesshofer oversaw the transformation of ABB into a leader in digital industrial technologies. He currently serves as a senior advisor at the Blackstone Group L.P. and as a director of Infineon Technologies AG.</w:t>
      </w:r>
    </w:p>
    <w:p>
      <w:pPr>
        <w:spacing w:after="0" w:line="188"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The Board appointed Ms. Narayanan to the Board’s Compensation Committee and Nominating and Governance Committee, and Dr. Spiesshofer to the Board’s Compensation Committee and New Energy and Innovation Committee, having determined that each of them is independent and satisfies the applicable requirements to serve on the committees to which they were appointed. There are no transactions with Ms. Narayanan or Dr. Spiesshofer that would be reportable under Item 404(a) of Regulation S-K.</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Each of Ms. Narayanan and Dr. Spiesshofer will serve as a director until the next annual general meeting of the Company’s stockholders, at which they will be subject to re-election. In addition, each of Ms. Narayanan and Dr. Spiesshofer will be compensated under the Company’s director compensation program as described in its most-current proxy statement, prorated based on date of appointment, and is expected to enter into the Company’s standard director indemnity agreement previously filed by the Company.</w:t>
      </w:r>
    </w:p>
    <w:p>
      <w:pPr>
        <w:sectPr>
          <w:pgSz w:w="11900" w:h="16838" w:orient="portrait"/>
          <w:cols w:equalWidth="0" w:num="1">
            <w:col w:w="10980"/>
          </w:cols>
          <w:pgMar w:left="440" w:top="297" w:right="47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2021-10-27T15:06:08Z</dcterms:created>
  <dcterms:modified xsi:type="dcterms:W3CDTF">2021-10-27T15:06:08Z</dcterms:modified>
</cp:coreProperties>
</file>