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b w:val="1"/>
          <w:bCs w:val="1"/>
          <w:color w:val="auto"/>
        </w:rPr>
        <w:t>Prospectus Supplement</w:t>
      </w:r>
    </w:p>
    <w:p>
      <w:pPr>
        <w:spacing w:after="0" w:line="14"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(To Prospectus dated November 4, 2003)</w:t>
      </w:r>
    </w:p>
    <w:p>
      <w:pPr>
        <w:spacing w:after="0" w:line="20" w:lineRule="exact"/>
        <w:rPr>
          <w:sz w:val="24"/>
          <w:szCs w:val="24"/>
          <w:color w:val="auto"/>
        </w:rPr>
      </w:pPr>
      <w:r>
        <w:rPr>
          <w:sz w:val="24"/>
          <w:szCs w:val="24"/>
          <w:color w:val="auto"/>
        </w:rPr>
        <w:br w:type="column"/>
      </w:r>
    </w:p>
    <w:p>
      <w:pPr>
        <w:jc w:val="right"/>
        <w:spacing w:after="0"/>
        <w:rPr>
          <w:sz w:val="20"/>
          <w:szCs w:val="20"/>
          <w:color w:val="auto"/>
        </w:rPr>
      </w:pPr>
      <w:r>
        <w:rPr>
          <w:rFonts w:ascii="Arial" w:cs="Arial" w:eastAsia="Arial" w:hAnsi="Arial"/>
          <w:sz w:val="19"/>
          <w:szCs w:val="19"/>
          <w:b w:val="1"/>
          <w:bCs w:val="1"/>
          <w:color w:val="auto"/>
        </w:rPr>
        <w:t>Filed Pursuant to Rule 424(b)(3)</w:t>
      </w:r>
    </w:p>
    <w:p>
      <w:pPr>
        <w:spacing w:after="0" w:line="49" w:lineRule="exact"/>
        <w:rPr>
          <w:sz w:val="24"/>
          <w:szCs w:val="24"/>
          <w:color w:val="auto"/>
        </w:rPr>
      </w:pPr>
    </w:p>
    <w:p>
      <w:pPr>
        <w:jc w:val="right"/>
        <w:spacing w:after="0"/>
        <w:rPr>
          <w:sz w:val="20"/>
          <w:szCs w:val="20"/>
          <w:color w:val="auto"/>
        </w:rPr>
      </w:pPr>
      <w:r>
        <w:rPr>
          <w:rFonts w:ascii="Arial" w:cs="Arial" w:eastAsia="Arial" w:hAnsi="Arial"/>
          <w:sz w:val="22"/>
          <w:szCs w:val="22"/>
          <w:b w:val="1"/>
          <w:bCs w:val="1"/>
          <w:color w:val="auto"/>
        </w:rPr>
        <w:t>Registration No. 333-108730</w:t>
      </w:r>
    </w:p>
    <w:p>
      <w:pPr>
        <w:spacing w:after="0" w:line="101" w:lineRule="exact"/>
        <w:rPr>
          <w:sz w:val="24"/>
          <w:szCs w:val="24"/>
          <w:color w:val="auto"/>
        </w:rPr>
      </w:pPr>
    </w:p>
    <w:p>
      <w:pPr>
        <w:sectPr>
          <w:pgSz w:w="11900" w:h="16838" w:orient="portrait"/>
          <w:cols w:equalWidth="0" w:num="2">
            <w:col w:w="7720" w:space="720"/>
            <w:col w:w="2980"/>
          </w:cols>
          <w:pgMar w:left="240" w:top="220" w:right="239" w:bottom="1440" w:gutter="0" w:footer="0" w:header="0"/>
        </w:sectPr>
      </w:pPr>
    </w:p>
    <w:p>
      <w:pPr>
        <w:jc w:val="center"/>
        <w:spacing w:after="0"/>
        <w:rPr>
          <w:sz w:val="20"/>
          <w:szCs w:val="20"/>
          <w:color w:val="auto"/>
        </w:rPr>
      </w:pPr>
      <w:r>
        <w:rPr>
          <w:rFonts w:ascii="Arial" w:cs="Arial" w:eastAsia="Arial" w:hAnsi="Arial"/>
          <w:sz w:val="32"/>
          <w:szCs w:val="32"/>
          <w:b w:val="1"/>
          <w:bCs w:val="1"/>
          <w:color w:val="auto"/>
        </w:rPr>
        <w:t>$1,425,000,000</w:t>
      </w:r>
    </w:p>
    <w:p>
      <w:pPr>
        <w:spacing w:after="0" w:line="14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Schlumberger Limited</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1.500% Series A Convertible Debentures due June 1, 2023</w:t>
      </w:r>
    </w:p>
    <w:p>
      <w:pPr>
        <w:jc w:val="center"/>
        <w:spacing w:after="0" w:line="230" w:lineRule="auto"/>
        <w:rPr>
          <w:sz w:val="20"/>
          <w:szCs w:val="20"/>
          <w:color w:val="auto"/>
        </w:rPr>
      </w:pPr>
      <w:r>
        <w:rPr>
          <w:rFonts w:ascii="Arial" w:cs="Arial" w:eastAsia="Arial" w:hAnsi="Arial"/>
          <w:sz w:val="22"/>
          <w:szCs w:val="22"/>
          <w:b w:val="1"/>
          <w:bCs w:val="1"/>
          <w:color w:val="auto"/>
        </w:rPr>
        <w:t>2.125% Series B Convertible Debentures due June 1, 2023</w:t>
      </w:r>
    </w:p>
    <w:p>
      <w:pPr>
        <w:jc w:val="center"/>
        <w:spacing w:after="0" w:line="231" w:lineRule="auto"/>
        <w:rPr>
          <w:sz w:val="20"/>
          <w:szCs w:val="20"/>
          <w:color w:val="auto"/>
        </w:rPr>
      </w:pPr>
      <w:r>
        <w:rPr>
          <w:rFonts w:ascii="Arial" w:cs="Arial" w:eastAsia="Arial" w:hAnsi="Arial"/>
          <w:sz w:val="22"/>
          <w:szCs w:val="22"/>
          <w:b w:val="1"/>
          <w:bCs w:val="1"/>
          <w:color w:val="auto"/>
        </w:rPr>
        <w:t>and</w:t>
      </w:r>
    </w:p>
    <w:p>
      <w:pPr>
        <w:jc w:val="center"/>
        <w:spacing w:after="0"/>
        <w:rPr>
          <w:sz w:val="20"/>
          <w:szCs w:val="20"/>
          <w:color w:val="auto"/>
        </w:rPr>
      </w:pPr>
      <w:r>
        <w:rPr>
          <w:rFonts w:ascii="Arial" w:cs="Arial" w:eastAsia="Arial" w:hAnsi="Arial"/>
          <w:sz w:val="22"/>
          <w:szCs w:val="22"/>
          <w:b w:val="1"/>
          <w:bCs w:val="1"/>
          <w:color w:val="auto"/>
        </w:rPr>
        <w:t>Common Stock Issuable Upon Conversion of the Debentures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2997835</wp:posOffset>
            </wp:positionH>
            <wp:positionV relativeFrom="paragraph">
              <wp:posOffset>90170</wp:posOffset>
            </wp:positionV>
            <wp:extent cx="1260475" cy="2832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60475" cy="2832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8" w:lineRule="exact"/>
        <w:rPr>
          <w:sz w:val="24"/>
          <w:szCs w:val="24"/>
          <w:color w:val="auto"/>
        </w:rPr>
      </w:pPr>
    </w:p>
    <w:p>
      <w:pPr>
        <w:ind w:right="80" w:firstLine="456"/>
        <w:spacing w:after="0" w:line="298" w:lineRule="auto"/>
        <w:rPr>
          <w:sz w:val="20"/>
          <w:szCs w:val="20"/>
          <w:color w:val="auto"/>
        </w:rPr>
      </w:pPr>
      <w:r>
        <w:rPr>
          <w:rFonts w:ascii="Arial" w:cs="Arial" w:eastAsia="Arial" w:hAnsi="Arial"/>
          <w:sz w:val="16"/>
          <w:szCs w:val="16"/>
          <w:color w:val="auto"/>
        </w:rPr>
        <w:t>This document supplements the prospectus of Schlumberger Limited dated November 4, 2003 relating to the 1.500% Series A Convertible Debentures due June 1, 2023, the 2.125% Series B Convertible Debentures due June 1, 2023 and the shares of common stock issuable upon conversion of the debentures. The information in this prospectus supplement replaces and supersedes the information set forth under the heading “Selling Securityholders” in the prospectus dated November 4, 2003 and in all prior prospectus supplements to that prospectus.</w:t>
      </w:r>
    </w:p>
    <w:p>
      <w:pPr>
        <w:spacing w:after="0" w:line="99" w:lineRule="exact"/>
        <w:rPr>
          <w:sz w:val="24"/>
          <w:szCs w:val="24"/>
          <w:color w:val="auto"/>
        </w:rPr>
      </w:pPr>
    </w:p>
    <w:p>
      <w:pPr>
        <w:ind w:right="80" w:firstLine="456"/>
        <w:spacing w:after="0" w:line="268" w:lineRule="auto"/>
        <w:rPr>
          <w:sz w:val="20"/>
          <w:szCs w:val="20"/>
          <w:color w:val="auto"/>
        </w:rPr>
      </w:pPr>
      <w:r>
        <w:rPr>
          <w:rFonts w:ascii="Arial" w:cs="Arial" w:eastAsia="Arial" w:hAnsi="Arial"/>
          <w:sz w:val="18"/>
          <w:szCs w:val="18"/>
          <w:color w:val="auto"/>
        </w:rPr>
        <w:t>Our common stock is listed on the New York Stock Exchange under the symbol “SLB.” On February 10, 2005, the closing sale price of our common stock as reported on the New York Stock Exchange was $73.02 per share.</w:t>
      </w:r>
    </w:p>
    <w:p>
      <w:pPr>
        <w:spacing w:after="0" w:line="112"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Investing in the debentures and our common stock involves risks. See “Risk Factors” beginning on page 6 of the prospectus.</w:t>
      </w:r>
    </w:p>
    <w:p>
      <w:pPr>
        <w:spacing w:after="0" w:line="158" w:lineRule="exact"/>
        <w:rPr>
          <w:sz w:val="24"/>
          <w:szCs w:val="24"/>
          <w:color w:val="auto"/>
        </w:rPr>
      </w:pPr>
    </w:p>
    <w:p>
      <w:pPr>
        <w:ind w:right="780" w:firstLine="456"/>
        <w:spacing w:after="0" w:line="339"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1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date of this prospectus supplement is February 11, 2005.</w:t>
      </w:r>
    </w:p>
    <w:p>
      <w:pPr>
        <w:sectPr>
          <w:pgSz w:w="11900" w:h="16838" w:orient="portrait"/>
          <w:cols w:equalWidth="0" w:num="1">
            <w:col w:w="11420"/>
          </w:cols>
          <w:pgMar w:left="240" w:top="220" w:right="23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SELLING SECURITYHOLDERS</w:t>
      </w:r>
    </w:p>
    <w:p>
      <w:pPr>
        <w:spacing w:after="0" w:line="164"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We originally issued the debentures in a private placement to Citigroup Global Markets Inc. and Goldman, Sachs &amp; Co. The debentures were resold by the initial purchasers to qualified institutional buyers within the meaning of Rule 144A under the Securities Act and outside the United States in accordance with Regulation S under the Securities Act. The selling securityholders may from time to time offer and sell, pursuant to this prospectus supplement and the accompanying prospectus, any or all of the debentures listed below and our common stock issued upon conversion of the debentures. When we refer to “selling securityholders” in this prospectus supplement and the accompanying prospectus, we mean those persons listed in the table below, as well as pledges, donees, assignees, transferees, successors and others who later hold any of the selling securityholders’ interests.</w:t>
      </w:r>
    </w:p>
    <w:p>
      <w:pPr>
        <w:spacing w:after="0" w:line="10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following table sets forth certain information concerning the principal amount of debentures beneficially owned by each selling securityholder and the number of shares of common stock issuable upon conversion of the debentures that may be offered from time to time pursuant to this prospectus supplement and the accompanying prospectus. Unless set forth below, none of the selling securityholders has, or within the past three years has had, any material relationship with us or any of our predecessors or affiliates.</w:t>
      </w:r>
    </w:p>
    <w:p>
      <w:pPr>
        <w:spacing w:after="0" w:line="13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have prepared the table below based on information furnished to us by the selling securityholders. However, a selling securityholder may already have or may in the future offer and sell, transfer or otherwise dispose of some or all of its debentures in transactions exempt from the registration requirements of the Securities Act without notifying us. As a result, the same debentures may be included in the table below as being held by more than one holder and, therefore, the principal amount of debentures listed below may exceed the amounts that we originally issued. In no event, however, will the total principal amount of Series A debentures and Series B debentures to be sold hereunder exceed $975,000,000 and $450,000,000, respectively. Further, we cannot give an estimate as to the amount of the debentures or common stock issuable upon conversion of the debentures that will be held by the selling securityholders upon the termination of this offering because the selling securityholders may offer some or all of their debentures or the underlying common stock pursuant to the offering contemplated by this prospectus supplement and the accompanying prospectus or otherwise in transactions exempt from the registration requirements of the Securities Act. Please read “Plan of Distribution” in the accompanying prospectus.</w:t>
      </w:r>
    </w:p>
    <w:p>
      <w:pPr>
        <w:spacing w:after="0" w:line="106"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Information about the selling securityholders may change over time. Any changed information will be set forth in prospectus supplements from time to time, if required.</w:t>
      </w:r>
    </w:p>
    <w:p>
      <w:pPr>
        <w:spacing w:after="0" w:line="118"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number of shares of common stock shown in the table below assumes conversion of the full amount of debentures held by such holder at the initial conversion rate of 13.8255 shares per $1,000 principal amount of Series A debentures and 12.5000 shares per $1,000 principal amount of Series B debentures. These conversion rates are subject to certain adjustments. Accordingly, the number of shares of common stock issuable upon conversion of the debentures may increase or decrease from time to time. Under the terms of the indenture, fractional shares will not be issued upon conversion of the debentures. Cash will be paid instead of fractional shares, if any.</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400"/>
          </w:cols>
          <w:pgMar w:left="240" w:top="274" w:right="2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Principal</w:t>
            </w: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1"/>
              </w:rPr>
              <w:t>Principal</w:t>
            </w: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8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Amount of</w:t>
            </w: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Amount of</w:t>
            </w:r>
          </w:p>
        </w:tc>
        <w:tc>
          <w:tcPr>
            <w:tcW w:w="4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8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2"/>
              </w:rPr>
              <w:t>Series A</w:t>
            </w: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Series B</w:t>
            </w:r>
          </w:p>
        </w:tc>
        <w:tc>
          <w:tcPr>
            <w:tcW w:w="4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8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1"/>
              </w:rPr>
              <w:t>Number of</w:t>
            </w: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8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Debentures</w:t>
            </w: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Debentures</w:t>
            </w:r>
          </w:p>
        </w:tc>
        <w:tc>
          <w:tcPr>
            <w:tcW w:w="4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8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1"/>
              </w:rPr>
              <w:t>Shares of</w:t>
            </w: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8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4"/>
              </w:rPr>
              <w:t>Beneficially</w:t>
            </w:r>
          </w:p>
        </w:tc>
        <w:tc>
          <w:tcPr>
            <w:tcW w:w="2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Percentage</w:t>
            </w:r>
          </w:p>
        </w:tc>
        <w:tc>
          <w:tcPr>
            <w:tcW w:w="4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40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Percentage</w:t>
            </w:r>
          </w:p>
        </w:tc>
        <w:tc>
          <w:tcPr>
            <w:tcW w:w="400" w:type="dxa"/>
            <w:vAlign w:val="bottom"/>
          </w:tcPr>
          <w:p>
            <w:pPr>
              <w:spacing w:after="0"/>
              <w:rPr>
                <w:sz w:val="12"/>
                <w:szCs w:val="12"/>
                <w:color w:val="auto"/>
              </w:rPr>
            </w:pPr>
          </w:p>
        </w:tc>
        <w:tc>
          <w:tcPr>
            <w:tcW w:w="148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5"/>
              </w:rPr>
              <w:t>Common Stock</w:t>
            </w: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4"/>
              </w:rPr>
              <w:t>Percentage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8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Owned</w:t>
            </w:r>
          </w:p>
        </w:tc>
        <w:tc>
          <w:tcPr>
            <w:tcW w:w="2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of Series A</w:t>
            </w:r>
          </w:p>
        </w:tc>
        <w:tc>
          <w:tcPr>
            <w:tcW w:w="4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Owned</w:t>
            </w:r>
          </w:p>
        </w:tc>
        <w:tc>
          <w:tcPr>
            <w:tcW w:w="40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of Series B</w:t>
            </w:r>
          </w:p>
        </w:tc>
        <w:tc>
          <w:tcPr>
            <w:tcW w:w="400" w:type="dxa"/>
            <w:vAlign w:val="bottom"/>
          </w:tcPr>
          <w:p>
            <w:pPr>
              <w:spacing w:after="0"/>
              <w:rPr>
                <w:sz w:val="12"/>
                <w:szCs w:val="12"/>
                <w:color w:val="auto"/>
              </w:rPr>
            </w:pPr>
          </w:p>
        </w:tc>
        <w:tc>
          <w:tcPr>
            <w:tcW w:w="148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9"/>
              </w:rPr>
              <w:t>Underlying the</w:t>
            </w: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Common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8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That May</w:t>
            </w:r>
          </w:p>
        </w:tc>
        <w:tc>
          <w:tcPr>
            <w:tcW w:w="2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Debentures</w:t>
            </w:r>
          </w:p>
        </w:tc>
        <w:tc>
          <w:tcPr>
            <w:tcW w:w="4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That May</w:t>
            </w:r>
          </w:p>
        </w:tc>
        <w:tc>
          <w:tcPr>
            <w:tcW w:w="40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Debentures</w:t>
            </w:r>
          </w:p>
        </w:tc>
        <w:tc>
          <w:tcPr>
            <w:tcW w:w="400" w:type="dxa"/>
            <w:vAlign w:val="bottom"/>
          </w:tcPr>
          <w:p>
            <w:pPr>
              <w:spacing w:after="0"/>
              <w:rPr>
                <w:sz w:val="12"/>
                <w:szCs w:val="12"/>
                <w:color w:val="auto"/>
              </w:rPr>
            </w:pPr>
          </w:p>
        </w:tc>
        <w:tc>
          <w:tcPr>
            <w:tcW w:w="148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6"/>
              </w:rPr>
              <w:t>Debentures and</w:t>
            </w: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2720" w:type="dxa"/>
            <w:vAlign w:val="bottom"/>
            <w:gridSpan w:val="2"/>
          </w:tcPr>
          <w:p>
            <w:pPr>
              <w:ind w:left="40"/>
              <w:spacing w:after="0"/>
              <w:rPr>
                <w:sz w:val="20"/>
                <w:szCs w:val="20"/>
                <w:color w:val="auto"/>
              </w:rPr>
            </w:pPr>
            <w:r>
              <w:rPr>
                <w:rFonts w:ascii="Arial" w:cs="Arial" w:eastAsia="Arial" w:hAnsi="Arial"/>
                <w:sz w:val="14"/>
                <w:szCs w:val="14"/>
                <w:b w:val="1"/>
                <w:bCs w:val="1"/>
                <w:color w:val="auto"/>
              </w:rPr>
              <w:t>Name</w:t>
            </w:r>
          </w:p>
        </w:tc>
        <w:tc>
          <w:tcPr>
            <w:tcW w:w="8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4"/>
              </w:rPr>
              <w:t>Be Sold</w:t>
            </w:r>
          </w:p>
        </w:tc>
        <w:tc>
          <w:tcPr>
            <w:tcW w:w="26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7"/>
              </w:rPr>
              <w:t>Outstanding</w:t>
            </w:r>
          </w:p>
        </w:tc>
        <w:tc>
          <w:tcPr>
            <w:tcW w:w="40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4"/>
              </w:rPr>
              <w:t>Be Sold</w:t>
            </w:r>
          </w:p>
        </w:tc>
        <w:tc>
          <w:tcPr>
            <w:tcW w:w="40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7"/>
              </w:rPr>
              <w:t>Outstanding</w:t>
            </w:r>
          </w:p>
        </w:tc>
        <w:tc>
          <w:tcPr>
            <w:tcW w:w="400" w:type="dxa"/>
            <w:vAlign w:val="bottom"/>
          </w:tcPr>
          <w:p>
            <w:pPr>
              <w:spacing w:after="0"/>
              <w:rPr>
                <w:sz w:val="15"/>
                <w:szCs w:val="15"/>
                <w:color w:val="auto"/>
              </w:rPr>
            </w:pPr>
          </w:p>
        </w:tc>
        <w:tc>
          <w:tcPr>
            <w:tcW w:w="14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0"/>
              </w:rPr>
              <w:t>Offered Hereby</w:t>
            </w:r>
          </w:p>
        </w:tc>
        <w:tc>
          <w:tcPr>
            <w:tcW w:w="9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8"/>
              </w:rPr>
              <w:t>Outstanding(1)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88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28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8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920" w:type="dxa"/>
            <w:vAlign w:val="bottom"/>
          </w:tcPr>
          <w:p>
            <w:pPr>
              <w:spacing w:after="0"/>
              <w:rPr>
                <w:sz w:val="8"/>
                <w:szCs w:val="8"/>
                <w:color w:val="auto"/>
              </w:rPr>
            </w:pPr>
          </w:p>
        </w:tc>
        <w:tc>
          <w:tcPr>
            <w:tcW w:w="5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6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ABC Ltd.</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110,000</w:t>
            </w: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80" w:type="dxa"/>
            <w:vAlign w:val="bottom"/>
            <w:gridSpan w:val="3"/>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1,520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3"/>
          </w:tcPr>
          <w:p>
            <w:pPr>
              <w:spacing w:after="0" w:line="149" w:lineRule="exact"/>
              <w:rPr>
                <w:sz w:val="20"/>
                <w:szCs w:val="20"/>
                <w:color w:val="auto"/>
              </w:rPr>
            </w:pPr>
            <w:r>
              <w:rPr>
                <w:rFonts w:ascii="Arial" w:cs="Arial" w:eastAsia="Arial" w:hAnsi="Arial"/>
                <w:sz w:val="14"/>
                <w:szCs w:val="14"/>
                <w:color w:val="auto"/>
              </w:rPr>
              <w:t>Acuity Master Fund, Ltd.</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2,500,000</w:t>
            </w: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4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80" w:type="dxa"/>
            <w:vAlign w:val="bottom"/>
            <w:gridSpan w:val="3"/>
          </w:tcPr>
          <w:p>
            <w:pPr>
              <w:jc w:val="right"/>
              <w:ind w:right="560"/>
              <w:spacing w:after="0" w:line="149" w:lineRule="exact"/>
              <w:rPr>
                <w:sz w:val="20"/>
                <w:szCs w:val="20"/>
                <w:color w:val="auto"/>
              </w:rPr>
            </w:pPr>
            <w:r>
              <w:rPr>
                <w:rFonts w:ascii="Arial" w:cs="Arial" w:eastAsia="Arial" w:hAnsi="Arial"/>
                <w:sz w:val="14"/>
                <w:szCs w:val="14"/>
                <w:color w:val="auto"/>
              </w:rPr>
              <w:t>34,563</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ADI Alternative Investments</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w:t>
            </w:r>
          </w:p>
        </w:tc>
        <w:tc>
          <w:tcPr>
            <w:tcW w:w="2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35,400,000</w:t>
            </w:r>
          </w:p>
        </w:tc>
        <w:tc>
          <w:tcPr>
            <w:tcW w:w="1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7.9</w:t>
            </w:r>
          </w:p>
        </w:tc>
        <w:tc>
          <w:tcPr>
            <w:tcW w:w="1880" w:type="dxa"/>
            <w:vAlign w:val="bottom"/>
            <w:gridSpan w:val="3"/>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442,500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3"/>
          </w:tcPr>
          <w:p>
            <w:pPr>
              <w:spacing w:after="0" w:line="149" w:lineRule="exact"/>
              <w:rPr>
                <w:sz w:val="20"/>
                <w:szCs w:val="20"/>
                <w:color w:val="auto"/>
              </w:rPr>
            </w:pPr>
            <w:r>
              <w:rPr>
                <w:rFonts w:ascii="Arial" w:cs="Arial" w:eastAsia="Arial" w:hAnsi="Arial"/>
                <w:sz w:val="14"/>
                <w:szCs w:val="14"/>
                <w:color w:val="auto"/>
              </w:rPr>
              <w:t>AIG DKR Soundshore Strategic Holding Fund Ltd.</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3,000,000</w:t>
            </w: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4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80" w:type="dxa"/>
            <w:vAlign w:val="bottom"/>
            <w:gridSpan w:val="3"/>
          </w:tcPr>
          <w:p>
            <w:pPr>
              <w:jc w:val="right"/>
              <w:ind w:right="560"/>
              <w:spacing w:after="0" w:line="149" w:lineRule="exact"/>
              <w:rPr>
                <w:sz w:val="20"/>
                <w:szCs w:val="20"/>
                <w:color w:val="auto"/>
              </w:rPr>
            </w:pPr>
            <w:r>
              <w:rPr>
                <w:rFonts w:ascii="Arial" w:cs="Arial" w:eastAsia="Arial" w:hAnsi="Arial"/>
                <w:sz w:val="14"/>
                <w:szCs w:val="14"/>
                <w:color w:val="auto"/>
              </w:rPr>
              <w:t>41,476</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Alembic Limited</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110,000</w:t>
            </w: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80" w:type="dxa"/>
            <w:vAlign w:val="bottom"/>
            <w:gridSpan w:val="3"/>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1,520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3"/>
          </w:tcPr>
          <w:p>
            <w:pPr>
              <w:spacing w:after="0" w:line="149" w:lineRule="exact"/>
              <w:rPr>
                <w:sz w:val="20"/>
                <w:szCs w:val="20"/>
                <w:color w:val="auto"/>
              </w:rPr>
            </w:pPr>
            <w:r>
              <w:rPr>
                <w:rFonts w:ascii="Arial" w:cs="Arial" w:eastAsia="Arial" w:hAnsi="Arial"/>
                <w:sz w:val="14"/>
                <w:szCs w:val="14"/>
                <w:color w:val="auto"/>
              </w:rPr>
              <w:t>Allstate Insurance Company</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0</w:t>
            </w:r>
          </w:p>
        </w:tc>
        <w:tc>
          <w:tcPr>
            <w:tcW w:w="2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2,500,000</w:t>
            </w:r>
          </w:p>
        </w:tc>
        <w:tc>
          <w:tcPr>
            <w:tcW w:w="1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880" w:type="dxa"/>
            <w:vAlign w:val="bottom"/>
            <w:gridSpan w:val="3"/>
          </w:tcPr>
          <w:p>
            <w:pPr>
              <w:jc w:val="right"/>
              <w:ind w:right="400"/>
              <w:spacing w:after="0" w:line="149" w:lineRule="exact"/>
              <w:rPr>
                <w:sz w:val="20"/>
                <w:szCs w:val="20"/>
                <w:color w:val="auto"/>
              </w:rPr>
            </w:pPr>
            <w:r>
              <w:rPr>
                <w:rFonts w:ascii="Arial" w:cs="Arial" w:eastAsia="Arial" w:hAnsi="Arial"/>
                <w:sz w:val="14"/>
                <w:szCs w:val="14"/>
                <w:color w:val="auto"/>
              </w:rPr>
              <w:t>31,250(2)</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Allstate Life Insurance Company</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w:t>
            </w:r>
          </w:p>
        </w:tc>
        <w:tc>
          <w:tcPr>
            <w:tcW w:w="2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9,500,000</w:t>
            </w:r>
          </w:p>
        </w:tc>
        <w:tc>
          <w:tcPr>
            <w:tcW w:w="1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2.1</w:t>
            </w:r>
          </w:p>
        </w:tc>
        <w:tc>
          <w:tcPr>
            <w:tcW w:w="1880" w:type="dxa"/>
            <w:vAlign w:val="bottom"/>
            <w:gridSpan w:val="3"/>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118,750(3)</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3"/>
          </w:tcPr>
          <w:p>
            <w:pPr>
              <w:spacing w:after="0" w:line="149" w:lineRule="exact"/>
              <w:rPr>
                <w:sz w:val="20"/>
                <w:szCs w:val="20"/>
                <w:color w:val="auto"/>
              </w:rPr>
            </w:pPr>
            <w:r>
              <w:rPr>
                <w:rFonts w:ascii="Arial" w:cs="Arial" w:eastAsia="Arial" w:hAnsi="Arial"/>
                <w:sz w:val="14"/>
                <w:szCs w:val="14"/>
                <w:color w:val="auto"/>
              </w:rPr>
              <w:t>AM Investment D Fund (QP) LP</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550,000</w:t>
            </w: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4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80" w:type="dxa"/>
            <w:vAlign w:val="bottom"/>
            <w:gridSpan w:val="3"/>
          </w:tcPr>
          <w:p>
            <w:pPr>
              <w:jc w:val="right"/>
              <w:ind w:right="560"/>
              <w:spacing w:after="0" w:line="149" w:lineRule="exact"/>
              <w:rPr>
                <w:sz w:val="20"/>
                <w:szCs w:val="20"/>
                <w:color w:val="auto"/>
              </w:rPr>
            </w:pPr>
            <w:r>
              <w:rPr>
                <w:rFonts w:ascii="Arial" w:cs="Arial" w:eastAsia="Arial" w:hAnsi="Arial"/>
                <w:sz w:val="14"/>
                <w:szCs w:val="14"/>
                <w:color w:val="auto"/>
              </w:rPr>
              <w:t>7,604</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AM Investment E Fund Ltd.</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3,150,000</w:t>
            </w: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80" w:type="dxa"/>
            <w:vAlign w:val="bottom"/>
            <w:gridSpan w:val="3"/>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43,550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3"/>
          </w:tcPr>
          <w:p>
            <w:pPr>
              <w:spacing w:after="0" w:line="149" w:lineRule="exact"/>
              <w:rPr>
                <w:sz w:val="20"/>
                <w:szCs w:val="20"/>
                <w:color w:val="auto"/>
              </w:rPr>
            </w:pPr>
            <w:r>
              <w:rPr>
                <w:rFonts w:ascii="Arial" w:cs="Arial" w:eastAsia="Arial" w:hAnsi="Arial"/>
                <w:sz w:val="14"/>
                <w:szCs w:val="14"/>
                <w:color w:val="auto"/>
              </w:rPr>
              <w:t>American Century Equity Income</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0</w:t>
            </w:r>
          </w:p>
        </w:tc>
        <w:tc>
          <w:tcPr>
            <w:tcW w:w="2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37,013,000</w:t>
            </w:r>
          </w:p>
        </w:tc>
        <w:tc>
          <w:tcPr>
            <w:tcW w:w="1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8.2</w:t>
            </w:r>
          </w:p>
        </w:tc>
        <w:tc>
          <w:tcPr>
            <w:tcW w:w="1880" w:type="dxa"/>
            <w:vAlign w:val="bottom"/>
            <w:gridSpan w:val="3"/>
          </w:tcPr>
          <w:p>
            <w:pPr>
              <w:jc w:val="right"/>
              <w:ind w:right="560"/>
              <w:spacing w:after="0" w:line="149" w:lineRule="exact"/>
              <w:rPr>
                <w:sz w:val="20"/>
                <w:szCs w:val="20"/>
                <w:color w:val="auto"/>
              </w:rPr>
            </w:pPr>
            <w:r>
              <w:rPr>
                <w:rFonts w:ascii="Arial" w:cs="Arial" w:eastAsia="Arial" w:hAnsi="Arial"/>
                <w:sz w:val="14"/>
                <w:szCs w:val="14"/>
                <w:color w:val="auto"/>
              </w:rPr>
              <w:t>462,662</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American Investors Life Insurance Company</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200,000</w:t>
            </w: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80" w:type="dxa"/>
            <w:vAlign w:val="bottom"/>
            <w:gridSpan w:val="3"/>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2,765</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3"/>
          </w:tcPr>
          <w:p>
            <w:pPr>
              <w:spacing w:after="0" w:line="149" w:lineRule="exact"/>
              <w:rPr>
                <w:sz w:val="20"/>
                <w:szCs w:val="20"/>
                <w:color w:val="auto"/>
              </w:rPr>
            </w:pPr>
            <w:r>
              <w:rPr>
                <w:rFonts w:ascii="Arial" w:cs="Arial" w:eastAsia="Arial" w:hAnsi="Arial"/>
                <w:sz w:val="14"/>
                <w:szCs w:val="14"/>
                <w:color w:val="auto"/>
              </w:rPr>
              <w:t>AmerUS Life Insurance Company</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1,500,000</w:t>
            </w: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2,000,000</w:t>
            </w:r>
          </w:p>
        </w:tc>
        <w:tc>
          <w:tcPr>
            <w:tcW w:w="1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880" w:type="dxa"/>
            <w:vAlign w:val="bottom"/>
            <w:gridSpan w:val="3"/>
          </w:tcPr>
          <w:p>
            <w:pPr>
              <w:jc w:val="right"/>
              <w:ind w:right="560"/>
              <w:spacing w:after="0" w:line="149" w:lineRule="exact"/>
              <w:rPr>
                <w:sz w:val="20"/>
                <w:szCs w:val="20"/>
                <w:color w:val="auto"/>
              </w:rPr>
            </w:pPr>
            <w:r>
              <w:rPr>
                <w:rFonts w:ascii="Arial" w:cs="Arial" w:eastAsia="Arial" w:hAnsi="Arial"/>
                <w:sz w:val="14"/>
                <w:szCs w:val="14"/>
                <w:color w:val="auto"/>
              </w:rPr>
              <w:t>45,738</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Arbitex Master Fund, L.P.</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1"/>
              </w:rPr>
              <w:t>38,500,000</w:t>
            </w: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3.9</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80" w:type="dxa"/>
            <w:vAlign w:val="bottom"/>
            <w:gridSpan w:val="3"/>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532,281</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3"/>
          </w:tcPr>
          <w:p>
            <w:pPr>
              <w:spacing w:after="0" w:line="149" w:lineRule="exact"/>
              <w:rPr>
                <w:sz w:val="20"/>
                <w:szCs w:val="20"/>
                <w:color w:val="auto"/>
              </w:rPr>
            </w:pPr>
            <w:r>
              <w:rPr>
                <w:rFonts w:ascii="Arial" w:cs="Arial" w:eastAsia="Arial" w:hAnsi="Arial"/>
                <w:sz w:val="14"/>
                <w:szCs w:val="14"/>
                <w:color w:val="auto"/>
              </w:rPr>
              <w:t>Argent Classic Convertible Arbitrage Fund (Bermuda) Ltd.</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1"/>
              </w:rPr>
              <w:t>10,200,000</w:t>
            </w: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12,400,000</w:t>
            </w:r>
          </w:p>
        </w:tc>
        <w:tc>
          <w:tcPr>
            <w:tcW w:w="1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2.8</w:t>
            </w:r>
          </w:p>
        </w:tc>
        <w:tc>
          <w:tcPr>
            <w:tcW w:w="1880" w:type="dxa"/>
            <w:vAlign w:val="bottom"/>
            <w:gridSpan w:val="3"/>
          </w:tcPr>
          <w:p>
            <w:pPr>
              <w:jc w:val="right"/>
              <w:ind w:right="560"/>
              <w:spacing w:after="0" w:line="149" w:lineRule="exact"/>
              <w:rPr>
                <w:sz w:val="20"/>
                <w:szCs w:val="20"/>
                <w:color w:val="auto"/>
              </w:rPr>
            </w:pPr>
            <w:r>
              <w:rPr>
                <w:rFonts w:ascii="Arial" w:cs="Arial" w:eastAsia="Arial" w:hAnsi="Arial"/>
                <w:sz w:val="14"/>
                <w:szCs w:val="14"/>
                <w:color w:val="auto"/>
              </w:rPr>
              <w:t>296,020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Argent Classic Convertible Arbitrage Fund LP</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5,200,000</w:t>
            </w: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7,100,000</w:t>
            </w:r>
          </w:p>
        </w:tc>
        <w:tc>
          <w:tcPr>
            <w:tcW w:w="1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w:t>
            </w:r>
          </w:p>
        </w:tc>
        <w:tc>
          <w:tcPr>
            <w:tcW w:w="1880" w:type="dxa"/>
            <w:vAlign w:val="bottom"/>
            <w:gridSpan w:val="3"/>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160,642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3"/>
          </w:tcPr>
          <w:p>
            <w:pPr>
              <w:spacing w:after="0" w:line="149" w:lineRule="exact"/>
              <w:rPr>
                <w:sz w:val="20"/>
                <w:szCs w:val="20"/>
                <w:color w:val="auto"/>
              </w:rPr>
            </w:pPr>
            <w:r>
              <w:rPr>
                <w:rFonts w:ascii="Arial" w:cs="Arial" w:eastAsia="Arial" w:hAnsi="Arial"/>
                <w:sz w:val="14"/>
                <w:szCs w:val="14"/>
                <w:color w:val="auto"/>
              </w:rPr>
              <w:t>Argent Classic Convertible Arbitrage Fund II, L.P.</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2,300,000</w:t>
            </w: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1,200,000</w:t>
            </w:r>
          </w:p>
        </w:tc>
        <w:tc>
          <w:tcPr>
            <w:tcW w:w="1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880" w:type="dxa"/>
            <w:vAlign w:val="bottom"/>
            <w:gridSpan w:val="3"/>
          </w:tcPr>
          <w:p>
            <w:pPr>
              <w:jc w:val="right"/>
              <w:ind w:right="560"/>
              <w:spacing w:after="0" w:line="149" w:lineRule="exact"/>
              <w:rPr>
                <w:sz w:val="20"/>
                <w:szCs w:val="20"/>
                <w:color w:val="auto"/>
              </w:rPr>
            </w:pPr>
            <w:r>
              <w:rPr>
                <w:rFonts w:ascii="Arial" w:cs="Arial" w:eastAsia="Arial" w:hAnsi="Arial"/>
                <w:sz w:val="14"/>
                <w:szCs w:val="14"/>
                <w:color w:val="auto"/>
              </w:rPr>
              <w:t>46,798</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Argent LowLev Convertible Arbitrage Fund LLC</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4,595,000</w:t>
            </w: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80" w:type="dxa"/>
            <w:vAlign w:val="bottom"/>
            <w:gridSpan w:val="3"/>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63,528</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3"/>
          </w:tcPr>
          <w:p>
            <w:pPr>
              <w:spacing w:after="0" w:line="149" w:lineRule="exact"/>
              <w:rPr>
                <w:sz w:val="20"/>
                <w:szCs w:val="20"/>
                <w:color w:val="auto"/>
              </w:rPr>
            </w:pPr>
            <w:r>
              <w:rPr>
                <w:rFonts w:ascii="Arial" w:cs="Arial" w:eastAsia="Arial" w:hAnsi="Arial"/>
                <w:sz w:val="14"/>
                <w:szCs w:val="14"/>
                <w:color w:val="auto"/>
              </w:rPr>
              <w:t>Argent LowLev Convertible Arbitrage Fund II, LLC</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705,000</w:t>
            </w: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359,000</w:t>
            </w:r>
          </w:p>
        </w:tc>
        <w:tc>
          <w:tcPr>
            <w:tcW w:w="1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880" w:type="dxa"/>
            <w:vAlign w:val="bottom"/>
            <w:gridSpan w:val="3"/>
          </w:tcPr>
          <w:p>
            <w:pPr>
              <w:jc w:val="right"/>
              <w:ind w:right="560"/>
              <w:spacing w:after="0" w:line="149" w:lineRule="exact"/>
              <w:rPr>
                <w:sz w:val="20"/>
                <w:szCs w:val="20"/>
                <w:color w:val="auto"/>
              </w:rPr>
            </w:pPr>
            <w:r>
              <w:rPr>
                <w:rFonts w:ascii="Arial" w:cs="Arial" w:eastAsia="Arial" w:hAnsi="Arial"/>
                <w:sz w:val="14"/>
                <w:szCs w:val="14"/>
                <w:color w:val="auto"/>
              </w:rPr>
              <w:t>14,233</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Argent LowLev Convertible Arbitrage Fund Ltd.</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1"/>
              </w:rPr>
              <w:t>29,900,000</w:t>
            </w: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3.1</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14,500,000</w:t>
            </w:r>
          </w:p>
        </w:tc>
        <w:tc>
          <w:tcPr>
            <w:tcW w:w="1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3.2</w:t>
            </w:r>
          </w:p>
        </w:tc>
        <w:tc>
          <w:tcPr>
            <w:tcW w:w="1880" w:type="dxa"/>
            <w:vAlign w:val="bottom"/>
            <w:gridSpan w:val="3"/>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594,632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3"/>
          </w:tcPr>
          <w:p>
            <w:pPr>
              <w:spacing w:after="0" w:line="149" w:lineRule="exact"/>
              <w:rPr>
                <w:sz w:val="20"/>
                <w:szCs w:val="20"/>
                <w:color w:val="auto"/>
              </w:rPr>
            </w:pPr>
            <w:r>
              <w:rPr>
                <w:rFonts w:ascii="Arial" w:cs="Arial" w:eastAsia="Arial" w:hAnsi="Arial"/>
                <w:sz w:val="14"/>
                <w:szCs w:val="14"/>
                <w:color w:val="auto"/>
              </w:rPr>
              <w:t>Arlington County Employees’ Retirement System</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450,000</w:t>
            </w: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4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80" w:type="dxa"/>
            <w:vAlign w:val="bottom"/>
            <w:gridSpan w:val="3"/>
          </w:tcPr>
          <w:p>
            <w:pPr>
              <w:jc w:val="right"/>
              <w:ind w:right="560"/>
              <w:spacing w:after="0" w:line="149" w:lineRule="exact"/>
              <w:rPr>
                <w:sz w:val="20"/>
                <w:szCs w:val="20"/>
                <w:color w:val="auto"/>
              </w:rPr>
            </w:pPr>
            <w:r>
              <w:rPr>
                <w:rFonts w:ascii="Arial" w:cs="Arial" w:eastAsia="Arial" w:hAnsi="Arial"/>
                <w:sz w:val="14"/>
                <w:szCs w:val="14"/>
                <w:color w:val="auto"/>
              </w:rPr>
              <w:t>6,221</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Arpeggio Fund</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w:t>
            </w:r>
          </w:p>
        </w:tc>
        <w:tc>
          <w:tcPr>
            <w:tcW w:w="2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11,950,000</w:t>
            </w:r>
          </w:p>
        </w:tc>
        <w:tc>
          <w:tcPr>
            <w:tcW w:w="1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2.7</w:t>
            </w:r>
          </w:p>
        </w:tc>
        <w:tc>
          <w:tcPr>
            <w:tcW w:w="1880" w:type="dxa"/>
            <w:vAlign w:val="bottom"/>
            <w:gridSpan w:val="3"/>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149,375</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3"/>
          </w:tcPr>
          <w:p>
            <w:pPr>
              <w:spacing w:after="0" w:line="149" w:lineRule="exact"/>
              <w:rPr>
                <w:sz w:val="20"/>
                <w:szCs w:val="20"/>
                <w:color w:val="auto"/>
              </w:rPr>
            </w:pPr>
            <w:r>
              <w:rPr>
                <w:rFonts w:ascii="Arial" w:cs="Arial" w:eastAsia="Arial" w:hAnsi="Arial"/>
                <w:sz w:val="14"/>
                <w:szCs w:val="14"/>
                <w:color w:val="auto"/>
              </w:rPr>
              <w:t>Ascend Offshore Fund, Ltd.</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0</w:t>
            </w:r>
          </w:p>
        </w:tc>
        <w:tc>
          <w:tcPr>
            <w:tcW w:w="2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5,930,804</w:t>
            </w:r>
          </w:p>
        </w:tc>
        <w:tc>
          <w:tcPr>
            <w:tcW w:w="1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w:t>
            </w:r>
          </w:p>
        </w:tc>
        <w:tc>
          <w:tcPr>
            <w:tcW w:w="1880" w:type="dxa"/>
            <w:vAlign w:val="bottom"/>
            <w:gridSpan w:val="3"/>
          </w:tcPr>
          <w:p>
            <w:pPr>
              <w:jc w:val="right"/>
              <w:ind w:right="560"/>
              <w:spacing w:after="0" w:line="149" w:lineRule="exact"/>
              <w:rPr>
                <w:sz w:val="20"/>
                <w:szCs w:val="20"/>
                <w:color w:val="auto"/>
              </w:rPr>
            </w:pPr>
            <w:r>
              <w:rPr>
                <w:rFonts w:ascii="Arial" w:cs="Arial" w:eastAsia="Arial" w:hAnsi="Arial"/>
                <w:sz w:val="14"/>
                <w:szCs w:val="14"/>
                <w:color w:val="auto"/>
              </w:rPr>
              <w:t>74,135</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Ascend Partners Sapient LP</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w:t>
            </w:r>
          </w:p>
        </w:tc>
        <w:tc>
          <w:tcPr>
            <w:tcW w:w="2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1,569,196</w:t>
            </w:r>
          </w:p>
        </w:tc>
        <w:tc>
          <w:tcPr>
            <w:tcW w:w="1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80" w:type="dxa"/>
            <w:vAlign w:val="bottom"/>
            <w:gridSpan w:val="3"/>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19,614</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3"/>
          </w:tcPr>
          <w:p>
            <w:pPr>
              <w:spacing w:after="0" w:line="149" w:lineRule="exact"/>
              <w:rPr>
                <w:sz w:val="20"/>
                <w:szCs w:val="20"/>
                <w:color w:val="auto"/>
              </w:rPr>
            </w:pPr>
            <w:r>
              <w:rPr>
                <w:rFonts w:ascii="Arial" w:cs="Arial" w:eastAsia="Arial" w:hAnsi="Arial"/>
                <w:sz w:val="14"/>
                <w:szCs w:val="14"/>
                <w:color w:val="auto"/>
              </w:rPr>
              <w:t>Asset Insurance Company Ltd.</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470,000</w:t>
            </w: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4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80" w:type="dxa"/>
            <w:vAlign w:val="bottom"/>
            <w:gridSpan w:val="3"/>
          </w:tcPr>
          <w:p>
            <w:pPr>
              <w:jc w:val="right"/>
              <w:ind w:right="560"/>
              <w:spacing w:after="0" w:line="149" w:lineRule="exact"/>
              <w:rPr>
                <w:sz w:val="20"/>
                <w:szCs w:val="20"/>
                <w:color w:val="auto"/>
              </w:rPr>
            </w:pPr>
            <w:r>
              <w:rPr>
                <w:rFonts w:ascii="Arial" w:cs="Arial" w:eastAsia="Arial" w:hAnsi="Arial"/>
                <w:sz w:val="14"/>
                <w:szCs w:val="14"/>
                <w:color w:val="auto"/>
              </w:rPr>
              <w:t>6,497</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Associated Electric &amp; Gas Insurance Services Limited</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1,500,000</w:t>
            </w: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80" w:type="dxa"/>
            <w:vAlign w:val="bottom"/>
            <w:gridSpan w:val="3"/>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20,738</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3"/>
          </w:tcPr>
          <w:p>
            <w:pPr>
              <w:spacing w:after="0" w:line="149" w:lineRule="exact"/>
              <w:rPr>
                <w:sz w:val="20"/>
                <w:szCs w:val="20"/>
                <w:color w:val="auto"/>
              </w:rPr>
            </w:pPr>
            <w:r>
              <w:rPr>
                <w:rFonts w:ascii="Arial" w:cs="Arial" w:eastAsia="Arial" w:hAnsi="Arial"/>
                <w:sz w:val="14"/>
                <w:szCs w:val="14"/>
                <w:color w:val="auto"/>
              </w:rPr>
              <w:t>Atticus Global Advisors, Ltd.</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5,000,000</w:t>
            </w: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4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80" w:type="dxa"/>
            <w:vAlign w:val="bottom"/>
            <w:gridSpan w:val="3"/>
          </w:tcPr>
          <w:p>
            <w:pPr>
              <w:jc w:val="right"/>
              <w:ind w:right="560"/>
              <w:spacing w:after="0" w:line="149" w:lineRule="exact"/>
              <w:rPr>
                <w:sz w:val="20"/>
                <w:szCs w:val="20"/>
                <w:color w:val="auto"/>
              </w:rPr>
            </w:pPr>
            <w:r>
              <w:rPr>
                <w:rFonts w:ascii="Arial" w:cs="Arial" w:eastAsia="Arial" w:hAnsi="Arial"/>
                <w:sz w:val="14"/>
                <w:szCs w:val="14"/>
                <w:color w:val="auto"/>
              </w:rPr>
              <w:t>69,127</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Attorney’s Title Insurance Fund</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165,000</w:t>
            </w: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80" w:type="dxa"/>
            <w:vAlign w:val="bottom"/>
            <w:gridSpan w:val="3"/>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2,281</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3"/>
          </w:tcPr>
          <w:p>
            <w:pPr>
              <w:spacing w:after="0" w:line="149" w:lineRule="exact"/>
              <w:rPr>
                <w:sz w:val="20"/>
                <w:szCs w:val="20"/>
                <w:color w:val="auto"/>
              </w:rPr>
            </w:pPr>
            <w:r>
              <w:rPr>
                <w:rFonts w:ascii="Arial" w:cs="Arial" w:eastAsia="Arial" w:hAnsi="Arial"/>
                <w:sz w:val="14"/>
                <w:szCs w:val="14"/>
                <w:color w:val="auto"/>
              </w:rPr>
              <w:t>Aviva Life Insurance Company</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0</w:t>
            </w:r>
          </w:p>
        </w:tc>
        <w:tc>
          <w:tcPr>
            <w:tcW w:w="2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1,500,000</w:t>
            </w:r>
          </w:p>
        </w:tc>
        <w:tc>
          <w:tcPr>
            <w:tcW w:w="1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880" w:type="dxa"/>
            <w:vAlign w:val="bottom"/>
            <w:gridSpan w:val="3"/>
          </w:tcPr>
          <w:p>
            <w:pPr>
              <w:jc w:val="right"/>
              <w:ind w:right="560"/>
              <w:spacing w:after="0" w:line="149" w:lineRule="exact"/>
              <w:rPr>
                <w:sz w:val="20"/>
                <w:szCs w:val="20"/>
                <w:color w:val="auto"/>
              </w:rPr>
            </w:pPr>
            <w:r>
              <w:rPr>
                <w:rFonts w:ascii="Arial" w:cs="Arial" w:eastAsia="Arial" w:hAnsi="Arial"/>
                <w:sz w:val="14"/>
                <w:szCs w:val="14"/>
                <w:color w:val="auto"/>
              </w:rPr>
              <w:t>18,750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Banc of America Securities LLC</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2,200,000</w:t>
            </w: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80" w:type="dxa"/>
            <w:vAlign w:val="bottom"/>
            <w:gridSpan w:val="3"/>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30,416</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3"/>
          </w:tcPr>
          <w:p>
            <w:pPr>
              <w:spacing w:after="0" w:line="149" w:lineRule="exact"/>
              <w:rPr>
                <w:sz w:val="20"/>
                <w:szCs w:val="20"/>
                <w:color w:val="auto"/>
              </w:rPr>
            </w:pPr>
            <w:r>
              <w:rPr>
                <w:rFonts w:ascii="Arial" w:cs="Arial" w:eastAsia="Arial" w:hAnsi="Arial"/>
                <w:sz w:val="14"/>
                <w:szCs w:val="14"/>
                <w:color w:val="auto"/>
              </w:rPr>
              <w:t>Banca Del Gottardo Lugano</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250,000</w:t>
            </w: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4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80" w:type="dxa"/>
            <w:vAlign w:val="bottom"/>
            <w:gridSpan w:val="3"/>
          </w:tcPr>
          <w:p>
            <w:pPr>
              <w:jc w:val="right"/>
              <w:ind w:right="560"/>
              <w:spacing w:after="0" w:line="149" w:lineRule="exact"/>
              <w:rPr>
                <w:sz w:val="20"/>
                <w:szCs w:val="20"/>
                <w:color w:val="auto"/>
              </w:rPr>
            </w:pPr>
            <w:r>
              <w:rPr>
                <w:rFonts w:ascii="Arial" w:cs="Arial" w:eastAsia="Arial" w:hAnsi="Arial"/>
                <w:sz w:val="14"/>
                <w:szCs w:val="14"/>
                <w:color w:val="auto"/>
              </w:rPr>
              <w:t>3,456</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Bankers Life Insurance Company of New York</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100,000</w:t>
            </w: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80" w:type="dxa"/>
            <w:vAlign w:val="bottom"/>
            <w:gridSpan w:val="3"/>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1,382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3"/>
          </w:tcPr>
          <w:p>
            <w:pPr>
              <w:spacing w:after="0" w:line="149" w:lineRule="exact"/>
              <w:rPr>
                <w:sz w:val="20"/>
                <w:szCs w:val="20"/>
                <w:color w:val="auto"/>
              </w:rPr>
            </w:pPr>
            <w:r>
              <w:rPr>
                <w:rFonts w:ascii="Arial" w:cs="Arial" w:eastAsia="Arial" w:hAnsi="Arial"/>
                <w:sz w:val="14"/>
                <w:szCs w:val="14"/>
                <w:color w:val="auto"/>
              </w:rPr>
              <w:t>Banque Generale du Luxembourg S.A.</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1"/>
              </w:rPr>
              <w:t>15,000,000</w:t>
            </w: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4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80" w:type="dxa"/>
            <w:vAlign w:val="bottom"/>
            <w:gridSpan w:val="3"/>
          </w:tcPr>
          <w:p>
            <w:pPr>
              <w:jc w:val="right"/>
              <w:ind w:right="560"/>
              <w:spacing w:after="0" w:line="149" w:lineRule="exact"/>
              <w:rPr>
                <w:sz w:val="20"/>
                <w:szCs w:val="20"/>
                <w:color w:val="auto"/>
              </w:rPr>
            </w:pPr>
            <w:r>
              <w:rPr>
                <w:rFonts w:ascii="Arial" w:cs="Arial" w:eastAsia="Arial" w:hAnsi="Arial"/>
                <w:sz w:val="14"/>
                <w:szCs w:val="14"/>
                <w:color w:val="auto"/>
              </w:rPr>
              <w:t>20,738</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Barclays Global Investors Diversified Alpha Plus Funds</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w:t>
            </w:r>
          </w:p>
        </w:tc>
        <w:tc>
          <w:tcPr>
            <w:tcW w:w="2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298,000</w:t>
            </w:r>
          </w:p>
        </w:tc>
        <w:tc>
          <w:tcPr>
            <w:tcW w:w="1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80" w:type="dxa"/>
            <w:vAlign w:val="bottom"/>
            <w:gridSpan w:val="3"/>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3,725</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3"/>
          </w:tcPr>
          <w:p>
            <w:pPr>
              <w:spacing w:after="0" w:line="149" w:lineRule="exact"/>
              <w:rPr>
                <w:sz w:val="20"/>
                <w:szCs w:val="20"/>
                <w:color w:val="auto"/>
              </w:rPr>
            </w:pPr>
            <w:r>
              <w:rPr>
                <w:rFonts w:ascii="Arial" w:cs="Arial" w:eastAsia="Arial" w:hAnsi="Arial"/>
                <w:sz w:val="14"/>
                <w:szCs w:val="14"/>
                <w:color w:val="auto"/>
              </w:rPr>
              <w:t>Bay State Insurance Company Ltd.</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170,000</w:t>
            </w: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4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80" w:type="dxa"/>
            <w:vAlign w:val="bottom"/>
            <w:gridSpan w:val="3"/>
          </w:tcPr>
          <w:p>
            <w:pPr>
              <w:jc w:val="right"/>
              <w:ind w:right="560"/>
              <w:spacing w:after="0" w:line="149" w:lineRule="exact"/>
              <w:rPr>
                <w:sz w:val="20"/>
                <w:szCs w:val="20"/>
                <w:color w:val="auto"/>
              </w:rPr>
            </w:pPr>
            <w:r>
              <w:rPr>
                <w:rFonts w:ascii="Arial" w:cs="Arial" w:eastAsia="Arial" w:hAnsi="Arial"/>
                <w:sz w:val="14"/>
                <w:szCs w:val="14"/>
                <w:color w:val="auto"/>
              </w:rPr>
              <w:t>2,350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BBT Fund, L.P.</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8,000,000</w:t>
            </w: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80" w:type="dxa"/>
            <w:vAlign w:val="bottom"/>
            <w:gridSpan w:val="3"/>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110,604</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3"/>
          </w:tcPr>
          <w:p>
            <w:pPr>
              <w:spacing w:after="0" w:line="149" w:lineRule="exact"/>
              <w:rPr>
                <w:sz w:val="20"/>
                <w:szCs w:val="20"/>
                <w:color w:val="auto"/>
              </w:rPr>
            </w:pPr>
            <w:r>
              <w:rPr>
                <w:rFonts w:ascii="Arial" w:cs="Arial" w:eastAsia="Arial" w:hAnsi="Arial"/>
                <w:sz w:val="14"/>
                <w:szCs w:val="14"/>
                <w:color w:val="auto"/>
              </w:rPr>
              <w:t>Beamtenversicherungskasse Des Kantons Zurich</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0</w:t>
            </w:r>
          </w:p>
        </w:tc>
        <w:tc>
          <w:tcPr>
            <w:tcW w:w="2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7,050,000</w:t>
            </w:r>
          </w:p>
        </w:tc>
        <w:tc>
          <w:tcPr>
            <w:tcW w:w="1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w:t>
            </w:r>
          </w:p>
        </w:tc>
        <w:tc>
          <w:tcPr>
            <w:tcW w:w="1880" w:type="dxa"/>
            <w:vAlign w:val="bottom"/>
            <w:gridSpan w:val="3"/>
          </w:tcPr>
          <w:p>
            <w:pPr>
              <w:jc w:val="right"/>
              <w:ind w:right="560"/>
              <w:spacing w:after="0" w:line="149" w:lineRule="exact"/>
              <w:rPr>
                <w:sz w:val="20"/>
                <w:szCs w:val="20"/>
                <w:color w:val="auto"/>
              </w:rPr>
            </w:pPr>
            <w:r>
              <w:rPr>
                <w:rFonts w:ascii="Arial" w:cs="Arial" w:eastAsia="Arial" w:hAnsi="Arial"/>
                <w:sz w:val="14"/>
                <w:szCs w:val="14"/>
                <w:color w:val="auto"/>
              </w:rPr>
              <w:t>88,125</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Bear Stearns International Limited (BSIL)</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1"/>
              </w:rPr>
              <w:t>30,000,000</w:t>
            </w: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3.1</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80" w:type="dxa"/>
            <w:vAlign w:val="bottom"/>
            <w:gridSpan w:val="3"/>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414,765</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3"/>
          </w:tcPr>
          <w:p>
            <w:pPr>
              <w:spacing w:after="0" w:line="149" w:lineRule="exact"/>
              <w:rPr>
                <w:sz w:val="20"/>
                <w:szCs w:val="20"/>
                <w:color w:val="auto"/>
              </w:rPr>
            </w:pPr>
            <w:r>
              <w:rPr>
                <w:rFonts w:ascii="Arial" w:cs="Arial" w:eastAsia="Arial" w:hAnsi="Arial"/>
                <w:sz w:val="14"/>
                <w:szCs w:val="14"/>
                <w:color w:val="auto"/>
              </w:rPr>
              <w:t>Bear, Stearns &amp; Co. Inc.</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1"/>
              </w:rPr>
              <w:t>21,250,000</w:t>
            </w: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5,000,000</w:t>
            </w:r>
          </w:p>
        </w:tc>
        <w:tc>
          <w:tcPr>
            <w:tcW w:w="1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w:t>
            </w:r>
          </w:p>
        </w:tc>
        <w:tc>
          <w:tcPr>
            <w:tcW w:w="1880" w:type="dxa"/>
            <w:vAlign w:val="bottom"/>
            <w:gridSpan w:val="3"/>
          </w:tcPr>
          <w:p>
            <w:pPr>
              <w:jc w:val="right"/>
              <w:ind w:right="560"/>
              <w:spacing w:after="0" w:line="149" w:lineRule="exact"/>
              <w:rPr>
                <w:sz w:val="20"/>
                <w:szCs w:val="20"/>
                <w:color w:val="auto"/>
              </w:rPr>
            </w:pPr>
            <w:r>
              <w:rPr>
                <w:rFonts w:ascii="Arial" w:cs="Arial" w:eastAsia="Arial" w:hAnsi="Arial"/>
                <w:sz w:val="14"/>
                <w:szCs w:val="14"/>
                <w:color w:val="auto"/>
              </w:rPr>
              <w:t>356,291</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Bernische Lehrerversicherungskasse</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w:t>
            </w:r>
          </w:p>
        </w:tc>
        <w:tc>
          <w:tcPr>
            <w:tcW w:w="2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770,000</w:t>
            </w:r>
          </w:p>
        </w:tc>
        <w:tc>
          <w:tcPr>
            <w:tcW w:w="1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80" w:type="dxa"/>
            <w:vAlign w:val="bottom"/>
            <w:gridSpan w:val="3"/>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9,625</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3"/>
          </w:tcPr>
          <w:p>
            <w:pPr>
              <w:spacing w:after="0" w:line="149" w:lineRule="exact"/>
              <w:rPr>
                <w:sz w:val="20"/>
                <w:szCs w:val="20"/>
                <w:color w:val="auto"/>
              </w:rPr>
            </w:pPr>
            <w:r>
              <w:rPr>
                <w:rFonts w:ascii="Arial" w:cs="Arial" w:eastAsia="Arial" w:hAnsi="Arial"/>
                <w:sz w:val="14"/>
                <w:szCs w:val="14"/>
                <w:color w:val="auto"/>
              </w:rPr>
              <w:t>Black Diamond Convertible Offshore LDC</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2,830,000</w:t>
            </w: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4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80" w:type="dxa"/>
            <w:vAlign w:val="bottom"/>
            <w:gridSpan w:val="3"/>
          </w:tcPr>
          <w:p>
            <w:pPr>
              <w:jc w:val="right"/>
              <w:ind w:right="560"/>
              <w:spacing w:after="0" w:line="149" w:lineRule="exact"/>
              <w:rPr>
                <w:sz w:val="20"/>
                <w:szCs w:val="20"/>
                <w:color w:val="auto"/>
              </w:rPr>
            </w:pPr>
            <w:r>
              <w:rPr>
                <w:rFonts w:ascii="Arial" w:cs="Arial" w:eastAsia="Arial" w:hAnsi="Arial"/>
                <w:sz w:val="14"/>
                <w:szCs w:val="14"/>
                <w:color w:val="auto"/>
              </w:rPr>
              <w:t>39,126</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Black Diamond Offshore Ltd.</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1,580,000</w:t>
            </w: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80" w:type="dxa"/>
            <w:vAlign w:val="bottom"/>
            <w:gridSpan w:val="3"/>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21,844</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3"/>
          </w:tcPr>
          <w:p>
            <w:pPr>
              <w:spacing w:after="0" w:line="149" w:lineRule="exact"/>
              <w:rPr>
                <w:sz w:val="20"/>
                <w:szCs w:val="20"/>
                <w:color w:val="auto"/>
              </w:rPr>
            </w:pPr>
            <w:r>
              <w:rPr>
                <w:rFonts w:ascii="Arial" w:cs="Arial" w:eastAsia="Arial" w:hAnsi="Arial"/>
                <w:sz w:val="14"/>
                <w:szCs w:val="14"/>
                <w:color w:val="auto"/>
              </w:rPr>
              <w:t>Boilermakers Blacksmith Pension Trust</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1,110,000</w:t>
            </w: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4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80" w:type="dxa"/>
            <w:vAlign w:val="bottom"/>
            <w:gridSpan w:val="3"/>
          </w:tcPr>
          <w:p>
            <w:pPr>
              <w:jc w:val="right"/>
              <w:ind w:right="560"/>
              <w:spacing w:after="0" w:line="149" w:lineRule="exact"/>
              <w:rPr>
                <w:sz w:val="20"/>
                <w:szCs w:val="20"/>
                <w:color w:val="auto"/>
              </w:rPr>
            </w:pPr>
            <w:r>
              <w:rPr>
                <w:rFonts w:ascii="Arial" w:cs="Arial" w:eastAsia="Arial" w:hAnsi="Arial"/>
                <w:sz w:val="14"/>
                <w:szCs w:val="14"/>
                <w:color w:val="auto"/>
              </w:rPr>
              <w:t>15,346</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BRED Banque Populaire</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1"/>
              </w:rPr>
              <w:t>10,000,000</w:t>
            </w: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80" w:type="dxa"/>
            <w:vAlign w:val="bottom"/>
            <w:gridSpan w:val="3"/>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138,255</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3"/>
          </w:tcPr>
          <w:p>
            <w:pPr>
              <w:spacing w:after="0" w:line="149" w:lineRule="exact"/>
              <w:rPr>
                <w:sz w:val="20"/>
                <w:szCs w:val="20"/>
                <w:color w:val="auto"/>
              </w:rPr>
            </w:pPr>
            <w:r>
              <w:rPr>
                <w:rFonts w:ascii="Arial" w:cs="Arial" w:eastAsia="Arial" w:hAnsi="Arial"/>
                <w:sz w:val="14"/>
                <w:szCs w:val="14"/>
                <w:color w:val="auto"/>
              </w:rPr>
              <w:t>California State Auto Association ASNF</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0</w:t>
            </w:r>
          </w:p>
        </w:tc>
        <w:tc>
          <w:tcPr>
            <w:tcW w:w="2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105,000</w:t>
            </w:r>
          </w:p>
        </w:tc>
        <w:tc>
          <w:tcPr>
            <w:tcW w:w="1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880" w:type="dxa"/>
            <w:vAlign w:val="bottom"/>
            <w:gridSpan w:val="3"/>
          </w:tcPr>
          <w:p>
            <w:pPr>
              <w:jc w:val="right"/>
              <w:ind w:right="560"/>
              <w:spacing w:after="0" w:line="149" w:lineRule="exact"/>
              <w:rPr>
                <w:sz w:val="20"/>
                <w:szCs w:val="20"/>
                <w:color w:val="auto"/>
              </w:rPr>
            </w:pPr>
            <w:r>
              <w:rPr>
                <w:rFonts w:ascii="Arial" w:cs="Arial" w:eastAsia="Arial" w:hAnsi="Arial"/>
                <w:sz w:val="14"/>
                <w:szCs w:val="14"/>
                <w:color w:val="auto"/>
              </w:rPr>
              <w:t>1,312</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California State Auto Association Inter-Insurance</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w:t>
            </w:r>
          </w:p>
        </w:tc>
        <w:tc>
          <w:tcPr>
            <w:tcW w:w="2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600,000</w:t>
            </w:r>
          </w:p>
        </w:tc>
        <w:tc>
          <w:tcPr>
            <w:tcW w:w="1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80" w:type="dxa"/>
            <w:vAlign w:val="bottom"/>
            <w:gridSpan w:val="3"/>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7,500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600" w:type="dxa"/>
            <w:vAlign w:val="bottom"/>
            <w:gridSpan w:val="3"/>
          </w:tcPr>
          <w:p>
            <w:pPr>
              <w:spacing w:after="0"/>
              <w:rPr>
                <w:sz w:val="20"/>
                <w:szCs w:val="20"/>
                <w:color w:val="auto"/>
              </w:rPr>
            </w:pPr>
            <w:r>
              <w:rPr>
                <w:rFonts w:ascii="Arial" w:cs="Arial" w:eastAsia="Arial" w:hAnsi="Arial"/>
                <w:sz w:val="14"/>
                <w:szCs w:val="14"/>
                <w:color w:val="auto"/>
              </w:rPr>
              <w:t>California State Auto Association Retirement Pension Plan</w:t>
            </w: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0</w:t>
            </w:r>
          </w:p>
        </w:tc>
        <w:tc>
          <w:tcPr>
            <w:tcW w:w="2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110,000</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880" w:type="dxa"/>
            <w:vAlign w:val="bottom"/>
            <w:gridSpan w:val="3"/>
          </w:tcPr>
          <w:p>
            <w:pPr>
              <w:jc w:val="right"/>
              <w:ind w:right="560"/>
              <w:spacing w:after="0"/>
              <w:rPr>
                <w:sz w:val="20"/>
                <w:szCs w:val="20"/>
                <w:color w:val="auto"/>
              </w:rPr>
            </w:pPr>
            <w:r>
              <w:rPr>
                <w:rFonts w:ascii="Arial" w:cs="Arial" w:eastAsia="Arial" w:hAnsi="Arial"/>
                <w:sz w:val="14"/>
                <w:szCs w:val="14"/>
                <w:color w:val="auto"/>
              </w:rPr>
              <w:t>1,375</w:t>
            </w: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9"/>
        </w:trPr>
        <w:tc>
          <w:tcPr>
            <w:tcW w:w="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gridSpan w:val="2"/>
          </w:tcPr>
          <w:p>
            <w:pPr>
              <w:jc w:val="right"/>
              <w:ind w:right="512"/>
              <w:spacing w:after="0"/>
              <w:rPr>
                <w:sz w:val="20"/>
                <w:szCs w:val="20"/>
                <w:color w:val="auto"/>
              </w:rPr>
            </w:pPr>
            <w:r>
              <w:rPr>
                <w:rFonts w:ascii="Arial" w:cs="Arial" w:eastAsia="Arial" w:hAnsi="Arial"/>
                <w:sz w:val="18"/>
                <w:szCs w:val="18"/>
                <w:color w:val="auto"/>
              </w:rPr>
              <w:t>S-2</w:t>
            </w: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263"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3" w:name="page4"/>
    <w:bookmarkEnd w:id="3"/>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1"/>
              </w:rPr>
              <w:t>Principal</w:t>
            </w: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Principal</w:t>
            </w: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Amount of</w:t>
            </w: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8"/>
              </w:rPr>
              <w:t>Amount of</w:t>
            </w: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Series A</w:t>
            </w: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2"/>
              </w:rPr>
              <w:t>Series B</w:t>
            </w: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5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8"/>
              </w:rPr>
              <w:t>Number of</w:t>
            </w: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Debentures</w:t>
            </w: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5"/>
              </w:rPr>
              <w:t>Debentures</w:t>
            </w: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5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4"/>
              </w:rPr>
              <w:t>Shares of</w:t>
            </w: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4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Percentage</w:t>
            </w:r>
          </w:p>
        </w:tc>
        <w:tc>
          <w:tcPr>
            <w:tcW w:w="15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11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4"/>
              </w:rPr>
              <w:t>Percentage</w:t>
            </w:r>
          </w:p>
        </w:tc>
        <w:tc>
          <w:tcPr>
            <w:tcW w:w="15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7"/>
              </w:rPr>
              <w:t>Common Stock</w:t>
            </w: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4"/>
              </w:rPr>
              <w:t>Percentage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Owned</w:t>
            </w:r>
          </w:p>
        </w:tc>
        <w:tc>
          <w:tcPr>
            <w:tcW w:w="4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of Series A</w:t>
            </w:r>
          </w:p>
        </w:tc>
        <w:tc>
          <w:tcPr>
            <w:tcW w:w="420" w:type="dxa"/>
            <w:vAlign w:val="bottom"/>
          </w:tcPr>
          <w:p>
            <w:pPr>
              <w:spacing w:after="0"/>
              <w:rPr>
                <w:sz w:val="12"/>
                <w:szCs w:val="12"/>
                <w:color w:val="auto"/>
              </w:rPr>
            </w:pPr>
          </w:p>
        </w:tc>
        <w:tc>
          <w:tcPr>
            <w:tcW w:w="11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9"/>
              </w:rPr>
              <w:t>Owned</w:t>
            </w:r>
          </w:p>
        </w:tc>
        <w:tc>
          <w:tcPr>
            <w:tcW w:w="11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4"/>
              </w:rPr>
              <w:t>of Series B</w:t>
            </w:r>
          </w:p>
        </w:tc>
        <w:tc>
          <w:tcPr>
            <w:tcW w:w="15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7"/>
              </w:rPr>
              <w:t>Underlying the</w:t>
            </w: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Common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That May</w:t>
            </w:r>
          </w:p>
        </w:tc>
        <w:tc>
          <w:tcPr>
            <w:tcW w:w="4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Debentures</w:t>
            </w:r>
          </w:p>
        </w:tc>
        <w:tc>
          <w:tcPr>
            <w:tcW w:w="420" w:type="dxa"/>
            <w:vAlign w:val="bottom"/>
          </w:tcPr>
          <w:p>
            <w:pPr>
              <w:spacing w:after="0"/>
              <w:rPr>
                <w:sz w:val="12"/>
                <w:szCs w:val="12"/>
                <w:color w:val="auto"/>
              </w:rPr>
            </w:pPr>
          </w:p>
        </w:tc>
        <w:tc>
          <w:tcPr>
            <w:tcW w:w="11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5"/>
              </w:rPr>
              <w:t>That May</w:t>
            </w:r>
          </w:p>
        </w:tc>
        <w:tc>
          <w:tcPr>
            <w:tcW w:w="11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5"/>
              </w:rPr>
              <w:t>Debentures</w:t>
            </w:r>
          </w:p>
        </w:tc>
        <w:tc>
          <w:tcPr>
            <w:tcW w:w="15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5"/>
              </w:rPr>
              <w:t>Debentures and</w:t>
            </w: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2680" w:type="dxa"/>
            <w:vAlign w:val="bottom"/>
            <w:gridSpan w:val="2"/>
          </w:tcPr>
          <w:p>
            <w:pPr>
              <w:ind w:left="40"/>
              <w:spacing w:after="0"/>
              <w:rPr>
                <w:sz w:val="20"/>
                <w:szCs w:val="20"/>
                <w:color w:val="auto"/>
              </w:rPr>
            </w:pPr>
            <w:r>
              <w:rPr>
                <w:rFonts w:ascii="Arial" w:cs="Arial" w:eastAsia="Arial" w:hAnsi="Arial"/>
                <w:sz w:val="14"/>
                <w:szCs w:val="14"/>
                <w:b w:val="1"/>
                <w:bCs w:val="1"/>
                <w:color w:val="auto"/>
              </w:rPr>
              <w:t>Name</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4"/>
              </w:rPr>
              <w:t>Be Sold</w:t>
            </w:r>
          </w:p>
        </w:tc>
        <w:tc>
          <w:tcPr>
            <w:tcW w:w="42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7"/>
              </w:rPr>
              <w:t>Outstanding</w:t>
            </w:r>
          </w:p>
        </w:tc>
        <w:tc>
          <w:tcPr>
            <w:tcW w:w="420" w:type="dxa"/>
            <w:vAlign w:val="bottom"/>
          </w:tcPr>
          <w:p>
            <w:pPr>
              <w:spacing w:after="0"/>
              <w:rPr>
                <w:sz w:val="15"/>
                <w:szCs w:val="15"/>
                <w:color w:val="auto"/>
              </w:rPr>
            </w:pPr>
          </w:p>
        </w:tc>
        <w:tc>
          <w:tcPr>
            <w:tcW w:w="11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4"/>
              </w:rPr>
              <w:t>Be Sold</w:t>
            </w:r>
          </w:p>
        </w:tc>
        <w:tc>
          <w:tcPr>
            <w:tcW w:w="11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7"/>
              </w:rPr>
              <w:t>Outstanding</w:t>
            </w:r>
          </w:p>
        </w:tc>
        <w:tc>
          <w:tcPr>
            <w:tcW w:w="15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8"/>
              </w:rPr>
              <w:t>Offered Hereby</w:t>
            </w:r>
          </w:p>
        </w:tc>
        <w:tc>
          <w:tcPr>
            <w:tcW w:w="9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8"/>
              </w:rPr>
              <w:t>Outstanding(1)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84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24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8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920" w:type="dxa"/>
            <w:vAlign w:val="bottom"/>
          </w:tcPr>
          <w:p>
            <w:pPr>
              <w:spacing w:after="0"/>
              <w:rPr>
                <w:sz w:val="8"/>
                <w:szCs w:val="8"/>
                <w:color w:val="auto"/>
              </w:rPr>
            </w:pPr>
          </w:p>
        </w:tc>
        <w:tc>
          <w:tcPr>
            <w:tcW w:w="58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5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Captive Investors Fund Ltd.</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800,000</w:t>
            </w:r>
          </w:p>
        </w:tc>
        <w:tc>
          <w:tcPr>
            <w:tcW w:w="1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520" w:type="dxa"/>
            <w:vAlign w:val="bottom"/>
            <w:gridSpan w:val="3"/>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0</w:t>
            </w:r>
          </w:p>
        </w:tc>
        <w:tc>
          <w:tcPr>
            <w:tcW w:w="11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50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11,060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gridSpan w:val="3"/>
          </w:tcPr>
          <w:p>
            <w:pPr>
              <w:spacing w:after="0" w:line="149" w:lineRule="exact"/>
              <w:rPr>
                <w:sz w:val="20"/>
                <w:szCs w:val="20"/>
                <w:color w:val="auto"/>
              </w:rPr>
            </w:pPr>
            <w:r>
              <w:rPr>
                <w:rFonts w:ascii="Arial" w:cs="Arial" w:eastAsia="Arial" w:hAnsi="Arial"/>
                <w:sz w:val="14"/>
                <w:szCs w:val="14"/>
                <w:color w:val="auto"/>
              </w:rPr>
              <w:t>Car Reinsurance Ltd.</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150,000</w:t>
            </w:r>
          </w:p>
        </w:tc>
        <w:tc>
          <w:tcPr>
            <w:tcW w:w="1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520" w:type="dxa"/>
            <w:vAlign w:val="bottom"/>
            <w:gridSpan w:val="3"/>
          </w:tcPr>
          <w:p>
            <w:pPr>
              <w:jc w:val="right"/>
              <w:ind w:right="420"/>
              <w:spacing w:after="0" w:line="149" w:lineRule="exact"/>
              <w:rPr>
                <w:sz w:val="20"/>
                <w:szCs w:val="20"/>
                <w:color w:val="auto"/>
              </w:rPr>
            </w:pPr>
            <w:r>
              <w:rPr>
                <w:rFonts w:ascii="Arial" w:cs="Arial" w:eastAsia="Arial" w:hAnsi="Arial"/>
                <w:sz w:val="14"/>
                <w:szCs w:val="14"/>
                <w:color w:val="auto"/>
              </w:rPr>
              <w:t>0</w:t>
            </w:r>
          </w:p>
        </w:tc>
        <w:tc>
          <w:tcPr>
            <w:tcW w:w="11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2,073</w:t>
            </w:r>
          </w:p>
        </w:tc>
        <w:tc>
          <w:tcPr>
            <w:tcW w:w="5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CCI Investment Company Ltd.</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40,000</w:t>
            </w:r>
          </w:p>
        </w:tc>
        <w:tc>
          <w:tcPr>
            <w:tcW w:w="1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520" w:type="dxa"/>
            <w:vAlign w:val="bottom"/>
            <w:gridSpan w:val="3"/>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0</w:t>
            </w:r>
          </w:p>
        </w:tc>
        <w:tc>
          <w:tcPr>
            <w:tcW w:w="11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553</w:t>
            </w:r>
          </w:p>
        </w:tc>
        <w:tc>
          <w:tcPr>
            <w:tcW w:w="5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gridSpan w:val="3"/>
          </w:tcPr>
          <w:p>
            <w:pPr>
              <w:spacing w:after="0" w:line="149" w:lineRule="exact"/>
              <w:rPr>
                <w:sz w:val="20"/>
                <w:szCs w:val="20"/>
                <w:color w:val="auto"/>
              </w:rPr>
            </w:pPr>
            <w:r>
              <w:rPr>
                <w:rFonts w:ascii="Arial" w:cs="Arial" w:eastAsia="Arial" w:hAnsi="Arial"/>
                <w:sz w:val="14"/>
                <w:szCs w:val="14"/>
                <w:color w:val="auto"/>
              </w:rPr>
              <w:t>CDC Financial Products Inc.</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3,000,000</w:t>
            </w:r>
          </w:p>
        </w:tc>
        <w:tc>
          <w:tcPr>
            <w:tcW w:w="1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520" w:type="dxa"/>
            <w:vAlign w:val="bottom"/>
            <w:gridSpan w:val="3"/>
          </w:tcPr>
          <w:p>
            <w:pPr>
              <w:jc w:val="right"/>
              <w:ind w:right="420"/>
              <w:spacing w:after="0" w:line="149" w:lineRule="exact"/>
              <w:rPr>
                <w:sz w:val="20"/>
                <w:szCs w:val="20"/>
                <w:color w:val="auto"/>
              </w:rPr>
            </w:pPr>
            <w:r>
              <w:rPr>
                <w:rFonts w:ascii="Arial" w:cs="Arial" w:eastAsia="Arial" w:hAnsi="Arial"/>
                <w:sz w:val="14"/>
                <w:szCs w:val="14"/>
                <w:color w:val="auto"/>
              </w:rPr>
              <w:t>0</w:t>
            </w:r>
          </w:p>
        </w:tc>
        <w:tc>
          <w:tcPr>
            <w:tcW w:w="11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41,476</w:t>
            </w:r>
          </w:p>
        </w:tc>
        <w:tc>
          <w:tcPr>
            <w:tcW w:w="5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Centennier Limited</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7,500,000</w:t>
            </w:r>
          </w:p>
        </w:tc>
        <w:tc>
          <w:tcPr>
            <w:tcW w:w="1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520" w:type="dxa"/>
            <w:vAlign w:val="bottom"/>
            <w:gridSpan w:val="3"/>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2,500,000</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134,941</w:t>
            </w:r>
          </w:p>
        </w:tc>
        <w:tc>
          <w:tcPr>
            <w:tcW w:w="5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gridSpan w:val="3"/>
          </w:tcPr>
          <w:p>
            <w:pPr>
              <w:spacing w:after="0" w:line="149" w:lineRule="exact"/>
              <w:rPr>
                <w:sz w:val="20"/>
                <w:szCs w:val="20"/>
                <w:color w:val="auto"/>
              </w:rPr>
            </w:pPr>
            <w:r>
              <w:rPr>
                <w:rFonts w:ascii="Arial" w:cs="Arial" w:eastAsia="Arial" w:hAnsi="Arial"/>
                <w:sz w:val="14"/>
                <w:szCs w:val="14"/>
                <w:color w:val="auto"/>
              </w:rPr>
              <w:t>Charitable Convertible Securities Fund</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520" w:type="dxa"/>
            <w:vAlign w:val="bottom"/>
            <w:gridSpan w:val="3"/>
          </w:tcPr>
          <w:p>
            <w:pPr>
              <w:jc w:val="right"/>
              <w:ind w:right="420"/>
              <w:spacing w:after="0" w:line="149" w:lineRule="exact"/>
              <w:rPr>
                <w:sz w:val="20"/>
                <w:szCs w:val="20"/>
                <w:color w:val="auto"/>
              </w:rPr>
            </w:pPr>
            <w:r>
              <w:rPr>
                <w:rFonts w:ascii="Arial" w:cs="Arial" w:eastAsia="Arial" w:hAnsi="Arial"/>
                <w:sz w:val="14"/>
                <w:szCs w:val="14"/>
                <w:color w:val="auto"/>
              </w:rPr>
              <w:t>960,000</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12,000</w:t>
            </w:r>
          </w:p>
        </w:tc>
        <w:tc>
          <w:tcPr>
            <w:tcW w:w="5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Charitable Income Fund</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520" w:type="dxa"/>
            <w:vAlign w:val="bottom"/>
            <w:gridSpan w:val="3"/>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270,000</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3,375</w:t>
            </w:r>
          </w:p>
        </w:tc>
        <w:tc>
          <w:tcPr>
            <w:tcW w:w="5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gridSpan w:val="3"/>
          </w:tcPr>
          <w:p>
            <w:pPr>
              <w:spacing w:after="0" w:line="149" w:lineRule="exact"/>
              <w:rPr>
                <w:sz w:val="20"/>
                <w:szCs w:val="20"/>
                <w:color w:val="auto"/>
              </w:rPr>
            </w:pPr>
            <w:r>
              <w:rPr>
                <w:rFonts w:ascii="Arial" w:cs="Arial" w:eastAsia="Arial" w:hAnsi="Arial"/>
                <w:sz w:val="14"/>
                <w:szCs w:val="14"/>
                <w:color w:val="auto"/>
              </w:rPr>
              <w:t>Chicago Standard Insurance Company Ltd.</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30,000</w:t>
            </w:r>
          </w:p>
        </w:tc>
        <w:tc>
          <w:tcPr>
            <w:tcW w:w="1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520" w:type="dxa"/>
            <w:vAlign w:val="bottom"/>
            <w:gridSpan w:val="3"/>
          </w:tcPr>
          <w:p>
            <w:pPr>
              <w:jc w:val="right"/>
              <w:ind w:right="420"/>
              <w:spacing w:after="0" w:line="149" w:lineRule="exact"/>
              <w:rPr>
                <w:sz w:val="20"/>
                <w:szCs w:val="20"/>
                <w:color w:val="auto"/>
              </w:rPr>
            </w:pPr>
            <w:r>
              <w:rPr>
                <w:rFonts w:ascii="Arial" w:cs="Arial" w:eastAsia="Arial" w:hAnsi="Arial"/>
                <w:sz w:val="14"/>
                <w:szCs w:val="14"/>
                <w:color w:val="auto"/>
              </w:rPr>
              <w:t>0</w:t>
            </w:r>
          </w:p>
        </w:tc>
        <w:tc>
          <w:tcPr>
            <w:tcW w:w="11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414</w:t>
            </w:r>
          </w:p>
        </w:tc>
        <w:tc>
          <w:tcPr>
            <w:tcW w:w="5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CIBC World Markets</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520" w:type="dxa"/>
            <w:vAlign w:val="bottom"/>
            <w:gridSpan w:val="3"/>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1,541,000</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19,262</w:t>
            </w:r>
          </w:p>
        </w:tc>
        <w:tc>
          <w:tcPr>
            <w:tcW w:w="5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gridSpan w:val="3"/>
          </w:tcPr>
          <w:p>
            <w:pPr>
              <w:spacing w:after="0" w:line="149" w:lineRule="exact"/>
              <w:rPr>
                <w:sz w:val="20"/>
                <w:szCs w:val="20"/>
                <w:color w:val="auto"/>
              </w:rPr>
            </w:pPr>
            <w:r>
              <w:rPr>
                <w:rFonts w:ascii="Arial" w:cs="Arial" w:eastAsia="Arial" w:hAnsi="Arial"/>
                <w:sz w:val="14"/>
                <w:szCs w:val="14"/>
                <w:color w:val="auto"/>
              </w:rPr>
              <w:t>Citigroup Global Markets Inc.</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3,000,000</w:t>
            </w:r>
          </w:p>
        </w:tc>
        <w:tc>
          <w:tcPr>
            <w:tcW w:w="1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520" w:type="dxa"/>
            <w:vAlign w:val="bottom"/>
            <w:gridSpan w:val="3"/>
          </w:tcPr>
          <w:p>
            <w:pPr>
              <w:jc w:val="right"/>
              <w:ind w:right="420"/>
              <w:spacing w:after="0" w:line="149" w:lineRule="exact"/>
              <w:rPr>
                <w:sz w:val="20"/>
                <w:szCs w:val="20"/>
                <w:color w:val="auto"/>
              </w:rPr>
            </w:pPr>
            <w:r>
              <w:rPr>
                <w:rFonts w:ascii="Arial" w:cs="Arial" w:eastAsia="Arial" w:hAnsi="Arial"/>
                <w:sz w:val="14"/>
                <w:szCs w:val="14"/>
                <w:color w:val="auto"/>
              </w:rPr>
              <w:t>5,000,000</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1.1</w:t>
            </w:r>
          </w:p>
        </w:tc>
        <w:tc>
          <w:tcPr>
            <w:tcW w:w="40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103,976</w:t>
            </w:r>
          </w:p>
        </w:tc>
        <w:tc>
          <w:tcPr>
            <w:tcW w:w="5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Citigroup Global Markets Ltd.</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10,000,000</w:t>
            </w:r>
          </w:p>
        </w:tc>
        <w:tc>
          <w:tcPr>
            <w:tcW w:w="1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1520" w:type="dxa"/>
            <w:vAlign w:val="bottom"/>
            <w:gridSpan w:val="3"/>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0</w:t>
            </w:r>
          </w:p>
        </w:tc>
        <w:tc>
          <w:tcPr>
            <w:tcW w:w="11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138,255</w:t>
            </w:r>
          </w:p>
        </w:tc>
        <w:tc>
          <w:tcPr>
            <w:tcW w:w="5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gridSpan w:val="3"/>
          </w:tcPr>
          <w:p>
            <w:pPr>
              <w:spacing w:after="0" w:line="149" w:lineRule="exact"/>
              <w:rPr>
                <w:sz w:val="20"/>
                <w:szCs w:val="20"/>
                <w:color w:val="auto"/>
              </w:rPr>
            </w:pPr>
            <w:r>
              <w:rPr>
                <w:rFonts w:ascii="Arial" w:cs="Arial" w:eastAsia="Arial" w:hAnsi="Arial"/>
                <w:sz w:val="14"/>
                <w:szCs w:val="14"/>
                <w:color w:val="auto"/>
              </w:rPr>
              <w:t>City of Southfield Fire &amp; Police Retirement System</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520" w:type="dxa"/>
            <w:vAlign w:val="bottom"/>
            <w:gridSpan w:val="3"/>
          </w:tcPr>
          <w:p>
            <w:pPr>
              <w:jc w:val="right"/>
              <w:ind w:right="420"/>
              <w:spacing w:after="0" w:line="149" w:lineRule="exact"/>
              <w:rPr>
                <w:sz w:val="20"/>
                <w:szCs w:val="20"/>
                <w:color w:val="auto"/>
              </w:rPr>
            </w:pPr>
            <w:r>
              <w:rPr>
                <w:rFonts w:ascii="Arial" w:cs="Arial" w:eastAsia="Arial" w:hAnsi="Arial"/>
                <w:sz w:val="14"/>
                <w:szCs w:val="14"/>
                <w:color w:val="auto"/>
              </w:rPr>
              <w:t>350,000</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4,375</w:t>
            </w:r>
          </w:p>
        </w:tc>
        <w:tc>
          <w:tcPr>
            <w:tcW w:w="5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Class C Trading Company Ltd.</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3,400,000</w:t>
            </w:r>
          </w:p>
        </w:tc>
        <w:tc>
          <w:tcPr>
            <w:tcW w:w="1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520" w:type="dxa"/>
            <w:vAlign w:val="bottom"/>
            <w:gridSpan w:val="3"/>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1,700,000</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68,256</w:t>
            </w:r>
          </w:p>
        </w:tc>
        <w:tc>
          <w:tcPr>
            <w:tcW w:w="5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gridSpan w:val="3"/>
          </w:tcPr>
          <w:p>
            <w:pPr>
              <w:spacing w:after="0" w:line="149" w:lineRule="exact"/>
              <w:rPr>
                <w:sz w:val="20"/>
                <w:szCs w:val="20"/>
                <w:color w:val="auto"/>
              </w:rPr>
            </w:pPr>
            <w:r>
              <w:rPr>
                <w:rFonts w:ascii="Arial" w:cs="Arial" w:eastAsia="Arial" w:hAnsi="Arial"/>
                <w:sz w:val="14"/>
                <w:szCs w:val="14"/>
                <w:color w:val="auto"/>
              </w:rPr>
              <w:t>Clinton Multistrategy Master Fund, Ltd.</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520" w:type="dxa"/>
            <w:vAlign w:val="bottom"/>
            <w:gridSpan w:val="3"/>
          </w:tcPr>
          <w:p>
            <w:pPr>
              <w:jc w:val="right"/>
              <w:ind w:right="420"/>
              <w:spacing w:after="0" w:line="149" w:lineRule="exact"/>
              <w:rPr>
                <w:sz w:val="20"/>
                <w:szCs w:val="20"/>
                <w:color w:val="auto"/>
              </w:rPr>
            </w:pPr>
            <w:r>
              <w:rPr>
                <w:rFonts w:ascii="Arial" w:cs="Arial" w:eastAsia="Arial" w:hAnsi="Arial"/>
                <w:sz w:val="14"/>
                <w:szCs w:val="14"/>
                <w:color w:val="auto"/>
              </w:rPr>
              <w:t>1,275,000</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15,937</w:t>
            </w:r>
          </w:p>
        </w:tc>
        <w:tc>
          <w:tcPr>
            <w:tcW w:w="5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Clinton Riverside Convertible Portfolio Limited</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520" w:type="dxa"/>
            <w:vAlign w:val="bottom"/>
            <w:gridSpan w:val="3"/>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1,725,000</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21,562</w:t>
            </w:r>
          </w:p>
        </w:tc>
        <w:tc>
          <w:tcPr>
            <w:tcW w:w="5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gridSpan w:val="3"/>
          </w:tcPr>
          <w:p>
            <w:pPr>
              <w:spacing w:after="0" w:line="149" w:lineRule="exact"/>
              <w:rPr>
                <w:sz w:val="20"/>
                <w:szCs w:val="20"/>
                <w:color w:val="auto"/>
              </w:rPr>
            </w:pPr>
            <w:r>
              <w:rPr>
                <w:rFonts w:ascii="Arial" w:cs="Arial" w:eastAsia="Arial" w:hAnsi="Arial"/>
                <w:sz w:val="14"/>
                <w:szCs w:val="14"/>
                <w:color w:val="auto"/>
              </w:rPr>
              <w:t>CNH CA Master Account, L.P.</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520" w:type="dxa"/>
            <w:vAlign w:val="bottom"/>
            <w:gridSpan w:val="3"/>
          </w:tcPr>
          <w:p>
            <w:pPr>
              <w:jc w:val="right"/>
              <w:ind w:right="420"/>
              <w:spacing w:after="0" w:line="149" w:lineRule="exact"/>
              <w:rPr>
                <w:sz w:val="20"/>
                <w:szCs w:val="20"/>
                <w:color w:val="auto"/>
              </w:rPr>
            </w:pPr>
            <w:r>
              <w:rPr>
                <w:rFonts w:ascii="Arial" w:cs="Arial" w:eastAsia="Arial" w:hAnsi="Arial"/>
                <w:sz w:val="14"/>
                <w:szCs w:val="14"/>
                <w:color w:val="auto"/>
              </w:rPr>
              <w:t>1,000,000</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12,500</w:t>
            </w:r>
          </w:p>
        </w:tc>
        <w:tc>
          <w:tcPr>
            <w:tcW w:w="5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Coda-KHPE Convertible Portfolio</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w:t>
            </w:r>
          </w:p>
        </w:tc>
        <w:tc>
          <w:tcPr>
            <w:tcW w:w="1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520" w:type="dxa"/>
            <w:vAlign w:val="bottom"/>
            <w:gridSpan w:val="3"/>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0</w:t>
            </w:r>
          </w:p>
        </w:tc>
        <w:tc>
          <w:tcPr>
            <w:tcW w:w="11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1,382</w:t>
            </w:r>
          </w:p>
        </w:tc>
        <w:tc>
          <w:tcPr>
            <w:tcW w:w="5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gridSpan w:val="3"/>
          </w:tcPr>
          <w:p>
            <w:pPr>
              <w:spacing w:after="0" w:line="149" w:lineRule="exact"/>
              <w:rPr>
                <w:sz w:val="20"/>
                <w:szCs w:val="20"/>
                <w:color w:val="auto"/>
              </w:rPr>
            </w:pPr>
            <w:r>
              <w:rPr>
                <w:rFonts w:ascii="Arial" w:cs="Arial" w:eastAsia="Arial" w:hAnsi="Arial"/>
                <w:sz w:val="14"/>
                <w:szCs w:val="14"/>
                <w:color w:val="auto"/>
              </w:rPr>
              <w:t>Commonwealth Professional Assurance Co.</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520" w:type="dxa"/>
            <w:vAlign w:val="bottom"/>
            <w:gridSpan w:val="3"/>
          </w:tcPr>
          <w:p>
            <w:pPr>
              <w:jc w:val="right"/>
              <w:ind w:right="420"/>
              <w:spacing w:after="0" w:line="149" w:lineRule="exact"/>
              <w:rPr>
                <w:sz w:val="20"/>
                <w:szCs w:val="20"/>
                <w:color w:val="auto"/>
              </w:rPr>
            </w:pPr>
            <w:r>
              <w:rPr>
                <w:rFonts w:ascii="Arial" w:cs="Arial" w:eastAsia="Arial" w:hAnsi="Arial"/>
                <w:sz w:val="14"/>
                <w:szCs w:val="14"/>
                <w:color w:val="auto"/>
              </w:rPr>
              <w:t>580,000</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7,250</w:t>
            </w:r>
          </w:p>
        </w:tc>
        <w:tc>
          <w:tcPr>
            <w:tcW w:w="5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Concentrated Alpha Partners, L.P.</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2,000,000</w:t>
            </w:r>
          </w:p>
        </w:tc>
        <w:tc>
          <w:tcPr>
            <w:tcW w:w="1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520" w:type="dxa"/>
            <w:vAlign w:val="bottom"/>
            <w:gridSpan w:val="3"/>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0</w:t>
            </w:r>
          </w:p>
        </w:tc>
        <w:tc>
          <w:tcPr>
            <w:tcW w:w="11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27,651</w:t>
            </w:r>
          </w:p>
        </w:tc>
        <w:tc>
          <w:tcPr>
            <w:tcW w:w="5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gridSpan w:val="3"/>
          </w:tcPr>
          <w:p>
            <w:pPr>
              <w:spacing w:after="0" w:line="149" w:lineRule="exact"/>
              <w:rPr>
                <w:sz w:val="20"/>
                <w:szCs w:val="20"/>
                <w:color w:val="auto"/>
              </w:rPr>
            </w:pPr>
            <w:r>
              <w:rPr>
                <w:rFonts w:ascii="Arial" w:cs="Arial" w:eastAsia="Arial" w:hAnsi="Arial"/>
                <w:sz w:val="14"/>
                <w:szCs w:val="14"/>
                <w:color w:val="auto"/>
              </w:rPr>
              <w:t>CQS Convertible &amp; Quantatitive Strategies Master Fund Limited</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520" w:type="dxa"/>
            <w:vAlign w:val="bottom"/>
            <w:gridSpan w:val="3"/>
          </w:tcPr>
          <w:p>
            <w:pPr>
              <w:jc w:val="right"/>
              <w:ind w:right="420"/>
              <w:spacing w:after="0" w:line="149" w:lineRule="exact"/>
              <w:rPr>
                <w:sz w:val="20"/>
                <w:szCs w:val="20"/>
                <w:color w:val="auto"/>
              </w:rPr>
            </w:pPr>
            <w:r>
              <w:rPr>
                <w:rFonts w:ascii="Arial" w:cs="Arial" w:eastAsia="Arial" w:hAnsi="Arial"/>
                <w:sz w:val="14"/>
                <w:szCs w:val="14"/>
                <w:color w:val="auto"/>
              </w:rPr>
              <w:t>15,000,000</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3.3</w:t>
            </w:r>
          </w:p>
        </w:tc>
        <w:tc>
          <w:tcPr>
            <w:tcW w:w="40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187,500</w:t>
            </w:r>
          </w:p>
        </w:tc>
        <w:tc>
          <w:tcPr>
            <w:tcW w:w="5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Credit Industriel D’Alsace et de Lorraine</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3,000,000</w:t>
            </w:r>
          </w:p>
        </w:tc>
        <w:tc>
          <w:tcPr>
            <w:tcW w:w="1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520" w:type="dxa"/>
            <w:vAlign w:val="bottom"/>
            <w:gridSpan w:val="3"/>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0</w:t>
            </w:r>
          </w:p>
        </w:tc>
        <w:tc>
          <w:tcPr>
            <w:tcW w:w="11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41,476</w:t>
            </w:r>
          </w:p>
        </w:tc>
        <w:tc>
          <w:tcPr>
            <w:tcW w:w="5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gridSpan w:val="3"/>
          </w:tcPr>
          <w:p>
            <w:pPr>
              <w:spacing w:after="0" w:line="149" w:lineRule="exact"/>
              <w:rPr>
                <w:sz w:val="20"/>
                <w:szCs w:val="20"/>
                <w:color w:val="auto"/>
              </w:rPr>
            </w:pPr>
            <w:r>
              <w:rPr>
                <w:rFonts w:ascii="Arial" w:cs="Arial" w:eastAsia="Arial" w:hAnsi="Arial"/>
                <w:sz w:val="14"/>
                <w:szCs w:val="14"/>
                <w:color w:val="auto"/>
              </w:rPr>
              <w:t>Credit Suisse First Boston Europe Limited</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10,000,000</w:t>
            </w:r>
          </w:p>
        </w:tc>
        <w:tc>
          <w:tcPr>
            <w:tcW w:w="1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w:t>
            </w:r>
          </w:p>
        </w:tc>
        <w:tc>
          <w:tcPr>
            <w:tcW w:w="1520" w:type="dxa"/>
            <w:vAlign w:val="bottom"/>
            <w:gridSpan w:val="3"/>
          </w:tcPr>
          <w:p>
            <w:pPr>
              <w:jc w:val="right"/>
              <w:ind w:right="420"/>
              <w:spacing w:after="0" w:line="149" w:lineRule="exact"/>
              <w:rPr>
                <w:sz w:val="20"/>
                <w:szCs w:val="20"/>
                <w:color w:val="auto"/>
              </w:rPr>
            </w:pPr>
            <w:r>
              <w:rPr>
                <w:rFonts w:ascii="Arial" w:cs="Arial" w:eastAsia="Arial" w:hAnsi="Arial"/>
                <w:sz w:val="14"/>
                <w:szCs w:val="14"/>
                <w:color w:val="auto"/>
              </w:rPr>
              <w:t>0</w:t>
            </w:r>
          </w:p>
        </w:tc>
        <w:tc>
          <w:tcPr>
            <w:tcW w:w="11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138,255</w:t>
            </w:r>
          </w:p>
        </w:tc>
        <w:tc>
          <w:tcPr>
            <w:tcW w:w="5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Credit Suisse First Boston LLC</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2,000,000</w:t>
            </w:r>
          </w:p>
        </w:tc>
        <w:tc>
          <w:tcPr>
            <w:tcW w:w="1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520" w:type="dxa"/>
            <w:vAlign w:val="bottom"/>
            <w:gridSpan w:val="3"/>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0</w:t>
            </w:r>
          </w:p>
        </w:tc>
        <w:tc>
          <w:tcPr>
            <w:tcW w:w="11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27,651</w:t>
            </w:r>
          </w:p>
        </w:tc>
        <w:tc>
          <w:tcPr>
            <w:tcW w:w="5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gridSpan w:val="3"/>
          </w:tcPr>
          <w:p>
            <w:pPr>
              <w:spacing w:after="0" w:line="149" w:lineRule="exact"/>
              <w:rPr>
                <w:sz w:val="20"/>
                <w:szCs w:val="20"/>
                <w:color w:val="auto"/>
              </w:rPr>
            </w:pPr>
            <w:r>
              <w:rPr>
                <w:rFonts w:ascii="Arial" w:cs="Arial" w:eastAsia="Arial" w:hAnsi="Arial"/>
                <w:sz w:val="14"/>
                <w:szCs w:val="14"/>
                <w:color w:val="auto"/>
              </w:rPr>
              <w:t>CSV Limited</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520" w:type="dxa"/>
            <w:vAlign w:val="bottom"/>
            <w:gridSpan w:val="3"/>
          </w:tcPr>
          <w:p>
            <w:pPr>
              <w:jc w:val="right"/>
              <w:ind w:right="420"/>
              <w:spacing w:after="0" w:line="149" w:lineRule="exact"/>
              <w:rPr>
                <w:sz w:val="20"/>
                <w:szCs w:val="20"/>
                <w:color w:val="auto"/>
              </w:rPr>
            </w:pPr>
            <w:r>
              <w:rPr>
                <w:rFonts w:ascii="Arial" w:cs="Arial" w:eastAsia="Arial" w:hAnsi="Arial"/>
                <w:sz w:val="14"/>
                <w:szCs w:val="14"/>
                <w:color w:val="auto"/>
              </w:rPr>
              <w:t>3,000,000</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37,500</w:t>
            </w:r>
          </w:p>
        </w:tc>
        <w:tc>
          <w:tcPr>
            <w:tcW w:w="5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Davidson Kempner Institutional Partners</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7,788,000</w:t>
            </w:r>
          </w:p>
        </w:tc>
        <w:tc>
          <w:tcPr>
            <w:tcW w:w="1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520" w:type="dxa"/>
            <w:vAlign w:val="bottom"/>
            <w:gridSpan w:val="3"/>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0</w:t>
            </w:r>
          </w:p>
        </w:tc>
        <w:tc>
          <w:tcPr>
            <w:tcW w:w="11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107,672</w:t>
            </w:r>
          </w:p>
        </w:tc>
        <w:tc>
          <w:tcPr>
            <w:tcW w:w="5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gridSpan w:val="3"/>
          </w:tcPr>
          <w:p>
            <w:pPr>
              <w:spacing w:after="0" w:line="149" w:lineRule="exact"/>
              <w:rPr>
                <w:sz w:val="20"/>
                <w:szCs w:val="20"/>
                <w:color w:val="auto"/>
              </w:rPr>
            </w:pPr>
            <w:r>
              <w:rPr>
                <w:rFonts w:ascii="Arial" w:cs="Arial" w:eastAsia="Arial" w:hAnsi="Arial"/>
                <w:sz w:val="14"/>
                <w:szCs w:val="14"/>
                <w:color w:val="auto"/>
              </w:rPr>
              <w:t>Davidson Kempner International Limited</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9,633,000</w:t>
            </w:r>
          </w:p>
        </w:tc>
        <w:tc>
          <w:tcPr>
            <w:tcW w:w="1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520" w:type="dxa"/>
            <w:vAlign w:val="bottom"/>
            <w:gridSpan w:val="3"/>
          </w:tcPr>
          <w:p>
            <w:pPr>
              <w:jc w:val="right"/>
              <w:ind w:right="420"/>
              <w:spacing w:after="0" w:line="149" w:lineRule="exact"/>
              <w:rPr>
                <w:sz w:val="20"/>
                <w:szCs w:val="20"/>
                <w:color w:val="auto"/>
              </w:rPr>
            </w:pPr>
            <w:r>
              <w:rPr>
                <w:rFonts w:ascii="Arial" w:cs="Arial" w:eastAsia="Arial" w:hAnsi="Arial"/>
                <w:sz w:val="14"/>
                <w:szCs w:val="14"/>
                <w:color w:val="auto"/>
              </w:rPr>
              <w:t>0</w:t>
            </w:r>
          </w:p>
        </w:tc>
        <w:tc>
          <w:tcPr>
            <w:tcW w:w="11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133,181</w:t>
            </w:r>
          </w:p>
        </w:tc>
        <w:tc>
          <w:tcPr>
            <w:tcW w:w="5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Davidson Kempner Partners</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4,223,500</w:t>
            </w:r>
          </w:p>
        </w:tc>
        <w:tc>
          <w:tcPr>
            <w:tcW w:w="1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520" w:type="dxa"/>
            <w:vAlign w:val="bottom"/>
            <w:gridSpan w:val="3"/>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0</w:t>
            </w:r>
          </w:p>
        </w:tc>
        <w:tc>
          <w:tcPr>
            <w:tcW w:w="11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58,391</w:t>
            </w:r>
          </w:p>
        </w:tc>
        <w:tc>
          <w:tcPr>
            <w:tcW w:w="5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gridSpan w:val="3"/>
          </w:tcPr>
          <w:p>
            <w:pPr>
              <w:spacing w:after="0" w:line="149" w:lineRule="exact"/>
              <w:rPr>
                <w:sz w:val="20"/>
                <w:szCs w:val="20"/>
                <w:color w:val="auto"/>
              </w:rPr>
            </w:pPr>
            <w:r>
              <w:rPr>
                <w:rFonts w:ascii="Arial" w:cs="Arial" w:eastAsia="Arial" w:hAnsi="Arial"/>
                <w:sz w:val="14"/>
                <w:szCs w:val="14"/>
                <w:color w:val="auto"/>
              </w:rPr>
              <w:t>DBAG London</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5,000,000</w:t>
            </w:r>
          </w:p>
        </w:tc>
        <w:tc>
          <w:tcPr>
            <w:tcW w:w="1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520" w:type="dxa"/>
            <w:vAlign w:val="bottom"/>
            <w:gridSpan w:val="3"/>
          </w:tcPr>
          <w:p>
            <w:pPr>
              <w:jc w:val="right"/>
              <w:ind w:right="420"/>
              <w:spacing w:after="0" w:line="149" w:lineRule="exact"/>
              <w:rPr>
                <w:sz w:val="20"/>
                <w:szCs w:val="20"/>
                <w:color w:val="auto"/>
              </w:rPr>
            </w:pPr>
            <w:r>
              <w:rPr>
                <w:rFonts w:ascii="Arial" w:cs="Arial" w:eastAsia="Arial" w:hAnsi="Arial"/>
                <w:sz w:val="14"/>
                <w:szCs w:val="14"/>
                <w:color w:val="auto"/>
              </w:rPr>
              <w:t>0</w:t>
            </w:r>
          </w:p>
        </w:tc>
        <w:tc>
          <w:tcPr>
            <w:tcW w:w="11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69,127</w:t>
            </w:r>
          </w:p>
        </w:tc>
        <w:tc>
          <w:tcPr>
            <w:tcW w:w="5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Deephaven Domestic Convertible Trading Ltd.</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8,874,000</w:t>
            </w:r>
          </w:p>
        </w:tc>
        <w:tc>
          <w:tcPr>
            <w:tcW w:w="1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520" w:type="dxa"/>
            <w:vAlign w:val="bottom"/>
            <w:gridSpan w:val="3"/>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7,772,000</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w:t>
            </w:r>
          </w:p>
        </w:tc>
        <w:tc>
          <w:tcPr>
            <w:tcW w:w="4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219,837</w:t>
            </w:r>
          </w:p>
        </w:tc>
        <w:tc>
          <w:tcPr>
            <w:tcW w:w="5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gridSpan w:val="3"/>
          </w:tcPr>
          <w:p>
            <w:pPr>
              <w:spacing w:after="0" w:line="149" w:lineRule="exact"/>
              <w:rPr>
                <w:sz w:val="20"/>
                <w:szCs w:val="20"/>
                <w:color w:val="auto"/>
              </w:rPr>
            </w:pPr>
            <w:r>
              <w:rPr>
                <w:rFonts w:ascii="Arial" w:cs="Arial" w:eastAsia="Arial" w:hAnsi="Arial"/>
                <w:sz w:val="14"/>
                <w:szCs w:val="14"/>
                <w:color w:val="auto"/>
              </w:rPr>
              <w:t>Defined Benefit Plan of Zeneca AG Product Holdings, Inc.</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130,000</w:t>
            </w:r>
          </w:p>
        </w:tc>
        <w:tc>
          <w:tcPr>
            <w:tcW w:w="1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520" w:type="dxa"/>
            <w:vAlign w:val="bottom"/>
            <w:gridSpan w:val="3"/>
          </w:tcPr>
          <w:p>
            <w:pPr>
              <w:jc w:val="right"/>
              <w:ind w:right="420"/>
              <w:spacing w:after="0" w:line="149" w:lineRule="exact"/>
              <w:rPr>
                <w:sz w:val="20"/>
                <w:szCs w:val="20"/>
                <w:color w:val="auto"/>
              </w:rPr>
            </w:pPr>
            <w:r>
              <w:rPr>
                <w:rFonts w:ascii="Arial" w:cs="Arial" w:eastAsia="Arial" w:hAnsi="Arial"/>
                <w:sz w:val="14"/>
                <w:szCs w:val="14"/>
                <w:color w:val="auto"/>
              </w:rPr>
              <w:t>0</w:t>
            </w:r>
          </w:p>
        </w:tc>
        <w:tc>
          <w:tcPr>
            <w:tcW w:w="11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1,797</w:t>
            </w:r>
          </w:p>
        </w:tc>
        <w:tc>
          <w:tcPr>
            <w:tcW w:w="5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Defined Benefit Plans of ICI American Holdings, Inc.</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210,000</w:t>
            </w:r>
          </w:p>
        </w:tc>
        <w:tc>
          <w:tcPr>
            <w:tcW w:w="1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520" w:type="dxa"/>
            <w:vAlign w:val="bottom"/>
            <w:gridSpan w:val="3"/>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0</w:t>
            </w:r>
          </w:p>
        </w:tc>
        <w:tc>
          <w:tcPr>
            <w:tcW w:w="11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2,903</w:t>
            </w:r>
          </w:p>
        </w:tc>
        <w:tc>
          <w:tcPr>
            <w:tcW w:w="5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gridSpan w:val="3"/>
          </w:tcPr>
          <w:p>
            <w:pPr>
              <w:spacing w:after="0" w:line="149" w:lineRule="exact"/>
              <w:rPr>
                <w:sz w:val="20"/>
                <w:szCs w:val="20"/>
                <w:color w:val="auto"/>
              </w:rPr>
            </w:pPr>
            <w:r>
              <w:rPr>
                <w:rFonts w:ascii="Arial" w:cs="Arial" w:eastAsia="Arial" w:hAnsi="Arial"/>
                <w:sz w:val="14"/>
                <w:szCs w:val="14"/>
                <w:color w:val="auto"/>
              </w:rPr>
              <w:t>Delta Air Lines Master Trust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500,000</w:t>
            </w:r>
          </w:p>
        </w:tc>
        <w:tc>
          <w:tcPr>
            <w:tcW w:w="1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520" w:type="dxa"/>
            <w:vAlign w:val="bottom"/>
            <w:gridSpan w:val="3"/>
          </w:tcPr>
          <w:p>
            <w:pPr>
              <w:jc w:val="right"/>
              <w:ind w:right="420"/>
              <w:spacing w:after="0" w:line="149" w:lineRule="exact"/>
              <w:rPr>
                <w:sz w:val="20"/>
                <w:szCs w:val="20"/>
                <w:color w:val="auto"/>
              </w:rPr>
            </w:pPr>
            <w:r>
              <w:rPr>
                <w:rFonts w:ascii="Arial" w:cs="Arial" w:eastAsia="Arial" w:hAnsi="Arial"/>
                <w:sz w:val="14"/>
                <w:szCs w:val="14"/>
                <w:color w:val="auto"/>
              </w:rPr>
              <w:t>0</w:t>
            </w:r>
          </w:p>
        </w:tc>
        <w:tc>
          <w:tcPr>
            <w:tcW w:w="11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6,912</w:t>
            </w:r>
          </w:p>
        </w:tc>
        <w:tc>
          <w:tcPr>
            <w:tcW w:w="5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Delta Air Lines Master Trust—International</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90,000</w:t>
            </w:r>
          </w:p>
        </w:tc>
        <w:tc>
          <w:tcPr>
            <w:tcW w:w="1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520" w:type="dxa"/>
            <w:vAlign w:val="bottom"/>
            <w:gridSpan w:val="3"/>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0</w:t>
            </w:r>
          </w:p>
        </w:tc>
        <w:tc>
          <w:tcPr>
            <w:tcW w:w="11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1,244</w:t>
            </w:r>
          </w:p>
        </w:tc>
        <w:tc>
          <w:tcPr>
            <w:tcW w:w="5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gridSpan w:val="3"/>
          </w:tcPr>
          <w:p>
            <w:pPr>
              <w:spacing w:after="0" w:line="149" w:lineRule="exact"/>
              <w:rPr>
                <w:sz w:val="20"/>
                <w:szCs w:val="20"/>
                <w:color w:val="auto"/>
              </w:rPr>
            </w:pPr>
            <w:r>
              <w:rPr>
                <w:rFonts w:ascii="Arial" w:cs="Arial" w:eastAsia="Arial" w:hAnsi="Arial"/>
                <w:sz w:val="14"/>
                <w:szCs w:val="14"/>
                <w:color w:val="auto"/>
              </w:rPr>
              <w:t>Deutsche Asset Management Investmentgesellschaft Funds TRT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500,000</w:t>
            </w:r>
          </w:p>
        </w:tc>
        <w:tc>
          <w:tcPr>
            <w:tcW w:w="1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520" w:type="dxa"/>
            <w:vAlign w:val="bottom"/>
            <w:gridSpan w:val="3"/>
          </w:tcPr>
          <w:p>
            <w:pPr>
              <w:jc w:val="right"/>
              <w:ind w:right="420"/>
              <w:spacing w:after="0" w:line="149" w:lineRule="exact"/>
              <w:rPr>
                <w:sz w:val="20"/>
                <w:szCs w:val="20"/>
                <w:color w:val="auto"/>
              </w:rPr>
            </w:pPr>
            <w:r>
              <w:rPr>
                <w:rFonts w:ascii="Arial" w:cs="Arial" w:eastAsia="Arial" w:hAnsi="Arial"/>
                <w:sz w:val="14"/>
                <w:szCs w:val="14"/>
                <w:color w:val="auto"/>
              </w:rPr>
              <w:t>0</w:t>
            </w:r>
          </w:p>
        </w:tc>
        <w:tc>
          <w:tcPr>
            <w:tcW w:w="11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6,912</w:t>
            </w:r>
          </w:p>
        </w:tc>
        <w:tc>
          <w:tcPr>
            <w:tcW w:w="5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Deutsche Bank Securities Inc.</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16,000,000</w:t>
            </w:r>
          </w:p>
        </w:tc>
        <w:tc>
          <w:tcPr>
            <w:tcW w:w="1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w:t>
            </w:r>
          </w:p>
        </w:tc>
        <w:tc>
          <w:tcPr>
            <w:tcW w:w="1520" w:type="dxa"/>
            <w:vAlign w:val="bottom"/>
            <w:gridSpan w:val="3"/>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0</w:t>
            </w:r>
          </w:p>
        </w:tc>
        <w:tc>
          <w:tcPr>
            <w:tcW w:w="11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221,208</w:t>
            </w:r>
          </w:p>
        </w:tc>
        <w:tc>
          <w:tcPr>
            <w:tcW w:w="5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gridSpan w:val="3"/>
          </w:tcPr>
          <w:p>
            <w:pPr>
              <w:spacing w:after="0" w:line="149" w:lineRule="exact"/>
              <w:rPr>
                <w:sz w:val="20"/>
                <w:szCs w:val="20"/>
                <w:color w:val="auto"/>
              </w:rPr>
            </w:pPr>
            <w:r>
              <w:rPr>
                <w:rFonts w:ascii="Arial" w:cs="Arial" w:eastAsia="Arial" w:hAnsi="Arial"/>
                <w:sz w:val="14"/>
                <w:szCs w:val="14"/>
                <w:color w:val="auto"/>
              </w:rPr>
              <w:t>DL&amp;C Insurance Company Ltd.</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70,000</w:t>
            </w:r>
          </w:p>
        </w:tc>
        <w:tc>
          <w:tcPr>
            <w:tcW w:w="1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520" w:type="dxa"/>
            <w:vAlign w:val="bottom"/>
            <w:gridSpan w:val="3"/>
          </w:tcPr>
          <w:p>
            <w:pPr>
              <w:jc w:val="right"/>
              <w:ind w:right="420"/>
              <w:spacing w:after="0" w:line="149" w:lineRule="exact"/>
              <w:rPr>
                <w:sz w:val="20"/>
                <w:szCs w:val="20"/>
                <w:color w:val="auto"/>
              </w:rPr>
            </w:pPr>
            <w:r>
              <w:rPr>
                <w:rFonts w:ascii="Arial" w:cs="Arial" w:eastAsia="Arial" w:hAnsi="Arial"/>
                <w:sz w:val="14"/>
                <w:szCs w:val="14"/>
                <w:color w:val="auto"/>
              </w:rPr>
              <w:t>0</w:t>
            </w:r>
          </w:p>
        </w:tc>
        <w:tc>
          <w:tcPr>
            <w:tcW w:w="11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967</w:t>
            </w:r>
          </w:p>
        </w:tc>
        <w:tc>
          <w:tcPr>
            <w:tcW w:w="5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Dodeca Fund I, L.P.</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460,000</w:t>
            </w:r>
          </w:p>
        </w:tc>
        <w:tc>
          <w:tcPr>
            <w:tcW w:w="1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520" w:type="dxa"/>
            <w:vAlign w:val="bottom"/>
            <w:gridSpan w:val="3"/>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0</w:t>
            </w:r>
          </w:p>
        </w:tc>
        <w:tc>
          <w:tcPr>
            <w:tcW w:w="11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6,359</w:t>
            </w:r>
          </w:p>
        </w:tc>
        <w:tc>
          <w:tcPr>
            <w:tcW w:w="5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gridSpan w:val="3"/>
          </w:tcPr>
          <w:p>
            <w:pPr>
              <w:spacing w:after="0" w:line="149" w:lineRule="exact"/>
              <w:rPr>
                <w:sz w:val="20"/>
                <w:szCs w:val="20"/>
                <w:color w:val="auto"/>
              </w:rPr>
            </w:pPr>
            <w:r>
              <w:rPr>
                <w:rFonts w:ascii="Arial" w:cs="Arial" w:eastAsia="Arial" w:hAnsi="Arial"/>
                <w:sz w:val="14"/>
                <w:szCs w:val="14"/>
                <w:color w:val="auto"/>
              </w:rPr>
              <w:t>Double Black Diamond Offshore LDC</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8,287,000</w:t>
            </w:r>
          </w:p>
        </w:tc>
        <w:tc>
          <w:tcPr>
            <w:tcW w:w="1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520" w:type="dxa"/>
            <w:vAlign w:val="bottom"/>
            <w:gridSpan w:val="3"/>
          </w:tcPr>
          <w:p>
            <w:pPr>
              <w:jc w:val="right"/>
              <w:ind w:right="420"/>
              <w:spacing w:after="0" w:line="149" w:lineRule="exact"/>
              <w:rPr>
                <w:sz w:val="20"/>
                <w:szCs w:val="20"/>
                <w:color w:val="auto"/>
              </w:rPr>
            </w:pPr>
            <w:r>
              <w:rPr>
                <w:rFonts w:ascii="Arial" w:cs="Arial" w:eastAsia="Arial" w:hAnsi="Arial"/>
                <w:sz w:val="14"/>
                <w:szCs w:val="14"/>
                <w:color w:val="auto"/>
              </w:rPr>
              <w:t>0</w:t>
            </w:r>
          </w:p>
        </w:tc>
        <w:tc>
          <w:tcPr>
            <w:tcW w:w="11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50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114,571</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Duke Endowment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215,000</w:t>
            </w:r>
          </w:p>
        </w:tc>
        <w:tc>
          <w:tcPr>
            <w:tcW w:w="1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520" w:type="dxa"/>
            <w:vAlign w:val="bottom"/>
            <w:gridSpan w:val="3"/>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0</w:t>
            </w:r>
          </w:p>
        </w:tc>
        <w:tc>
          <w:tcPr>
            <w:tcW w:w="11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2,972</w:t>
            </w:r>
          </w:p>
        </w:tc>
        <w:tc>
          <w:tcPr>
            <w:tcW w:w="5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gridSpan w:val="3"/>
          </w:tcPr>
          <w:p>
            <w:pPr>
              <w:spacing w:after="0" w:line="149" w:lineRule="exact"/>
              <w:rPr>
                <w:sz w:val="20"/>
                <w:szCs w:val="20"/>
                <w:color w:val="auto"/>
              </w:rPr>
            </w:pPr>
            <w:r>
              <w:rPr>
                <w:rFonts w:ascii="Arial" w:cs="Arial" w:eastAsia="Arial" w:hAnsi="Arial"/>
                <w:sz w:val="14"/>
                <w:szCs w:val="14"/>
                <w:color w:val="auto"/>
              </w:rPr>
              <w:t>DWS Investment GmbH</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10,000,000</w:t>
            </w:r>
          </w:p>
        </w:tc>
        <w:tc>
          <w:tcPr>
            <w:tcW w:w="1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w:t>
            </w:r>
          </w:p>
        </w:tc>
        <w:tc>
          <w:tcPr>
            <w:tcW w:w="1520" w:type="dxa"/>
            <w:vAlign w:val="bottom"/>
            <w:gridSpan w:val="3"/>
          </w:tcPr>
          <w:p>
            <w:pPr>
              <w:jc w:val="right"/>
              <w:ind w:right="420"/>
              <w:spacing w:after="0" w:line="149" w:lineRule="exact"/>
              <w:rPr>
                <w:sz w:val="20"/>
                <w:szCs w:val="20"/>
                <w:color w:val="auto"/>
              </w:rPr>
            </w:pPr>
            <w:r>
              <w:rPr>
                <w:rFonts w:ascii="Arial" w:cs="Arial" w:eastAsia="Arial" w:hAnsi="Arial"/>
                <w:sz w:val="14"/>
                <w:szCs w:val="14"/>
                <w:color w:val="auto"/>
              </w:rPr>
              <w:t>0</w:t>
            </w:r>
          </w:p>
        </w:tc>
        <w:tc>
          <w:tcPr>
            <w:tcW w:w="11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138,255</w:t>
            </w:r>
          </w:p>
        </w:tc>
        <w:tc>
          <w:tcPr>
            <w:tcW w:w="5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Dylan (IMA) Ltd.</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5,000,000</w:t>
            </w:r>
          </w:p>
        </w:tc>
        <w:tc>
          <w:tcPr>
            <w:tcW w:w="1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520" w:type="dxa"/>
            <w:vAlign w:val="bottom"/>
            <w:gridSpan w:val="3"/>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0</w:t>
            </w:r>
          </w:p>
        </w:tc>
        <w:tc>
          <w:tcPr>
            <w:tcW w:w="11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69,127</w:t>
            </w:r>
          </w:p>
        </w:tc>
        <w:tc>
          <w:tcPr>
            <w:tcW w:w="5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gridSpan w:val="3"/>
          </w:tcPr>
          <w:p>
            <w:pPr>
              <w:spacing w:after="0" w:line="149" w:lineRule="exact"/>
              <w:rPr>
                <w:sz w:val="20"/>
                <w:szCs w:val="20"/>
                <w:color w:val="auto"/>
              </w:rPr>
            </w:pPr>
            <w:r>
              <w:rPr>
                <w:rFonts w:ascii="Arial" w:cs="Arial" w:eastAsia="Arial" w:hAnsi="Arial"/>
                <w:sz w:val="14"/>
                <w:szCs w:val="14"/>
                <w:color w:val="auto"/>
              </w:rPr>
              <w:t>EB Convertible Securities Fund</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520" w:type="dxa"/>
            <w:vAlign w:val="bottom"/>
            <w:gridSpan w:val="3"/>
          </w:tcPr>
          <w:p>
            <w:pPr>
              <w:jc w:val="right"/>
              <w:ind w:right="420"/>
              <w:spacing w:after="0" w:line="149" w:lineRule="exact"/>
              <w:rPr>
                <w:sz w:val="20"/>
                <w:szCs w:val="20"/>
                <w:color w:val="auto"/>
              </w:rPr>
            </w:pPr>
            <w:r>
              <w:rPr>
                <w:rFonts w:ascii="Arial" w:cs="Arial" w:eastAsia="Arial" w:hAnsi="Arial"/>
                <w:sz w:val="14"/>
                <w:szCs w:val="14"/>
                <w:color w:val="auto"/>
              </w:rPr>
              <w:t>1,480,000</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18,500</w:t>
            </w:r>
          </w:p>
        </w:tc>
        <w:tc>
          <w:tcPr>
            <w:tcW w:w="5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Excellus Health Plan, Inc.</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3,750,000</w:t>
            </w:r>
          </w:p>
        </w:tc>
        <w:tc>
          <w:tcPr>
            <w:tcW w:w="1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520" w:type="dxa"/>
            <w:vAlign w:val="bottom"/>
            <w:gridSpan w:val="3"/>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0</w:t>
            </w:r>
          </w:p>
        </w:tc>
        <w:tc>
          <w:tcPr>
            <w:tcW w:w="11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51,845</w:t>
            </w:r>
          </w:p>
        </w:tc>
        <w:tc>
          <w:tcPr>
            <w:tcW w:w="5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gridSpan w:val="3"/>
          </w:tcPr>
          <w:p>
            <w:pPr>
              <w:spacing w:after="0" w:line="149" w:lineRule="exact"/>
              <w:rPr>
                <w:sz w:val="20"/>
                <w:szCs w:val="20"/>
                <w:color w:val="auto"/>
              </w:rPr>
            </w:pPr>
            <w:r>
              <w:rPr>
                <w:rFonts w:ascii="Arial" w:cs="Arial" w:eastAsia="Arial" w:hAnsi="Arial"/>
                <w:sz w:val="14"/>
                <w:szCs w:val="14"/>
                <w:color w:val="auto"/>
              </w:rPr>
              <w:t>F&amp;C Global Convertible Bond SICAV</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183,000</w:t>
            </w:r>
          </w:p>
        </w:tc>
        <w:tc>
          <w:tcPr>
            <w:tcW w:w="1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520" w:type="dxa"/>
            <w:vAlign w:val="bottom"/>
            <w:gridSpan w:val="3"/>
          </w:tcPr>
          <w:p>
            <w:pPr>
              <w:jc w:val="right"/>
              <w:ind w:right="420"/>
              <w:spacing w:after="0" w:line="149" w:lineRule="exact"/>
              <w:rPr>
                <w:sz w:val="20"/>
                <w:szCs w:val="20"/>
                <w:color w:val="auto"/>
              </w:rPr>
            </w:pPr>
            <w:r>
              <w:rPr>
                <w:rFonts w:ascii="Arial" w:cs="Arial" w:eastAsia="Arial" w:hAnsi="Arial"/>
                <w:sz w:val="14"/>
                <w:szCs w:val="14"/>
                <w:color w:val="auto"/>
              </w:rPr>
              <w:t>0</w:t>
            </w:r>
          </w:p>
        </w:tc>
        <w:tc>
          <w:tcPr>
            <w:tcW w:w="11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5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2,530(4)</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Fidelity Financial Trust: Fidelity Convertible Securities Fund</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12,000,000</w:t>
            </w:r>
          </w:p>
        </w:tc>
        <w:tc>
          <w:tcPr>
            <w:tcW w:w="1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w:t>
            </w:r>
          </w:p>
        </w:tc>
        <w:tc>
          <w:tcPr>
            <w:tcW w:w="1520" w:type="dxa"/>
            <w:vAlign w:val="bottom"/>
            <w:gridSpan w:val="3"/>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0</w:t>
            </w:r>
          </w:p>
        </w:tc>
        <w:tc>
          <w:tcPr>
            <w:tcW w:w="11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165,906</w:t>
            </w:r>
          </w:p>
        </w:tc>
        <w:tc>
          <w:tcPr>
            <w:tcW w:w="5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gridSpan w:val="3"/>
          </w:tcPr>
          <w:p>
            <w:pPr>
              <w:spacing w:after="0" w:line="149" w:lineRule="exact"/>
              <w:rPr>
                <w:sz w:val="20"/>
                <w:szCs w:val="20"/>
                <w:color w:val="auto"/>
              </w:rPr>
            </w:pPr>
            <w:r>
              <w:rPr>
                <w:rFonts w:ascii="Arial" w:cs="Arial" w:eastAsia="Arial" w:hAnsi="Arial"/>
                <w:sz w:val="14"/>
                <w:szCs w:val="14"/>
                <w:color w:val="auto"/>
              </w:rPr>
              <w:t>Field Foundation of Illinois</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520" w:type="dxa"/>
            <w:vAlign w:val="bottom"/>
            <w:gridSpan w:val="3"/>
          </w:tcPr>
          <w:p>
            <w:pPr>
              <w:jc w:val="right"/>
              <w:ind w:right="420"/>
              <w:spacing w:after="0" w:line="149" w:lineRule="exact"/>
              <w:rPr>
                <w:sz w:val="20"/>
                <w:szCs w:val="20"/>
                <w:color w:val="auto"/>
              </w:rPr>
            </w:pPr>
            <w:r>
              <w:rPr>
                <w:rFonts w:ascii="Arial" w:cs="Arial" w:eastAsia="Arial" w:hAnsi="Arial"/>
                <w:sz w:val="14"/>
                <w:szCs w:val="14"/>
                <w:color w:val="auto"/>
              </w:rPr>
              <w:t>80,000</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1,000</w:t>
            </w:r>
          </w:p>
        </w:tc>
        <w:tc>
          <w:tcPr>
            <w:tcW w:w="5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Forest Fulcrum Fund Ltd.</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520" w:type="dxa"/>
            <w:vAlign w:val="bottom"/>
            <w:gridSpan w:val="3"/>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765,000</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9,562</w:t>
            </w:r>
          </w:p>
        </w:tc>
        <w:tc>
          <w:tcPr>
            <w:tcW w:w="5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gridSpan w:val="3"/>
          </w:tcPr>
          <w:p>
            <w:pPr>
              <w:spacing w:after="0" w:line="149" w:lineRule="exact"/>
              <w:rPr>
                <w:sz w:val="20"/>
                <w:szCs w:val="20"/>
                <w:color w:val="auto"/>
              </w:rPr>
            </w:pPr>
            <w:r>
              <w:rPr>
                <w:rFonts w:ascii="Arial" w:cs="Arial" w:eastAsia="Arial" w:hAnsi="Arial"/>
                <w:sz w:val="14"/>
                <w:szCs w:val="14"/>
                <w:color w:val="auto"/>
              </w:rPr>
              <w:t>Forest Global Convertible Fund, Ltd. Class A-5</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520" w:type="dxa"/>
            <w:vAlign w:val="bottom"/>
            <w:gridSpan w:val="3"/>
          </w:tcPr>
          <w:p>
            <w:pPr>
              <w:jc w:val="right"/>
              <w:ind w:right="420"/>
              <w:spacing w:after="0" w:line="149" w:lineRule="exact"/>
              <w:rPr>
                <w:sz w:val="20"/>
                <w:szCs w:val="20"/>
                <w:color w:val="auto"/>
              </w:rPr>
            </w:pPr>
            <w:r>
              <w:rPr>
                <w:rFonts w:ascii="Arial" w:cs="Arial" w:eastAsia="Arial" w:hAnsi="Arial"/>
                <w:sz w:val="14"/>
                <w:szCs w:val="14"/>
                <w:color w:val="auto"/>
              </w:rPr>
              <w:t>2,738,000</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34,225</w:t>
            </w:r>
          </w:p>
        </w:tc>
        <w:tc>
          <w:tcPr>
            <w:tcW w:w="5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Forest Multi-Strategy Master Fund SPC</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520" w:type="dxa"/>
            <w:vAlign w:val="bottom"/>
            <w:gridSpan w:val="3"/>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1,005,000</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12,562</w:t>
            </w:r>
          </w:p>
        </w:tc>
        <w:tc>
          <w:tcPr>
            <w:tcW w:w="5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gridSpan w:val="3"/>
          </w:tcPr>
          <w:p>
            <w:pPr>
              <w:spacing w:after="0" w:line="149" w:lineRule="exact"/>
              <w:rPr>
                <w:sz w:val="20"/>
                <w:szCs w:val="20"/>
                <w:color w:val="auto"/>
              </w:rPr>
            </w:pPr>
            <w:r>
              <w:rPr>
                <w:rFonts w:ascii="Arial" w:cs="Arial" w:eastAsia="Arial" w:hAnsi="Arial"/>
                <w:sz w:val="14"/>
                <w:szCs w:val="14"/>
                <w:color w:val="auto"/>
              </w:rPr>
              <w:t>Forrestal Funding Master Trust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12,500,000</w:t>
            </w:r>
          </w:p>
        </w:tc>
        <w:tc>
          <w:tcPr>
            <w:tcW w:w="1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w:t>
            </w:r>
          </w:p>
        </w:tc>
        <w:tc>
          <w:tcPr>
            <w:tcW w:w="1520" w:type="dxa"/>
            <w:vAlign w:val="bottom"/>
            <w:gridSpan w:val="3"/>
          </w:tcPr>
          <w:p>
            <w:pPr>
              <w:jc w:val="right"/>
              <w:ind w:right="420"/>
              <w:spacing w:after="0" w:line="149" w:lineRule="exact"/>
              <w:rPr>
                <w:sz w:val="20"/>
                <w:szCs w:val="20"/>
                <w:color w:val="auto"/>
              </w:rPr>
            </w:pPr>
            <w:r>
              <w:rPr>
                <w:rFonts w:ascii="Arial" w:cs="Arial" w:eastAsia="Arial" w:hAnsi="Arial"/>
                <w:sz w:val="14"/>
                <w:szCs w:val="14"/>
                <w:color w:val="auto"/>
              </w:rPr>
              <w:t>0</w:t>
            </w:r>
          </w:p>
        </w:tc>
        <w:tc>
          <w:tcPr>
            <w:tcW w:w="11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172,818</w:t>
            </w:r>
          </w:p>
        </w:tc>
        <w:tc>
          <w:tcPr>
            <w:tcW w:w="5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Gaia Offshore Master Fund Ltd.</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8,300,000</w:t>
            </w:r>
          </w:p>
        </w:tc>
        <w:tc>
          <w:tcPr>
            <w:tcW w:w="1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520" w:type="dxa"/>
            <w:vAlign w:val="bottom"/>
            <w:gridSpan w:val="3"/>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7,400,000</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w:t>
            </w:r>
          </w:p>
        </w:tc>
        <w:tc>
          <w:tcPr>
            <w:tcW w:w="4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207,251</w:t>
            </w:r>
          </w:p>
        </w:tc>
        <w:tc>
          <w:tcPr>
            <w:tcW w:w="5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gridSpan w:val="3"/>
          </w:tcPr>
          <w:p>
            <w:pPr>
              <w:spacing w:after="0" w:line="149" w:lineRule="exact"/>
              <w:rPr>
                <w:sz w:val="20"/>
                <w:szCs w:val="20"/>
                <w:color w:val="auto"/>
              </w:rPr>
            </w:pPr>
            <w:r>
              <w:rPr>
                <w:rFonts w:ascii="Arial" w:cs="Arial" w:eastAsia="Arial" w:hAnsi="Arial"/>
                <w:sz w:val="14"/>
                <w:szCs w:val="14"/>
                <w:color w:val="auto"/>
              </w:rPr>
              <w:t>Gemini Sammelstiftung Zur Forderung Der Personalvorsorge</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520" w:type="dxa"/>
            <w:vAlign w:val="bottom"/>
            <w:gridSpan w:val="3"/>
          </w:tcPr>
          <w:p>
            <w:pPr>
              <w:jc w:val="right"/>
              <w:ind w:right="420"/>
              <w:spacing w:after="0" w:line="149" w:lineRule="exact"/>
              <w:rPr>
                <w:sz w:val="20"/>
                <w:szCs w:val="20"/>
                <w:color w:val="auto"/>
              </w:rPr>
            </w:pPr>
            <w:r>
              <w:rPr>
                <w:rFonts w:ascii="Arial" w:cs="Arial" w:eastAsia="Arial" w:hAnsi="Arial"/>
                <w:sz w:val="14"/>
                <w:szCs w:val="14"/>
                <w:color w:val="auto"/>
              </w:rPr>
              <w:t>260,000</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3,250</w:t>
            </w:r>
          </w:p>
        </w:tc>
        <w:tc>
          <w:tcPr>
            <w:tcW w:w="5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General Motors Employees Global Group Pension Trust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520" w:type="dxa"/>
            <w:vAlign w:val="bottom"/>
            <w:gridSpan w:val="3"/>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1,541,000</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19,262</w:t>
            </w:r>
          </w:p>
        </w:tc>
        <w:tc>
          <w:tcPr>
            <w:tcW w:w="5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gridSpan w:val="3"/>
          </w:tcPr>
          <w:p>
            <w:pPr>
              <w:spacing w:after="0" w:line="149" w:lineRule="exact"/>
              <w:rPr>
                <w:sz w:val="20"/>
                <w:szCs w:val="20"/>
                <w:color w:val="auto"/>
              </w:rPr>
            </w:pPr>
            <w:r>
              <w:rPr>
                <w:rFonts w:ascii="Arial" w:cs="Arial" w:eastAsia="Arial" w:hAnsi="Arial"/>
                <w:sz w:val="14"/>
                <w:szCs w:val="14"/>
                <w:color w:val="auto"/>
              </w:rPr>
              <w:t>GenCorp Foundation</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520" w:type="dxa"/>
            <w:vAlign w:val="bottom"/>
            <w:gridSpan w:val="3"/>
          </w:tcPr>
          <w:p>
            <w:pPr>
              <w:jc w:val="right"/>
              <w:ind w:right="420"/>
              <w:spacing w:after="0" w:line="149" w:lineRule="exact"/>
              <w:rPr>
                <w:sz w:val="20"/>
                <w:szCs w:val="20"/>
                <w:color w:val="auto"/>
              </w:rPr>
            </w:pPr>
            <w:r>
              <w:rPr>
                <w:rFonts w:ascii="Arial" w:cs="Arial" w:eastAsia="Arial" w:hAnsi="Arial"/>
                <w:sz w:val="14"/>
                <w:szCs w:val="14"/>
                <w:color w:val="auto"/>
              </w:rPr>
              <w:t>65,000</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812</w:t>
            </w:r>
          </w:p>
        </w:tc>
        <w:tc>
          <w:tcPr>
            <w:tcW w:w="5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520" w:type="dxa"/>
            <w:vAlign w:val="bottom"/>
            <w:gridSpan w:val="3"/>
            <w:shd w:val="clear" w:color="auto" w:fill="CCEEFF"/>
          </w:tcPr>
          <w:p>
            <w:pPr>
              <w:spacing w:after="0" w:line="138" w:lineRule="exact"/>
              <w:rPr>
                <w:sz w:val="20"/>
                <w:szCs w:val="20"/>
                <w:color w:val="auto"/>
              </w:rPr>
            </w:pPr>
            <w:r>
              <w:rPr>
                <w:rFonts w:ascii="Arial" w:cs="Arial" w:eastAsia="Arial" w:hAnsi="Arial"/>
                <w:sz w:val="14"/>
                <w:szCs w:val="14"/>
                <w:color w:val="auto"/>
              </w:rPr>
              <w:t>Geode U.S. Convertible Arbitrage Fund, a series of Geode</w:t>
            </w:r>
          </w:p>
        </w:tc>
        <w:tc>
          <w:tcPr>
            <w:tcW w:w="6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520" w:type="dxa"/>
            <w:vAlign w:val="bottom"/>
            <w:gridSpan w:val="3"/>
            <w:shd w:val="clear" w:color="auto" w:fill="CCEEFF"/>
          </w:tcPr>
          <w:p>
            <w:pPr>
              <w:ind w:left="200"/>
              <w:spacing w:after="0" w:line="159" w:lineRule="exact"/>
              <w:rPr>
                <w:sz w:val="20"/>
                <w:szCs w:val="20"/>
                <w:color w:val="auto"/>
              </w:rPr>
            </w:pPr>
            <w:r>
              <w:rPr>
                <w:rFonts w:ascii="Arial" w:cs="Arial" w:eastAsia="Arial" w:hAnsi="Arial"/>
                <w:sz w:val="14"/>
                <w:szCs w:val="14"/>
                <w:color w:val="auto"/>
              </w:rPr>
              <w:t>Investors, LLC</w:t>
            </w: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2,000,000</w:t>
            </w:r>
          </w:p>
        </w:tc>
        <w:tc>
          <w:tcPr>
            <w:tcW w:w="11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520" w:type="dxa"/>
            <w:vAlign w:val="bottom"/>
            <w:gridSpan w:val="3"/>
            <w:shd w:val="clear" w:color="auto" w:fill="CCEEFF"/>
          </w:tcPr>
          <w:p>
            <w:pPr>
              <w:jc w:val="right"/>
              <w:ind w:right="420"/>
              <w:spacing w:after="0" w:line="159" w:lineRule="exact"/>
              <w:rPr>
                <w:sz w:val="20"/>
                <w:szCs w:val="20"/>
                <w:color w:val="auto"/>
              </w:rPr>
            </w:pPr>
            <w:r>
              <w:rPr>
                <w:rFonts w:ascii="Arial" w:cs="Arial" w:eastAsia="Arial" w:hAnsi="Arial"/>
                <w:sz w:val="14"/>
                <w:szCs w:val="14"/>
                <w:color w:val="auto"/>
              </w:rPr>
              <w:t>0</w:t>
            </w:r>
          </w:p>
        </w:tc>
        <w:tc>
          <w:tcPr>
            <w:tcW w:w="1140" w:type="dxa"/>
            <w:vAlign w:val="bottom"/>
            <w:gridSpan w:val="2"/>
            <w:shd w:val="clear" w:color="auto" w:fill="CCEEFF"/>
          </w:tcPr>
          <w:p>
            <w:pPr>
              <w:jc w:val="right"/>
              <w:ind w:right="400"/>
              <w:spacing w:after="0" w:line="15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27,651</w:t>
            </w:r>
          </w:p>
        </w:tc>
        <w:tc>
          <w:tcPr>
            <w:tcW w:w="58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gridSpan w:val="3"/>
          </w:tcPr>
          <w:p>
            <w:pPr>
              <w:spacing w:after="0" w:line="149" w:lineRule="exact"/>
              <w:rPr>
                <w:sz w:val="20"/>
                <w:szCs w:val="20"/>
                <w:color w:val="auto"/>
              </w:rPr>
            </w:pPr>
            <w:r>
              <w:rPr>
                <w:rFonts w:ascii="Arial" w:cs="Arial" w:eastAsia="Arial" w:hAnsi="Arial"/>
                <w:sz w:val="14"/>
                <w:szCs w:val="14"/>
                <w:color w:val="auto"/>
              </w:rPr>
              <w:t>Georgia Municipal Retirement Trust Foundation</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520" w:type="dxa"/>
            <w:vAlign w:val="bottom"/>
            <w:gridSpan w:val="3"/>
          </w:tcPr>
          <w:p>
            <w:pPr>
              <w:jc w:val="right"/>
              <w:ind w:right="420"/>
              <w:spacing w:after="0" w:line="149" w:lineRule="exact"/>
              <w:rPr>
                <w:sz w:val="20"/>
                <w:szCs w:val="20"/>
                <w:color w:val="auto"/>
              </w:rPr>
            </w:pPr>
            <w:r>
              <w:rPr>
                <w:rFonts w:ascii="Arial" w:cs="Arial" w:eastAsia="Arial" w:hAnsi="Arial"/>
                <w:sz w:val="14"/>
                <w:szCs w:val="14"/>
                <w:color w:val="auto"/>
              </w:rPr>
              <w:t>705,000</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8,812</w:t>
            </w:r>
          </w:p>
        </w:tc>
        <w:tc>
          <w:tcPr>
            <w:tcW w:w="5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GLG Global Convertible Fund</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520" w:type="dxa"/>
            <w:vAlign w:val="bottom"/>
            <w:gridSpan w:val="3"/>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6,400,000</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w:t>
            </w:r>
          </w:p>
        </w:tc>
        <w:tc>
          <w:tcPr>
            <w:tcW w:w="4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80,000</w:t>
            </w:r>
          </w:p>
        </w:tc>
        <w:tc>
          <w:tcPr>
            <w:tcW w:w="5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gridSpan w:val="3"/>
          </w:tcPr>
          <w:p>
            <w:pPr>
              <w:spacing w:after="0" w:line="149" w:lineRule="exact"/>
              <w:rPr>
                <w:sz w:val="20"/>
                <w:szCs w:val="20"/>
                <w:color w:val="auto"/>
              </w:rPr>
            </w:pPr>
            <w:r>
              <w:rPr>
                <w:rFonts w:ascii="Arial" w:cs="Arial" w:eastAsia="Arial" w:hAnsi="Arial"/>
                <w:sz w:val="14"/>
                <w:szCs w:val="14"/>
                <w:color w:val="auto"/>
              </w:rPr>
              <w:t>GLG Global Convertible UCITS Fund</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520" w:type="dxa"/>
            <w:vAlign w:val="bottom"/>
            <w:gridSpan w:val="3"/>
          </w:tcPr>
          <w:p>
            <w:pPr>
              <w:jc w:val="right"/>
              <w:ind w:right="420"/>
              <w:spacing w:after="0" w:line="149" w:lineRule="exact"/>
              <w:rPr>
                <w:sz w:val="20"/>
                <w:szCs w:val="20"/>
                <w:color w:val="auto"/>
              </w:rPr>
            </w:pPr>
            <w:r>
              <w:rPr>
                <w:rFonts w:ascii="Arial" w:cs="Arial" w:eastAsia="Arial" w:hAnsi="Arial"/>
                <w:sz w:val="14"/>
                <w:szCs w:val="14"/>
                <w:color w:val="auto"/>
              </w:rPr>
              <w:t>2,300,000</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28,750</w:t>
            </w:r>
          </w:p>
        </w:tc>
        <w:tc>
          <w:tcPr>
            <w:tcW w:w="5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GLG Market Neutral Fund</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520" w:type="dxa"/>
            <w:vAlign w:val="bottom"/>
            <w:gridSpan w:val="3"/>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51,000,000</w:t>
            </w:r>
          </w:p>
        </w:tc>
        <w:tc>
          <w:tcPr>
            <w:tcW w:w="11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11.3</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637,500</w:t>
            </w:r>
          </w:p>
        </w:tc>
        <w:tc>
          <w:tcPr>
            <w:tcW w:w="5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gridSpan w:val="3"/>
          </w:tcPr>
          <w:p>
            <w:pPr>
              <w:spacing w:after="0" w:line="149" w:lineRule="exact"/>
              <w:rPr>
                <w:sz w:val="20"/>
                <w:szCs w:val="20"/>
                <w:color w:val="auto"/>
              </w:rPr>
            </w:pPr>
            <w:r>
              <w:rPr>
                <w:rFonts w:ascii="Arial" w:cs="Arial" w:eastAsia="Arial" w:hAnsi="Arial"/>
                <w:sz w:val="14"/>
                <w:szCs w:val="14"/>
                <w:color w:val="auto"/>
              </w:rPr>
              <w:t>Global Bermuda Limited Partnership</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12,000,000</w:t>
            </w:r>
          </w:p>
        </w:tc>
        <w:tc>
          <w:tcPr>
            <w:tcW w:w="1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w:t>
            </w:r>
          </w:p>
        </w:tc>
        <w:tc>
          <w:tcPr>
            <w:tcW w:w="1520" w:type="dxa"/>
            <w:vAlign w:val="bottom"/>
            <w:gridSpan w:val="3"/>
          </w:tcPr>
          <w:p>
            <w:pPr>
              <w:jc w:val="right"/>
              <w:ind w:right="420"/>
              <w:spacing w:after="0" w:line="149" w:lineRule="exact"/>
              <w:rPr>
                <w:sz w:val="20"/>
                <w:szCs w:val="20"/>
                <w:color w:val="auto"/>
              </w:rPr>
            </w:pPr>
            <w:r>
              <w:rPr>
                <w:rFonts w:ascii="Arial" w:cs="Arial" w:eastAsia="Arial" w:hAnsi="Arial"/>
                <w:sz w:val="14"/>
                <w:szCs w:val="14"/>
                <w:color w:val="auto"/>
              </w:rPr>
              <w:t>0</w:t>
            </w:r>
          </w:p>
        </w:tc>
        <w:tc>
          <w:tcPr>
            <w:tcW w:w="11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165,906</w:t>
            </w:r>
          </w:p>
        </w:tc>
        <w:tc>
          <w:tcPr>
            <w:tcW w:w="5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Goldman, Sachs &amp; Co.</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10,280,000</w:t>
            </w:r>
          </w:p>
        </w:tc>
        <w:tc>
          <w:tcPr>
            <w:tcW w:w="1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w:t>
            </w:r>
          </w:p>
        </w:tc>
        <w:tc>
          <w:tcPr>
            <w:tcW w:w="1520" w:type="dxa"/>
            <w:vAlign w:val="bottom"/>
            <w:gridSpan w:val="3"/>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0</w:t>
            </w:r>
          </w:p>
        </w:tc>
        <w:tc>
          <w:tcPr>
            <w:tcW w:w="11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5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142,126(5)</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520" w:type="dxa"/>
            <w:vAlign w:val="bottom"/>
            <w:gridSpan w:val="3"/>
          </w:tcPr>
          <w:p>
            <w:pPr>
              <w:spacing w:after="0"/>
              <w:rPr>
                <w:sz w:val="20"/>
                <w:szCs w:val="20"/>
                <w:color w:val="auto"/>
              </w:rPr>
            </w:pPr>
            <w:r>
              <w:rPr>
                <w:rFonts w:ascii="Arial" w:cs="Arial" w:eastAsia="Arial" w:hAnsi="Arial"/>
                <w:sz w:val="14"/>
                <w:szCs w:val="14"/>
                <w:color w:val="auto"/>
              </w:rPr>
              <w:t>Hamburger Pensionskasse von 1905 VvaG</w:t>
            </w:r>
          </w:p>
        </w:tc>
        <w:tc>
          <w:tcPr>
            <w:tcW w:w="680" w:type="dxa"/>
            <w:vAlign w:val="bottom"/>
          </w:tcPr>
          <w:p>
            <w:pPr>
              <w:jc w:val="right"/>
              <w:spacing w:after="0"/>
              <w:rPr>
                <w:sz w:val="20"/>
                <w:szCs w:val="20"/>
                <w:color w:val="auto"/>
              </w:rPr>
            </w:pPr>
            <w:r>
              <w:rPr>
                <w:rFonts w:ascii="Arial" w:cs="Arial" w:eastAsia="Arial" w:hAnsi="Arial"/>
                <w:sz w:val="14"/>
                <w:szCs w:val="14"/>
                <w:color w:val="auto"/>
              </w:rPr>
              <w:t>465,000</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520" w:type="dxa"/>
            <w:vAlign w:val="bottom"/>
            <w:gridSpan w:val="3"/>
          </w:tcPr>
          <w:p>
            <w:pPr>
              <w:jc w:val="right"/>
              <w:ind w:right="420"/>
              <w:spacing w:after="0"/>
              <w:rPr>
                <w:sz w:val="20"/>
                <w:szCs w:val="20"/>
                <w:color w:val="auto"/>
              </w:rPr>
            </w:pPr>
            <w:r>
              <w:rPr>
                <w:rFonts w:ascii="Arial" w:cs="Arial" w:eastAsia="Arial" w:hAnsi="Arial"/>
                <w:sz w:val="14"/>
                <w:szCs w:val="14"/>
                <w:color w:val="auto"/>
              </w:rPr>
              <w:t>0</w:t>
            </w:r>
          </w:p>
        </w:tc>
        <w:tc>
          <w:tcPr>
            <w:tcW w:w="114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6,428</w:t>
            </w:r>
          </w:p>
        </w:tc>
        <w:tc>
          <w:tcPr>
            <w:tcW w:w="5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1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1420"/>
          </w:cols>
          <w:pgMar w:left="240" w:top="263"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1"/>
              </w:rPr>
              <w:t>Principal</w:t>
            </w: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Principal</w:t>
            </w: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Amount of</w:t>
            </w: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8"/>
              </w:rPr>
              <w:t>Amount of</w:t>
            </w: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Series A</w:t>
            </w: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Series B</w:t>
            </w: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Number of</w:t>
            </w: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Debentures</w:t>
            </w: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5"/>
              </w:rPr>
              <w:t>Debentures</w:t>
            </w: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4"/>
              </w:rPr>
              <w:t>Shares of</w:t>
            </w: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Beneficially</w:t>
            </w:r>
          </w:p>
        </w:tc>
        <w:tc>
          <w:tcPr>
            <w:tcW w:w="3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Percentage</w:t>
            </w:r>
          </w:p>
        </w:tc>
        <w:tc>
          <w:tcPr>
            <w:tcW w:w="13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Percentage</w:t>
            </w:r>
          </w:p>
        </w:tc>
        <w:tc>
          <w:tcPr>
            <w:tcW w:w="340" w:type="dxa"/>
            <w:vAlign w:val="bottom"/>
          </w:tcPr>
          <w:p>
            <w:pPr>
              <w:spacing w:after="0"/>
              <w:rPr>
                <w:sz w:val="12"/>
                <w:szCs w:val="12"/>
                <w:color w:val="auto"/>
              </w:rPr>
            </w:pPr>
          </w:p>
        </w:tc>
        <w:tc>
          <w:tcPr>
            <w:tcW w:w="12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5"/>
              </w:rPr>
              <w:t>Common Stock</w:t>
            </w: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4"/>
              </w:rPr>
              <w:t>Percentage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Owned</w:t>
            </w:r>
          </w:p>
        </w:tc>
        <w:tc>
          <w:tcPr>
            <w:tcW w:w="3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of Series A</w:t>
            </w:r>
          </w:p>
        </w:tc>
        <w:tc>
          <w:tcPr>
            <w:tcW w:w="360" w:type="dxa"/>
            <w:vAlign w:val="bottom"/>
          </w:tcPr>
          <w:p>
            <w:pPr>
              <w:spacing w:after="0"/>
              <w:rPr>
                <w:sz w:val="12"/>
                <w:szCs w:val="12"/>
                <w:color w:val="auto"/>
              </w:rPr>
            </w:pPr>
          </w:p>
        </w:tc>
        <w:tc>
          <w:tcPr>
            <w:tcW w:w="10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Owned</w:t>
            </w: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of Series B</w:t>
            </w:r>
          </w:p>
        </w:tc>
        <w:tc>
          <w:tcPr>
            <w:tcW w:w="340" w:type="dxa"/>
            <w:vAlign w:val="bottom"/>
          </w:tcPr>
          <w:p>
            <w:pPr>
              <w:spacing w:after="0"/>
              <w:rPr>
                <w:sz w:val="12"/>
                <w:szCs w:val="12"/>
                <w:color w:val="auto"/>
              </w:rPr>
            </w:pPr>
          </w:p>
        </w:tc>
        <w:tc>
          <w:tcPr>
            <w:tcW w:w="12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Underlying the</w:t>
            </w: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Common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That May</w:t>
            </w:r>
          </w:p>
        </w:tc>
        <w:tc>
          <w:tcPr>
            <w:tcW w:w="3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Debentures</w:t>
            </w:r>
          </w:p>
        </w:tc>
        <w:tc>
          <w:tcPr>
            <w:tcW w:w="360" w:type="dxa"/>
            <w:vAlign w:val="bottom"/>
          </w:tcPr>
          <w:p>
            <w:pPr>
              <w:spacing w:after="0"/>
              <w:rPr>
                <w:sz w:val="12"/>
                <w:szCs w:val="12"/>
                <w:color w:val="auto"/>
              </w:rPr>
            </w:pPr>
          </w:p>
        </w:tc>
        <w:tc>
          <w:tcPr>
            <w:tcW w:w="10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That May</w:t>
            </w: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Debentures</w:t>
            </w:r>
          </w:p>
        </w:tc>
        <w:tc>
          <w:tcPr>
            <w:tcW w:w="340" w:type="dxa"/>
            <w:vAlign w:val="bottom"/>
          </w:tcPr>
          <w:p>
            <w:pPr>
              <w:spacing w:after="0"/>
              <w:rPr>
                <w:sz w:val="12"/>
                <w:szCs w:val="12"/>
                <w:color w:val="auto"/>
              </w:rPr>
            </w:pPr>
          </w:p>
        </w:tc>
        <w:tc>
          <w:tcPr>
            <w:tcW w:w="12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Debentures and</w:t>
            </w: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2920" w:type="dxa"/>
            <w:vAlign w:val="bottom"/>
            <w:gridSpan w:val="2"/>
          </w:tcPr>
          <w:p>
            <w:pPr>
              <w:ind w:left="60"/>
              <w:spacing w:after="0"/>
              <w:rPr>
                <w:sz w:val="20"/>
                <w:szCs w:val="20"/>
                <w:color w:val="auto"/>
              </w:rPr>
            </w:pPr>
            <w:r>
              <w:rPr>
                <w:rFonts w:ascii="Arial" w:cs="Arial" w:eastAsia="Arial" w:hAnsi="Arial"/>
                <w:sz w:val="14"/>
                <w:szCs w:val="14"/>
                <w:b w:val="1"/>
                <w:bCs w:val="1"/>
                <w:color w:val="auto"/>
              </w:rPr>
              <w:t>Name</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0"/>
              </w:rPr>
              <w:t>Be Sold</w:t>
            </w:r>
          </w:p>
        </w:tc>
        <w:tc>
          <w:tcPr>
            <w:tcW w:w="36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7"/>
              </w:rPr>
              <w:t>Outstanding</w:t>
            </w:r>
          </w:p>
        </w:tc>
        <w:tc>
          <w:tcPr>
            <w:tcW w:w="360" w:type="dxa"/>
            <w:vAlign w:val="bottom"/>
          </w:tcPr>
          <w:p>
            <w:pPr>
              <w:spacing w:after="0"/>
              <w:rPr>
                <w:sz w:val="15"/>
                <w:szCs w:val="15"/>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4"/>
              </w:rPr>
              <w:t>Be Sold</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9"/>
              </w:rPr>
              <w:t>Outstanding</w:t>
            </w:r>
          </w:p>
        </w:tc>
        <w:tc>
          <w:tcPr>
            <w:tcW w:w="340" w:type="dxa"/>
            <w:vAlign w:val="bottom"/>
          </w:tcPr>
          <w:p>
            <w:pPr>
              <w:spacing w:after="0"/>
              <w:rPr>
                <w:sz w:val="15"/>
                <w:szCs w:val="15"/>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Offered Hereby</w:t>
            </w:r>
          </w:p>
        </w:tc>
        <w:tc>
          <w:tcPr>
            <w:tcW w:w="9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8"/>
              </w:rPr>
              <w:t>Outstanding(1)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10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48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360" w:type="dxa"/>
            <w:vAlign w:val="bottom"/>
          </w:tcPr>
          <w:p>
            <w:pPr>
              <w:spacing w:after="0"/>
              <w:rPr>
                <w:sz w:val="8"/>
                <w:szCs w:val="8"/>
                <w:color w:val="auto"/>
              </w:rPr>
            </w:pPr>
          </w:p>
        </w:tc>
        <w:tc>
          <w:tcPr>
            <w:tcW w:w="720" w:type="dxa"/>
            <w:vAlign w:val="bottom"/>
          </w:tcPr>
          <w:p>
            <w:pPr>
              <w:spacing w:after="0"/>
              <w:rPr>
                <w:sz w:val="8"/>
                <w:szCs w:val="8"/>
                <w:color w:val="auto"/>
              </w:rPr>
            </w:pPr>
          </w:p>
        </w:tc>
        <w:tc>
          <w:tcPr>
            <w:tcW w:w="360" w:type="dxa"/>
            <w:vAlign w:val="bottom"/>
          </w:tcPr>
          <w:p>
            <w:pPr>
              <w:spacing w:after="0"/>
              <w:rPr>
                <w:sz w:val="8"/>
                <w:szCs w:val="8"/>
                <w:color w:val="auto"/>
              </w:rPr>
            </w:pPr>
          </w:p>
        </w:tc>
        <w:tc>
          <w:tcPr>
            <w:tcW w:w="680" w:type="dxa"/>
            <w:vAlign w:val="bottom"/>
          </w:tcPr>
          <w:p>
            <w:pPr>
              <w:spacing w:after="0"/>
              <w:rPr>
                <w:sz w:val="8"/>
                <w:szCs w:val="8"/>
                <w:color w:val="auto"/>
              </w:rPr>
            </w:pPr>
          </w:p>
        </w:tc>
        <w:tc>
          <w:tcPr>
            <w:tcW w:w="340" w:type="dxa"/>
            <w:vAlign w:val="bottom"/>
          </w:tcPr>
          <w:p>
            <w:pPr>
              <w:spacing w:after="0"/>
              <w:rPr>
                <w:sz w:val="8"/>
                <w:szCs w:val="8"/>
                <w:color w:val="auto"/>
              </w:rPr>
            </w:pPr>
          </w:p>
        </w:tc>
        <w:tc>
          <w:tcPr>
            <w:tcW w:w="740" w:type="dxa"/>
            <w:vAlign w:val="bottom"/>
          </w:tcPr>
          <w:p>
            <w:pPr>
              <w:spacing w:after="0"/>
              <w:rPr>
                <w:sz w:val="8"/>
                <w:szCs w:val="8"/>
                <w:color w:val="auto"/>
              </w:rPr>
            </w:pPr>
          </w:p>
        </w:tc>
        <w:tc>
          <w:tcPr>
            <w:tcW w:w="340" w:type="dxa"/>
            <w:vAlign w:val="bottom"/>
          </w:tcPr>
          <w:p>
            <w:pPr>
              <w:spacing w:after="0"/>
              <w:rPr>
                <w:sz w:val="8"/>
                <w:szCs w:val="8"/>
                <w:color w:val="auto"/>
              </w:rPr>
            </w:pPr>
          </w:p>
        </w:tc>
        <w:tc>
          <w:tcPr>
            <w:tcW w:w="920" w:type="dxa"/>
            <w:vAlign w:val="bottom"/>
          </w:tcPr>
          <w:p>
            <w:pPr>
              <w:spacing w:after="0"/>
              <w:rPr>
                <w:sz w:val="8"/>
                <w:szCs w:val="8"/>
                <w:color w:val="auto"/>
              </w:rPr>
            </w:pPr>
          </w:p>
        </w:tc>
        <w:tc>
          <w:tcPr>
            <w:tcW w:w="3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HBK Master Fund L.P.</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10,000,000</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3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138,255</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3"/>
          </w:tcPr>
          <w:p>
            <w:pPr>
              <w:spacing w:after="0" w:line="149" w:lineRule="exact"/>
              <w:rPr>
                <w:sz w:val="20"/>
                <w:szCs w:val="20"/>
                <w:color w:val="auto"/>
              </w:rPr>
            </w:pPr>
            <w:r>
              <w:rPr>
                <w:rFonts w:ascii="Arial" w:cs="Arial" w:eastAsia="Arial" w:hAnsi="Arial"/>
                <w:sz w:val="14"/>
                <w:szCs w:val="14"/>
                <w:color w:val="auto"/>
              </w:rPr>
              <w:t>Health Foundation of Greater Cincinnati</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3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260,000</w:t>
            </w:r>
          </w:p>
        </w:tc>
        <w:tc>
          <w:tcPr>
            <w:tcW w:w="3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3,250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HFR CA Global Select Master Trust Account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200,000</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3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2,765</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3"/>
          </w:tcPr>
          <w:p>
            <w:pPr>
              <w:spacing w:after="0" w:line="149" w:lineRule="exact"/>
              <w:rPr>
                <w:sz w:val="20"/>
                <w:szCs w:val="20"/>
                <w:color w:val="auto"/>
              </w:rPr>
            </w:pPr>
            <w:r>
              <w:rPr>
                <w:rFonts w:ascii="Arial" w:cs="Arial" w:eastAsia="Arial" w:hAnsi="Arial"/>
                <w:sz w:val="14"/>
                <w:szCs w:val="14"/>
                <w:color w:val="auto"/>
              </w:rPr>
              <w:t>HFR CA Select Fund</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3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800,000</w:t>
            </w:r>
          </w:p>
        </w:tc>
        <w:tc>
          <w:tcPr>
            <w:tcW w:w="3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10,000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Highbridge International</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35,000,000</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3.6</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25,000,000</w:t>
            </w:r>
          </w:p>
        </w:tc>
        <w:tc>
          <w:tcPr>
            <w:tcW w:w="3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w:t>
            </w:r>
          </w:p>
        </w:tc>
        <w:tc>
          <w:tcPr>
            <w:tcW w:w="162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796,392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3"/>
          </w:tcPr>
          <w:p>
            <w:pPr>
              <w:spacing w:after="0" w:line="149" w:lineRule="exact"/>
              <w:rPr>
                <w:sz w:val="20"/>
                <w:szCs w:val="20"/>
                <w:color w:val="auto"/>
              </w:rPr>
            </w:pPr>
            <w:r>
              <w:rPr>
                <w:rFonts w:ascii="Arial" w:cs="Arial" w:eastAsia="Arial" w:hAnsi="Arial"/>
                <w:sz w:val="14"/>
                <w:szCs w:val="14"/>
                <w:color w:val="auto"/>
              </w:rPr>
              <w:t>HSH Nordbank International S.A. Luxembourg</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w w:val="91"/>
              </w:rPr>
              <w:t>25,000,000</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2.6</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3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345,637</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ICI Canada, Inc. Pension Trust Fund</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130,000</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3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1,797</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3"/>
          </w:tcPr>
          <w:p>
            <w:pPr>
              <w:spacing w:after="0" w:line="149" w:lineRule="exact"/>
              <w:rPr>
                <w:sz w:val="20"/>
                <w:szCs w:val="20"/>
                <w:color w:val="auto"/>
              </w:rPr>
            </w:pPr>
            <w:r>
              <w:rPr>
                <w:rFonts w:ascii="Arial" w:cs="Arial" w:eastAsia="Arial" w:hAnsi="Arial"/>
                <w:sz w:val="14"/>
                <w:szCs w:val="14"/>
                <w:color w:val="auto"/>
              </w:rPr>
              <w:t>IL Annuity and Insurance Company</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w w:val="91"/>
              </w:rPr>
              <w:t>10,500,000</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8,000,000</w:t>
            </w:r>
          </w:p>
        </w:tc>
        <w:tc>
          <w:tcPr>
            <w:tcW w:w="3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1.8</w:t>
            </w:r>
          </w:p>
        </w:tc>
        <w:tc>
          <w:tcPr>
            <w:tcW w:w="162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245,167</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IMF Convertible Fund</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3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1,200,000</w:t>
            </w:r>
          </w:p>
        </w:tc>
        <w:tc>
          <w:tcPr>
            <w:tcW w:w="3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15,000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3"/>
          </w:tcPr>
          <w:p>
            <w:pPr>
              <w:spacing w:after="0" w:line="149" w:lineRule="exact"/>
              <w:rPr>
                <w:sz w:val="20"/>
                <w:szCs w:val="20"/>
                <w:color w:val="auto"/>
              </w:rPr>
            </w:pPr>
            <w:r>
              <w:rPr>
                <w:rFonts w:ascii="Arial" w:cs="Arial" w:eastAsia="Arial" w:hAnsi="Arial"/>
                <w:sz w:val="14"/>
                <w:szCs w:val="14"/>
                <w:color w:val="auto"/>
              </w:rPr>
              <w:t>Inflective Convertible Opportunity Fund I, L.P.</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40,000</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3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553</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ING Convertible Fund</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3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1,000,000</w:t>
            </w:r>
          </w:p>
        </w:tc>
        <w:tc>
          <w:tcPr>
            <w:tcW w:w="3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12,500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3"/>
          </w:tcPr>
          <w:p>
            <w:pPr>
              <w:spacing w:after="0" w:line="149" w:lineRule="exact"/>
              <w:rPr>
                <w:sz w:val="20"/>
                <w:szCs w:val="20"/>
                <w:color w:val="auto"/>
              </w:rPr>
            </w:pPr>
            <w:r>
              <w:rPr>
                <w:rFonts w:ascii="Arial" w:cs="Arial" w:eastAsia="Arial" w:hAnsi="Arial"/>
                <w:sz w:val="14"/>
                <w:szCs w:val="14"/>
                <w:color w:val="auto"/>
              </w:rPr>
              <w:t>ING VP Convertible Portfolio</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3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15,000</w:t>
            </w:r>
          </w:p>
        </w:tc>
        <w:tc>
          <w:tcPr>
            <w:tcW w:w="3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187</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Invesco</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3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15,600,000</w:t>
            </w:r>
          </w:p>
        </w:tc>
        <w:tc>
          <w:tcPr>
            <w:tcW w:w="3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w:t>
            </w:r>
          </w:p>
        </w:tc>
        <w:tc>
          <w:tcPr>
            <w:tcW w:w="162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195,000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3"/>
          </w:tcPr>
          <w:p>
            <w:pPr>
              <w:spacing w:after="0" w:line="149" w:lineRule="exact"/>
              <w:rPr>
                <w:sz w:val="20"/>
                <w:szCs w:val="20"/>
                <w:color w:val="auto"/>
              </w:rPr>
            </w:pPr>
            <w:r>
              <w:rPr>
                <w:rFonts w:ascii="Arial" w:cs="Arial" w:eastAsia="Arial" w:hAnsi="Arial"/>
                <w:sz w:val="14"/>
                <w:szCs w:val="14"/>
                <w:color w:val="auto"/>
              </w:rPr>
              <w:t>Jefferies Umbrella Fund Global Convertible Bonds</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3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1,680,000</w:t>
            </w:r>
          </w:p>
        </w:tc>
        <w:tc>
          <w:tcPr>
            <w:tcW w:w="3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21,000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Jefferies Umbrella Fund US Convertible Bonds</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3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w:t>
            </w:r>
          </w:p>
        </w:tc>
        <w:tc>
          <w:tcPr>
            <w:tcW w:w="3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1,250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3"/>
          </w:tcPr>
          <w:p>
            <w:pPr>
              <w:spacing w:after="0" w:line="149" w:lineRule="exact"/>
              <w:rPr>
                <w:sz w:val="20"/>
                <w:szCs w:val="20"/>
                <w:color w:val="auto"/>
              </w:rPr>
            </w:pPr>
            <w:r>
              <w:rPr>
                <w:rFonts w:ascii="Arial" w:cs="Arial" w:eastAsia="Arial" w:hAnsi="Arial"/>
                <w:sz w:val="14"/>
                <w:szCs w:val="14"/>
                <w:color w:val="auto"/>
              </w:rPr>
              <w:t>Jersey (IMA) Ltd.</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2,000,000</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500,000</w:t>
            </w:r>
          </w:p>
        </w:tc>
        <w:tc>
          <w:tcPr>
            <w:tcW w:w="3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33,901</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JMG Capital Partners, LP</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41,250,000</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4.2</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16,500,000</w:t>
            </w:r>
          </w:p>
        </w:tc>
        <w:tc>
          <w:tcPr>
            <w:tcW w:w="3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w:t>
            </w:r>
          </w:p>
        </w:tc>
        <w:tc>
          <w:tcPr>
            <w:tcW w:w="162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776,551</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3"/>
          </w:tcPr>
          <w:p>
            <w:pPr>
              <w:spacing w:after="0" w:line="149" w:lineRule="exact"/>
              <w:rPr>
                <w:sz w:val="20"/>
                <w:szCs w:val="20"/>
                <w:color w:val="auto"/>
              </w:rPr>
            </w:pPr>
            <w:r>
              <w:rPr>
                <w:rFonts w:ascii="Arial" w:cs="Arial" w:eastAsia="Arial" w:hAnsi="Arial"/>
                <w:sz w:val="14"/>
                <w:szCs w:val="14"/>
                <w:color w:val="auto"/>
              </w:rPr>
              <w:t>JMG Triton Offshore Fund, Ltd.</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w w:val="91"/>
              </w:rPr>
              <w:t>56,500,000</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5.8</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32,750,000</w:t>
            </w:r>
          </w:p>
        </w:tc>
        <w:tc>
          <w:tcPr>
            <w:tcW w:w="3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7.3</w:t>
            </w:r>
          </w:p>
        </w:tc>
        <w:tc>
          <w:tcPr>
            <w:tcW w:w="162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1,190,515</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J.P. Morgan Securities Inc.</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3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2,000,000</w:t>
            </w:r>
          </w:p>
        </w:tc>
        <w:tc>
          <w:tcPr>
            <w:tcW w:w="3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25,000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3"/>
          </w:tcPr>
          <w:p>
            <w:pPr>
              <w:spacing w:after="0" w:line="149" w:lineRule="exact"/>
              <w:rPr>
                <w:sz w:val="20"/>
                <w:szCs w:val="20"/>
                <w:color w:val="auto"/>
              </w:rPr>
            </w:pPr>
            <w:r>
              <w:rPr>
                <w:rFonts w:ascii="Arial" w:cs="Arial" w:eastAsia="Arial" w:hAnsi="Arial"/>
                <w:sz w:val="14"/>
                <w:szCs w:val="14"/>
                <w:color w:val="auto"/>
              </w:rPr>
              <w:t>J.W. McConnell Family Foundation</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730,000</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3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10,092</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KBC Financial Products USA Inc.</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3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250,000</w:t>
            </w:r>
          </w:p>
        </w:tc>
        <w:tc>
          <w:tcPr>
            <w:tcW w:w="3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3,125</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3"/>
          </w:tcPr>
          <w:p>
            <w:pPr>
              <w:spacing w:after="0" w:line="149" w:lineRule="exact"/>
              <w:rPr>
                <w:sz w:val="20"/>
                <w:szCs w:val="20"/>
                <w:color w:val="auto"/>
              </w:rPr>
            </w:pPr>
            <w:r>
              <w:rPr>
                <w:rFonts w:ascii="Arial" w:cs="Arial" w:eastAsia="Arial" w:hAnsi="Arial"/>
                <w:sz w:val="14"/>
                <w:szCs w:val="14"/>
                <w:color w:val="auto"/>
              </w:rPr>
              <w:t>KD Convertible Arbitrage Fund L.P.</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2,000,000</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3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27,651</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Kenwood Insurance Company Ltd.</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350,000</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3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4,838</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3"/>
          </w:tcPr>
          <w:p>
            <w:pPr>
              <w:spacing w:after="0" w:line="149" w:lineRule="exact"/>
              <w:rPr>
                <w:sz w:val="20"/>
                <w:szCs w:val="20"/>
                <w:color w:val="auto"/>
              </w:rPr>
            </w:pPr>
            <w:r>
              <w:rPr>
                <w:rFonts w:ascii="Arial" w:cs="Arial" w:eastAsia="Arial" w:hAnsi="Arial"/>
                <w:sz w:val="14"/>
                <w:szCs w:val="14"/>
                <w:color w:val="auto"/>
              </w:rPr>
              <w:t>Key Trust Convertible Securities Fund</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3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300,000</w:t>
            </w:r>
          </w:p>
        </w:tc>
        <w:tc>
          <w:tcPr>
            <w:tcW w:w="3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3,750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Key Trust Fixed Income Fund</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3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360,000</w:t>
            </w:r>
          </w:p>
        </w:tc>
        <w:tc>
          <w:tcPr>
            <w:tcW w:w="3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4,500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3"/>
          </w:tcPr>
          <w:p>
            <w:pPr>
              <w:spacing w:after="0" w:line="149" w:lineRule="exact"/>
              <w:rPr>
                <w:sz w:val="20"/>
                <w:szCs w:val="20"/>
                <w:color w:val="auto"/>
              </w:rPr>
            </w:pPr>
            <w:r>
              <w:rPr>
                <w:rFonts w:ascii="Arial" w:cs="Arial" w:eastAsia="Arial" w:hAnsi="Arial"/>
                <w:sz w:val="14"/>
                <w:szCs w:val="14"/>
                <w:color w:val="auto"/>
              </w:rPr>
              <w:t>Key-Royal Reinsurance Company Ltd.</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60,000</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3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829</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Lakeshore International Limited</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48,000,000</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4.9</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3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663,624</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3"/>
          </w:tcPr>
          <w:p>
            <w:pPr>
              <w:spacing w:after="0" w:line="149" w:lineRule="exact"/>
              <w:rPr>
                <w:sz w:val="20"/>
                <w:szCs w:val="20"/>
                <w:color w:val="auto"/>
              </w:rPr>
            </w:pPr>
            <w:r>
              <w:rPr>
                <w:rFonts w:ascii="Arial" w:cs="Arial" w:eastAsia="Arial" w:hAnsi="Arial"/>
                <w:sz w:val="14"/>
                <w:szCs w:val="14"/>
                <w:color w:val="auto"/>
              </w:rPr>
              <w:t>Lehman Brothers Inc.</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3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1,512,000</w:t>
            </w:r>
          </w:p>
        </w:tc>
        <w:tc>
          <w:tcPr>
            <w:tcW w:w="3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18,900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LibertyView Funds L.P.</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4,000,000</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3"/>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11,500,000</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w:t>
            </w:r>
          </w:p>
        </w:tc>
        <w:tc>
          <w:tcPr>
            <w:tcW w:w="162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199,052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3"/>
          </w:tcPr>
          <w:p>
            <w:pPr>
              <w:spacing w:after="0" w:line="149" w:lineRule="exact"/>
              <w:rPr>
                <w:sz w:val="20"/>
                <w:szCs w:val="20"/>
                <w:color w:val="auto"/>
              </w:rPr>
            </w:pPr>
            <w:r>
              <w:rPr>
                <w:rFonts w:ascii="Arial" w:cs="Arial" w:eastAsia="Arial" w:hAnsi="Arial"/>
                <w:sz w:val="14"/>
                <w:szCs w:val="14"/>
                <w:color w:val="auto"/>
              </w:rPr>
              <w:t>LibertyView Global Volatility Fund L.P.</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4,000,000</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1,000,000</w:t>
            </w:r>
          </w:p>
        </w:tc>
        <w:tc>
          <w:tcPr>
            <w:tcW w:w="3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67,802</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LLT Limited</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3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255,000</w:t>
            </w:r>
          </w:p>
        </w:tc>
        <w:tc>
          <w:tcPr>
            <w:tcW w:w="3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3,187</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3"/>
          </w:tcPr>
          <w:p>
            <w:pPr>
              <w:spacing w:after="0" w:line="149" w:lineRule="exact"/>
              <w:rPr>
                <w:sz w:val="20"/>
                <w:szCs w:val="20"/>
                <w:color w:val="auto"/>
              </w:rPr>
            </w:pPr>
            <w:r>
              <w:rPr>
                <w:rFonts w:ascii="Arial" w:cs="Arial" w:eastAsia="Arial" w:hAnsi="Arial"/>
                <w:sz w:val="14"/>
                <w:szCs w:val="14"/>
                <w:color w:val="auto"/>
              </w:rPr>
              <w:t>LODH The Convertible Bond Fund</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3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1,000,000</w:t>
            </w:r>
          </w:p>
        </w:tc>
        <w:tc>
          <w:tcPr>
            <w:tcW w:w="3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12,500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Lydian Overseas Partners Master Fund Ltd.</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57,000,000</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5.8</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3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788,053</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3"/>
          </w:tcPr>
          <w:p>
            <w:pPr>
              <w:spacing w:after="0" w:line="149" w:lineRule="exact"/>
              <w:rPr>
                <w:sz w:val="20"/>
                <w:szCs w:val="20"/>
                <w:color w:val="auto"/>
              </w:rPr>
            </w:pPr>
            <w:r>
              <w:rPr>
                <w:rFonts w:ascii="Arial" w:cs="Arial" w:eastAsia="Arial" w:hAnsi="Arial"/>
                <w:sz w:val="14"/>
                <w:szCs w:val="14"/>
                <w:color w:val="auto"/>
              </w:rPr>
              <w:t>Lyxor/Forest Fund Ltd.</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3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1,399,000</w:t>
            </w:r>
          </w:p>
        </w:tc>
        <w:tc>
          <w:tcPr>
            <w:tcW w:w="3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17,487</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Lyxor Master Fund</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4,800,000</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2,600,000</w:t>
            </w:r>
          </w:p>
        </w:tc>
        <w:tc>
          <w:tcPr>
            <w:tcW w:w="3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98,862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3"/>
          </w:tcPr>
          <w:p>
            <w:pPr>
              <w:spacing w:after="0" w:line="149" w:lineRule="exact"/>
              <w:rPr>
                <w:sz w:val="20"/>
                <w:szCs w:val="20"/>
                <w:color w:val="auto"/>
              </w:rPr>
            </w:pPr>
            <w:r>
              <w:rPr>
                <w:rFonts w:ascii="Arial" w:cs="Arial" w:eastAsia="Arial" w:hAnsi="Arial"/>
                <w:sz w:val="14"/>
                <w:szCs w:val="14"/>
                <w:color w:val="auto"/>
              </w:rPr>
              <w:t>Lyxor Zola Fund Limited</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1,000,000</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3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13,825</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Lyxor/AM Investment Fund Ltd.</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850,000</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3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11,751</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3"/>
          </w:tcPr>
          <w:p>
            <w:pPr>
              <w:spacing w:after="0" w:line="149" w:lineRule="exact"/>
              <w:rPr>
                <w:sz w:val="20"/>
                <w:szCs w:val="20"/>
                <w:color w:val="auto"/>
              </w:rPr>
            </w:pPr>
            <w:r>
              <w:rPr>
                <w:rFonts w:ascii="Arial" w:cs="Arial" w:eastAsia="Arial" w:hAnsi="Arial"/>
                <w:sz w:val="14"/>
                <w:szCs w:val="14"/>
                <w:color w:val="auto"/>
              </w:rPr>
              <w:t>Lyxor/Gaia II Fund Ltd.</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1,700,000</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2,300,000</w:t>
            </w:r>
          </w:p>
        </w:tc>
        <w:tc>
          <w:tcPr>
            <w:tcW w:w="3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52,253</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M.H. Davidson &amp; Co.</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355,500</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3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4,914</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3"/>
          </w:tcPr>
          <w:p>
            <w:pPr>
              <w:spacing w:after="0" w:line="149" w:lineRule="exact"/>
              <w:rPr>
                <w:sz w:val="20"/>
                <w:szCs w:val="20"/>
                <w:color w:val="auto"/>
              </w:rPr>
            </w:pPr>
            <w:r>
              <w:rPr>
                <w:rFonts w:ascii="Arial" w:cs="Arial" w:eastAsia="Arial" w:hAnsi="Arial"/>
                <w:sz w:val="14"/>
                <w:szCs w:val="14"/>
                <w:color w:val="auto"/>
              </w:rPr>
              <w:t>Man Convertible Bond Master Fund, Ltd.</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3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8,820,000</w:t>
            </w:r>
          </w:p>
        </w:tc>
        <w:tc>
          <w:tcPr>
            <w:tcW w:w="3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2.0</w:t>
            </w:r>
          </w:p>
        </w:tc>
        <w:tc>
          <w:tcPr>
            <w:tcW w:w="162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110,250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Marathon Global Convertible Master Fund, Ltd.</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10,000,000</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8,000,000</w:t>
            </w:r>
          </w:p>
        </w:tc>
        <w:tc>
          <w:tcPr>
            <w:tcW w:w="3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w:t>
            </w:r>
          </w:p>
        </w:tc>
        <w:tc>
          <w:tcPr>
            <w:tcW w:w="162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238,255</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3"/>
          </w:tcPr>
          <w:p>
            <w:pPr>
              <w:spacing w:after="0" w:line="149" w:lineRule="exact"/>
              <w:rPr>
                <w:sz w:val="20"/>
                <w:szCs w:val="20"/>
                <w:color w:val="auto"/>
              </w:rPr>
            </w:pPr>
            <w:r>
              <w:rPr>
                <w:rFonts w:ascii="Arial" w:cs="Arial" w:eastAsia="Arial" w:hAnsi="Arial"/>
                <w:sz w:val="14"/>
                <w:szCs w:val="14"/>
                <w:color w:val="auto"/>
              </w:rPr>
              <w:t>McMahan Securities Co. L.P.</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500,000</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500,000</w:t>
            </w:r>
          </w:p>
        </w:tc>
        <w:tc>
          <w:tcPr>
            <w:tcW w:w="3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13,162</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MedAmerica Insurance Company</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1,750,000</w:t>
            </w:r>
          </w:p>
        </w:tc>
        <w:tc>
          <w:tcPr>
            <w:tcW w:w="3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3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24,194</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3"/>
          </w:tcPr>
          <w:p>
            <w:pPr>
              <w:spacing w:after="0" w:line="149" w:lineRule="exact"/>
              <w:rPr>
                <w:sz w:val="20"/>
                <w:szCs w:val="20"/>
                <w:color w:val="auto"/>
              </w:rPr>
            </w:pPr>
            <w:r>
              <w:rPr>
                <w:rFonts w:ascii="Arial" w:cs="Arial" w:eastAsia="Arial" w:hAnsi="Arial"/>
                <w:sz w:val="14"/>
                <w:szCs w:val="14"/>
                <w:color w:val="auto"/>
              </w:rPr>
              <w:t>Mellon HBV Master Multi-Strategy Fund LP</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500,000</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3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6,912</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Mellon HBV Master Convertible Arbitrage Fund LP</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1,050,000</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3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14,516</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3"/>
          </w:tcPr>
          <w:p>
            <w:pPr>
              <w:spacing w:after="0" w:line="149" w:lineRule="exact"/>
              <w:rPr>
                <w:sz w:val="20"/>
                <w:szCs w:val="20"/>
                <w:color w:val="auto"/>
              </w:rPr>
            </w:pPr>
            <w:r>
              <w:rPr>
                <w:rFonts w:ascii="Arial" w:cs="Arial" w:eastAsia="Arial" w:hAnsi="Arial"/>
                <w:sz w:val="14"/>
                <w:szCs w:val="14"/>
                <w:color w:val="auto"/>
              </w:rPr>
              <w:t>Merrill Lynch International Limited</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2,300,000</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3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31,798</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Merrill Lynch, Pierce, Fenner &amp; Smith, Inc.</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14,800,000</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3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204,617</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3"/>
          </w:tcPr>
          <w:p>
            <w:pPr>
              <w:spacing w:after="0" w:line="149" w:lineRule="exact"/>
              <w:rPr>
                <w:sz w:val="20"/>
                <w:szCs w:val="20"/>
                <w:color w:val="auto"/>
              </w:rPr>
            </w:pPr>
            <w:r>
              <w:rPr>
                <w:rFonts w:ascii="Arial" w:cs="Arial" w:eastAsia="Arial" w:hAnsi="Arial"/>
                <w:sz w:val="14"/>
                <w:szCs w:val="14"/>
                <w:color w:val="auto"/>
              </w:rPr>
              <w:t>Microsoft Corporation—International</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1,005,000</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3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13,894</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Mint Master Fund Ltd.</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200,000</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3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2,765</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3"/>
          </w:tcPr>
          <w:p>
            <w:pPr>
              <w:spacing w:after="0" w:line="149" w:lineRule="exact"/>
              <w:rPr>
                <w:sz w:val="20"/>
                <w:szCs w:val="20"/>
                <w:color w:val="auto"/>
              </w:rPr>
            </w:pPr>
            <w:r>
              <w:rPr>
                <w:rFonts w:ascii="Arial" w:cs="Arial" w:eastAsia="Arial" w:hAnsi="Arial"/>
                <w:sz w:val="14"/>
                <w:szCs w:val="14"/>
                <w:color w:val="auto"/>
              </w:rPr>
              <w:t>MLQA Convertible Securities Arbitrage Ltd.</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3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5,000,000</w:t>
            </w:r>
          </w:p>
        </w:tc>
        <w:tc>
          <w:tcPr>
            <w:tcW w:w="3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1.1</w:t>
            </w:r>
          </w:p>
        </w:tc>
        <w:tc>
          <w:tcPr>
            <w:tcW w:w="162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62,500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MRM Performa International Convertible Bond Fund</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640,000</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3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8,848</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3"/>
          </w:tcPr>
          <w:p>
            <w:pPr>
              <w:spacing w:after="0" w:line="149" w:lineRule="exact"/>
              <w:rPr>
                <w:sz w:val="20"/>
                <w:szCs w:val="20"/>
                <w:color w:val="auto"/>
              </w:rPr>
            </w:pPr>
            <w:r>
              <w:rPr>
                <w:rFonts w:ascii="Arial" w:cs="Arial" w:eastAsia="Arial" w:hAnsi="Arial"/>
                <w:sz w:val="14"/>
                <w:szCs w:val="14"/>
                <w:color w:val="auto"/>
              </w:rPr>
              <w:t>MVI Investment Fund Ltd.</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530,000</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3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7,327</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Nabisco Inc. Defined Benefit Master Trust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4,095,000</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3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56,615</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3"/>
          </w:tcPr>
          <w:p>
            <w:pPr>
              <w:spacing w:after="0" w:line="149" w:lineRule="exact"/>
              <w:rPr>
                <w:sz w:val="20"/>
                <w:szCs w:val="20"/>
                <w:color w:val="auto"/>
              </w:rPr>
            </w:pPr>
            <w:r>
              <w:rPr>
                <w:rFonts w:ascii="Arial" w:cs="Arial" w:eastAsia="Arial" w:hAnsi="Arial"/>
                <w:sz w:val="14"/>
                <w:szCs w:val="14"/>
                <w:color w:val="auto"/>
              </w:rPr>
              <w:t>NGSC Insurance Company Ltd.</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20,000</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3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276</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NMS Services (Cayman) Inc.</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9,500,000</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10,000,000</w:t>
            </w:r>
          </w:p>
        </w:tc>
        <w:tc>
          <w:tcPr>
            <w:tcW w:w="3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w:t>
            </w:r>
          </w:p>
        </w:tc>
        <w:tc>
          <w:tcPr>
            <w:tcW w:w="162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256,342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3"/>
          </w:tcPr>
          <w:p>
            <w:pPr>
              <w:spacing w:after="0" w:line="149" w:lineRule="exact"/>
              <w:rPr>
                <w:sz w:val="20"/>
                <w:szCs w:val="20"/>
                <w:color w:val="auto"/>
              </w:rPr>
            </w:pPr>
            <w:r>
              <w:rPr>
                <w:rFonts w:ascii="Arial" w:cs="Arial" w:eastAsia="Arial" w:hAnsi="Arial"/>
                <w:sz w:val="14"/>
                <w:szCs w:val="14"/>
                <w:color w:val="auto"/>
              </w:rPr>
              <w:t>Nomura Securities International Inc.</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w w:val="91"/>
              </w:rPr>
              <w:t>30,000,000</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3.1</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3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414,765</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OCM International Convertible Trust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655,000</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3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9,055</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3"/>
          </w:tcPr>
          <w:p>
            <w:pPr>
              <w:spacing w:after="0" w:line="149" w:lineRule="exact"/>
              <w:rPr>
                <w:sz w:val="20"/>
                <w:szCs w:val="20"/>
                <w:color w:val="auto"/>
              </w:rPr>
            </w:pPr>
            <w:r>
              <w:rPr>
                <w:rFonts w:ascii="Arial" w:cs="Arial" w:eastAsia="Arial" w:hAnsi="Arial"/>
                <w:sz w:val="14"/>
                <w:szCs w:val="14"/>
                <w:color w:val="auto"/>
              </w:rPr>
              <w:t>Oconnor Global Convertible Arbitrage Master Ltd.</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w w:val="91"/>
              </w:rPr>
              <w:t>38,500,000</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3.9</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5,000,000</w:t>
            </w:r>
          </w:p>
        </w:tc>
        <w:tc>
          <w:tcPr>
            <w:tcW w:w="3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1.1</w:t>
            </w:r>
          </w:p>
        </w:tc>
        <w:tc>
          <w:tcPr>
            <w:tcW w:w="162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594,781</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Oppenheimer Convertible Securities Fund</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3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5,000,000</w:t>
            </w:r>
          </w:p>
        </w:tc>
        <w:tc>
          <w:tcPr>
            <w:tcW w:w="3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w:t>
            </w:r>
          </w:p>
        </w:tc>
        <w:tc>
          <w:tcPr>
            <w:tcW w:w="162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62,500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3"/>
          </w:tcPr>
          <w:p>
            <w:pPr>
              <w:spacing w:after="0" w:line="149" w:lineRule="exact"/>
              <w:rPr>
                <w:sz w:val="20"/>
                <w:szCs w:val="20"/>
                <w:color w:val="auto"/>
              </w:rPr>
            </w:pPr>
            <w:r>
              <w:rPr>
                <w:rFonts w:ascii="Arial" w:cs="Arial" w:eastAsia="Arial" w:hAnsi="Arial"/>
                <w:sz w:val="14"/>
                <w:szCs w:val="14"/>
                <w:color w:val="auto"/>
              </w:rPr>
              <w:t>Palo Verde Insurance Company Ltd.</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240,000</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3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3,318</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Partner Reinsurance Company, Ltd.—International</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125,000</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3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1,728</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3"/>
          </w:tcPr>
          <w:p>
            <w:pPr>
              <w:spacing w:after="0" w:line="149" w:lineRule="exact"/>
              <w:rPr>
                <w:sz w:val="20"/>
                <w:szCs w:val="20"/>
                <w:color w:val="auto"/>
              </w:rPr>
            </w:pPr>
            <w:r>
              <w:rPr>
                <w:rFonts w:ascii="Arial" w:cs="Arial" w:eastAsia="Arial" w:hAnsi="Arial"/>
                <w:sz w:val="14"/>
                <w:szCs w:val="14"/>
                <w:color w:val="auto"/>
              </w:rPr>
              <w:t>Pensionkasse Der Antalis AG</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3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100,000</w:t>
            </w:r>
          </w:p>
        </w:tc>
        <w:tc>
          <w:tcPr>
            <w:tcW w:w="3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1,250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Pensionkasse Der EMS-Chemie AG</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3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120,000</w:t>
            </w:r>
          </w:p>
        </w:tc>
        <w:tc>
          <w:tcPr>
            <w:tcW w:w="3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1,500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3"/>
          </w:tcPr>
          <w:p>
            <w:pPr>
              <w:spacing w:after="0" w:line="149" w:lineRule="exact"/>
              <w:rPr>
                <w:sz w:val="20"/>
                <w:szCs w:val="20"/>
                <w:color w:val="auto"/>
              </w:rPr>
            </w:pPr>
            <w:r>
              <w:rPr>
                <w:rFonts w:ascii="Arial" w:cs="Arial" w:eastAsia="Arial" w:hAnsi="Arial"/>
                <w:sz w:val="14"/>
                <w:szCs w:val="14"/>
                <w:color w:val="auto"/>
              </w:rPr>
              <w:t>Pensionkasse Der EMS-Dottikon AG</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3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180,000</w:t>
            </w:r>
          </w:p>
        </w:tc>
        <w:tc>
          <w:tcPr>
            <w:tcW w:w="3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2,250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Pensionkasse Der Lonza AG</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3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230,000</w:t>
            </w:r>
          </w:p>
        </w:tc>
        <w:tc>
          <w:tcPr>
            <w:tcW w:w="3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2,875</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3"/>
          </w:tcPr>
          <w:p>
            <w:pPr>
              <w:spacing w:after="0" w:line="149" w:lineRule="exact"/>
              <w:rPr>
                <w:sz w:val="20"/>
                <w:szCs w:val="20"/>
                <w:color w:val="auto"/>
              </w:rPr>
            </w:pPr>
            <w:r>
              <w:rPr>
                <w:rFonts w:ascii="Arial" w:cs="Arial" w:eastAsia="Arial" w:hAnsi="Arial"/>
                <w:sz w:val="14"/>
                <w:szCs w:val="14"/>
                <w:color w:val="auto"/>
              </w:rPr>
              <w:t>Pensionkasse Der Rockwell Automation AG</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3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120,000</w:t>
            </w:r>
          </w:p>
        </w:tc>
        <w:tc>
          <w:tcPr>
            <w:tcW w:w="3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1,500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Pensionkasse Pluss-Staufer AG</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3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w:t>
            </w:r>
          </w:p>
        </w:tc>
        <w:tc>
          <w:tcPr>
            <w:tcW w:w="3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1,250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020" w:type="dxa"/>
            <w:vAlign w:val="bottom"/>
            <w:gridSpan w:val="3"/>
          </w:tcPr>
          <w:p>
            <w:pPr>
              <w:spacing w:after="0"/>
              <w:rPr>
                <w:sz w:val="20"/>
                <w:szCs w:val="20"/>
                <w:color w:val="auto"/>
              </w:rPr>
            </w:pPr>
            <w:r>
              <w:rPr>
                <w:rFonts w:ascii="Arial" w:cs="Arial" w:eastAsia="Arial" w:hAnsi="Arial"/>
                <w:sz w:val="14"/>
                <w:szCs w:val="14"/>
                <w:color w:val="auto"/>
              </w:rPr>
              <w:t>Pensionkasse Vantico</w:t>
            </w:r>
          </w:p>
        </w:tc>
        <w:tc>
          <w:tcPr>
            <w:tcW w:w="660" w:type="dxa"/>
            <w:vAlign w:val="bottom"/>
          </w:tcPr>
          <w:p>
            <w:pPr>
              <w:jc w:val="right"/>
              <w:spacing w:after="0"/>
              <w:rPr>
                <w:sz w:val="20"/>
                <w:szCs w:val="20"/>
                <w:color w:val="auto"/>
              </w:rPr>
            </w:pPr>
            <w:r>
              <w:rPr>
                <w:rFonts w:ascii="Arial" w:cs="Arial" w:eastAsia="Arial" w:hAnsi="Arial"/>
                <w:sz w:val="14"/>
                <w:szCs w:val="14"/>
                <w:color w:val="auto"/>
              </w:rPr>
              <w:t>0</w:t>
            </w:r>
          </w:p>
        </w:tc>
        <w:tc>
          <w:tcPr>
            <w:tcW w:w="3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170,000</w:t>
            </w:r>
          </w:p>
        </w:tc>
        <w:tc>
          <w:tcPr>
            <w:tcW w:w="3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620" w:type="dxa"/>
            <w:vAlign w:val="bottom"/>
            <w:gridSpan w:val="3"/>
          </w:tcPr>
          <w:p>
            <w:pPr>
              <w:jc w:val="right"/>
              <w:ind w:right="360"/>
              <w:spacing w:after="0"/>
              <w:rPr>
                <w:sz w:val="20"/>
                <w:szCs w:val="20"/>
                <w:color w:val="auto"/>
              </w:rPr>
            </w:pPr>
            <w:r>
              <w:rPr>
                <w:rFonts w:ascii="Arial" w:cs="Arial" w:eastAsia="Arial" w:hAnsi="Arial"/>
                <w:sz w:val="14"/>
                <w:szCs w:val="14"/>
                <w:color w:val="auto"/>
              </w:rPr>
              <w:t>2,125</w:t>
            </w: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1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1420"/>
          </w:cols>
          <w:pgMar w:left="240" w:top="263"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Principal</w:t>
            </w: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1"/>
              </w:rPr>
              <w:t>Principal</w:t>
            </w: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8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Amount of</w:t>
            </w: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Amount of</w:t>
            </w:r>
          </w:p>
        </w:tc>
        <w:tc>
          <w:tcPr>
            <w:tcW w:w="4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8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2"/>
              </w:rPr>
              <w:t>Series A</w:t>
            </w: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Series B</w:t>
            </w:r>
          </w:p>
        </w:tc>
        <w:tc>
          <w:tcPr>
            <w:tcW w:w="4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8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1"/>
              </w:rPr>
              <w:t>Number of</w:t>
            </w: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8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Debentures</w:t>
            </w: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Debentures</w:t>
            </w:r>
          </w:p>
        </w:tc>
        <w:tc>
          <w:tcPr>
            <w:tcW w:w="4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8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1"/>
              </w:rPr>
              <w:t>Shares of</w:t>
            </w: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8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4"/>
              </w:rPr>
              <w:t>Beneficially</w:t>
            </w:r>
          </w:p>
        </w:tc>
        <w:tc>
          <w:tcPr>
            <w:tcW w:w="2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Percentage</w:t>
            </w:r>
          </w:p>
        </w:tc>
        <w:tc>
          <w:tcPr>
            <w:tcW w:w="4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40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Percentage</w:t>
            </w:r>
          </w:p>
        </w:tc>
        <w:tc>
          <w:tcPr>
            <w:tcW w:w="400" w:type="dxa"/>
            <w:vAlign w:val="bottom"/>
          </w:tcPr>
          <w:p>
            <w:pPr>
              <w:spacing w:after="0"/>
              <w:rPr>
                <w:sz w:val="12"/>
                <w:szCs w:val="12"/>
                <w:color w:val="auto"/>
              </w:rPr>
            </w:pPr>
          </w:p>
        </w:tc>
        <w:tc>
          <w:tcPr>
            <w:tcW w:w="148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5"/>
              </w:rPr>
              <w:t>Common Stock</w:t>
            </w: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4"/>
              </w:rPr>
              <w:t>Percentage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8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Owned</w:t>
            </w:r>
          </w:p>
        </w:tc>
        <w:tc>
          <w:tcPr>
            <w:tcW w:w="2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of Series A</w:t>
            </w:r>
          </w:p>
        </w:tc>
        <w:tc>
          <w:tcPr>
            <w:tcW w:w="4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Owned</w:t>
            </w:r>
          </w:p>
        </w:tc>
        <w:tc>
          <w:tcPr>
            <w:tcW w:w="40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of Series B</w:t>
            </w:r>
          </w:p>
        </w:tc>
        <w:tc>
          <w:tcPr>
            <w:tcW w:w="400" w:type="dxa"/>
            <w:vAlign w:val="bottom"/>
          </w:tcPr>
          <w:p>
            <w:pPr>
              <w:spacing w:after="0"/>
              <w:rPr>
                <w:sz w:val="12"/>
                <w:szCs w:val="12"/>
                <w:color w:val="auto"/>
              </w:rPr>
            </w:pPr>
          </w:p>
        </w:tc>
        <w:tc>
          <w:tcPr>
            <w:tcW w:w="148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9"/>
              </w:rPr>
              <w:t>Underlying the</w:t>
            </w: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Common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8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That May</w:t>
            </w:r>
          </w:p>
        </w:tc>
        <w:tc>
          <w:tcPr>
            <w:tcW w:w="2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Debentures</w:t>
            </w:r>
          </w:p>
        </w:tc>
        <w:tc>
          <w:tcPr>
            <w:tcW w:w="4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That May</w:t>
            </w:r>
          </w:p>
        </w:tc>
        <w:tc>
          <w:tcPr>
            <w:tcW w:w="40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Debentures</w:t>
            </w:r>
          </w:p>
        </w:tc>
        <w:tc>
          <w:tcPr>
            <w:tcW w:w="400" w:type="dxa"/>
            <w:vAlign w:val="bottom"/>
          </w:tcPr>
          <w:p>
            <w:pPr>
              <w:spacing w:after="0"/>
              <w:rPr>
                <w:sz w:val="12"/>
                <w:szCs w:val="12"/>
                <w:color w:val="auto"/>
              </w:rPr>
            </w:pPr>
          </w:p>
        </w:tc>
        <w:tc>
          <w:tcPr>
            <w:tcW w:w="148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6"/>
              </w:rPr>
              <w:t>Debentures and</w:t>
            </w: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2740" w:type="dxa"/>
            <w:vAlign w:val="bottom"/>
            <w:gridSpan w:val="2"/>
          </w:tcPr>
          <w:p>
            <w:pPr>
              <w:ind w:left="60"/>
              <w:spacing w:after="0"/>
              <w:rPr>
                <w:sz w:val="20"/>
                <w:szCs w:val="20"/>
                <w:color w:val="auto"/>
              </w:rPr>
            </w:pPr>
            <w:r>
              <w:rPr>
                <w:rFonts w:ascii="Arial" w:cs="Arial" w:eastAsia="Arial" w:hAnsi="Arial"/>
                <w:sz w:val="14"/>
                <w:szCs w:val="14"/>
                <w:b w:val="1"/>
                <w:bCs w:val="1"/>
                <w:color w:val="auto"/>
              </w:rPr>
              <w:t>Name</w:t>
            </w:r>
          </w:p>
        </w:tc>
        <w:tc>
          <w:tcPr>
            <w:tcW w:w="8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4"/>
              </w:rPr>
              <w:t>Be Sold</w:t>
            </w:r>
          </w:p>
        </w:tc>
        <w:tc>
          <w:tcPr>
            <w:tcW w:w="26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7"/>
              </w:rPr>
              <w:t>Outstanding</w:t>
            </w:r>
          </w:p>
        </w:tc>
        <w:tc>
          <w:tcPr>
            <w:tcW w:w="40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4"/>
              </w:rPr>
              <w:t>Be Sold</w:t>
            </w:r>
          </w:p>
        </w:tc>
        <w:tc>
          <w:tcPr>
            <w:tcW w:w="40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7"/>
              </w:rPr>
              <w:t>Outstanding</w:t>
            </w:r>
          </w:p>
        </w:tc>
        <w:tc>
          <w:tcPr>
            <w:tcW w:w="400" w:type="dxa"/>
            <w:vAlign w:val="bottom"/>
          </w:tcPr>
          <w:p>
            <w:pPr>
              <w:spacing w:after="0"/>
              <w:rPr>
                <w:sz w:val="15"/>
                <w:szCs w:val="15"/>
                <w:color w:val="auto"/>
              </w:rPr>
            </w:pPr>
          </w:p>
        </w:tc>
        <w:tc>
          <w:tcPr>
            <w:tcW w:w="14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0"/>
              </w:rPr>
              <w:t>Offered Hereby</w:t>
            </w:r>
          </w:p>
        </w:tc>
        <w:tc>
          <w:tcPr>
            <w:tcW w:w="9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8"/>
              </w:rPr>
              <w:t>Outstanding(1)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28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8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920" w:type="dxa"/>
            <w:vAlign w:val="bottom"/>
          </w:tcPr>
          <w:p>
            <w:pPr>
              <w:spacing w:after="0"/>
              <w:rPr>
                <w:sz w:val="8"/>
                <w:szCs w:val="8"/>
                <w:color w:val="auto"/>
              </w:rPr>
            </w:pPr>
          </w:p>
        </w:tc>
        <w:tc>
          <w:tcPr>
            <w:tcW w:w="5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6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Personalfuersorgestiftung Der Gebaeudeversicherung Des Kantons Bern</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w:t>
            </w:r>
          </w:p>
        </w:tc>
        <w:tc>
          <w:tcPr>
            <w:tcW w:w="2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350,000</w:t>
            </w:r>
          </w:p>
        </w:tc>
        <w:tc>
          <w:tcPr>
            <w:tcW w:w="1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80" w:type="dxa"/>
            <w:vAlign w:val="bottom"/>
            <w:gridSpan w:val="3"/>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4,375</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3"/>
          </w:tcPr>
          <w:p>
            <w:pPr>
              <w:spacing w:after="0" w:line="149" w:lineRule="exact"/>
              <w:rPr>
                <w:sz w:val="20"/>
                <w:szCs w:val="20"/>
                <w:color w:val="auto"/>
              </w:rPr>
            </w:pPr>
            <w:r>
              <w:rPr>
                <w:rFonts w:ascii="Arial" w:cs="Arial" w:eastAsia="Arial" w:hAnsi="Arial"/>
                <w:sz w:val="14"/>
                <w:szCs w:val="14"/>
                <w:color w:val="auto"/>
              </w:rPr>
              <w:t>Personalvorsorge Der PV Promea</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0</w:t>
            </w:r>
          </w:p>
        </w:tc>
        <w:tc>
          <w:tcPr>
            <w:tcW w:w="2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250,000</w:t>
            </w:r>
          </w:p>
        </w:tc>
        <w:tc>
          <w:tcPr>
            <w:tcW w:w="1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880" w:type="dxa"/>
            <w:vAlign w:val="bottom"/>
            <w:gridSpan w:val="3"/>
          </w:tcPr>
          <w:p>
            <w:pPr>
              <w:jc w:val="right"/>
              <w:ind w:right="560"/>
              <w:spacing w:after="0" w:line="149" w:lineRule="exact"/>
              <w:rPr>
                <w:sz w:val="20"/>
                <w:szCs w:val="20"/>
                <w:color w:val="auto"/>
              </w:rPr>
            </w:pPr>
            <w:r>
              <w:rPr>
                <w:rFonts w:ascii="Arial" w:cs="Arial" w:eastAsia="Arial" w:hAnsi="Arial"/>
                <w:sz w:val="14"/>
                <w:szCs w:val="14"/>
                <w:color w:val="auto"/>
              </w:rPr>
              <w:t>3,125</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Pioneer U.S. High Yield Corp. Bond Sub Fund</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w:t>
            </w:r>
          </w:p>
        </w:tc>
        <w:tc>
          <w:tcPr>
            <w:tcW w:w="2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4,000,000</w:t>
            </w:r>
          </w:p>
        </w:tc>
        <w:tc>
          <w:tcPr>
            <w:tcW w:w="1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80" w:type="dxa"/>
            <w:vAlign w:val="bottom"/>
            <w:gridSpan w:val="3"/>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50,000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3"/>
          </w:tcPr>
          <w:p>
            <w:pPr>
              <w:spacing w:after="0" w:line="149" w:lineRule="exact"/>
              <w:rPr>
                <w:sz w:val="20"/>
                <w:szCs w:val="20"/>
                <w:color w:val="auto"/>
              </w:rPr>
            </w:pPr>
            <w:r>
              <w:rPr>
                <w:rFonts w:ascii="Arial" w:cs="Arial" w:eastAsia="Arial" w:hAnsi="Arial"/>
                <w:sz w:val="14"/>
                <w:szCs w:val="14"/>
                <w:color w:val="auto"/>
              </w:rPr>
              <w:t>Pensionkasse Pluss-Staufer AG</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0</w:t>
            </w:r>
          </w:p>
        </w:tc>
        <w:tc>
          <w:tcPr>
            <w:tcW w:w="2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100,000</w:t>
            </w:r>
          </w:p>
        </w:tc>
        <w:tc>
          <w:tcPr>
            <w:tcW w:w="1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880" w:type="dxa"/>
            <w:vAlign w:val="bottom"/>
            <w:gridSpan w:val="3"/>
          </w:tcPr>
          <w:p>
            <w:pPr>
              <w:jc w:val="right"/>
              <w:ind w:right="560"/>
              <w:spacing w:after="0" w:line="149" w:lineRule="exact"/>
              <w:rPr>
                <w:sz w:val="20"/>
                <w:szCs w:val="20"/>
                <w:color w:val="auto"/>
              </w:rPr>
            </w:pPr>
            <w:r>
              <w:rPr>
                <w:rFonts w:ascii="Arial" w:cs="Arial" w:eastAsia="Arial" w:hAnsi="Arial"/>
                <w:sz w:val="14"/>
                <w:szCs w:val="14"/>
                <w:color w:val="auto"/>
              </w:rPr>
              <w:t>1,250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Polygon Global Opportunities Master Fund</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w:t>
            </w:r>
          </w:p>
        </w:tc>
        <w:tc>
          <w:tcPr>
            <w:tcW w:w="2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6,000,000</w:t>
            </w:r>
          </w:p>
        </w:tc>
        <w:tc>
          <w:tcPr>
            <w:tcW w:w="1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w:t>
            </w:r>
          </w:p>
        </w:tc>
        <w:tc>
          <w:tcPr>
            <w:tcW w:w="1880" w:type="dxa"/>
            <w:vAlign w:val="bottom"/>
            <w:gridSpan w:val="3"/>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75,000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3"/>
          </w:tcPr>
          <w:p>
            <w:pPr>
              <w:spacing w:after="0" w:line="149" w:lineRule="exact"/>
              <w:rPr>
                <w:sz w:val="20"/>
                <w:szCs w:val="20"/>
                <w:color w:val="auto"/>
              </w:rPr>
            </w:pPr>
            <w:r>
              <w:rPr>
                <w:rFonts w:ascii="Arial" w:cs="Arial" w:eastAsia="Arial" w:hAnsi="Arial"/>
                <w:sz w:val="14"/>
                <w:szCs w:val="14"/>
                <w:color w:val="auto"/>
              </w:rPr>
              <w:t>Potlach</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0</w:t>
            </w: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890,000</w:t>
            </w:r>
          </w:p>
        </w:tc>
        <w:tc>
          <w:tcPr>
            <w:tcW w:w="1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880" w:type="dxa"/>
            <w:vAlign w:val="bottom"/>
            <w:gridSpan w:val="3"/>
          </w:tcPr>
          <w:p>
            <w:pPr>
              <w:jc w:val="right"/>
              <w:ind w:right="560"/>
              <w:spacing w:after="0" w:line="149" w:lineRule="exact"/>
              <w:rPr>
                <w:sz w:val="20"/>
                <w:szCs w:val="20"/>
                <w:color w:val="auto"/>
              </w:rPr>
            </w:pPr>
            <w:r>
              <w:rPr>
                <w:rFonts w:ascii="Arial" w:cs="Arial" w:eastAsia="Arial" w:hAnsi="Arial"/>
                <w:sz w:val="14"/>
                <w:szCs w:val="14"/>
                <w:color w:val="auto"/>
              </w:rPr>
              <w:t>11,125</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Professional Liability Ins. Co. of America (aka AICA)</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w:t>
            </w:r>
          </w:p>
        </w:tc>
        <w:tc>
          <w:tcPr>
            <w:tcW w:w="2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50,000</w:t>
            </w:r>
          </w:p>
        </w:tc>
        <w:tc>
          <w:tcPr>
            <w:tcW w:w="1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80" w:type="dxa"/>
            <w:vAlign w:val="bottom"/>
            <w:gridSpan w:val="3"/>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625</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3"/>
          </w:tcPr>
          <w:p>
            <w:pPr>
              <w:spacing w:after="0" w:line="149" w:lineRule="exact"/>
              <w:rPr>
                <w:sz w:val="20"/>
                <w:szCs w:val="20"/>
                <w:color w:val="auto"/>
              </w:rPr>
            </w:pPr>
            <w:r>
              <w:rPr>
                <w:rFonts w:ascii="Arial" w:cs="Arial" w:eastAsia="Arial" w:hAnsi="Arial"/>
                <w:sz w:val="14"/>
                <w:szCs w:val="14"/>
                <w:color w:val="auto"/>
              </w:rPr>
              <w:t>Quattro Fund Ltd.</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0</w:t>
            </w:r>
          </w:p>
        </w:tc>
        <w:tc>
          <w:tcPr>
            <w:tcW w:w="2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4,800,000</w:t>
            </w:r>
          </w:p>
        </w:tc>
        <w:tc>
          <w:tcPr>
            <w:tcW w:w="1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w:t>
            </w:r>
          </w:p>
        </w:tc>
        <w:tc>
          <w:tcPr>
            <w:tcW w:w="1880" w:type="dxa"/>
            <w:vAlign w:val="bottom"/>
            <w:gridSpan w:val="3"/>
          </w:tcPr>
          <w:p>
            <w:pPr>
              <w:jc w:val="right"/>
              <w:ind w:right="560"/>
              <w:spacing w:after="0" w:line="149" w:lineRule="exact"/>
              <w:rPr>
                <w:sz w:val="20"/>
                <w:szCs w:val="20"/>
                <w:color w:val="auto"/>
              </w:rPr>
            </w:pPr>
            <w:r>
              <w:rPr>
                <w:rFonts w:ascii="Arial" w:cs="Arial" w:eastAsia="Arial" w:hAnsi="Arial"/>
                <w:sz w:val="14"/>
                <w:szCs w:val="14"/>
                <w:color w:val="auto"/>
              </w:rPr>
              <w:t>60,000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Relay 11 Holdings Co.</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w:t>
            </w:r>
          </w:p>
        </w:tc>
        <w:tc>
          <w:tcPr>
            <w:tcW w:w="2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192,000</w:t>
            </w:r>
          </w:p>
        </w:tc>
        <w:tc>
          <w:tcPr>
            <w:tcW w:w="1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80" w:type="dxa"/>
            <w:vAlign w:val="bottom"/>
            <w:gridSpan w:val="3"/>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2,400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3"/>
          </w:tcPr>
          <w:p>
            <w:pPr>
              <w:spacing w:after="0" w:line="149" w:lineRule="exact"/>
              <w:rPr>
                <w:sz w:val="20"/>
                <w:szCs w:val="20"/>
                <w:color w:val="auto"/>
              </w:rPr>
            </w:pPr>
            <w:r>
              <w:rPr>
                <w:rFonts w:ascii="Arial" w:cs="Arial" w:eastAsia="Arial" w:hAnsi="Arial"/>
                <w:sz w:val="14"/>
                <w:szCs w:val="14"/>
                <w:color w:val="auto"/>
              </w:rPr>
              <w:t>Rhapsody Fund, L.P.</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0</w:t>
            </w: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15,400,000</w:t>
            </w:r>
          </w:p>
        </w:tc>
        <w:tc>
          <w:tcPr>
            <w:tcW w:w="1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3.4</w:t>
            </w:r>
          </w:p>
        </w:tc>
        <w:tc>
          <w:tcPr>
            <w:tcW w:w="1880" w:type="dxa"/>
            <w:vAlign w:val="bottom"/>
            <w:gridSpan w:val="3"/>
          </w:tcPr>
          <w:p>
            <w:pPr>
              <w:jc w:val="right"/>
              <w:ind w:right="560"/>
              <w:spacing w:after="0" w:line="149" w:lineRule="exact"/>
              <w:rPr>
                <w:sz w:val="20"/>
                <w:szCs w:val="20"/>
                <w:color w:val="auto"/>
              </w:rPr>
            </w:pPr>
            <w:r>
              <w:rPr>
                <w:rFonts w:ascii="Arial" w:cs="Arial" w:eastAsia="Arial" w:hAnsi="Arial"/>
                <w:sz w:val="14"/>
                <w:szCs w:val="14"/>
                <w:color w:val="auto"/>
              </w:rPr>
              <w:t>192,500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Royal Bank of Canada (CI) Ltd.</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w:t>
            </w:r>
          </w:p>
        </w:tc>
        <w:tc>
          <w:tcPr>
            <w:tcW w:w="2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2,000,000</w:t>
            </w:r>
          </w:p>
        </w:tc>
        <w:tc>
          <w:tcPr>
            <w:tcW w:w="1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80" w:type="dxa"/>
            <w:vAlign w:val="bottom"/>
            <w:gridSpan w:val="3"/>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25,000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3"/>
          </w:tcPr>
          <w:p>
            <w:pPr>
              <w:spacing w:after="0" w:line="149" w:lineRule="exact"/>
              <w:rPr>
                <w:sz w:val="20"/>
                <w:szCs w:val="20"/>
                <w:color w:val="auto"/>
              </w:rPr>
            </w:pPr>
            <w:r>
              <w:rPr>
                <w:rFonts w:ascii="Arial" w:cs="Arial" w:eastAsia="Arial" w:hAnsi="Arial"/>
                <w:sz w:val="14"/>
                <w:szCs w:val="14"/>
                <w:color w:val="auto"/>
              </w:rPr>
              <w:t>S.A.C. Capital Associates, LLC</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8,000,000</w:t>
            </w: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2,000,000</w:t>
            </w:r>
          </w:p>
        </w:tc>
        <w:tc>
          <w:tcPr>
            <w:tcW w:w="1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880" w:type="dxa"/>
            <w:vAlign w:val="bottom"/>
            <w:gridSpan w:val="3"/>
          </w:tcPr>
          <w:p>
            <w:pPr>
              <w:jc w:val="right"/>
              <w:ind w:right="400"/>
              <w:spacing w:after="0" w:line="149" w:lineRule="exact"/>
              <w:rPr>
                <w:sz w:val="20"/>
                <w:szCs w:val="20"/>
                <w:color w:val="auto"/>
              </w:rPr>
            </w:pPr>
            <w:r>
              <w:rPr>
                <w:rFonts w:ascii="Arial" w:cs="Arial" w:eastAsia="Arial" w:hAnsi="Arial"/>
                <w:sz w:val="14"/>
                <w:szCs w:val="14"/>
                <w:color w:val="auto"/>
              </w:rPr>
              <w:t>135,604(6)</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San Diego County Employee Retirement Association</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w:t>
            </w:r>
          </w:p>
        </w:tc>
        <w:tc>
          <w:tcPr>
            <w:tcW w:w="2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1,800,000</w:t>
            </w:r>
          </w:p>
        </w:tc>
        <w:tc>
          <w:tcPr>
            <w:tcW w:w="1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80" w:type="dxa"/>
            <w:vAlign w:val="bottom"/>
            <w:gridSpan w:val="3"/>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22,500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3"/>
          </w:tcPr>
          <w:p>
            <w:pPr>
              <w:spacing w:after="0" w:line="149" w:lineRule="exact"/>
              <w:rPr>
                <w:sz w:val="20"/>
                <w:szCs w:val="20"/>
                <w:color w:val="auto"/>
              </w:rPr>
            </w:pPr>
            <w:r>
              <w:rPr>
                <w:rFonts w:ascii="Arial" w:cs="Arial" w:eastAsia="Arial" w:hAnsi="Arial"/>
                <w:sz w:val="14"/>
                <w:szCs w:val="14"/>
                <w:color w:val="auto"/>
              </w:rPr>
              <w:t>Satellite Asset Management, L.P.</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1"/>
              </w:rPr>
              <w:t>30,000,000</w:t>
            </w: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3.1</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4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80" w:type="dxa"/>
            <w:vAlign w:val="bottom"/>
            <w:gridSpan w:val="3"/>
          </w:tcPr>
          <w:p>
            <w:pPr>
              <w:jc w:val="right"/>
              <w:ind w:right="560"/>
              <w:spacing w:after="0" w:line="149" w:lineRule="exact"/>
              <w:rPr>
                <w:sz w:val="20"/>
                <w:szCs w:val="20"/>
                <w:color w:val="auto"/>
              </w:rPr>
            </w:pPr>
            <w:r>
              <w:rPr>
                <w:rFonts w:ascii="Arial" w:cs="Arial" w:eastAsia="Arial" w:hAnsi="Arial"/>
                <w:sz w:val="14"/>
                <w:szCs w:val="14"/>
                <w:color w:val="auto"/>
              </w:rPr>
              <w:t>414,765</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Satellite Convertible Arbitrage Master Fund, LLC</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1"/>
              </w:rPr>
              <w:t>14,000,000</w:t>
            </w: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80" w:type="dxa"/>
            <w:vAlign w:val="bottom"/>
            <w:gridSpan w:val="3"/>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193,557</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3"/>
          </w:tcPr>
          <w:p>
            <w:pPr>
              <w:spacing w:after="0" w:line="149" w:lineRule="exact"/>
              <w:rPr>
                <w:sz w:val="20"/>
                <w:szCs w:val="20"/>
                <w:color w:val="auto"/>
              </w:rPr>
            </w:pPr>
            <w:r>
              <w:rPr>
                <w:rFonts w:ascii="Arial" w:cs="Arial" w:eastAsia="Arial" w:hAnsi="Arial"/>
                <w:sz w:val="14"/>
                <w:szCs w:val="14"/>
                <w:color w:val="auto"/>
              </w:rPr>
              <w:t>Silver Convertible Arbitrage Fund, LDC</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4,000,000</w:t>
            </w: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1,600,000</w:t>
            </w:r>
          </w:p>
        </w:tc>
        <w:tc>
          <w:tcPr>
            <w:tcW w:w="1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880" w:type="dxa"/>
            <w:vAlign w:val="bottom"/>
            <w:gridSpan w:val="3"/>
          </w:tcPr>
          <w:p>
            <w:pPr>
              <w:jc w:val="right"/>
              <w:ind w:right="560"/>
              <w:spacing w:after="0" w:line="149" w:lineRule="exact"/>
              <w:rPr>
                <w:sz w:val="20"/>
                <w:szCs w:val="20"/>
                <w:color w:val="auto"/>
              </w:rPr>
            </w:pPr>
            <w:r>
              <w:rPr>
                <w:rFonts w:ascii="Arial" w:cs="Arial" w:eastAsia="Arial" w:hAnsi="Arial"/>
                <w:sz w:val="14"/>
                <w:szCs w:val="14"/>
                <w:color w:val="auto"/>
              </w:rPr>
              <w:t>75,302</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South Dakota Retirement System</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5,000,000</w:t>
            </w: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80" w:type="dxa"/>
            <w:vAlign w:val="bottom"/>
            <w:gridSpan w:val="3"/>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69,127(7)</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3"/>
          </w:tcPr>
          <w:p>
            <w:pPr>
              <w:spacing w:after="0" w:line="149" w:lineRule="exact"/>
              <w:rPr>
                <w:sz w:val="20"/>
                <w:szCs w:val="20"/>
                <w:color w:val="auto"/>
              </w:rPr>
            </w:pPr>
            <w:r>
              <w:rPr>
                <w:rFonts w:ascii="Arial" w:cs="Arial" w:eastAsia="Arial" w:hAnsi="Arial"/>
                <w:sz w:val="14"/>
                <w:szCs w:val="14"/>
                <w:color w:val="auto"/>
              </w:rPr>
              <w:t>Southern Farm Bureau Life Insurance</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1,225,000</w:t>
            </w: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4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80" w:type="dxa"/>
            <w:vAlign w:val="bottom"/>
            <w:gridSpan w:val="3"/>
          </w:tcPr>
          <w:p>
            <w:pPr>
              <w:jc w:val="right"/>
              <w:ind w:right="560"/>
              <w:spacing w:after="0" w:line="149" w:lineRule="exact"/>
              <w:rPr>
                <w:sz w:val="20"/>
                <w:szCs w:val="20"/>
                <w:color w:val="auto"/>
              </w:rPr>
            </w:pPr>
            <w:r>
              <w:rPr>
                <w:rFonts w:ascii="Arial" w:cs="Arial" w:eastAsia="Arial" w:hAnsi="Arial"/>
                <w:sz w:val="14"/>
                <w:szCs w:val="14"/>
                <w:color w:val="auto"/>
              </w:rPr>
              <w:t>16,936</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Sphinx Convertible Arbitrage Fund</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126,000</w:t>
            </w: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128,000</w:t>
            </w:r>
          </w:p>
        </w:tc>
        <w:tc>
          <w:tcPr>
            <w:tcW w:w="1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80" w:type="dxa"/>
            <w:vAlign w:val="bottom"/>
            <w:gridSpan w:val="3"/>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3,342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3"/>
          </w:tcPr>
          <w:p>
            <w:pPr>
              <w:spacing w:after="0" w:line="149" w:lineRule="exact"/>
              <w:rPr>
                <w:sz w:val="20"/>
                <w:szCs w:val="20"/>
                <w:color w:val="auto"/>
              </w:rPr>
            </w:pPr>
            <w:r>
              <w:rPr>
                <w:rFonts w:ascii="Arial" w:cs="Arial" w:eastAsia="Arial" w:hAnsi="Arial"/>
                <w:sz w:val="14"/>
                <w:szCs w:val="14"/>
                <w:color w:val="auto"/>
              </w:rPr>
              <w:t>Sphinx Convertible Arbitrage SPC</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0</w:t>
            </w: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116,000</w:t>
            </w:r>
          </w:p>
        </w:tc>
        <w:tc>
          <w:tcPr>
            <w:tcW w:w="1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880" w:type="dxa"/>
            <w:vAlign w:val="bottom"/>
            <w:gridSpan w:val="3"/>
          </w:tcPr>
          <w:p>
            <w:pPr>
              <w:jc w:val="right"/>
              <w:ind w:right="560"/>
              <w:spacing w:after="0" w:line="149" w:lineRule="exact"/>
              <w:rPr>
                <w:sz w:val="20"/>
                <w:szCs w:val="20"/>
                <w:color w:val="auto"/>
              </w:rPr>
            </w:pPr>
            <w:r>
              <w:rPr>
                <w:rFonts w:ascii="Arial" w:cs="Arial" w:eastAsia="Arial" w:hAnsi="Arial"/>
                <w:sz w:val="14"/>
                <w:szCs w:val="14"/>
                <w:color w:val="auto"/>
              </w:rPr>
              <w:t>1,450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w w:val="99"/>
              </w:rPr>
              <w:t>State Employees’ Retirement Fund of the State of Delaware—International</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2,965,000</w:t>
            </w: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80" w:type="dxa"/>
            <w:vAlign w:val="bottom"/>
            <w:gridSpan w:val="3"/>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40,992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3"/>
          </w:tcPr>
          <w:p>
            <w:pPr>
              <w:spacing w:after="0" w:line="149" w:lineRule="exact"/>
              <w:rPr>
                <w:sz w:val="20"/>
                <w:szCs w:val="20"/>
                <w:color w:val="auto"/>
              </w:rPr>
            </w:pPr>
            <w:r>
              <w:rPr>
                <w:rFonts w:ascii="Arial" w:cs="Arial" w:eastAsia="Arial" w:hAnsi="Arial"/>
                <w:sz w:val="14"/>
                <w:szCs w:val="14"/>
                <w:color w:val="auto"/>
              </w:rPr>
              <w:t>State of Florida Division of Treasury</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4,555,000</w:t>
            </w: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3,225,000</w:t>
            </w:r>
          </w:p>
        </w:tc>
        <w:tc>
          <w:tcPr>
            <w:tcW w:w="1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880" w:type="dxa"/>
            <w:vAlign w:val="bottom"/>
            <w:gridSpan w:val="3"/>
          </w:tcPr>
          <w:p>
            <w:pPr>
              <w:jc w:val="right"/>
              <w:ind w:right="560"/>
              <w:spacing w:after="0" w:line="149" w:lineRule="exact"/>
              <w:rPr>
                <w:sz w:val="20"/>
                <w:szCs w:val="20"/>
                <w:color w:val="auto"/>
              </w:rPr>
            </w:pPr>
            <w:r>
              <w:rPr>
                <w:rFonts w:ascii="Arial" w:cs="Arial" w:eastAsia="Arial" w:hAnsi="Arial"/>
                <w:sz w:val="14"/>
                <w:szCs w:val="14"/>
                <w:color w:val="auto"/>
              </w:rPr>
              <w:t>103,287</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St. Thomas Trading, Ltd.</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w:t>
            </w:r>
          </w:p>
        </w:tc>
        <w:tc>
          <w:tcPr>
            <w:tcW w:w="2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16,180,000</w:t>
            </w:r>
          </w:p>
        </w:tc>
        <w:tc>
          <w:tcPr>
            <w:tcW w:w="1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3.6</w:t>
            </w:r>
          </w:p>
        </w:tc>
        <w:tc>
          <w:tcPr>
            <w:tcW w:w="1880" w:type="dxa"/>
            <w:vAlign w:val="bottom"/>
            <w:gridSpan w:val="3"/>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202,250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3"/>
          </w:tcPr>
          <w:p>
            <w:pPr>
              <w:spacing w:after="0" w:line="149" w:lineRule="exact"/>
              <w:rPr>
                <w:sz w:val="20"/>
                <w:szCs w:val="20"/>
                <w:color w:val="auto"/>
              </w:rPr>
            </w:pPr>
            <w:r>
              <w:rPr>
                <w:rFonts w:ascii="Arial" w:cs="Arial" w:eastAsia="Arial" w:hAnsi="Arial"/>
                <w:sz w:val="14"/>
                <w:szCs w:val="14"/>
                <w:color w:val="auto"/>
              </w:rPr>
              <w:t>Stamford Police Pension Fund</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0</w:t>
            </w:r>
          </w:p>
        </w:tc>
        <w:tc>
          <w:tcPr>
            <w:tcW w:w="2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65,000</w:t>
            </w:r>
          </w:p>
        </w:tc>
        <w:tc>
          <w:tcPr>
            <w:tcW w:w="1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880" w:type="dxa"/>
            <w:vAlign w:val="bottom"/>
            <w:gridSpan w:val="3"/>
          </w:tcPr>
          <w:p>
            <w:pPr>
              <w:jc w:val="right"/>
              <w:ind w:right="560"/>
              <w:spacing w:after="0" w:line="149" w:lineRule="exact"/>
              <w:rPr>
                <w:sz w:val="20"/>
                <w:szCs w:val="20"/>
                <w:color w:val="auto"/>
              </w:rPr>
            </w:pPr>
            <w:r>
              <w:rPr>
                <w:rFonts w:ascii="Arial" w:cs="Arial" w:eastAsia="Arial" w:hAnsi="Arial"/>
                <w:sz w:val="14"/>
                <w:szCs w:val="14"/>
                <w:color w:val="auto"/>
              </w:rPr>
              <w:t>812</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SunAmerica Value Fund</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w:t>
            </w:r>
          </w:p>
        </w:tc>
        <w:tc>
          <w:tcPr>
            <w:tcW w:w="2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2,846,000</w:t>
            </w:r>
          </w:p>
        </w:tc>
        <w:tc>
          <w:tcPr>
            <w:tcW w:w="1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80" w:type="dxa"/>
            <w:vAlign w:val="bottom"/>
            <w:gridSpan w:val="3"/>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35,575</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3"/>
          </w:tcPr>
          <w:p>
            <w:pPr>
              <w:spacing w:after="0" w:line="149" w:lineRule="exact"/>
              <w:rPr>
                <w:sz w:val="20"/>
                <w:szCs w:val="20"/>
                <w:color w:val="auto"/>
              </w:rPr>
            </w:pPr>
            <w:r>
              <w:rPr>
                <w:rFonts w:ascii="Arial" w:cs="Arial" w:eastAsia="Arial" w:hAnsi="Arial"/>
                <w:sz w:val="14"/>
                <w:szCs w:val="14"/>
                <w:color w:val="auto"/>
              </w:rPr>
              <w:t>Sunrise Partners Limited Partnership</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1"/>
              </w:rPr>
              <w:t>15,000,000</w:t>
            </w: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4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80" w:type="dxa"/>
            <w:vAlign w:val="bottom"/>
            <w:gridSpan w:val="3"/>
          </w:tcPr>
          <w:p>
            <w:pPr>
              <w:jc w:val="right"/>
              <w:ind w:right="560"/>
              <w:spacing w:after="0" w:line="149" w:lineRule="exact"/>
              <w:rPr>
                <w:sz w:val="20"/>
                <w:szCs w:val="20"/>
                <w:color w:val="auto"/>
              </w:rPr>
            </w:pPr>
            <w:r>
              <w:rPr>
                <w:rFonts w:ascii="Arial" w:cs="Arial" w:eastAsia="Arial" w:hAnsi="Arial"/>
                <w:sz w:val="14"/>
                <w:szCs w:val="14"/>
                <w:color w:val="auto"/>
              </w:rPr>
              <w:t>207,382</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Swiss ReFinancial Products Corporation</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1"/>
              </w:rPr>
              <w:t>12,000,000</w:t>
            </w: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80" w:type="dxa"/>
            <w:vAlign w:val="bottom"/>
            <w:gridSpan w:val="3"/>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165,906</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3"/>
          </w:tcPr>
          <w:p>
            <w:pPr>
              <w:spacing w:after="0" w:line="149" w:lineRule="exact"/>
              <w:rPr>
                <w:sz w:val="20"/>
                <w:szCs w:val="20"/>
                <w:color w:val="auto"/>
              </w:rPr>
            </w:pPr>
            <w:r>
              <w:rPr>
                <w:rFonts w:ascii="Arial" w:cs="Arial" w:eastAsia="Arial" w:hAnsi="Arial"/>
                <w:sz w:val="14"/>
                <w:szCs w:val="14"/>
                <w:color w:val="auto"/>
              </w:rPr>
              <w:t>Teachers Insurance and Annuity Association of America</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1"/>
              </w:rPr>
              <w:t>27,500,000</w:t>
            </w: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2.8</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4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80" w:type="dxa"/>
            <w:vAlign w:val="bottom"/>
            <w:gridSpan w:val="3"/>
          </w:tcPr>
          <w:p>
            <w:pPr>
              <w:jc w:val="right"/>
              <w:ind w:right="560"/>
              <w:spacing w:after="0" w:line="149" w:lineRule="exact"/>
              <w:rPr>
                <w:sz w:val="20"/>
                <w:szCs w:val="20"/>
                <w:color w:val="auto"/>
              </w:rPr>
            </w:pPr>
            <w:r>
              <w:rPr>
                <w:rFonts w:ascii="Arial" w:cs="Arial" w:eastAsia="Arial" w:hAnsi="Arial"/>
                <w:sz w:val="14"/>
                <w:szCs w:val="14"/>
                <w:color w:val="auto"/>
              </w:rPr>
              <w:t>380,201</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The Captive Fixed Income Fund Ltd.</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1,030,000</w:t>
            </w: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1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80" w:type="dxa"/>
            <w:vAlign w:val="bottom"/>
            <w:gridSpan w:val="3"/>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14,240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3"/>
          </w:tcPr>
          <w:p>
            <w:pPr>
              <w:spacing w:after="0" w:line="149" w:lineRule="exact"/>
              <w:rPr>
                <w:sz w:val="20"/>
                <w:szCs w:val="20"/>
                <w:color w:val="auto"/>
              </w:rPr>
            </w:pPr>
            <w:r>
              <w:rPr>
                <w:rFonts w:ascii="Arial" w:cs="Arial" w:eastAsia="Arial" w:hAnsi="Arial"/>
                <w:sz w:val="14"/>
                <w:szCs w:val="14"/>
                <w:color w:val="auto"/>
              </w:rPr>
              <w:t>The Northwestern Mutual Life Insurance Company</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1"/>
              </w:rPr>
              <w:t>10,000,000</w:t>
            </w: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4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80" w:type="dxa"/>
            <w:vAlign w:val="bottom"/>
            <w:gridSpan w:val="3"/>
          </w:tcPr>
          <w:p>
            <w:pPr>
              <w:jc w:val="right"/>
              <w:ind w:right="400"/>
              <w:spacing w:after="0" w:line="149" w:lineRule="exact"/>
              <w:rPr>
                <w:sz w:val="20"/>
                <w:szCs w:val="20"/>
                <w:color w:val="auto"/>
              </w:rPr>
            </w:pPr>
            <w:r>
              <w:rPr>
                <w:rFonts w:ascii="Arial" w:cs="Arial" w:eastAsia="Arial" w:hAnsi="Arial"/>
                <w:sz w:val="14"/>
                <w:szCs w:val="14"/>
                <w:color w:val="auto"/>
              </w:rPr>
              <w:t>138,255(8)</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Thrivent Financial for Lutherans</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4,250,000</w:t>
            </w: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2,000,000</w:t>
            </w:r>
          </w:p>
        </w:tc>
        <w:tc>
          <w:tcPr>
            <w:tcW w:w="1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80" w:type="dxa"/>
            <w:vAlign w:val="bottom"/>
            <w:gridSpan w:val="3"/>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83,758(9)</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3"/>
          </w:tcPr>
          <w:p>
            <w:pPr>
              <w:spacing w:after="0" w:line="149" w:lineRule="exact"/>
              <w:rPr>
                <w:sz w:val="20"/>
                <w:szCs w:val="20"/>
                <w:color w:val="auto"/>
              </w:rPr>
            </w:pPr>
            <w:r>
              <w:rPr>
                <w:rFonts w:ascii="Arial" w:cs="Arial" w:eastAsia="Arial" w:hAnsi="Arial"/>
                <w:sz w:val="14"/>
                <w:szCs w:val="14"/>
                <w:color w:val="auto"/>
              </w:rPr>
              <w:t>Topanga XI</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2,300,000</w:t>
            </w: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1,900,000</w:t>
            </w:r>
          </w:p>
        </w:tc>
        <w:tc>
          <w:tcPr>
            <w:tcW w:w="1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880" w:type="dxa"/>
            <w:vAlign w:val="bottom"/>
            <w:gridSpan w:val="3"/>
          </w:tcPr>
          <w:p>
            <w:pPr>
              <w:jc w:val="right"/>
              <w:ind w:right="560"/>
              <w:spacing w:after="0" w:line="149" w:lineRule="exact"/>
              <w:rPr>
                <w:sz w:val="20"/>
                <w:szCs w:val="20"/>
                <w:color w:val="auto"/>
              </w:rPr>
            </w:pPr>
            <w:r>
              <w:rPr>
                <w:rFonts w:ascii="Arial" w:cs="Arial" w:eastAsia="Arial" w:hAnsi="Arial"/>
                <w:sz w:val="14"/>
                <w:szCs w:val="14"/>
                <w:color w:val="auto"/>
              </w:rPr>
              <w:t>55,548</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Tribeca Investments, Ltd.</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1"/>
              </w:rPr>
              <w:t>17,500,000</w:t>
            </w: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80" w:type="dxa"/>
            <w:vAlign w:val="bottom"/>
            <w:gridSpan w:val="3"/>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241,946</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3"/>
          </w:tcPr>
          <w:p>
            <w:pPr>
              <w:spacing w:after="0" w:line="149" w:lineRule="exact"/>
              <w:rPr>
                <w:sz w:val="20"/>
                <w:szCs w:val="20"/>
                <w:color w:val="auto"/>
              </w:rPr>
            </w:pPr>
            <w:r>
              <w:rPr>
                <w:rFonts w:ascii="Arial" w:cs="Arial" w:eastAsia="Arial" w:hAnsi="Arial"/>
                <w:sz w:val="14"/>
                <w:szCs w:val="14"/>
                <w:color w:val="auto"/>
              </w:rPr>
              <w:t>Tricor Re Investment Fund Ltd.</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210,000</w:t>
            </w: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4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80" w:type="dxa"/>
            <w:vAlign w:val="bottom"/>
            <w:gridSpan w:val="3"/>
          </w:tcPr>
          <w:p>
            <w:pPr>
              <w:jc w:val="right"/>
              <w:ind w:right="560"/>
              <w:spacing w:after="0" w:line="149" w:lineRule="exact"/>
              <w:rPr>
                <w:sz w:val="20"/>
                <w:szCs w:val="20"/>
                <w:color w:val="auto"/>
              </w:rPr>
            </w:pPr>
            <w:r>
              <w:rPr>
                <w:rFonts w:ascii="Arial" w:cs="Arial" w:eastAsia="Arial" w:hAnsi="Arial"/>
                <w:sz w:val="14"/>
                <w:szCs w:val="14"/>
                <w:color w:val="auto"/>
              </w:rPr>
              <w:t>2,903</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Tufts Associated Health Plans</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w:t>
            </w:r>
          </w:p>
        </w:tc>
        <w:tc>
          <w:tcPr>
            <w:tcW w:w="2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2,525,000</w:t>
            </w:r>
          </w:p>
        </w:tc>
        <w:tc>
          <w:tcPr>
            <w:tcW w:w="1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80" w:type="dxa"/>
            <w:vAlign w:val="bottom"/>
            <w:gridSpan w:val="3"/>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31,562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3"/>
          </w:tcPr>
          <w:p>
            <w:pPr>
              <w:spacing w:after="0" w:line="149" w:lineRule="exact"/>
              <w:rPr>
                <w:sz w:val="20"/>
                <w:szCs w:val="20"/>
                <w:color w:val="auto"/>
              </w:rPr>
            </w:pPr>
            <w:r>
              <w:rPr>
                <w:rFonts w:ascii="Arial" w:cs="Arial" w:eastAsia="Arial" w:hAnsi="Arial"/>
                <w:sz w:val="14"/>
                <w:szCs w:val="14"/>
                <w:color w:val="auto"/>
              </w:rPr>
              <w:t>UBS AG London Branch</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1"/>
              </w:rPr>
              <w:t>10,000,000</w:t>
            </w: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4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80" w:type="dxa"/>
            <w:vAlign w:val="bottom"/>
            <w:gridSpan w:val="3"/>
          </w:tcPr>
          <w:p>
            <w:pPr>
              <w:jc w:val="right"/>
              <w:ind w:right="560"/>
              <w:spacing w:after="0" w:line="149" w:lineRule="exact"/>
              <w:rPr>
                <w:sz w:val="20"/>
                <w:szCs w:val="20"/>
                <w:color w:val="auto"/>
              </w:rPr>
            </w:pPr>
            <w:r>
              <w:rPr>
                <w:rFonts w:ascii="Arial" w:cs="Arial" w:eastAsia="Arial" w:hAnsi="Arial"/>
                <w:sz w:val="14"/>
                <w:szCs w:val="14"/>
                <w:color w:val="auto"/>
              </w:rPr>
              <w:t>138,255</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UBS Securities LLC</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7,787,000</w:t>
            </w: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80" w:type="dxa"/>
            <w:vAlign w:val="bottom"/>
            <w:gridSpan w:val="3"/>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107,659</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3"/>
          </w:tcPr>
          <w:p>
            <w:pPr>
              <w:spacing w:after="0" w:line="149" w:lineRule="exact"/>
              <w:rPr>
                <w:sz w:val="20"/>
                <w:szCs w:val="20"/>
                <w:color w:val="auto"/>
              </w:rPr>
            </w:pPr>
            <w:r>
              <w:rPr>
                <w:rFonts w:ascii="Arial" w:cs="Arial" w:eastAsia="Arial" w:hAnsi="Arial"/>
                <w:sz w:val="14"/>
                <w:szCs w:val="14"/>
                <w:color w:val="auto"/>
              </w:rPr>
              <w:t>UMASS Memorial HealthCare</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0</w:t>
            </w:r>
          </w:p>
        </w:tc>
        <w:tc>
          <w:tcPr>
            <w:tcW w:w="2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505,000</w:t>
            </w:r>
          </w:p>
        </w:tc>
        <w:tc>
          <w:tcPr>
            <w:tcW w:w="1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880" w:type="dxa"/>
            <w:vAlign w:val="bottom"/>
            <w:gridSpan w:val="3"/>
          </w:tcPr>
          <w:p>
            <w:pPr>
              <w:jc w:val="right"/>
              <w:ind w:right="560"/>
              <w:spacing w:after="0" w:line="149" w:lineRule="exact"/>
              <w:rPr>
                <w:sz w:val="20"/>
                <w:szCs w:val="20"/>
                <w:color w:val="auto"/>
              </w:rPr>
            </w:pPr>
            <w:r>
              <w:rPr>
                <w:rFonts w:ascii="Arial" w:cs="Arial" w:eastAsia="Arial" w:hAnsi="Arial"/>
                <w:sz w:val="14"/>
                <w:szCs w:val="14"/>
                <w:color w:val="auto"/>
              </w:rPr>
              <w:t>6,312</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UMASS Memorial Investment Partnership</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w:t>
            </w:r>
          </w:p>
        </w:tc>
        <w:tc>
          <w:tcPr>
            <w:tcW w:w="2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505,000</w:t>
            </w:r>
          </w:p>
        </w:tc>
        <w:tc>
          <w:tcPr>
            <w:tcW w:w="1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80" w:type="dxa"/>
            <w:vAlign w:val="bottom"/>
            <w:gridSpan w:val="3"/>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6,312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3"/>
          </w:tcPr>
          <w:p>
            <w:pPr>
              <w:spacing w:after="0" w:line="149" w:lineRule="exact"/>
              <w:rPr>
                <w:sz w:val="20"/>
                <w:szCs w:val="20"/>
                <w:color w:val="auto"/>
              </w:rPr>
            </w:pPr>
            <w:r>
              <w:rPr>
                <w:rFonts w:ascii="Arial" w:cs="Arial" w:eastAsia="Arial" w:hAnsi="Arial"/>
                <w:sz w:val="14"/>
                <w:szCs w:val="14"/>
                <w:color w:val="auto"/>
              </w:rPr>
              <w:t>Universal Investment Gesellschaft MBH, Ref. Aventis</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0</w:t>
            </w:r>
          </w:p>
        </w:tc>
        <w:tc>
          <w:tcPr>
            <w:tcW w:w="2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120,000</w:t>
            </w:r>
          </w:p>
        </w:tc>
        <w:tc>
          <w:tcPr>
            <w:tcW w:w="1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880" w:type="dxa"/>
            <w:vAlign w:val="bottom"/>
            <w:gridSpan w:val="3"/>
          </w:tcPr>
          <w:p>
            <w:pPr>
              <w:jc w:val="right"/>
              <w:ind w:right="560"/>
              <w:spacing w:after="0" w:line="149" w:lineRule="exact"/>
              <w:rPr>
                <w:sz w:val="20"/>
                <w:szCs w:val="20"/>
                <w:color w:val="auto"/>
              </w:rPr>
            </w:pPr>
            <w:r>
              <w:rPr>
                <w:rFonts w:ascii="Arial" w:cs="Arial" w:eastAsia="Arial" w:hAnsi="Arial"/>
                <w:sz w:val="14"/>
                <w:szCs w:val="14"/>
                <w:color w:val="auto"/>
              </w:rPr>
              <w:t>1,500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University of Massachusetts</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w:t>
            </w:r>
          </w:p>
        </w:tc>
        <w:tc>
          <w:tcPr>
            <w:tcW w:w="2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385,000</w:t>
            </w:r>
          </w:p>
        </w:tc>
        <w:tc>
          <w:tcPr>
            <w:tcW w:w="1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80" w:type="dxa"/>
            <w:vAlign w:val="bottom"/>
            <w:gridSpan w:val="3"/>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4,812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3"/>
          </w:tcPr>
          <w:p>
            <w:pPr>
              <w:spacing w:after="0" w:line="149" w:lineRule="exact"/>
              <w:rPr>
                <w:sz w:val="20"/>
                <w:szCs w:val="20"/>
                <w:color w:val="auto"/>
              </w:rPr>
            </w:pPr>
            <w:r>
              <w:rPr>
                <w:rFonts w:ascii="Arial" w:cs="Arial" w:eastAsia="Arial" w:hAnsi="Arial"/>
                <w:sz w:val="14"/>
                <w:szCs w:val="14"/>
                <w:color w:val="auto"/>
              </w:rPr>
              <w:t>Univest Convertible Arbitrage Fund Ltd.</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0</w:t>
            </w:r>
          </w:p>
        </w:tc>
        <w:tc>
          <w:tcPr>
            <w:tcW w:w="2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164,000</w:t>
            </w:r>
          </w:p>
        </w:tc>
        <w:tc>
          <w:tcPr>
            <w:tcW w:w="1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880" w:type="dxa"/>
            <w:vAlign w:val="bottom"/>
            <w:gridSpan w:val="3"/>
          </w:tcPr>
          <w:p>
            <w:pPr>
              <w:jc w:val="right"/>
              <w:ind w:right="560"/>
              <w:spacing w:after="0" w:line="149" w:lineRule="exact"/>
              <w:rPr>
                <w:sz w:val="20"/>
                <w:szCs w:val="20"/>
                <w:color w:val="auto"/>
              </w:rPr>
            </w:pPr>
            <w:r>
              <w:rPr>
                <w:rFonts w:ascii="Arial" w:cs="Arial" w:eastAsia="Arial" w:hAnsi="Arial"/>
                <w:sz w:val="14"/>
                <w:szCs w:val="14"/>
                <w:color w:val="auto"/>
              </w:rPr>
              <w:t>2,050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Victory Convertible Securities Fund Investment Company</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w:t>
            </w:r>
          </w:p>
        </w:tc>
        <w:tc>
          <w:tcPr>
            <w:tcW w:w="2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825,000</w:t>
            </w:r>
          </w:p>
        </w:tc>
        <w:tc>
          <w:tcPr>
            <w:tcW w:w="1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80" w:type="dxa"/>
            <w:vAlign w:val="bottom"/>
            <w:gridSpan w:val="3"/>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10,312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3"/>
          </w:tcPr>
          <w:p>
            <w:pPr>
              <w:spacing w:after="0" w:line="149" w:lineRule="exact"/>
              <w:rPr>
                <w:sz w:val="20"/>
                <w:szCs w:val="20"/>
                <w:color w:val="auto"/>
              </w:rPr>
            </w:pPr>
            <w:r>
              <w:rPr>
                <w:rFonts w:ascii="Arial" w:cs="Arial" w:eastAsia="Arial" w:hAnsi="Arial"/>
                <w:sz w:val="14"/>
                <w:szCs w:val="14"/>
                <w:color w:val="auto"/>
              </w:rPr>
              <w:t>Wachovia Capital Markets LLC</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1"/>
              </w:rPr>
              <w:t>16,250,000</w:t>
            </w: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1.7</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4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80" w:type="dxa"/>
            <w:vAlign w:val="bottom"/>
            <w:gridSpan w:val="3"/>
          </w:tcPr>
          <w:p>
            <w:pPr>
              <w:jc w:val="right"/>
              <w:ind w:right="560"/>
              <w:spacing w:after="0" w:line="149" w:lineRule="exact"/>
              <w:rPr>
                <w:sz w:val="20"/>
                <w:szCs w:val="20"/>
                <w:color w:val="auto"/>
              </w:rPr>
            </w:pPr>
            <w:r>
              <w:rPr>
                <w:rFonts w:ascii="Arial" w:cs="Arial" w:eastAsia="Arial" w:hAnsi="Arial"/>
                <w:sz w:val="14"/>
                <w:szCs w:val="14"/>
                <w:color w:val="auto"/>
              </w:rPr>
              <w:t>224,664</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Wachovia Securities LLC</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w:t>
            </w:r>
          </w:p>
        </w:tc>
        <w:tc>
          <w:tcPr>
            <w:tcW w:w="2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3,089,000</w:t>
            </w:r>
          </w:p>
        </w:tc>
        <w:tc>
          <w:tcPr>
            <w:tcW w:w="1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80" w:type="dxa"/>
            <w:vAlign w:val="bottom"/>
            <w:gridSpan w:val="3"/>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38,612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3"/>
          </w:tcPr>
          <w:p>
            <w:pPr>
              <w:spacing w:after="0" w:line="149" w:lineRule="exact"/>
              <w:rPr>
                <w:sz w:val="20"/>
                <w:szCs w:val="20"/>
                <w:color w:val="auto"/>
              </w:rPr>
            </w:pPr>
            <w:r>
              <w:rPr>
                <w:rFonts w:ascii="Arial" w:cs="Arial" w:eastAsia="Arial" w:hAnsi="Arial"/>
                <w:sz w:val="14"/>
                <w:szCs w:val="14"/>
                <w:color w:val="auto"/>
              </w:rPr>
              <w:t>Waterstone Market Neutral Fund, LP</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942,000</w:t>
            </w: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4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80" w:type="dxa"/>
            <w:vAlign w:val="bottom"/>
            <w:gridSpan w:val="3"/>
          </w:tcPr>
          <w:p>
            <w:pPr>
              <w:jc w:val="right"/>
              <w:ind w:right="560"/>
              <w:spacing w:after="0" w:line="149" w:lineRule="exact"/>
              <w:rPr>
                <w:sz w:val="20"/>
                <w:szCs w:val="20"/>
                <w:color w:val="auto"/>
              </w:rPr>
            </w:pPr>
            <w:r>
              <w:rPr>
                <w:rFonts w:ascii="Arial" w:cs="Arial" w:eastAsia="Arial" w:hAnsi="Arial"/>
                <w:sz w:val="14"/>
                <w:szCs w:val="14"/>
                <w:color w:val="auto"/>
              </w:rPr>
              <w:t>13,023</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Waterstone Market Neutral Offshore Fund, Ltd.</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4,463,000</w:t>
            </w: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80" w:type="dxa"/>
            <w:vAlign w:val="bottom"/>
            <w:gridSpan w:val="3"/>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61,703</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3"/>
          </w:tcPr>
          <w:p>
            <w:pPr>
              <w:spacing w:after="0" w:line="149" w:lineRule="exact"/>
              <w:rPr>
                <w:sz w:val="20"/>
                <w:szCs w:val="20"/>
                <w:color w:val="auto"/>
              </w:rPr>
            </w:pPr>
            <w:r>
              <w:rPr>
                <w:rFonts w:ascii="Arial" w:cs="Arial" w:eastAsia="Arial" w:hAnsi="Arial"/>
                <w:sz w:val="14"/>
                <w:szCs w:val="14"/>
                <w:color w:val="auto"/>
              </w:rPr>
              <w:t>White River Securities L.L.C.</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1"/>
              </w:rPr>
              <w:t>21,250,000</w:t>
            </w: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5,000,000</w:t>
            </w:r>
          </w:p>
        </w:tc>
        <w:tc>
          <w:tcPr>
            <w:tcW w:w="1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w:t>
            </w:r>
          </w:p>
        </w:tc>
        <w:tc>
          <w:tcPr>
            <w:tcW w:w="1880" w:type="dxa"/>
            <w:vAlign w:val="bottom"/>
            <w:gridSpan w:val="3"/>
          </w:tcPr>
          <w:p>
            <w:pPr>
              <w:jc w:val="right"/>
              <w:ind w:right="560"/>
              <w:spacing w:after="0" w:line="149" w:lineRule="exact"/>
              <w:rPr>
                <w:sz w:val="20"/>
                <w:szCs w:val="20"/>
                <w:color w:val="auto"/>
              </w:rPr>
            </w:pPr>
            <w:r>
              <w:rPr>
                <w:rFonts w:ascii="Arial" w:cs="Arial" w:eastAsia="Arial" w:hAnsi="Arial"/>
                <w:sz w:val="14"/>
                <w:szCs w:val="14"/>
                <w:color w:val="auto"/>
              </w:rPr>
              <w:t>356,291</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Windmill Master Fund, LP</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1"/>
              </w:rPr>
              <w:t>17,000,000</w:t>
            </w: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80" w:type="dxa"/>
            <w:vAlign w:val="bottom"/>
            <w:gridSpan w:val="3"/>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235,033</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3"/>
          </w:tcPr>
          <w:p>
            <w:pPr>
              <w:spacing w:after="0" w:line="149" w:lineRule="exact"/>
              <w:rPr>
                <w:sz w:val="20"/>
                <w:szCs w:val="20"/>
                <w:color w:val="auto"/>
              </w:rPr>
            </w:pPr>
            <w:r>
              <w:rPr>
                <w:rFonts w:ascii="Arial" w:cs="Arial" w:eastAsia="Arial" w:hAnsi="Arial"/>
                <w:sz w:val="14"/>
                <w:szCs w:val="14"/>
                <w:color w:val="auto"/>
              </w:rPr>
              <w:t>Worldwide Transactions Ltd.</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303,000</w:t>
            </w: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4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80" w:type="dxa"/>
            <w:vAlign w:val="bottom"/>
            <w:gridSpan w:val="3"/>
          </w:tcPr>
          <w:p>
            <w:pPr>
              <w:jc w:val="right"/>
              <w:ind w:right="560"/>
              <w:spacing w:after="0" w:line="149" w:lineRule="exact"/>
              <w:rPr>
                <w:sz w:val="20"/>
                <w:szCs w:val="20"/>
                <w:color w:val="auto"/>
              </w:rPr>
            </w:pPr>
            <w:r>
              <w:rPr>
                <w:rFonts w:ascii="Arial" w:cs="Arial" w:eastAsia="Arial" w:hAnsi="Arial"/>
                <w:sz w:val="14"/>
                <w:szCs w:val="14"/>
                <w:color w:val="auto"/>
              </w:rPr>
              <w:t>4,189</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Xavex Convertible Arbitrage 2 Fund</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2,600,000</w:t>
            </w: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80" w:type="dxa"/>
            <w:vAlign w:val="bottom"/>
            <w:gridSpan w:val="3"/>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35,946</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3"/>
          </w:tcPr>
          <w:p>
            <w:pPr>
              <w:spacing w:after="0" w:line="149" w:lineRule="exact"/>
              <w:rPr>
                <w:sz w:val="20"/>
                <w:szCs w:val="20"/>
                <w:color w:val="auto"/>
              </w:rPr>
            </w:pPr>
            <w:r>
              <w:rPr>
                <w:rFonts w:ascii="Arial" w:cs="Arial" w:eastAsia="Arial" w:hAnsi="Arial"/>
                <w:sz w:val="14"/>
                <w:szCs w:val="14"/>
                <w:color w:val="auto"/>
              </w:rPr>
              <w:t>Xavex Convertible Arbitrage 4 Fund</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0</w:t>
            </w:r>
          </w:p>
        </w:tc>
        <w:tc>
          <w:tcPr>
            <w:tcW w:w="2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134,000</w:t>
            </w:r>
          </w:p>
        </w:tc>
        <w:tc>
          <w:tcPr>
            <w:tcW w:w="1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880" w:type="dxa"/>
            <w:vAlign w:val="bottom"/>
            <w:gridSpan w:val="3"/>
          </w:tcPr>
          <w:p>
            <w:pPr>
              <w:jc w:val="right"/>
              <w:ind w:right="560"/>
              <w:spacing w:after="0" w:line="149" w:lineRule="exact"/>
              <w:rPr>
                <w:sz w:val="20"/>
                <w:szCs w:val="20"/>
                <w:color w:val="auto"/>
              </w:rPr>
            </w:pPr>
            <w:r>
              <w:rPr>
                <w:rFonts w:ascii="Arial" w:cs="Arial" w:eastAsia="Arial" w:hAnsi="Arial"/>
                <w:sz w:val="14"/>
                <w:szCs w:val="14"/>
                <w:color w:val="auto"/>
              </w:rPr>
              <w:t>1,675</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Xavex Convertible Arbitrage 10 Fund</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2,300,000</w:t>
            </w: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1,200,000</w:t>
            </w:r>
          </w:p>
        </w:tc>
        <w:tc>
          <w:tcPr>
            <w:tcW w:w="1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80" w:type="dxa"/>
            <w:vAlign w:val="bottom"/>
            <w:gridSpan w:val="3"/>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46,798</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600" w:type="dxa"/>
            <w:vAlign w:val="bottom"/>
            <w:gridSpan w:val="3"/>
          </w:tcPr>
          <w:p>
            <w:pPr>
              <w:spacing w:after="0"/>
              <w:rPr>
                <w:sz w:val="20"/>
                <w:szCs w:val="20"/>
                <w:color w:val="auto"/>
              </w:rPr>
            </w:pPr>
            <w:r>
              <w:rPr>
                <w:rFonts w:ascii="Arial" w:cs="Arial" w:eastAsia="Arial" w:hAnsi="Arial"/>
                <w:sz w:val="14"/>
                <w:szCs w:val="14"/>
                <w:color w:val="auto"/>
              </w:rPr>
              <w:t>Zazove Convertible Arbitrage Fund L.P.</w:t>
            </w: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0</w:t>
            </w:r>
          </w:p>
        </w:tc>
        <w:tc>
          <w:tcPr>
            <w:tcW w:w="2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6,500,000</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1.4</w:t>
            </w:r>
          </w:p>
        </w:tc>
        <w:tc>
          <w:tcPr>
            <w:tcW w:w="1880" w:type="dxa"/>
            <w:vAlign w:val="bottom"/>
            <w:gridSpan w:val="3"/>
          </w:tcPr>
          <w:p>
            <w:pPr>
              <w:jc w:val="right"/>
              <w:ind w:right="560"/>
              <w:spacing w:after="0"/>
              <w:rPr>
                <w:sz w:val="20"/>
                <w:szCs w:val="20"/>
                <w:color w:val="auto"/>
              </w:rPr>
            </w:pPr>
            <w:r>
              <w:rPr>
                <w:rFonts w:ascii="Arial" w:cs="Arial" w:eastAsia="Arial" w:hAnsi="Arial"/>
                <w:sz w:val="14"/>
                <w:szCs w:val="14"/>
                <w:color w:val="auto"/>
              </w:rPr>
              <w:t>81,250</w:t>
            </w: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9"/>
        </w:trPr>
        <w:tc>
          <w:tcPr>
            <w:tcW w:w="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gridSpan w:val="2"/>
          </w:tcPr>
          <w:p>
            <w:pPr>
              <w:jc w:val="right"/>
              <w:ind w:right="512"/>
              <w:spacing w:after="0"/>
              <w:rPr>
                <w:sz w:val="20"/>
                <w:szCs w:val="20"/>
                <w:color w:val="auto"/>
              </w:rPr>
            </w:pPr>
            <w:r>
              <w:rPr>
                <w:rFonts w:ascii="Arial" w:cs="Arial" w:eastAsia="Arial" w:hAnsi="Arial"/>
                <w:sz w:val="18"/>
                <w:szCs w:val="18"/>
                <w:color w:val="auto"/>
              </w:rPr>
              <w:t>S-5</w:t>
            </w: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263"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6" w:name="page7"/>
    <w:bookmarkEnd w:id="6"/>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1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7"/>
              </w:rPr>
              <w:t>Principal</w:t>
            </w: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1"/>
              </w:rPr>
              <w:t>Principal</w:t>
            </w: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1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8"/>
              </w:rPr>
              <w:t>Amount of</w:t>
            </w: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Amount of</w:t>
            </w: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1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5"/>
              </w:rPr>
              <w:t>Series A</w:t>
            </w: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Series B</w:t>
            </w: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Number of</w:t>
            </w:r>
          </w:p>
        </w:tc>
        <w:tc>
          <w:tcPr>
            <w:tcW w:w="4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1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5"/>
              </w:rPr>
              <w:t>Debentures</w:t>
            </w: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Debentures</w:t>
            </w: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Shares of</w:t>
            </w:r>
          </w:p>
        </w:tc>
        <w:tc>
          <w:tcPr>
            <w:tcW w:w="4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1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Percentage</w:t>
            </w:r>
          </w:p>
        </w:tc>
        <w:tc>
          <w:tcPr>
            <w:tcW w:w="1100" w:type="dxa"/>
            <w:vAlign w:val="bottom"/>
            <w:gridSpan w:val="2"/>
          </w:tcPr>
          <w:p>
            <w:pPr>
              <w:jc w:val="center"/>
              <w:ind w:left="352"/>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440" w:type="dxa"/>
            <w:vAlign w:val="bottom"/>
          </w:tcPr>
          <w:p>
            <w:pPr>
              <w:spacing w:after="0"/>
              <w:rPr>
                <w:sz w:val="12"/>
                <w:szCs w:val="12"/>
                <w:color w:val="auto"/>
              </w:rPr>
            </w:pPr>
          </w:p>
        </w:tc>
        <w:tc>
          <w:tcPr>
            <w:tcW w:w="11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4"/>
              </w:rPr>
              <w:t>Percentage</w:t>
            </w: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Common Stock</w:t>
            </w:r>
          </w:p>
        </w:tc>
        <w:tc>
          <w:tcPr>
            <w:tcW w:w="420" w:type="dxa"/>
            <w:vAlign w:val="bottom"/>
          </w:tcPr>
          <w:p>
            <w:pPr>
              <w:spacing w:after="0"/>
              <w:rPr>
                <w:sz w:val="12"/>
                <w:szCs w:val="12"/>
                <w:color w:val="auto"/>
              </w:rPr>
            </w:pP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4"/>
              </w:rPr>
              <w:t>Percentage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1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5"/>
              </w:rPr>
              <w:t>Owned</w:t>
            </w: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of Series A</w:t>
            </w:r>
          </w:p>
        </w:tc>
        <w:tc>
          <w:tcPr>
            <w:tcW w:w="42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Owned</w:t>
            </w:r>
          </w:p>
        </w:tc>
        <w:tc>
          <w:tcPr>
            <w:tcW w:w="440" w:type="dxa"/>
            <w:vAlign w:val="bottom"/>
          </w:tcPr>
          <w:p>
            <w:pPr>
              <w:spacing w:after="0"/>
              <w:rPr>
                <w:sz w:val="12"/>
                <w:szCs w:val="12"/>
                <w:color w:val="auto"/>
              </w:rPr>
            </w:pPr>
          </w:p>
        </w:tc>
        <w:tc>
          <w:tcPr>
            <w:tcW w:w="11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1"/>
              </w:rPr>
              <w:t>of Series B</w:t>
            </w: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Underlying the</w:t>
            </w:r>
          </w:p>
        </w:tc>
        <w:tc>
          <w:tcPr>
            <w:tcW w:w="420" w:type="dxa"/>
            <w:vAlign w:val="bottom"/>
          </w:tcPr>
          <w:p>
            <w:pPr>
              <w:spacing w:after="0"/>
              <w:rPr>
                <w:sz w:val="12"/>
                <w:szCs w:val="12"/>
                <w:color w:val="auto"/>
              </w:rPr>
            </w:pP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Common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1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2"/>
              </w:rPr>
              <w:t>That May</w:t>
            </w: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Debentures</w:t>
            </w:r>
          </w:p>
        </w:tc>
        <w:tc>
          <w:tcPr>
            <w:tcW w:w="42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That May</w:t>
            </w:r>
          </w:p>
        </w:tc>
        <w:tc>
          <w:tcPr>
            <w:tcW w:w="440" w:type="dxa"/>
            <w:vAlign w:val="bottom"/>
          </w:tcPr>
          <w:p>
            <w:pPr>
              <w:spacing w:after="0"/>
              <w:rPr>
                <w:sz w:val="12"/>
                <w:szCs w:val="12"/>
                <w:color w:val="auto"/>
              </w:rPr>
            </w:pPr>
          </w:p>
        </w:tc>
        <w:tc>
          <w:tcPr>
            <w:tcW w:w="11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5"/>
              </w:rPr>
              <w:t>Debentures</w:t>
            </w:r>
          </w:p>
        </w:tc>
        <w:tc>
          <w:tcPr>
            <w:tcW w:w="9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5"/>
              </w:rPr>
              <w:t>Debentures and</w:t>
            </w:r>
          </w:p>
        </w:tc>
        <w:tc>
          <w:tcPr>
            <w:tcW w:w="420" w:type="dxa"/>
            <w:vAlign w:val="bottom"/>
          </w:tcPr>
          <w:p>
            <w:pPr>
              <w:spacing w:after="0"/>
              <w:rPr>
                <w:sz w:val="12"/>
                <w:szCs w:val="12"/>
                <w:color w:val="auto"/>
              </w:rPr>
            </w:pP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620" w:type="dxa"/>
            <w:vAlign w:val="bottom"/>
            <w:gridSpan w:val="3"/>
          </w:tcPr>
          <w:p>
            <w:pPr>
              <w:ind w:left="1920"/>
              <w:spacing w:after="0"/>
              <w:rPr>
                <w:sz w:val="20"/>
                <w:szCs w:val="20"/>
                <w:color w:val="auto"/>
              </w:rPr>
            </w:pPr>
            <w:r>
              <w:rPr>
                <w:rFonts w:ascii="Arial" w:cs="Arial" w:eastAsia="Arial" w:hAnsi="Arial"/>
                <w:sz w:val="14"/>
                <w:szCs w:val="14"/>
                <w:b w:val="1"/>
                <w:bCs w:val="1"/>
                <w:color w:val="auto"/>
              </w:rPr>
              <w:t>Name</w:t>
            </w:r>
          </w:p>
        </w:tc>
        <w:tc>
          <w:tcPr>
            <w:tcW w:w="11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4"/>
              </w:rPr>
              <w:t>Be Sold</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7"/>
              </w:rPr>
              <w:t>Outstanding</w:t>
            </w:r>
          </w:p>
        </w:tc>
        <w:tc>
          <w:tcPr>
            <w:tcW w:w="42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4"/>
              </w:rPr>
              <w:t>Be Sold</w:t>
            </w:r>
          </w:p>
        </w:tc>
        <w:tc>
          <w:tcPr>
            <w:tcW w:w="440" w:type="dxa"/>
            <w:vAlign w:val="bottom"/>
          </w:tcPr>
          <w:p>
            <w:pPr>
              <w:spacing w:after="0"/>
              <w:rPr>
                <w:sz w:val="15"/>
                <w:szCs w:val="15"/>
                <w:color w:val="auto"/>
              </w:rPr>
            </w:pPr>
          </w:p>
        </w:tc>
        <w:tc>
          <w:tcPr>
            <w:tcW w:w="11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7"/>
              </w:rPr>
              <w:t>Outstanding</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w w:val="88"/>
              </w:rPr>
              <w:t>Offered Hereby</w:t>
            </w:r>
          </w:p>
        </w:tc>
        <w:tc>
          <w:tcPr>
            <w:tcW w:w="420" w:type="dxa"/>
            <w:vAlign w:val="bottom"/>
          </w:tcPr>
          <w:p>
            <w:pPr>
              <w:spacing w:after="0"/>
              <w:rPr>
                <w:sz w:val="15"/>
                <w:szCs w:val="15"/>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8"/>
              </w:rPr>
              <w:t>Outstanding(1)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94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38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9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3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920" w:type="dxa"/>
            <w:vAlign w:val="bottom"/>
          </w:tcPr>
          <w:p>
            <w:pPr>
              <w:spacing w:after="0"/>
              <w:rPr>
                <w:sz w:val="8"/>
                <w:szCs w:val="8"/>
                <w:color w:val="auto"/>
              </w:rPr>
            </w:pPr>
          </w:p>
        </w:tc>
        <w:tc>
          <w:tcPr>
            <w:tcW w:w="4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Zazove Hedged Convertible Fund L.P.</w:t>
            </w:r>
          </w:p>
        </w:tc>
        <w:tc>
          <w:tcPr>
            <w:tcW w:w="11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0</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4,200,000</w:t>
            </w:r>
          </w:p>
        </w:tc>
        <w:tc>
          <w:tcPr>
            <w:tcW w:w="1600" w:type="dxa"/>
            <w:vAlign w:val="bottom"/>
            <w:gridSpan w:val="3"/>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52,500</w:t>
            </w:r>
          </w:p>
        </w:tc>
        <w:tc>
          <w:tcPr>
            <w:tcW w:w="1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gridSpan w:val="3"/>
          </w:tcPr>
          <w:p>
            <w:pPr>
              <w:spacing w:after="0" w:line="149" w:lineRule="exact"/>
              <w:rPr>
                <w:sz w:val="20"/>
                <w:szCs w:val="20"/>
                <w:color w:val="auto"/>
              </w:rPr>
            </w:pPr>
            <w:r>
              <w:rPr>
                <w:rFonts w:ascii="Arial" w:cs="Arial" w:eastAsia="Arial" w:hAnsi="Arial"/>
                <w:sz w:val="14"/>
                <w:szCs w:val="14"/>
                <w:color w:val="auto"/>
              </w:rPr>
              <w:t>Zazove Income Fund L.P.</w:t>
            </w:r>
          </w:p>
        </w:tc>
        <w:tc>
          <w:tcPr>
            <w:tcW w:w="11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0</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2,500,000</w:t>
            </w:r>
          </w:p>
        </w:tc>
        <w:tc>
          <w:tcPr>
            <w:tcW w:w="1600" w:type="dxa"/>
            <w:vAlign w:val="bottom"/>
            <w:gridSpan w:val="3"/>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31,250</w:t>
            </w:r>
          </w:p>
        </w:tc>
        <w:tc>
          <w:tcPr>
            <w:tcW w:w="13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Zeneca Holdings Pension Trust</w:t>
            </w:r>
          </w:p>
        </w:tc>
        <w:tc>
          <w:tcPr>
            <w:tcW w:w="11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800,000</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4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11,060</w:t>
            </w:r>
          </w:p>
        </w:tc>
        <w:tc>
          <w:tcPr>
            <w:tcW w:w="1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gridSpan w:val="3"/>
          </w:tcPr>
          <w:p>
            <w:pPr>
              <w:spacing w:after="0" w:line="149" w:lineRule="exact"/>
              <w:rPr>
                <w:sz w:val="20"/>
                <w:szCs w:val="20"/>
                <w:color w:val="auto"/>
              </w:rPr>
            </w:pPr>
            <w:r>
              <w:rPr>
                <w:rFonts w:ascii="Arial" w:cs="Arial" w:eastAsia="Arial" w:hAnsi="Arial"/>
                <w:sz w:val="14"/>
                <w:szCs w:val="14"/>
                <w:color w:val="auto"/>
              </w:rPr>
              <w:t>Zola Partners, L.P.</w:t>
            </w:r>
          </w:p>
        </w:tc>
        <w:tc>
          <w:tcPr>
            <w:tcW w:w="11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1,000,000</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440" w:type="dxa"/>
            <w:vAlign w:val="bottom"/>
          </w:tcPr>
          <w:p>
            <w:pPr>
              <w:spacing w:after="0"/>
              <w:rPr>
                <w:sz w:val="12"/>
                <w:szCs w:val="12"/>
                <w:color w:val="auto"/>
              </w:rPr>
            </w:pPr>
          </w:p>
        </w:tc>
        <w:tc>
          <w:tcPr>
            <w:tcW w:w="116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13,825</w:t>
            </w:r>
          </w:p>
        </w:tc>
        <w:tc>
          <w:tcPr>
            <w:tcW w:w="13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Zurich Institutional Benchmark Management c/o Quattro Fund</w:t>
            </w:r>
          </w:p>
        </w:tc>
        <w:tc>
          <w:tcPr>
            <w:tcW w:w="11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0</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1,200,000</w:t>
            </w:r>
          </w:p>
        </w:tc>
        <w:tc>
          <w:tcPr>
            <w:tcW w:w="1600" w:type="dxa"/>
            <w:vAlign w:val="bottom"/>
            <w:gridSpan w:val="3"/>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15,000</w:t>
            </w:r>
          </w:p>
        </w:tc>
        <w:tc>
          <w:tcPr>
            <w:tcW w:w="1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620" w:type="dxa"/>
            <w:vAlign w:val="bottom"/>
            <w:gridSpan w:val="3"/>
          </w:tcPr>
          <w:p>
            <w:pPr>
              <w:spacing w:after="0"/>
              <w:rPr>
                <w:sz w:val="20"/>
                <w:szCs w:val="20"/>
                <w:color w:val="auto"/>
              </w:rPr>
            </w:pPr>
            <w:r>
              <w:rPr>
                <w:rFonts w:ascii="Arial" w:cs="Arial" w:eastAsia="Arial" w:hAnsi="Arial"/>
                <w:sz w:val="14"/>
                <w:szCs w:val="14"/>
                <w:color w:val="auto"/>
              </w:rPr>
              <w:t>Zurich Institutional Benchmarks Master Fund Ltd.</w:t>
            </w:r>
          </w:p>
        </w:tc>
        <w:tc>
          <w:tcPr>
            <w:tcW w:w="1100" w:type="dxa"/>
            <w:vAlign w:val="bottom"/>
            <w:gridSpan w:val="2"/>
          </w:tcPr>
          <w:p>
            <w:pPr>
              <w:jc w:val="right"/>
              <w:ind w:right="420"/>
              <w:spacing w:after="0"/>
              <w:rPr>
                <w:sz w:val="20"/>
                <w:szCs w:val="20"/>
                <w:color w:val="auto"/>
              </w:rPr>
            </w:pPr>
            <w:r>
              <w:rPr>
                <w:rFonts w:ascii="Arial" w:cs="Arial" w:eastAsia="Arial" w:hAnsi="Arial"/>
                <w:sz w:val="14"/>
                <w:szCs w:val="14"/>
                <w:color w:val="auto"/>
              </w:rPr>
              <w:t>0</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2,300,000</w:t>
            </w:r>
          </w:p>
        </w:tc>
        <w:tc>
          <w:tcPr>
            <w:tcW w:w="1600" w:type="dxa"/>
            <w:vAlign w:val="bottom"/>
            <w:gridSpan w:val="3"/>
          </w:tcPr>
          <w:p>
            <w:pPr>
              <w:jc w:val="right"/>
              <w:ind w:right="44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28,750</w:t>
            </w:r>
          </w:p>
        </w:tc>
        <w:tc>
          <w:tcPr>
            <w:tcW w:w="13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53340</wp:posOffset>
            </wp:positionV>
            <wp:extent cx="6000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177" w:lineRule="exact"/>
        <w:rPr>
          <w:sz w:val="20"/>
          <w:szCs w:val="20"/>
          <w:color w:val="auto"/>
        </w:rPr>
      </w:pPr>
    </w:p>
    <w:p>
      <w:pPr>
        <w:ind w:left="460" w:hanging="364"/>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15" w:lineRule="exact"/>
        <w:rPr>
          <w:sz w:val="20"/>
          <w:szCs w:val="20"/>
          <w:color w:val="auto"/>
        </w:rPr>
      </w:pPr>
    </w:p>
    <w:p>
      <w:pPr>
        <w:ind w:left="460" w:right="460" w:hanging="452"/>
        <w:spacing w:after="0" w:line="281" w:lineRule="auto"/>
        <w:tabs>
          <w:tab w:leader="none" w:pos="460" w:val="left"/>
        </w:tabs>
        <w:numPr>
          <w:ilvl w:val="0"/>
          <w:numId w:val="2"/>
        </w:numPr>
        <w:rPr>
          <w:rFonts w:ascii="Arial" w:cs="Arial" w:eastAsia="Arial" w:hAnsi="Arial"/>
          <w:sz w:val="16"/>
          <w:szCs w:val="16"/>
          <w:color w:val="auto"/>
        </w:rPr>
      </w:pPr>
      <w:r>
        <w:rPr>
          <w:rFonts w:ascii="Arial" w:cs="Arial" w:eastAsia="Arial" w:hAnsi="Arial"/>
          <w:sz w:val="16"/>
          <w:szCs w:val="16"/>
          <w:color w:val="auto"/>
        </w:rPr>
        <w:t>Calculated pursuant to Rule 13d-3(d)(i) of the Exchange Act using 588,743,138 shares of common stock outstanding as of September 30, 2004. In calculating this amount, we treated as outstanding the number of shares of common stock issuable upon conversion of all of a selling securityholder’s debentures. However, we did not assume the conversion of any other selling securityholder’s debentures.</w:t>
      </w:r>
    </w:p>
    <w:p>
      <w:pPr>
        <w:spacing w:after="0" w:line="2" w:lineRule="exact"/>
        <w:rPr>
          <w:rFonts w:ascii="Arial" w:cs="Arial" w:eastAsia="Arial" w:hAnsi="Arial"/>
          <w:sz w:val="16"/>
          <w:szCs w:val="16"/>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Allstate Insurance Company also beneficially owns 249,200 shares of our common stock.</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Allstate Life Insurance Company also beneficially owns 249,200 shares of our common stock.</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F&amp;C Global Convertible Bond SICAV also beneficially owns $300,000 of our Series A debentures.</w:t>
      </w:r>
    </w:p>
    <w:p>
      <w:pPr>
        <w:spacing w:after="0" w:line="9" w:lineRule="exact"/>
        <w:rPr>
          <w:rFonts w:ascii="Arial" w:cs="Arial" w:eastAsia="Arial" w:hAnsi="Arial"/>
          <w:sz w:val="18"/>
          <w:szCs w:val="18"/>
          <w:color w:val="auto"/>
        </w:rPr>
      </w:pPr>
    </w:p>
    <w:p>
      <w:pPr>
        <w:ind w:left="460" w:right="100" w:hanging="452"/>
        <w:spacing w:after="0" w:line="281" w:lineRule="auto"/>
        <w:tabs>
          <w:tab w:leader="none" w:pos="460" w:val="left"/>
        </w:tabs>
        <w:numPr>
          <w:ilvl w:val="0"/>
          <w:numId w:val="2"/>
        </w:numPr>
        <w:rPr>
          <w:rFonts w:ascii="Arial" w:cs="Arial" w:eastAsia="Arial" w:hAnsi="Arial"/>
          <w:sz w:val="16"/>
          <w:szCs w:val="16"/>
          <w:color w:val="auto"/>
        </w:rPr>
      </w:pPr>
      <w:r>
        <w:rPr>
          <w:rFonts w:ascii="Arial" w:cs="Arial" w:eastAsia="Arial" w:hAnsi="Arial"/>
          <w:sz w:val="16"/>
          <w:szCs w:val="16"/>
          <w:color w:val="auto"/>
        </w:rPr>
        <w:t>Goldman, Sachs &amp; Co. also beneficially owns (i) 408,710 shares of our common stock, (ii) options to purchase 1,482,500 shares of our common stock that are exercisable within 60 days of the date of this prospectus supplement and (iii) $3,780,000 of our Series A debentures.</w:t>
      </w:r>
    </w:p>
    <w:p>
      <w:pPr>
        <w:spacing w:after="0" w:line="1" w:lineRule="exact"/>
        <w:rPr>
          <w:rFonts w:ascii="Arial" w:cs="Arial" w:eastAsia="Arial" w:hAnsi="Arial"/>
          <w:sz w:val="16"/>
          <w:szCs w:val="16"/>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S.A.C. Capital Associates, LLC also beneficially owns 15,000 shares of our common stock.</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South Dakota Retirement System also beneficially owns 99,100 shares of our common stock.</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Northwestern Mutual Life Insurance Company also beneficially owns 184,300 shares of our common stock.</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Thrivent Financial for Lutherans also beneficially owns 5,350 shares of our common stock.</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S-6</w:t>
      </w:r>
    </w:p>
    <w:sectPr>
      <w:pgSz w:w="11900" w:h="16838" w:orient="portrait"/>
      <w:cols w:equalWidth="0" w:num="1">
        <w:col w:w="11420"/>
      </w:cols>
      <w:pgMar w:left="240" w:top="26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2019-12-13T06:37:35Z</dcterms:created>
  <dcterms:modified xsi:type="dcterms:W3CDTF">2019-12-13T06:37:35Z</dcterms:modified>
</cp:coreProperties>
</file>