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31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Rennick Gavin</w:t>
        </w:r>
      </w:hyperlink>
    </w:p>
    <w:p>
      <w:pPr>
        <w:spacing w:after="0" w:line="32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332"/>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Arial" w:cs="Arial" w:eastAsia="Arial" w:hAnsi="Arial"/>
                <w:sz w:val="17"/>
                <w:szCs w:val="17"/>
                <w:color w:val="0000FF"/>
              </w:rPr>
              <w:t>5599 SAN FELIPE, 17TH FLOOR</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HOUSTON</w:t>
            </w:r>
          </w:p>
        </w:tc>
        <w:tc>
          <w:tcPr>
            <w:tcW w:w="1020" w:type="dxa"/>
            <w:vAlign w:val="bottom"/>
          </w:tcPr>
          <w:p>
            <w:pPr>
              <w:ind w:left="200"/>
              <w:spacing w:after="0"/>
              <w:rPr>
                <w:sz w:val="20"/>
                <w:szCs w:val="20"/>
                <w:color w:val="auto"/>
              </w:rPr>
            </w:pPr>
            <w:r>
              <w:rPr>
                <w:rFonts w:ascii="Arial" w:cs="Arial" w:eastAsia="Arial" w:hAnsi="Arial"/>
                <w:sz w:val="17"/>
                <w:szCs w:val="17"/>
                <w:color w:val="0000FF"/>
              </w:rPr>
              <w:t>TX</w:t>
            </w:r>
          </w:p>
        </w:tc>
        <w:tc>
          <w:tcPr>
            <w:tcW w:w="1600" w:type="dxa"/>
            <w:vAlign w:val="bottom"/>
          </w:tcPr>
          <w:p>
            <w:pPr>
              <w:ind w:left="400"/>
              <w:spacing w:after="0"/>
              <w:rPr>
                <w:sz w:val="20"/>
                <w:szCs w:val="20"/>
                <w:color w:val="auto"/>
              </w:rPr>
            </w:pPr>
            <w:r>
              <w:rPr>
                <w:rFonts w:ascii="Arial" w:cs="Arial" w:eastAsia="Arial" w:hAnsi="Arial"/>
                <w:sz w:val="17"/>
                <w:szCs w:val="17"/>
                <w:color w:val="0000FF"/>
              </w:rPr>
              <w:t>77056</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5"/>
        </w:trPr>
        <w:tc>
          <w:tcPr>
            <w:tcW w:w="80" w:type="dxa"/>
            <w:vAlign w:val="bottom"/>
          </w:tcPr>
          <w:p>
            <w:pPr>
              <w:spacing w:after="0"/>
              <w:rPr>
                <w:sz w:val="18"/>
                <w:szCs w:val="18"/>
                <w:color w:val="auto"/>
              </w:rPr>
            </w:pPr>
          </w:p>
        </w:tc>
        <w:tc>
          <w:tcPr>
            <w:tcW w:w="3740" w:type="dxa"/>
            <w:vAlign w:val="bottom"/>
            <w:gridSpan w:val="3"/>
          </w:tcPr>
          <w:p>
            <w:pPr>
              <w:spacing w:after="0" w:line="208"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SCHLUMBERGER LIMITED/NV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186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00" w:type="dxa"/>
            <w:vAlign w:val="bottom"/>
            <w:tcBorders>
              <w:top w:val="single" w:sz="8" w:color="0000EE"/>
            </w:tcBorders>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tcPr>
          <w:p>
            <w:pPr>
              <w:ind w:left="100"/>
              <w:spacing w:after="0" w:line="134" w:lineRule="exact"/>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line="134"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9"/>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9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line="139" w:lineRule="exact"/>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line="139"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1"/>
                <w:szCs w:val="11"/>
                <w:color w:val="auto"/>
              </w:rPr>
            </w:pPr>
          </w:p>
        </w:tc>
        <w:tc>
          <w:tcPr>
            <w:tcW w:w="300" w:type="dxa"/>
            <w:vAlign w:val="bottom"/>
            <w:vMerge w:val="continue"/>
          </w:tcPr>
          <w:p>
            <w:pPr>
              <w:spacing w:after="0"/>
              <w:rPr>
                <w:sz w:val="11"/>
                <w:szCs w:val="11"/>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9"/>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3100" w:type="dxa"/>
            <w:vAlign w:val="bottom"/>
            <w:gridSpan w:val="3"/>
          </w:tcPr>
          <w:p>
            <w:pPr>
              <w:ind w:left="80"/>
              <w:spacing w:after="0"/>
              <w:rPr>
                <w:sz w:val="20"/>
                <w:szCs w:val="20"/>
                <w:color w:val="auto"/>
              </w:rPr>
            </w:pPr>
            <w:r>
              <w:rPr>
                <w:rFonts w:ascii="Arial" w:cs="Arial" w:eastAsia="Arial" w:hAnsi="Arial"/>
                <w:sz w:val="17"/>
                <w:szCs w:val="17"/>
                <w:color w:val="0000FF"/>
              </w:rPr>
              <w:t>03/04/2022</w:t>
            </w: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0" w:type="dxa"/>
            <w:vAlign w:val="bottom"/>
            <w:gridSpan w:val="2"/>
          </w:tcPr>
          <w:p>
            <w:pPr>
              <w:ind w:left="380"/>
              <w:spacing w:after="0"/>
              <w:rPr>
                <w:sz w:val="20"/>
                <w:szCs w:val="20"/>
                <w:color w:val="auto"/>
              </w:rPr>
            </w:pPr>
            <w:r>
              <w:rPr>
                <w:rFonts w:ascii="Arial" w:cs="Arial" w:eastAsia="Arial" w:hAnsi="Arial"/>
                <w:sz w:val="17"/>
                <w:szCs w:val="17"/>
                <w:color w:val="0000FF"/>
              </w:rPr>
              <w:t>VP, Human Resources</w:t>
            </w:r>
          </w:p>
        </w:tc>
        <w:tc>
          <w:tcPr>
            <w:tcW w:w="0" w:type="dxa"/>
            <w:vAlign w:val="bottom"/>
          </w:tcPr>
          <w:p>
            <w:pPr>
              <w:spacing w:after="0"/>
              <w:rPr>
                <w:sz w:val="1"/>
                <w:szCs w:val="1"/>
                <w:color w:val="auto"/>
              </w:rPr>
            </w:pPr>
          </w:p>
        </w:tc>
      </w:tr>
      <w:tr>
        <w:trPr>
          <w:trHeight w:val="234"/>
        </w:trPr>
        <w:tc>
          <w:tcPr>
            <w:tcW w:w="8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290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310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00" w:type="dxa"/>
            <w:vAlign w:val="bottom"/>
            <w:tcBorders>
              <w:bottom w:val="single" w:sz="8" w:color="2C2C2C"/>
            </w:tcBorders>
            <w:gridSpan w:val="4"/>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1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1"/>
              </w:rPr>
              <w:t>Common Stock, $0.01 Par Value Per Share</w:t>
            </w:r>
          </w:p>
        </w:tc>
        <w:tc>
          <w:tcPr>
            <w:tcW w:w="1120" w:type="dxa"/>
            <w:vAlign w:val="bottom"/>
            <w:tcBorders>
              <w:bottom w:val="single" w:sz="8" w:color="2C2C2C"/>
            </w:tcBorders>
            <w:gridSpan w:val="2"/>
          </w:tcPr>
          <w:p>
            <w:pPr>
              <w:jc w:val="right"/>
              <w:ind w:right="80"/>
              <w:spacing w:after="0"/>
              <w:rPr>
                <w:sz w:val="20"/>
                <w:szCs w:val="20"/>
                <w:color w:val="auto"/>
              </w:rPr>
            </w:pPr>
            <w:r>
              <w:rPr>
                <w:rFonts w:ascii="Arial" w:cs="Arial" w:eastAsia="Arial" w:hAnsi="Arial"/>
                <w:sz w:val="17"/>
                <w:szCs w:val="17"/>
                <w:color w:val="0000FF"/>
              </w:rPr>
              <w:t>03/04/2022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2,082</w:t>
            </w:r>
            <w:r>
              <w:rPr>
                <w:rFonts w:ascii="Arial" w:cs="Arial" w:eastAsia="Arial" w:hAnsi="Arial"/>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49,623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3100" w:type="dxa"/>
            <w:vAlign w:val="bottom"/>
            <w:gridSpan w:val="4"/>
          </w:tcPr>
          <w:p>
            <w:pPr>
              <w:ind w:left="60"/>
              <w:spacing w:after="0"/>
              <w:rPr>
                <w:sz w:val="20"/>
                <w:szCs w:val="20"/>
                <w:color w:val="auto"/>
              </w:rPr>
            </w:pPr>
            <w:r>
              <w:rPr>
                <w:rFonts w:ascii="Arial" w:cs="Arial" w:eastAsia="Arial" w:hAnsi="Arial"/>
                <w:sz w:val="17"/>
                <w:szCs w:val="17"/>
                <w:color w:val="0000FF"/>
                <w:w w:val="91"/>
              </w:rPr>
              <w:t>Common Stock, $0.01 Par Value Per Share</w:t>
            </w: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0000FF"/>
              </w:rPr>
              <w:t>03/04/2022</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0000FF"/>
              </w:rPr>
              <w:t>F</w:t>
            </w:r>
          </w:p>
        </w:tc>
        <w:tc>
          <w:tcPr>
            <w:tcW w:w="740" w:type="dxa"/>
            <w:vAlign w:val="bottom"/>
          </w:tcPr>
          <w:p>
            <w:pPr>
              <w:jc w:val="right"/>
              <w:ind w:right="113"/>
              <w:spacing w:after="0"/>
              <w:rPr>
                <w:sz w:val="20"/>
                <w:szCs w:val="20"/>
                <w:color w:val="auto"/>
              </w:rPr>
            </w:pPr>
            <w:r>
              <w:rPr>
                <w:rFonts w:ascii="Arial" w:cs="Arial" w:eastAsia="Arial" w:hAnsi="Arial"/>
                <w:sz w:val="17"/>
                <w:szCs w:val="17"/>
                <w:color w:val="0000FF"/>
              </w:rPr>
              <w:t>820</w:t>
            </w:r>
          </w:p>
        </w:tc>
        <w:tc>
          <w:tcPr>
            <w:tcW w:w="420" w:type="dxa"/>
            <w:vAlign w:val="bottom"/>
          </w:tcPr>
          <w:p>
            <w:pPr>
              <w:ind w:left="280"/>
              <w:spacing w:after="0"/>
              <w:rPr>
                <w:sz w:val="20"/>
                <w:szCs w:val="20"/>
                <w:color w:val="auto"/>
              </w:rPr>
            </w:pPr>
            <w:r>
              <w:rPr>
                <w:rFonts w:ascii="Arial" w:cs="Arial" w:eastAsia="Arial" w:hAnsi="Arial"/>
                <w:sz w:val="17"/>
                <w:szCs w:val="17"/>
                <w:color w:val="0000FF"/>
                <w:w w:val="97"/>
              </w:rPr>
              <w:t>D</w:t>
            </w:r>
          </w:p>
        </w:tc>
        <w:tc>
          <w:tcPr>
            <w:tcW w:w="220" w:type="dxa"/>
            <w:vAlign w:val="bottom"/>
          </w:tcPr>
          <w:p>
            <w:pPr>
              <w:spacing w:after="0"/>
              <w:rPr>
                <w:sz w:val="23"/>
                <w:szCs w:val="23"/>
                <w:color w:val="auto"/>
              </w:rPr>
            </w:pPr>
          </w:p>
        </w:tc>
        <w:tc>
          <w:tcPr>
            <w:tcW w:w="600" w:type="dxa"/>
            <w:vAlign w:val="bottom"/>
            <w:gridSpan w:val="3"/>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38.38</w:t>
            </w:r>
          </w:p>
        </w:tc>
        <w:tc>
          <w:tcPr>
            <w:tcW w:w="1200" w:type="dxa"/>
            <w:vAlign w:val="bottom"/>
            <w:gridSpan w:val="2"/>
          </w:tcPr>
          <w:p>
            <w:pPr>
              <w:ind w:left="320"/>
              <w:spacing w:after="0"/>
              <w:rPr>
                <w:sz w:val="20"/>
                <w:szCs w:val="20"/>
                <w:color w:val="auto"/>
              </w:rPr>
            </w:pPr>
            <w:r>
              <w:rPr>
                <w:rFonts w:ascii="Arial" w:cs="Arial" w:eastAsia="Arial" w:hAnsi="Arial"/>
                <w:sz w:val="17"/>
                <w:szCs w:val="17"/>
                <w:color w:val="0000FF"/>
              </w:rPr>
              <w:t>48,803</w:t>
            </w:r>
          </w:p>
        </w:tc>
        <w:tc>
          <w:tcPr>
            <w:tcW w:w="920" w:type="dxa"/>
            <w:vAlign w:val="bottom"/>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1"/>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20" w:type="dxa"/>
            <w:vAlign w:val="bottom"/>
            <w:gridSpan w:val="10"/>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7"/>
        <w:spacing w:after="0" w:line="243"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Company granted performance share units ("PSUs") to the reporting person on April 17, 2019. Vesting of the PSUs was based on three-year Company performance relative to select key competitors. Most of these competitors had not reported their 2021 audited financial results when the Company's compensation committee met in January 2022 to certify performance under the PSUs. As a result, the Company's compensation committee approved the issuance of 90% of the shares that the committee determined had been earned according to the information available to the committee at the time. As of March 4, 2022, all such competitors had reported their 2021 audited financial results. Shares of common stock reported hereunder represent shares finally determined to have been earned under the PSUs.</w:t>
      </w:r>
    </w:p>
    <w:p>
      <w:pPr>
        <w:ind w:left="6580"/>
        <w:spacing w:after="0" w:line="184" w:lineRule="auto"/>
        <w:rPr>
          <w:sz w:val="20"/>
          <w:szCs w:val="20"/>
          <w:color w:val="auto"/>
        </w:rPr>
      </w:pPr>
      <w:r>
        <w:rPr>
          <w:rFonts w:ascii="Arial" w:cs="Arial" w:eastAsia="Arial" w:hAnsi="Arial"/>
          <w:sz w:val="17"/>
          <w:szCs w:val="17"/>
          <w:color w:val="0000FF"/>
        </w:rPr>
        <w:t xml:space="preserve">/s/ Samantha Blons, Attorney- </w:t>
      </w:r>
      <w:r>
        <w:rPr>
          <w:rFonts w:ascii="Arial" w:cs="Arial" w:eastAsia="Arial" w:hAnsi="Arial"/>
          <w:sz w:val="32"/>
          <w:szCs w:val="32"/>
          <w:color w:val="0000FF"/>
          <w:vertAlign w:val="subscript"/>
        </w:rPr>
        <w:t>03/08/2022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22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67983" TargetMode="External"/><Relationship Id="rId13"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2022-03-08T15:29:36Z</dcterms:created>
  <dcterms:modified xsi:type="dcterms:W3CDTF">2022-03-08T15:29:36Z</dcterms:modified>
</cp:coreProperties>
</file>