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SECURITIES AND EXCHANGE COMMISSION</w:t>
      </w:r>
    </w:p>
    <w:p>
      <w:pPr>
        <w:spacing w:after="0" w:line="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83185</wp:posOffset>
            </wp:positionV>
            <wp:extent cx="14230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62"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111125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8" w:lineRule="exact"/>
        <w:rPr>
          <w:sz w:val="24"/>
          <w:szCs w:val="24"/>
          <w:color w:val="auto"/>
        </w:rPr>
      </w:pPr>
    </w:p>
    <w:p>
      <w:pPr>
        <w:spacing w:after="0"/>
        <w:rPr>
          <w:sz w:val="20"/>
          <w:szCs w:val="20"/>
          <w:color w:val="auto"/>
        </w:rPr>
      </w:pPr>
      <w:r>
        <w:rPr>
          <w:rFonts w:ascii="Arial" w:cs="Arial" w:eastAsia="Arial" w:hAnsi="Arial"/>
          <w:sz w:val="13"/>
          <w:szCs w:val="13"/>
          <w:color w:val="auto"/>
        </w:rPr>
        <w:t>(Mark One)</w:t>
      </w:r>
    </w:p>
    <w:p>
      <w:pPr>
        <w:spacing w:after="0" w:line="73" w:lineRule="exact"/>
        <w:rPr>
          <w:sz w:val="24"/>
          <w:szCs w:val="24"/>
          <w:color w:val="auto"/>
        </w:rPr>
      </w:pPr>
    </w:p>
    <w:p>
      <w:pPr>
        <w:ind w:left="540" w:hanging="519"/>
        <w:spacing w:after="0"/>
        <w:tabs>
          <w:tab w:leader="none" w:pos="54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quarterly period ended June 30, 2023</w:t>
      </w:r>
    </w:p>
    <w:p>
      <w:pPr>
        <w:spacing w:after="0" w:line="19" w:lineRule="exact"/>
        <w:rPr>
          <w:sz w:val="24"/>
          <w:szCs w:val="24"/>
          <w:color w:val="auto"/>
        </w:rPr>
      </w:pPr>
    </w:p>
    <w:p>
      <w:pPr>
        <w:jc w:val="center"/>
        <w:ind w:right="40"/>
        <w:spacing w:after="0"/>
        <w:rPr>
          <w:sz w:val="20"/>
          <w:szCs w:val="20"/>
          <w:color w:val="auto"/>
        </w:rPr>
      </w:pPr>
      <w:r>
        <w:rPr>
          <w:rFonts w:ascii="Arial" w:cs="Arial" w:eastAsia="Arial" w:hAnsi="Arial"/>
          <w:sz w:val="14"/>
          <w:szCs w:val="14"/>
          <w:b w:val="1"/>
          <w:bCs w:val="1"/>
          <w:color w:val="auto"/>
        </w:rPr>
        <w:t>OR</w:t>
      </w:r>
    </w:p>
    <w:p>
      <w:pPr>
        <w:spacing w:after="0" w:line="21" w:lineRule="exact"/>
        <w:rPr>
          <w:sz w:val="24"/>
          <w:szCs w:val="24"/>
          <w:color w:val="auto"/>
        </w:rPr>
      </w:pPr>
    </w:p>
    <w:p>
      <w:pPr>
        <w:ind w:left="4520" w:right="2400" w:hanging="4499"/>
        <w:spacing w:after="0" w:line="404" w:lineRule="auto"/>
        <w:tabs>
          <w:tab w:leader="none" w:pos="544"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 Commission file No.: 1-4601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2782570</wp:posOffset>
            </wp:positionH>
            <wp:positionV relativeFrom="paragraph">
              <wp:posOffset>-5715</wp:posOffset>
            </wp:positionV>
            <wp:extent cx="1543050" cy="9347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43050" cy="9347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jc w:val="center"/>
        <w:ind w:right="80"/>
        <w:spacing w:after="0"/>
        <w:rPr>
          <w:sz w:val="20"/>
          <w:szCs w:val="20"/>
          <w:color w:val="auto"/>
        </w:rPr>
      </w:pPr>
      <w:r>
        <w:rPr>
          <w:rFonts w:ascii="Arial" w:cs="Arial" w:eastAsia="Arial" w:hAnsi="Arial"/>
          <w:sz w:val="29"/>
          <w:szCs w:val="29"/>
          <w:b w:val="1"/>
          <w:bCs w:val="1"/>
          <w:color w:val="auto"/>
        </w:rPr>
        <w:t>Schlumberger N.V. (Schlumberger Limited)</w:t>
      </w:r>
    </w:p>
    <w:p>
      <w:pPr>
        <w:spacing w:after="0" w:line="49" w:lineRule="exact"/>
        <w:rPr>
          <w:sz w:val="24"/>
          <w:szCs w:val="24"/>
          <w:color w:val="auto"/>
        </w:rPr>
      </w:pPr>
    </w:p>
    <w:tbl>
      <w:tblPr>
        <w:tblLayout w:type="fixed"/>
        <w:tblInd w:w="1340" w:type="dxa"/>
        <w:tblCellMar>
          <w:top w:w="0" w:type="dxa"/>
          <w:left w:w="0" w:type="dxa"/>
          <w:bottom w:w="0" w:type="dxa"/>
          <w:right w:w="0" w:type="dxa"/>
        </w:tblCellMar>
      </w:tblPr>
      <w:tr>
        <w:trPr>
          <w:trHeight w:val="182"/>
        </w:trPr>
        <w:tc>
          <w:tcPr>
            <w:tcW w:w="6280" w:type="dxa"/>
            <w:vAlign w:val="bottom"/>
            <w:gridSpan w:val="3"/>
          </w:tcPr>
          <w:p>
            <w:pPr>
              <w:ind w:left="2620"/>
              <w:spacing w:after="0"/>
              <w:rPr>
                <w:sz w:val="20"/>
                <w:szCs w:val="20"/>
                <w:color w:val="auto"/>
              </w:rPr>
            </w:pPr>
            <w:r>
              <w:rPr>
                <w:rFonts w:ascii="Arial" w:cs="Arial" w:eastAsia="Arial" w:hAnsi="Arial"/>
                <w:sz w:val="14"/>
                <w:szCs w:val="14"/>
                <w:color w:val="auto"/>
              </w:rPr>
              <w:t>(Exact name of registrant as specified in its charter)</w:t>
            </w:r>
          </w:p>
        </w:tc>
        <w:tc>
          <w:tcPr>
            <w:tcW w:w="1360" w:type="dxa"/>
            <w:vAlign w:val="bottom"/>
          </w:tcPr>
          <w:p>
            <w:pPr>
              <w:spacing w:after="0"/>
              <w:rPr>
                <w:sz w:val="15"/>
                <w:szCs w:val="15"/>
                <w:color w:val="auto"/>
              </w:rPr>
            </w:pPr>
          </w:p>
        </w:tc>
      </w:tr>
      <w:tr>
        <w:trPr>
          <w:trHeight w:val="110"/>
        </w:trPr>
        <w:tc>
          <w:tcPr>
            <w:tcW w:w="3160" w:type="dxa"/>
            <w:vAlign w:val="bottom"/>
          </w:tcPr>
          <w:p>
            <w:pPr>
              <w:spacing w:after="0"/>
              <w:rPr>
                <w:sz w:val="9"/>
                <w:szCs w:val="9"/>
                <w:color w:val="auto"/>
              </w:rPr>
            </w:pPr>
          </w:p>
        </w:tc>
        <w:tc>
          <w:tcPr>
            <w:tcW w:w="2240" w:type="dxa"/>
            <w:vAlign w:val="bottom"/>
            <w:tcBorders>
              <w:bottom w:val="single" w:sz="8" w:color="auto"/>
            </w:tcBorders>
          </w:tcPr>
          <w:p>
            <w:pPr>
              <w:spacing w:after="0"/>
              <w:rPr>
                <w:sz w:val="9"/>
                <w:szCs w:val="9"/>
                <w:color w:val="auto"/>
              </w:rPr>
            </w:pPr>
          </w:p>
        </w:tc>
        <w:tc>
          <w:tcPr>
            <w:tcW w:w="880" w:type="dxa"/>
            <w:vAlign w:val="bottom"/>
          </w:tcPr>
          <w:p>
            <w:pPr>
              <w:spacing w:after="0"/>
              <w:rPr>
                <w:sz w:val="9"/>
                <w:szCs w:val="9"/>
                <w:color w:val="auto"/>
              </w:rPr>
            </w:pPr>
          </w:p>
        </w:tc>
        <w:tc>
          <w:tcPr>
            <w:tcW w:w="1360" w:type="dxa"/>
            <w:vAlign w:val="bottom"/>
          </w:tcPr>
          <w:p>
            <w:pPr>
              <w:spacing w:after="0"/>
              <w:rPr>
                <w:sz w:val="9"/>
                <w:szCs w:val="9"/>
                <w:color w:val="auto"/>
              </w:rPr>
            </w:pPr>
          </w:p>
        </w:tc>
      </w:tr>
      <w:tr>
        <w:trPr>
          <w:trHeight w:val="331"/>
        </w:trPr>
        <w:tc>
          <w:tcPr>
            <w:tcW w:w="6280" w:type="dxa"/>
            <w:vAlign w:val="bottom"/>
            <w:gridSpan w:val="3"/>
          </w:tcPr>
          <w:p>
            <w:pPr>
              <w:jc w:val="center"/>
              <w:ind w:right="3460"/>
              <w:spacing w:after="0"/>
              <w:rPr>
                <w:sz w:val="20"/>
                <w:szCs w:val="20"/>
                <w:color w:val="auto"/>
              </w:rPr>
            </w:pPr>
            <w:r>
              <w:rPr>
                <w:rFonts w:ascii="Arial" w:cs="Arial" w:eastAsia="Arial" w:hAnsi="Arial"/>
                <w:sz w:val="14"/>
                <w:szCs w:val="14"/>
                <w:b w:val="1"/>
                <w:bCs w:val="1"/>
                <w:color w:val="auto"/>
              </w:rPr>
              <w:t>Curaçao</w:t>
            </w:r>
          </w:p>
        </w:tc>
        <w:tc>
          <w:tcPr>
            <w:tcW w:w="1360" w:type="dxa"/>
            <w:vAlign w:val="bottom"/>
          </w:tcPr>
          <w:p>
            <w:pPr>
              <w:jc w:val="center"/>
              <w:ind w:left="331"/>
              <w:spacing w:after="0"/>
              <w:rPr>
                <w:sz w:val="20"/>
                <w:szCs w:val="20"/>
                <w:color w:val="auto"/>
              </w:rPr>
            </w:pPr>
            <w:r>
              <w:rPr>
                <w:rFonts w:ascii="Arial" w:cs="Arial" w:eastAsia="Arial" w:hAnsi="Arial"/>
                <w:sz w:val="14"/>
                <w:szCs w:val="14"/>
                <w:b w:val="1"/>
                <w:bCs w:val="1"/>
                <w:color w:val="auto"/>
              </w:rPr>
              <w:t>52-0684746</w:t>
            </w:r>
          </w:p>
        </w:tc>
      </w:tr>
      <w:tr>
        <w:trPr>
          <w:trHeight w:val="135"/>
        </w:trPr>
        <w:tc>
          <w:tcPr>
            <w:tcW w:w="6280" w:type="dxa"/>
            <w:vAlign w:val="bottom"/>
            <w:gridSpan w:val="3"/>
          </w:tcPr>
          <w:p>
            <w:pPr>
              <w:jc w:val="center"/>
              <w:ind w:right="3460"/>
              <w:spacing w:after="0" w:line="135" w:lineRule="exact"/>
              <w:rPr>
                <w:sz w:val="20"/>
                <w:szCs w:val="20"/>
                <w:color w:val="auto"/>
              </w:rPr>
            </w:pPr>
            <w:r>
              <w:rPr>
                <w:rFonts w:ascii="Arial" w:cs="Arial" w:eastAsia="Arial" w:hAnsi="Arial"/>
                <w:sz w:val="13"/>
                <w:szCs w:val="13"/>
                <w:color w:val="auto"/>
                <w:w w:val="97"/>
              </w:rPr>
              <w:t>(State or other jurisdiction of</w:t>
            </w:r>
          </w:p>
        </w:tc>
        <w:tc>
          <w:tcPr>
            <w:tcW w:w="1360" w:type="dxa"/>
            <w:vAlign w:val="bottom"/>
          </w:tcPr>
          <w:p>
            <w:pPr>
              <w:jc w:val="center"/>
              <w:ind w:left="311"/>
              <w:spacing w:after="0" w:line="135" w:lineRule="exact"/>
              <w:rPr>
                <w:sz w:val="20"/>
                <w:szCs w:val="20"/>
                <w:color w:val="auto"/>
              </w:rPr>
            </w:pPr>
            <w:r>
              <w:rPr>
                <w:rFonts w:ascii="Arial" w:cs="Arial" w:eastAsia="Arial" w:hAnsi="Arial"/>
                <w:sz w:val="13"/>
                <w:szCs w:val="13"/>
                <w:color w:val="auto"/>
                <w:w w:val="96"/>
              </w:rPr>
              <w:t>(IRS Employer</w:t>
            </w:r>
          </w:p>
        </w:tc>
      </w:tr>
      <w:tr>
        <w:trPr>
          <w:trHeight w:val="160"/>
        </w:trPr>
        <w:tc>
          <w:tcPr>
            <w:tcW w:w="6280" w:type="dxa"/>
            <w:vAlign w:val="bottom"/>
            <w:gridSpan w:val="3"/>
          </w:tcPr>
          <w:p>
            <w:pPr>
              <w:jc w:val="center"/>
              <w:ind w:right="3440"/>
              <w:spacing w:after="0"/>
              <w:rPr>
                <w:sz w:val="20"/>
                <w:szCs w:val="20"/>
                <w:color w:val="auto"/>
              </w:rPr>
            </w:pPr>
            <w:r>
              <w:rPr>
                <w:rFonts w:ascii="Arial" w:cs="Arial" w:eastAsia="Arial" w:hAnsi="Arial"/>
                <w:sz w:val="13"/>
                <w:szCs w:val="13"/>
                <w:color w:val="auto"/>
                <w:w w:val="96"/>
              </w:rPr>
              <w:t>incorporation or organization)</w:t>
            </w:r>
          </w:p>
        </w:tc>
        <w:tc>
          <w:tcPr>
            <w:tcW w:w="1360" w:type="dxa"/>
            <w:vAlign w:val="bottom"/>
          </w:tcPr>
          <w:p>
            <w:pPr>
              <w:jc w:val="center"/>
              <w:ind w:left="311"/>
              <w:spacing w:after="0"/>
              <w:rPr>
                <w:sz w:val="20"/>
                <w:szCs w:val="20"/>
                <w:color w:val="auto"/>
              </w:rPr>
            </w:pPr>
            <w:r>
              <w:rPr>
                <w:rFonts w:ascii="Arial" w:cs="Arial" w:eastAsia="Arial" w:hAnsi="Arial"/>
                <w:sz w:val="13"/>
                <w:szCs w:val="13"/>
                <w:color w:val="auto"/>
                <w:w w:val="96"/>
              </w:rPr>
              <w:t>Identification No.)</w:t>
            </w:r>
          </w:p>
        </w:tc>
      </w:tr>
      <w:tr>
        <w:trPr>
          <w:trHeight w:val="340"/>
        </w:trPr>
        <w:tc>
          <w:tcPr>
            <w:tcW w:w="6280" w:type="dxa"/>
            <w:vAlign w:val="bottom"/>
            <w:gridSpan w:val="3"/>
          </w:tcPr>
          <w:p>
            <w:pPr>
              <w:jc w:val="center"/>
              <w:ind w:right="3440"/>
              <w:spacing w:after="0"/>
              <w:rPr>
                <w:sz w:val="20"/>
                <w:szCs w:val="20"/>
                <w:color w:val="auto"/>
              </w:rPr>
            </w:pPr>
            <w:r>
              <w:rPr>
                <w:rFonts w:ascii="Arial" w:cs="Arial" w:eastAsia="Arial" w:hAnsi="Arial"/>
                <w:sz w:val="14"/>
                <w:szCs w:val="14"/>
                <w:b w:val="1"/>
                <w:bCs w:val="1"/>
                <w:color w:val="auto"/>
              </w:rPr>
              <w:t>42 rue Saint-Dominique</w:t>
            </w:r>
          </w:p>
        </w:tc>
        <w:tc>
          <w:tcPr>
            <w:tcW w:w="1360" w:type="dxa"/>
            <w:vAlign w:val="bottom"/>
          </w:tcPr>
          <w:p>
            <w:pPr>
              <w:spacing w:after="0"/>
              <w:rPr>
                <w:sz w:val="24"/>
                <w:szCs w:val="24"/>
                <w:color w:val="auto"/>
              </w:rPr>
            </w:pPr>
          </w:p>
        </w:tc>
      </w:tr>
      <w:tr>
        <w:trPr>
          <w:trHeight w:val="200"/>
        </w:trPr>
        <w:tc>
          <w:tcPr>
            <w:tcW w:w="6280" w:type="dxa"/>
            <w:vAlign w:val="bottom"/>
            <w:gridSpan w:val="3"/>
          </w:tcPr>
          <w:p>
            <w:pPr>
              <w:jc w:val="center"/>
              <w:ind w:right="3460"/>
              <w:spacing w:after="0"/>
              <w:rPr>
                <w:sz w:val="20"/>
                <w:szCs w:val="20"/>
                <w:color w:val="auto"/>
              </w:rPr>
            </w:pPr>
            <w:r>
              <w:rPr>
                <w:rFonts w:ascii="Arial" w:cs="Arial" w:eastAsia="Arial" w:hAnsi="Arial"/>
                <w:sz w:val="14"/>
                <w:szCs w:val="14"/>
                <w:b w:val="1"/>
                <w:bCs w:val="1"/>
                <w:color w:val="auto"/>
              </w:rPr>
              <w:t>Paris, France</w:t>
            </w:r>
          </w:p>
        </w:tc>
        <w:tc>
          <w:tcPr>
            <w:tcW w:w="1360" w:type="dxa"/>
            <w:vAlign w:val="bottom"/>
          </w:tcPr>
          <w:p>
            <w:pPr>
              <w:jc w:val="center"/>
              <w:ind w:left="331"/>
              <w:spacing w:after="0"/>
              <w:rPr>
                <w:sz w:val="20"/>
                <w:szCs w:val="20"/>
                <w:color w:val="auto"/>
              </w:rPr>
            </w:pPr>
            <w:r>
              <w:rPr>
                <w:rFonts w:ascii="Arial" w:cs="Arial" w:eastAsia="Arial" w:hAnsi="Arial"/>
                <w:sz w:val="14"/>
                <w:szCs w:val="14"/>
                <w:b w:val="1"/>
                <w:bCs w:val="1"/>
                <w:color w:val="auto"/>
              </w:rPr>
              <w:t>75007</w:t>
            </w:r>
          </w:p>
        </w:tc>
      </w:tr>
      <w:tr>
        <w:trPr>
          <w:trHeight w:val="326"/>
        </w:trPr>
        <w:tc>
          <w:tcPr>
            <w:tcW w:w="6280" w:type="dxa"/>
            <w:vAlign w:val="bottom"/>
            <w:gridSpan w:val="3"/>
          </w:tcPr>
          <w:p>
            <w:pPr>
              <w:jc w:val="center"/>
              <w:ind w:right="3440"/>
              <w:spacing w:after="0"/>
              <w:rPr>
                <w:sz w:val="20"/>
                <w:szCs w:val="20"/>
                <w:color w:val="auto"/>
              </w:rPr>
            </w:pPr>
            <w:r>
              <w:rPr>
                <w:rFonts w:ascii="Arial" w:cs="Arial" w:eastAsia="Arial" w:hAnsi="Arial"/>
                <w:sz w:val="14"/>
                <w:szCs w:val="14"/>
                <w:b w:val="1"/>
                <w:bCs w:val="1"/>
                <w:color w:val="auto"/>
              </w:rPr>
              <w:t>5599 San Felipe</w:t>
            </w:r>
          </w:p>
        </w:tc>
        <w:tc>
          <w:tcPr>
            <w:tcW w:w="1360" w:type="dxa"/>
            <w:vAlign w:val="bottom"/>
          </w:tcPr>
          <w:p>
            <w:pPr>
              <w:spacing w:after="0"/>
              <w:rPr>
                <w:sz w:val="24"/>
                <w:szCs w:val="24"/>
                <w:color w:val="auto"/>
              </w:rPr>
            </w:pPr>
          </w:p>
        </w:tc>
      </w:tr>
      <w:tr>
        <w:trPr>
          <w:trHeight w:val="200"/>
        </w:trPr>
        <w:tc>
          <w:tcPr>
            <w:tcW w:w="6280" w:type="dxa"/>
            <w:vAlign w:val="bottom"/>
            <w:gridSpan w:val="3"/>
          </w:tcPr>
          <w:p>
            <w:pPr>
              <w:jc w:val="center"/>
              <w:ind w:right="3440"/>
              <w:spacing w:after="0"/>
              <w:rPr>
                <w:sz w:val="20"/>
                <w:szCs w:val="20"/>
                <w:color w:val="auto"/>
              </w:rPr>
            </w:pPr>
            <w:r>
              <w:rPr>
                <w:rFonts w:ascii="Arial" w:cs="Arial" w:eastAsia="Arial" w:hAnsi="Arial"/>
                <w:sz w:val="14"/>
                <w:szCs w:val="14"/>
                <w:b w:val="1"/>
                <w:bCs w:val="1"/>
                <w:color w:val="auto"/>
              </w:rPr>
              <w:t>Houston, Texas, United States of America</w:t>
            </w:r>
          </w:p>
        </w:tc>
        <w:tc>
          <w:tcPr>
            <w:tcW w:w="1360" w:type="dxa"/>
            <w:vAlign w:val="bottom"/>
          </w:tcPr>
          <w:p>
            <w:pPr>
              <w:jc w:val="center"/>
              <w:ind w:left="331"/>
              <w:spacing w:after="0"/>
              <w:rPr>
                <w:sz w:val="20"/>
                <w:szCs w:val="20"/>
                <w:color w:val="auto"/>
              </w:rPr>
            </w:pPr>
            <w:r>
              <w:rPr>
                <w:rFonts w:ascii="Arial" w:cs="Arial" w:eastAsia="Arial" w:hAnsi="Arial"/>
                <w:sz w:val="14"/>
                <w:szCs w:val="14"/>
                <w:b w:val="1"/>
                <w:bCs w:val="1"/>
                <w:color w:val="auto"/>
              </w:rPr>
              <w:t>77056</w:t>
            </w:r>
          </w:p>
        </w:tc>
      </w:tr>
      <w:tr>
        <w:trPr>
          <w:trHeight w:val="326"/>
        </w:trPr>
        <w:tc>
          <w:tcPr>
            <w:tcW w:w="6280" w:type="dxa"/>
            <w:vAlign w:val="bottom"/>
            <w:gridSpan w:val="3"/>
          </w:tcPr>
          <w:p>
            <w:pPr>
              <w:jc w:val="center"/>
              <w:ind w:right="3460"/>
              <w:spacing w:after="0"/>
              <w:rPr>
                <w:sz w:val="20"/>
                <w:szCs w:val="20"/>
                <w:color w:val="auto"/>
              </w:rPr>
            </w:pPr>
            <w:r>
              <w:rPr>
                <w:rFonts w:ascii="Arial" w:cs="Arial" w:eastAsia="Arial" w:hAnsi="Arial"/>
                <w:sz w:val="14"/>
                <w:szCs w:val="14"/>
                <w:b w:val="1"/>
                <w:bCs w:val="1"/>
                <w:color w:val="auto"/>
              </w:rPr>
              <w:t>62 Buckingham Gate</w:t>
            </w:r>
          </w:p>
        </w:tc>
        <w:tc>
          <w:tcPr>
            <w:tcW w:w="1360" w:type="dxa"/>
            <w:vAlign w:val="bottom"/>
          </w:tcPr>
          <w:p>
            <w:pPr>
              <w:spacing w:after="0"/>
              <w:rPr>
                <w:sz w:val="24"/>
                <w:szCs w:val="24"/>
                <w:color w:val="auto"/>
              </w:rPr>
            </w:pPr>
          </w:p>
        </w:tc>
      </w:tr>
      <w:tr>
        <w:trPr>
          <w:trHeight w:val="200"/>
        </w:trPr>
        <w:tc>
          <w:tcPr>
            <w:tcW w:w="6280" w:type="dxa"/>
            <w:vAlign w:val="bottom"/>
            <w:gridSpan w:val="3"/>
          </w:tcPr>
          <w:p>
            <w:pPr>
              <w:jc w:val="center"/>
              <w:ind w:right="3440"/>
              <w:spacing w:after="0"/>
              <w:rPr>
                <w:sz w:val="20"/>
                <w:szCs w:val="20"/>
                <w:color w:val="auto"/>
              </w:rPr>
            </w:pPr>
            <w:r>
              <w:rPr>
                <w:rFonts w:ascii="Arial" w:cs="Arial" w:eastAsia="Arial" w:hAnsi="Arial"/>
                <w:sz w:val="14"/>
                <w:szCs w:val="14"/>
                <w:b w:val="1"/>
                <w:bCs w:val="1"/>
                <w:color w:val="auto"/>
              </w:rPr>
              <w:t>London, United Kingdom</w:t>
            </w:r>
          </w:p>
        </w:tc>
        <w:tc>
          <w:tcPr>
            <w:tcW w:w="1360" w:type="dxa"/>
            <w:vAlign w:val="bottom"/>
          </w:tcPr>
          <w:p>
            <w:pPr>
              <w:jc w:val="center"/>
              <w:ind w:left="331"/>
              <w:spacing w:after="0"/>
              <w:rPr>
                <w:sz w:val="20"/>
                <w:szCs w:val="20"/>
                <w:color w:val="auto"/>
              </w:rPr>
            </w:pPr>
            <w:r>
              <w:rPr>
                <w:rFonts w:ascii="Arial" w:cs="Arial" w:eastAsia="Arial" w:hAnsi="Arial"/>
                <w:sz w:val="14"/>
                <w:szCs w:val="14"/>
                <w:b w:val="1"/>
                <w:bCs w:val="1"/>
                <w:color w:val="auto"/>
              </w:rPr>
              <w:t>SW1E 6AJ</w:t>
            </w:r>
          </w:p>
        </w:tc>
      </w:tr>
      <w:tr>
        <w:trPr>
          <w:trHeight w:val="367"/>
        </w:trPr>
        <w:tc>
          <w:tcPr>
            <w:tcW w:w="6280" w:type="dxa"/>
            <w:vAlign w:val="bottom"/>
            <w:gridSpan w:val="3"/>
          </w:tcPr>
          <w:p>
            <w:pPr>
              <w:jc w:val="center"/>
              <w:ind w:right="3460"/>
              <w:spacing w:after="0"/>
              <w:rPr>
                <w:sz w:val="20"/>
                <w:szCs w:val="20"/>
                <w:color w:val="auto"/>
              </w:rPr>
            </w:pPr>
            <w:r>
              <w:rPr>
                <w:rFonts w:ascii="Arial" w:cs="Arial" w:eastAsia="Arial" w:hAnsi="Arial"/>
                <w:sz w:val="14"/>
                <w:szCs w:val="14"/>
                <w:b w:val="1"/>
                <w:bCs w:val="1"/>
                <w:color w:val="auto"/>
              </w:rPr>
              <w:t>Parkstraat 83</w:t>
            </w:r>
          </w:p>
        </w:tc>
        <w:tc>
          <w:tcPr>
            <w:tcW w:w="1360" w:type="dxa"/>
            <w:vAlign w:val="bottom"/>
          </w:tcPr>
          <w:p>
            <w:pPr>
              <w:spacing w:after="0"/>
              <w:rPr>
                <w:sz w:val="24"/>
                <w:szCs w:val="24"/>
                <w:color w:val="auto"/>
              </w:rPr>
            </w:pPr>
          </w:p>
        </w:tc>
      </w:tr>
      <w:tr>
        <w:trPr>
          <w:trHeight w:val="188"/>
        </w:trPr>
        <w:tc>
          <w:tcPr>
            <w:tcW w:w="6280" w:type="dxa"/>
            <w:vAlign w:val="bottom"/>
            <w:gridSpan w:val="3"/>
          </w:tcPr>
          <w:p>
            <w:pPr>
              <w:jc w:val="center"/>
              <w:ind w:right="3460"/>
              <w:spacing w:after="0"/>
              <w:rPr>
                <w:sz w:val="20"/>
                <w:szCs w:val="20"/>
                <w:color w:val="auto"/>
              </w:rPr>
            </w:pPr>
            <w:r>
              <w:rPr>
                <w:rFonts w:ascii="Arial" w:cs="Arial" w:eastAsia="Arial" w:hAnsi="Arial"/>
                <w:sz w:val="14"/>
                <w:szCs w:val="14"/>
                <w:b w:val="1"/>
                <w:bCs w:val="1"/>
                <w:color w:val="auto"/>
              </w:rPr>
              <w:t>The Hague, The Netherlands</w:t>
            </w:r>
          </w:p>
        </w:tc>
        <w:tc>
          <w:tcPr>
            <w:tcW w:w="1360" w:type="dxa"/>
            <w:vAlign w:val="bottom"/>
          </w:tcPr>
          <w:p>
            <w:pPr>
              <w:jc w:val="center"/>
              <w:ind w:left="331"/>
              <w:spacing w:after="0"/>
              <w:rPr>
                <w:sz w:val="20"/>
                <w:szCs w:val="20"/>
                <w:color w:val="auto"/>
              </w:rPr>
            </w:pPr>
            <w:r>
              <w:rPr>
                <w:rFonts w:ascii="Arial" w:cs="Arial" w:eastAsia="Arial" w:hAnsi="Arial"/>
                <w:sz w:val="14"/>
                <w:szCs w:val="14"/>
                <w:b w:val="1"/>
                <w:bCs w:val="1"/>
                <w:color w:val="auto"/>
              </w:rPr>
              <w:t>2514 JG</w:t>
            </w:r>
          </w:p>
        </w:tc>
      </w:tr>
      <w:tr>
        <w:trPr>
          <w:trHeight w:val="160"/>
        </w:trPr>
        <w:tc>
          <w:tcPr>
            <w:tcW w:w="6280" w:type="dxa"/>
            <w:vAlign w:val="bottom"/>
            <w:gridSpan w:val="3"/>
          </w:tcPr>
          <w:p>
            <w:pPr>
              <w:jc w:val="center"/>
              <w:ind w:right="3440"/>
              <w:spacing w:after="0"/>
              <w:rPr>
                <w:sz w:val="20"/>
                <w:szCs w:val="20"/>
                <w:color w:val="auto"/>
              </w:rPr>
            </w:pPr>
            <w:r>
              <w:rPr>
                <w:rFonts w:ascii="Arial" w:cs="Arial" w:eastAsia="Arial" w:hAnsi="Arial"/>
                <w:sz w:val="13"/>
                <w:szCs w:val="13"/>
                <w:color w:val="auto"/>
                <w:w w:val="96"/>
              </w:rPr>
              <w:t>(Addresses of principal executive offices)</w:t>
            </w:r>
          </w:p>
        </w:tc>
        <w:tc>
          <w:tcPr>
            <w:tcW w:w="1360" w:type="dxa"/>
            <w:vAlign w:val="bottom"/>
          </w:tcPr>
          <w:p>
            <w:pPr>
              <w:jc w:val="center"/>
              <w:ind w:left="311"/>
              <w:spacing w:after="0"/>
              <w:rPr>
                <w:sz w:val="20"/>
                <w:szCs w:val="20"/>
                <w:color w:val="auto"/>
              </w:rPr>
            </w:pPr>
            <w:r>
              <w:rPr>
                <w:rFonts w:ascii="Arial" w:cs="Arial" w:eastAsia="Arial" w:hAnsi="Arial"/>
                <w:sz w:val="13"/>
                <w:szCs w:val="13"/>
                <w:color w:val="auto"/>
                <w:w w:val="97"/>
              </w:rPr>
              <w:t>(Zip Codes)</w:t>
            </w:r>
          </w:p>
        </w:tc>
      </w:tr>
    </w:tbl>
    <w:p>
      <w:pPr>
        <w:spacing w:after="0" w:line="8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 the United States, including area code, is: (713) 513-2000</w:t>
      </w:r>
    </w:p>
    <w:p>
      <w:pPr>
        <w:spacing w:after="0" w:line="7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64" w:lineRule="exact"/>
        <w:rPr>
          <w:sz w:val="24"/>
          <w:szCs w:val="24"/>
          <w:color w:val="auto"/>
        </w:rPr>
      </w:pPr>
    </w:p>
    <w:tbl>
      <w:tblPr>
        <w:tblLayout w:type="fixed"/>
        <w:tblInd w:w="920" w:type="dxa"/>
        <w:tblCellMar>
          <w:top w:w="0" w:type="dxa"/>
          <w:left w:w="0" w:type="dxa"/>
          <w:bottom w:w="0" w:type="dxa"/>
          <w:right w:w="0" w:type="dxa"/>
        </w:tblCellMar>
      </w:tblPr>
      <w:tr>
        <w:trPr>
          <w:trHeight w:val="162"/>
        </w:trPr>
        <w:tc>
          <w:tcPr>
            <w:tcW w:w="7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400" w:type="dxa"/>
            <w:vAlign w:val="bottom"/>
          </w:tcPr>
          <w:p>
            <w:pPr>
              <w:spacing w:after="0"/>
              <w:rPr>
                <w:sz w:val="14"/>
                <w:szCs w:val="14"/>
                <w:color w:val="auto"/>
              </w:rPr>
            </w:pPr>
          </w:p>
        </w:tc>
        <w:tc>
          <w:tcPr>
            <w:tcW w:w="1980" w:type="dxa"/>
            <w:vAlign w:val="bottom"/>
            <w:gridSpan w:val="2"/>
          </w:tcPr>
          <w:p>
            <w:pPr>
              <w:jc w:val="center"/>
              <w:ind w:left="648"/>
              <w:spacing w:after="0"/>
              <w:rPr>
                <w:sz w:val="20"/>
                <w:szCs w:val="20"/>
                <w:color w:val="auto"/>
              </w:rPr>
            </w:pPr>
            <w:r>
              <w:rPr>
                <w:rFonts w:ascii="Arial" w:cs="Arial" w:eastAsia="Arial" w:hAnsi="Arial"/>
                <w:sz w:val="14"/>
                <w:szCs w:val="14"/>
                <w:b w:val="1"/>
                <w:bCs w:val="1"/>
                <w:color w:val="auto"/>
              </w:rPr>
              <w:t>Trading Symbol(s)</w:t>
            </w:r>
          </w:p>
        </w:tc>
        <w:tc>
          <w:tcPr>
            <w:tcW w:w="4260" w:type="dxa"/>
            <w:vAlign w:val="bottom"/>
            <w:gridSpan w:val="2"/>
          </w:tcPr>
          <w:p>
            <w:pPr>
              <w:jc w:val="center"/>
              <w:ind w:left="1148"/>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0"/>
        </w:trPr>
        <w:tc>
          <w:tcPr>
            <w:tcW w:w="7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40" w:type="dxa"/>
            <w:vAlign w:val="bottom"/>
            <w:shd w:val="clear" w:color="auto" w:fill="000000"/>
          </w:tcPr>
          <w:p>
            <w:pPr>
              <w:spacing w:after="0" w:line="20" w:lineRule="exact"/>
              <w:rPr>
                <w:sz w:val="1"/>
                <w:szCs w:val="1"/>
                <w:color w:val="auto"/>
              </w:rPr>
            </w:pPr>
          </w:p>
        </w:tc>
      </w:tr>
      <w:tr>
        <w:trPr>
          <w:trHeight w:val="198"/>
        </w:trPr>
        <w:tc>
          <w:tcPr>
            <w:tcW w:w="3360" w:type="dxa"/>
            <w:vAlign w:val="bottom"/>
            <w:gridSpan w:val="3"/>
          </w:tcPr>
          <w:p>
            <w:pPr>
              <w:jc w:val="center"/>
              <w:ind w:right="700"/>
              <w:spacing w:after="0"/>
              <w:rPr>
                <w:sz w:val="20"/>
                <w:szCs w:val="20"/>
                <w:color w:val="auto"/>
              </w:rPr>
            </w:pPr>
            <w:r>
              <w:rPr>
                <w:rFonts w:ascii="Arial" w:cs="Arial" w:eastAsia="Arial" w:hAnsi="Arial"/>
                <w:sz w:val="14"/>
                <w:szCs w:val="14"/>
                <w:color w:val="auto"/>
              </w:rPr>
              <w:t>common stock, par value $0.01 per share</w:t>
            </w:r>
          </w:p>
        </w:tc>
        <w:tc>
          <w:tcPr>
            <w:tcW w:w="72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rPr>
              <w:t>SLB</w:t>
            </w:r>
          </w:p>
        </w:tc>
        <w:tc>
          <w:tcPr>
            <w:tcW w:w="1220" w:type="dxa"/>
            <w:vAlign w:val="bottom"/>
          </w:tcPr>
          <w:p>
            <w:pPr>
              <w:spacing w:after="0"/>
              <w:rPr>
                <w:sz w:val="17"/>
                <w:szCs w:val="17"/>
                <w:color w:val="auto"/>
              </w:rPr>
            </w:pPr>
          </w:p>
        </w:tc>
        <w:tc>
          <w:tcPr>
            <w:tcW w:w="3040" w:type="dxa"/>
            <w:vAlign w:val="bottom"/>
          </w:tcPr>
          <w:p>
            <w:pPr>
              <w:jc w:val="center"/>
              <w:spacing w:after="0"/>
              <w:rPr>
                <w:sz w:val="20"/>
                <w:szCs w:val="20"/>
                <w:color w:val="auto"/>
              </w:rPr>
            </w:pPr>
            <w:r>
              <w:rPr>
                <w:rFonts w:ascii="Arial" w:cs="Arial" w:eastAsia="Arial" w:hAnsi="Arial"/>
                <w:sz w:val="14"/>
                <w:szCs w:val="14"/>
                <w:color w:val="auto"/>
              </w:rPr>
              <w:t>New York Stock Exchange</w:t>
            </w:r>
          </w:p>
        </w:tc>
      </w:tr>
    </w:tbl>
    <w:p>
      <w:pPr>
        <w:spacing w:after="0" w:line="96" w:lineRule="exact"/>
        <w:rPr>
          <w:sz w:val="24"/>
          <w:szCs w:val="24"/>
          <w:color w:val="auto"/>
        </w:rPr>
      </w:pPr>
    </w:p>
    <w:p>
      <w:pPr>
        <w:ind w:right="120"/>
        <w:spacing w:after="0" w:line="172"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62" w:lineRule="exact"/>
        <w:rPr>
          <w:sz w:val="24"/>
          <w:szCs w:val="24"/>
          <w:color w:val="auto"/>
        </w:rPr>
      </w:pPr>
    </w:p>
    <w:p>
      <w:pPr>
        <w:ind w:right="60"/>
        <w:spacing w:after="0" w:line="172"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62" w:lineRule="exact"/>
        <w:rPr>
          <w:sz w:val="24"/>
          <w:szCs w:val="24"/>
          <w:color w:val="auto"/>
        </w:rPr>
      </w:pPr>
    </w:p>
    <w:p>
      <w:pPr>
        <w:ind w:right="140"/>
        <w:spacing w:after="0" w:line="274"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12" w:lineRule="exact"/>
        <w:rPr>
          <w:sz w:val="24"/>
          <w:szCs w:val="24"/>
          <w:color w:val="auto"/>
        </w:rPr>
      </w:pPr>
    </w:p>
    <w:tbl>
      <w:tblPr>
        <w:tblLayout w:type="fixed"/>
        <w:tblInd w:w="20" w:type="dxa"/>
        <w:tblCellMar>
          <w:top w:w="0" w:type="dxa"/>
          <w:left w:w="0" w:type="dxa"/>
          <w:bottom w:w="0" w:type="dxa"/>
          <w:right w:w="0" w:type="dxa"/>
        </w:tblCellMar>
      </w:tblPr>
      <w:tr>
        <w:trPr>
          <w:trHeight w:val="189"/>
        </w:trPr>
        <w:tc>
          <w:tcPr>
            <w:tcW w:w="192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560" w:type="dxa"/>
            <w:vAlign w:val="bottom"/>
          </w:tcPr>
          <w:p>
            <w:pPr>
              <w:ind w:left="340"/>
              <w:spacing w:after="0" w:line="131" w:lineRule="exact"/>
              <w:rPr>
                <w:sz w:val="20"/>
                <w:szCs w:val="20"/>
                <w:color w:val="auto"/>
              </w:rPr>
            </w:pPr>
            <w:r>
              <w:rPr>
                <w:rFonts w:ascii="MS PGothic" w:cs="MS PGothic" w:eastAsia="MS PGothic" w:hAnsi="MS PGothic"/>
                <w:sz w:val="13"/>
                <w:szCs w:val="13"/>
                <w:color w:val="auto"/>
              </w:rPr>
              <w:t>☒</w:t>
            </w:r>
          </w:p>
        </w:tc>
        <w:tc>
          <w:tcPr>
            <w:tcW w:w="5100" w:type="dxa"/>
            <w:vAlign w:val="bottom"/>
          </w:tcPr>
          <w:p>
            <w:pPr>
              <w:ind w:left="3120"/>
              <w:spacing w:after="0"/>
              <w:rPr>
                <w:sz w:val="20"/>
                <w:szCs w:val="20"/>
                <w:color w:val="auto"/>
              </w:rPr>
            </w:pPr>
            <w:r>
              <w:rPr>
                <w:rFonts w:ascii="Arial" w:cs="Arial" w:eastAsia="Arial" w:hAnsi="Arial"/>
                <w:sz w:val="13"/>
                <w:szCs w:val="13"/>
                <w:color w:val="auto"/>
              </w:rPr>
              <w:t>Accelerated filer</w:t>
            </w:r>
          </w:p>
        </w:tc>
        <w:tc>
          <w:tcPr>
            <w:tcW w:w="520" w:type="dxa"/>
            <w:vAlign w:val="bottom"/>
          </w:tcPr>
          <w:p>
            <w:pPr>
              <w:ind w:left="4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76"/>
        </w:trPr>
        <w:tc>
          <w:tcPr>
            <w:tcW w:w="1920" w:type="dxa"/>
            <w:vAlign w:val="bottom"/>
          </w:tcPr>
          <w:p>
            <w:pPr>
              <w:spacing w:after="0"/>
              <w:rPr>
                <w:sz w:val="20"/>
                <w:szCs w:val="20"/>
                <w:color w:val="auto"/>
              </w:rPr>
            </w:pPr>
            <w:r>
              <w:rPr>
                <w:rFonts w:ascii="Arial" w:cs="Arial" w:eastAsia="Arial" w:hAnsi="Arial"/>
                <w:sz w:val="13"/>
                <w:szCs w:val="13"/>
                <w:color w:val="auto"/>
              </w:rPr>
              <w:t>Non-accelerated filer</w:t>
            </w:r>
          </w:p>
        </w:tc>
        <w:tc>
          <w:tcPr>
            <w:tcW w:w="3560" w:type="dxa"/>
            <w:vAlign w:val="bottom"/>
          </w:tcPr>
          <w:p>
            <w:pPr>
              <w:ind w:left="340"/>
              <w:spacing w:after="0" w:line="131" w:lineRule="exact"/>
              <w:rPr>
                <w:sz w:val="20"/>
                <w:szCs w:val="20"/>
                <w:color w:val="auto"/>
              </w:rPr>
            </w:pPr>
            <w:r>
              <w:rPr>
                <w:rFonts w:ascii="MS PGothic" w:cs="MS PGothic" w:eastAsia="MS PGothic" w:hAnsi="MS PGothic"/>
                <w:sz w:val="13"/>
                <w:szCs w:val="13"/>
                <w:color w:val="auto"/>
              </w:rPr>
              <w:t>☐</w:t>
            </w:r>
          </w:p>
        </w:tc>
        <w:tc>
          <w:tcPr>
            <w:tcW w:w="5100" w:type="dxa"/>
            <w:vAlign w:val="bottom"/>
          </w:tcPr>
          <w:p>
            <w:pPr>
              <w:ind w:left="3120"/>
              <w:spacing w:after="0"/>
              <w:rPr>
                <w:sz w:val="20"/>
                <w:szCs w:val="20"/>
                <w:color w:val="auto"/>
              </w:rPr>
            </w:pPr>
            <w:r>
              <w:rPr>
                <w:rFonts w:ascii="Arial" w:cs="Arial" w:eastAsia="Arial" w:hAnsi="Arial"/>
                <w:sz w:val="13"/>
                <w:szCs w:val="13"/>
                <w:color w:val="auto"/>
              </w:rPr>
              <w:t>Smaller reporting company</w:t>
            </w:r>
          </w:p>
        </w:tc>
        <w:tc>
          <w:tcPr>
            <w:tcW w:w="520" w:type="dxa"/>
            <w:vAlign w:val="bottom"/>
          </w:tcPr>
          <w:p>
            <w:pPr>
              <w:ind w:left="4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27"/>
        </w:trPr>
        <w:tc>
          <w:tcPr>
            <w:tcW w:w="1920" w:type="dxa"/>
            <w:vAlign w:val="bottom"/>
          </w:tcPr>
          <w:p>
            <w:pPr>
              <w:spacing w:after="0"/>
              <w:rPr>
                <w:sz w:val="20"/>
                <w:szCs w:val="20"/>
                <w:color w:val="auto"/>
              </w:rPr>
            </w:pPr>
            <w:r>
              <w:rPr>
                <w:rFonts w:ascii="Arial" w:cs="Arial" w:eastAsia="Arial" w:hAnsi="Arial"/>
                <w:sz w:val="13"/>
                <w:szCs w:val="13"/>
                <w:color w:val="auto"/>
              </w:rPr>
              <w:t>Emerging growth company</w:t>
            </w:r>
          </w:p>
        </w:tc>
        <w:tc>
          <w:tcPr>
            <w:tcW w:w="3560" w:type="dxa"/>
            <w:vAlign w:val="bottom"/>
          </w:tcPr>
          <w:p>
            <w:pPr>
              <w:ind w:left="340"/>
              <w:spacing w:after="0" w:line="131" w:lineRule="exact"/>
              <w:rPr>
                <w:sz w:val="20"/>
                <w:szCs w:val="20"/>
                <w:color w:val="auto"/>
              </w:rPr>
            </w:pPr>
            <w:r>
              <w:rPr>
                <w:rFonts w:ascii="MS PGothic" w:cs="MS PGothic" w:eastAsia="MS PGothic" w:hAnsi="MS PGothic"/>
                <w:sz w:val="13"/>
                <w:szCs w:val="13"/>
                <w:color w:val="auto"/>
              </w:rPr>
              <w:t>☐</w:t>
            </w:r>
          </w:p>
        </w:tc>
        <w:tc>
          <w:tcPr>
            <w:tcW w:w="5100" w:type="dxa"/>
            <w:vAlign w:val="bottom"/>
          </w:tcPr>
          <w:p>
            <w:pPr>
              <w:spacing w:after="0"/>
              <w:rPr>
                <w:sz w:val="19"/>
                <w:szCs w:val="19"/>
                <w:color w:val="auto"/>
              </w:rPr>
            </w:pPr>
          </w:p>
        </w:tc>
        <w:tc>
          <w:tcPr>
            <w:tcW w:w="520" w:type="dxa"/>
            <w:vAlign w:val="bottom"/>
          </w:tcPr>
          <w:p>
            <w:pPr>
              <w:spacing w:after="0"/>
              <w:rPr>
                <w:sz w:val="19"/>
                <w:szCs w:val="19"/>
                <w:color w:val="auto"/>
              </w:rPr>
            </w:pPr>
          </w:p>
        </w:tc>
      </w:tr>
    </w:tbl>
    <w:p>
      <w:pPr>
        <w:spacing w:after="0" w:line="116" w:lineRule="exact"/>
        <w:rPr>
          <w:sz w:val="24"/>
          <w:szCs w:val="24"/>
          <w:color w:val="auto"/>
        </w:rPr>
      </w:pPr>
    </w:p>
    <w:p>
      <w:pPr>
        <w:ind w:right="280"/>
        <w:spacing w:after="0" w:line="17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9"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7440" w:type="dxa"/>
            <w:vAlign w:val="bottom"/>
            <w:gridSpan w:val="3"/>
          </w:tcPr>
          <w:p>
            <w:pPr>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p>
        </w:tc>
        <w:tc>
          <w:tcPr>
            <w:tcW w:w="3800" w:type="dxa"/>
            <w:vAlign w:val="bottom"/>
            <w:gridSpan w:val="3"/>
          </w:tcPr>
          <w:p>
            <w:pPr>
              <w:ind w:left="20"/>
              <w:spacing w:after="0" w:line="150" w:lineRule="exact"/>
              <w:rPr>
                <w:sz w:val="20"/>
                <w:szCs w:val="20"/>
                <w:color w:val="auto"/>
              </w:rPr>
            </w:pP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tc>
      </w:tr>
      <w:tr>
        <w:trPr>
          <w:trHeight w:val="234"/>
        </w:trPr>
        <w:tc>
          <w:tcPr>
            <w:tcW w:w="7440" w:type="dxa"/>
            <w:vAlign w:val="bottom"/>
            <w:gridSpan w:val="3"/>
          </w:tcPr>
          <w:p>
            <w:pPr>
              <w:spacing w:after="0"/>
              <w:rPr>
                <w:sz w:val="20"/>
                <w:szCs w:val="20"/>
                <w:color w:val="auto"/>
              </w:rPr>
            </w:pPr>
            <w:r>
              <w:rPr>
                <w:rFonts w:ascii="Arial" w:cs="Arial" w:eastAsia="Arial" w:hAnsi="Arial"/>
                <w:sz w:val="13"/>
                <w:szCs w:val="13"/>
                <w:color w:val="auto"/>
              </w:rPr>
              <w:t>Indicate the number of shares outstanding of each of the issuer’s classes of common stock, as of the latest practicable date.</w:t>
            </w:r>
          </w:p>
        </w:tc>
        <w:tc>
          <w:tcPr>
            <w:tcW w:w="10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98"/>
        </w:trPr>
        <w:tc>
          <w:tcPr>
            <w:tcW w:w="3720" w:type="dxa"/>
            <w:vAlign w:val="bottom"/>
          </w:tcPr>
          <w:p>
            <w:pPr>
              <w:spacing w:after="0"/>
              <w:rPr>
                <w:sz w:val="24"/>
                <w:szCs w:val="24"/>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w w:val="99"/>
              </w:rPr>
              <w:t>Class</w:t>
            </w:r>
          </w:p>
        </w:tc>
        <w:tc>
          <w:tcPr>
            <w:tcW w:w="3300" w:type="dxa"/>
            <w:vAlign w:val="bottom"/>
          </w:tcPr>
          <w:p>
            <w:pPr>
              <w:spacing w:after="0"/>
              <w:rPr>
                <w:sz w:val="24"/>
                <w:szCs w:val="24"/>
                <w:color w:val="auto"/>
              </w:rPr>
            </w:pPr>
          </w:p>
        </w:tc>
        <w:tc>
          <w:tcPr>
            <w:tcW w:w="3800" w:type="dxa"/>
            <w:vAlign w:val="bottom"/>
            <w:gridSpan w:val="3"/>
          </w:tcPr>
          <w:p>
            <w:pPr>
              <w:jc w:val="center"/>
              <w:ind w:left="347"/>
              <w:spacing w:after="0"/>
              <w:rPr>
                <w:sz w:val="20"/>
                <w:szCs w:val="20"/>
                <w:color w:val="auto"/>
              </w:rPr>
            </w:pPr>
            <w:r>
              <w:rPr>
                <w:rFonts w:ascii="Arial" w:cs="Arial" w:eastAsia="Arial" w:hAnsi="Arial"/>
                <w:sz w:val="15"/>
                <w:szCs w:val="15"/>
                <w:b w:val="1"/>
                <w:bCs w:val="1"/>
                <w:color w:val="auto"/>
              </w:rPr>
              <w:t>Outstanding at June 30, 2023</w:t>
            </w:r>
          </w:p>
        </w:tc>
      </w:tr>
      <w:tr>
        <w:trPr>
          <w:trHeight w:val="20"/>
        </w:trPr>
        <w:tc>
          <w:tcPr>
            <w:tcW w:w="744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89"/>
        </w:trPr>
        <w:tc>
          <w:tcPr>
            <w:tcW w:w="7440" w:type="dxa"/>
            <w:vAlign w:val="bottom"/>
            <w:gridSpan w:val="3"/>
          </w:tcPr>
          <w:p>
            <w:pPr>
              <w:ind w:left="20"/>
              <w:spacing w:after="0"/>
              <w:rPr>
                <w:sz w:val="20"/>
                <w:szCs w:val="20"/>
                <w:color w:val="auto"/>
              </w:rPr>
            </w:pPr>
            <w:r>
              <w:rPr>
                <w:rFonts w:ascii="Arial" w:cs="Arial" w:eastAsia="Arial" w:hAnsi="Arial"/>
                <w:sz w:val="15"/>
                <w:szCs w:val="15"/>
                <w:color w:val="auto"/>
              </w:rPr>
              <w:t>COMMON STOCK, $0.01 PAR VALUE PER SHARE</w:t>
            </w:r>
          </w:p>
        </w:tc>
        <w:tc>
          <w:tcPr>
            <w:tcW w:w="3160" w:type="dxa"/>
            <w:vAlign w:val="bottom"/>
            <w:gridSpan w:val="2"/>
          </w:tcPr>
          <w:p>
            <w:pPr>
              <w:jc w:val="right"/>
              <w:ind w:right="560"/>
              <w:spacing w:after="0"/>
              <w:rPr>
                <w:sz w:val="20"/>
                <w:szCs w:val="20"/>
                <w:color w:val="auto"/>
              </w:rPr>
            </w:pPr>
            <w:r>
              <w:rPr>
                <w:rFonts w:ascii="Arial" w:cs="Arial" w:eastAsia="Arial" w:hAnsi="Arial"/>
                <w:sz w:val="15"/>
                <w:szCs w:val="15"/>
                <w:color w:val="auto"/>
              </w:rPr>
              <w:t>1,421,186,016</w:t>
            </w:r>
          </w:p>
        </w:tc>
        <w:tc>
          <w:tcPr>
            <w:tcW w:w="640" w:type="dxa"/>
            <w:vAlign w:val="bottom"/>
          </w:tcPr>
          <w:p>
            <w:pPr>
              <w:spacing w:after="0"/>
              <w:rPr>
                <w:sz w:val="16"/>
                <w:szCs w:val="16"/>
                <w:color w:val="auto"/>
              </w:rPr>
            </w:pPr>
          </w:p>
        </w:tc>
      </w:tr>
      <w:tr>
        <w:trPr>
          <w:trHeight w:val="690"/>
        </w:trPr>
        <w:tc>
          <w:tcPr>
            <w:tcW w:w="37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3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17" w:right="33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SCHLUMBERGER LIMITED</w:t>
      </w:r>
    </w:p>
    <w:p>
      <w:pPr>
        <w:spacing w:after="0" w:line="1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Second Quarter 2023 Form 10-Q</w:t>
      </w:r>
    </w:p>
    <w:p>
      <w:pPr>
        <w:jc w:val="center"/>
        <w:ind w:right="40"/>
        <w:spacing w:after="0"/>
        <w:rPr>
          <w:sz w:val="20"/>
          <w:szCs w:val="20"/>
          <w:color w:val="auto"/>
        </w:rPr>
      </w:pPr>
      <w:r>
        <w:rPr>
          <w:rFonts w:ascii="Arial" w:cs="Arial" w:eastAsia="Arial" w:hAnsi="Arial"/>
          <w:sz w:val="18"/>
          <w:szCs w:val="18"/>
          <w:color w:val="auto"/>
        </w:rPr>
        <w:t>Table of Contents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6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Page</w:t>
            </w:r>
          </w:p>
        </w:tc>
      </w:tr>
      <w:tr>
        <w:trPr>
          <w:trHeight w:val="215"/>
        </w:trPr>
        <w:tc>
          <w:tcPr>
            <w:tcW w:w="1100" w:type="dxa"/>
            <w:vAlign w:val="bottom"/>
          </w:tcPr>
          <w:p>
            <w:pPr>
              <w:ind w:left="20"/>
              <w:spacing w:after="0"/>
              <w:rPr>
                <w:sz w:val="20"/>
                <w:szCs w:val="20"/>
                <w:color w:val="auto"/>
              </w:rPr>
            </w:pPr>
            <w:r>
              <w:rPr>
                <w:rFonts w:ascii="Arial" w:cs="Arial" w:eastAsia="Arial" w:hAnsi="Arial"/>
                <w:sz w:val="16"/>
                <w:szCs w:val="16"/>
                <w:b w:val="1"/>
                <w:bCs w:val="1"/>
                <w:color w:val="auto"/>
              </w:rPr>
              <w:t>PART I</w:t>
            </w:r>
          </w:p>
        </w:tc>
        <w:tc>
          <w:tcPr>
            <w:tcW w:w="9520" w:type="dxa"/>
            <w:vAlign w:val="bottom"/>
            <w:gridSpan w:val="12"/>
          </w:tcPr>
          <w:p>
            <w:pPr>
              <w:spacing w:after="0"/>
              <w:rPr>
                <w:sz w:val="20"/>
                <w:szCs w:val="20"/>
                <w:color w:val="auto"/>
              </w:rPr>
            </w:pPr>
            <w:r>
              <w:rPr>
                <w:rFonts w:ascii="Arial" w:cs="Arial" w:eastAsia="Arial" w:hAnsi="Arial"/>
                <w:sz w:val="16"/>
                <w:szCs w:val="16"/>
                <w:b w:val="1"/>
                <w:bCs w:val="1"/>
                <w:color w:val="auto"/>
              </w:rPr>
              <w:t>Financial Information</w:t>
            </w:r>
          </w:p>
        </w:tc>
        <w:tc>
          <w:tcPr>
            <w:tcW w:w="620" w:type="dxa"/>
            <w:vAlign w:val="bottom"/>
          </w:tcPr>
          <w:p>
            <w:pPr>
              <w:spacing w:after="0"/>
              <w:rPr>
                <w:sz w:val="18"/>
                <w:szCs w:val="18"/>
                <w:color w:val="auto"/>
              </w:rPr>
            </w:pPr>
          </w:p>
        </w:tc>
      </w:tr>
      <w:tr>
        <w:trPr>
          <w:trHeight w:val="386"/>
        </w:trPr>
        <w:tc>
          <w:tcPr>
            <w:tcW w:w="1100" w:type="dxa"/>
            <w:vAlign w:val="bottom"/>
          </w:tcPr>
          <w:p>
            <w:pPr>
              <w:ind w:left="20"/>
              <w:spacing w:after="0"/>
              <w:rPr>
                <w:sz w:val="20"/>
                <w:szCs w:val="20"/>
                <w:color w:val="auto"/>
              </w:rPr>
            </w:pPr>
            <w:r>
              <w:rPr>
                <w:rFonts w:ascii="Arial" w:cs="Arial" w:eastAsia="Arial" w:hAnsi="Arial"/>
                <w:sz w:val="16"/>
                <w:szCs w:val="16"/>
                <w:b w:val="1"/>
                <w:bCs w:val="1"/>
                <w:color w:val="auto"/>
              </w:rPr>
              <w:t>Item 1.</w:t>
            </w:r>
          </w:p>
        </w:tc>
        <w:tc>
          <w:tcPr>
            <w:tcW w:w="1520" w:type="dxa"/>
            <w:vAlign w:val="bottom"/>
            <w:tcBorders>
              <w:bottom w:val="single" w:sz="8" w:color="0000FF"/>
            </w:tcBorders>
            <w:gridSpan w:val="5"/>
          </w:tcPr>
          <w:p>
            <w:pPr>
              <w:spacing w:after="0"/>
              <w:rPr>
                <w:sz w:val="20"/>
                <w:szCs w:val="20"/>
                <w:color w:val="auto"/>
              </w:rPr>
            </w:pPr>
            <w:r>
              <w:rPr>
                <w:rFonts w:ascii="Arial" w:cs="Arial" w:eastAsia="Arial" w:hAnsi="Arial"/>
                <w:sz w:val="16"/>
                <w:szCs w:val="16"/>
                <w:color w:val="0000FF"/>
              </w:rPr>
              <w:t>Financial Statements</w:t>
            </w:r>
          </w:p>
        </w:tc>
        <w:tc>
          <w:tcPr>
            <w:tcW w:w="8000" w:type="dxa"/>
            <w:vAlign w:val="bottom"/>
            <w:gridSpan w:val="7"/>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412"/>
        </w:trPr>
        <w:tc>
          <w:tcPr>
            <w:tcW w:w="1100" w:type="dxa"/>
            <w:vAlign w:val="bottom"/>
          </w:tcPr>
          <w:p>
            <w:pPr>
              <w:ind w:left="20"/>
              <w:spacing w:after="0"/>
              <w:rPr>
                <w:sz w:val="20"/>
                <w:szCs w:val="20"/>
                <w:color w:val="auto"/>
              </w:rPr>
            </w:pPr>
            <w:r>
              <w:rPr>
                <w:rFonts w:ascii="Arial" w:cs="Arial" w:eastAsia="Arial" w:hAnsi="Arial"/>
                <w:sz w:val="16"/>
                <w:szCs w:val="16"/>
                <w:b w:val="1"/>
                <w:bCs w:val="1"/>
                <w:color w:val="auto"/>
              </w:rPr>
              <w:t>Item 2.</w:t>
            </w:r>
          </w:p>
        </w:tc>
        <w:tc>
          <w:tcPr>
            <w:tcW w:w="9520" w:type="dxa"/>
            <w:vAlign w:val="bottom"/>
            <w:gridSpan w:val="12"/>
          </w:tcPr>
          <w:p>
            <w:pPr>
              <w:spacing w:after="0"/>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62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412"/>
        </w:trPr>
        <w:tc>
          <w:tcPr>
            <w:tcW w:w="1100" w:type="dxa"/>
            <w:vAlign w:val="bottom"/>
          </w:tcPr>
          <w:p>
            <w:pPr>
              <w:ind w:left="20"/>
              <w:spacing w:after="0"/>
              <w:rPr>
                <w:sz w:val="20"/>
                <w:szCs w:val="20"/>
                <w:color w:val="auto"/>
              </w:rPr>
            </w:pPr>
            <w:r>
              <w:rPr>
                <w:rFonts w:ascii="Arial" w:cs="Arial" w:eastAsia="Arial" w:hAnsi="Arial"/>
                <w:sz w:val="16"/>
                <w:szCs w:val="16"/>
                <w:b w:val="1"/>
                <w:bCs w:val="1"/>
                <w:color w:val="auto"/>
              </w:rPr>
              <w:t>Item 3.</w:t>
            </w:r>
          </w:p>
        </w:tc>
        <w:tc>
          <w:tcPr>
            <w:tcW w:w="6360" w:type="dxa"/>
            <w:vAlign w:val="bottom"/>
            <w:tcBorders>
              <w:top w:val="single" w:sz="8" w:color="0000FF"/>
            </w:tcBorders>
            <w:gridSpan w:val="11"/>
          </w:tcPr>
          <w:p>
            <w:pPr>
              <w:spacing w:after="0"/>
              <w:rPr>
                <w:sz w:val="20"/>
                <w:szCs w:val="20"/>
                <w:color w:val="auto"/>
              </w:rPr>
            </w:pPr>
            <w:r>
              <w:rPr>
                <w:rFonts w:ascii="Arial" w:cs="Arial" w:eastAsia="Arial" w:hAnsi="Arial"/>
                <w:sz w:val="16"/>
                <w:szCs w:val="16"/>
                <w:color w:val="0000FF"/>
              </w:rPr>
              <w:t>Quantitative and Qualitative Disclosures about Market Risk</w:t>
            </w:r>
          </w:p>
        </w:tc>
        <w:tc>
          <w:tcPr>
            <w:tcW w:w="3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412"/>
        </w:trPr>
        <w:tc>
          <w:tcPr>
            <w:tcW w:w="1100" w:type="dxa"/>
            <w:vAlign w:val="bottom"/>
          </w:tcPr>
          <w:p>
            <w:pPr>
              <w:ind w:left="20"/>
              <w:spacing w:after="0"/>
              <w:rPr>
                <w:sz w:val="20"/>
                <w:szCs w:val="20"/>
                <w:color w:val="auto"/>
              </w:rPr>
            </w:pPr>
            <w:r>
              <w:rPr>
                <w:rFonts w:ascii="Arial" w:cs="Arial" w:eastAsia="Arial" w:hAnsi="Arial"/>
                <w:sz w:val="16"/>
                <w:szCs w:val="16"/>
                <w:b w:val="1"/>
                <w:bCs w:val="1"/>
                <w:color w:val="auto"/>
              </w:rPr>
              <w:t>Item 4.</w:t>
            </w:r>
          </w:p>
        </w:tc>
        <w:tc>
          <w:tcPr>
            <w:tcW w:w="1800" w:type="dxa"/>
            <w:vAlign w:val="bottom"/>
            <w:tcBorders>
              <w:top w:val="single" w:sz="8" w:color="0000FF"/>
              <w:bottom w:val="single" w:sz="8" w:color="0000FF"/>
            </w:tcBorders>
            <w:gridSpan w:val="7"/>
          </w:tcPr>
          <w:p>
            <w:pPr>
              <w:spacing w:after="0"/>
              <w:rPr>
                <w:sz w:val="20"/>
                <w:szCs w:val="20"/>
                <w:color w:val="auto"/>
              </w:rPr>
            </w:pPr>
            <w:r>
              <w:rPr>
                <w:rFonts w:ascii="Arial" w:cs="Arial" w:eastAsia="Arial" w:hAnsi="Arial"/>
                <w:sz w:val="16"/>
                <w:szCs w:val="16"/>
                <w:color w:val="0000FF"/>
              </w:rPr>
              <w:t>Controls and Procedures</w:t>
            </w:r>
          </w:p>
        </w:tc>
        <w:tc>
          <w:tcPr>
            <w:tcW w:w="2420" w:type="dxa"/>
            <w:vAlign w:val="bottom"/>
            <w:tcBorders>
              <w:top w:val="single" w:sz="8" w:color="0000FF"/>
            </w:tcBorders>
            <w:gridSpan w:val="2"/>
          </w:tcPr>
          <w:p>
            <w:pPr>
              <w:spacing w:after="0"/>
              <w:rPr>
                <w:sz w:val="24"/>
                <w:szCs w:val="24"/>
                <w:color w:val="auto"/>
              </w:rPr>
            </w:pPr>
          </w:p>
        </w:tc>
        <w:tc>
          <w:tcPr>
            <w:tcW w:w="5300" w:type="dxa"/>
            <w:vAlign w:val="bottom"/>
            <w:gridSpan w:val="3"/>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458"/>
        </w:trPr>
        <w:tc>
          <w:tcPr>
            <w:tcW w:w="1100" w:type="dxa"/>
            <w:vAlign w:val="bottom"/>
          </w:tcPr>
          <w:p>
            <w:pPr>
              <w:ind w:left="20"/>
              <w:spacing w:after="0"/>
              <w:rPr>
                <w:sz w:val="20"/>
                <w:szCs w:val="20"/>
                <w:color w:val="auto"/>
              </w:rPr>
            </w:pPr>
            <w:r>
              <w:rPr>
                <w:rFonts w:ascii="Arial" w:cs="Arial" w:eastAsia="Arial" w:hAnsi="Arial"/>
                <w:sz w:val="16"/>
                <w:szCs w:val="16"/>
                <w:b w:val="1"/>
                <w:bCs w:val="1"/>
                <w:color w:val="auto"/>
              </w:rPr>
              <w:t>PART II</w:t>
            </w:r>
          </w:p>
        </w:tc>
        <w:tc>
          <w:tcPr>
            <w:tcW w:w="9520" w:type="dxa"/>
            <w:vAlign w:val="bottom"/>
            <w:gridSpan w:val="12"/>
          </w:tcPr>
          <w:p>
            <w:pPr>
              <w:spacing w:after="0"/>
              <w:rPr>
                <w:sz w:val="20"/>
                <w:szCs w:val="20"/>
                <w:color w:val="auto"/>
              </w:rPr>
            </w:pPr>
            <w:r>
              <w:rPr>
                <w:rFonts w:ascii="Arial" w:cs="Arial" w:eastAsia="Arial" w:hAnsi="Arial"/>
                <w:sz w:val="16"/>
                <w:szCs w:val="16"/>
                <w:b w:val="1"/>
                <w:bCs w:val="1"/>
                <w:color w:val="auto"/>
              </w:rPr>
              <w:t>Other Information</w:t>
            </w:r>
          </w:p>
        </w:tc>
        <w:tc>
          <w:tcPr>
            <w:tcW w:w="620" w:type="dxa"/>
            <w:vAlign w:val="bottom"/>
          </w:tcPr>
          <w:p>
            <w:pPr>
              <w:spacing w:after="0"/>
              <w:rPr>
                <w:sz w:val="24"/>
                <w:szCs w:val="24"/>
                <w:color w:val="auto"/>
              </w:rPr>
            </w:pPr>
          </w:p>
        </w:tc>
      </w:tr>
      <w:tr>
        <w:trPr>
          <w:trHeight w:val="386"/>
        </w:trPr>
        <w:tc>
          <w:tcPr>
            <w:tcW w:w="1100" w:type="dxa"/>
            <w:vAlign w:val="bottom"/>
          </w:tcPr>
          <w:p>
            <w:pPr>
              <w:ind w:left="20"/>
              <w:spacing w:after="0"/>
              <w:rPr>
                <w:sz w:val="20"/>
                <w:szCs w:val="20"/>
                <w:color w:val="auto"/>
              </w:rPr>
            </w:pPr>
            <w:r>
              <w:rPr>
                <w:rFonts w:ascii="Arial" w:cs="Arial" w:eastAsia="Arial" w:hAnsi="Arial"/>
                <w:sz w:val="16"/>
                <w:szCs w:val="16"/>
                <w:b w:val="1"/>
                <w:bCs w:val="1"/>
                <w:color w:val="auto"/>
              </w:rPr>
              <w:t>Item 1.</w:t>
            </w:r>
          </w:p>
        </w:tc>
        <w:tc>
          <w:tcPr>
            <w:tcW w:w="1340" w:type="dxa"/>
            <w:vAlign w:val="bottom"/>
            <w:tcBorders>
              <w:bottom w:val="single" w:sz="8" w:color="0000FF"/>
            </w:tcBorders>
            <w:gridSpan w:val="4"/>
          </w:tcPr>
          <w:p>
            <w:pPr>
              <w:spacing w:after="0"/>
              <w:rPr>
                <w:sz w:val="20"/>
                <w:szCs w:val="20"/>
                <w:color w:val="auto"/>
              </w:rPr>
            </w:pPr>
            <w:r>
              <w:rPr>
                <w:rFonts w:ascii="Arial" w:cs="Arial" w:eastAsia="Arial" w:hAnsi="Arial"/>
                <w:sz w:val="16"/>
                <w:szCs w:val="16"/>
                <w:color w:val="0000FF"/>
                <w:w w:val="99"/>
              </w:rPr>
              <w:t>Legal Proceedings</w:t>
            </w:r>
          </w:p>
        </w:tc>
        <w:tc>
          <w:tcPr>
            <w:tcW w:w="8180" w:type="dxa"/>
            <w:vAlign w:val="bottom"/>
            <w:gridSpan w:val="8"/>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412"/>
        </w:trPr>
        <w:tc>
          <w:tcPr>
            <w:tcW w:w="1100" w:type="dxa"/>
            <w:vAlign w:val="bottom"/>
          </w:tcPr>
          <w:p>
            <w:pPr>
              <w:ind w:left="20"/>
              <w:spacing w:after="0"/>
              <w:rPr>
                <w:sz w:val="20"/>
                <w:szCs w:val="20"/>
                <w:color w:val="auto"/>
              </w:rPr>
            </w:pPr>
            <w:r>
              <w:rPr>
                <w:rFonts w:ascii="Arial" w:cs="Arial" w:eastAsia="Arial" w:hAnsi="Arial"/>
                <w:sz w:val="16"/>
                <w:szCs w:val="16"/>
                <w:b w:val="1"/>
                <w:bCs w:val="1"/>
                <w:color w:val="auto"/>
              </w:rPr>
              <w:t>Item 1A.</w:t>
            </w:r>
          </w:p>
        </w:tc>
        <w:tc>
          <w:tcPr>
            <w:tcW w:w="900" w:type="dxa"/>
            <w:vAlign w:val="bottom"/>
            <w:tcBorders>
              <w:bottom w:val="single" w:sz="8" w:color="0000FF"/>
            </w:tcBorders>
            <w:gridSpan w:val="2"/>
          </w:tcPr>
          <w:p>
            <w:pPr>
              <w:spacing w:after="0"/>
              <w:rPr>
                <w:sz w:val="20"/>
                <w:szCs w:val="20"/>
                <w:color w:val="auto"/>
              </w:rPr>
            </w:pPr>
            <w:r>
              <w:rPr>
                <w:rFonts w:ascii="Arial" w:cs="Arial" w:eastAsia="Arial" w:hAnsi="Arial"/>
                <w:sz w:val="16"/>
                <w:szCs w:val="16"/>
                <w:color w:val="0000FF"/>
                <w:w w:val="98"/>
              </w:rPr>
              <w:t>Risk Factors</w:t>
            </w:r>
          </w:p>
        </w:tc>
        <w:tc>
          <w:tcPr>
            <w:tcW w:w="8620" w:type="dxa"/>
            <w:vAlign w:val="bottom"/>
            <w:gridSpan w:val="10"/>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412"/>
        </w:trPr>
        <w:tc>
          <w:tcPr>
            <w:tcW w:w="1100" w:type="dxa"/>
            <w:vAlign w:val="bottom"/>
          </w:tcPr>
          <w:p>
            <w:pPr>
              <w:ind w:left="20"/>
              <w:spacing w:after="0"/>
              <w:rPr>
                <w:sz w:val="20"/>
                <w:szCs w:val="20"/>
                <w:color w:val="auto"/>
              </w:rPr>
            </w:pPr>
            <w:r>
              <w:rPr>
                <w:rFonts w:ascii="Arial" w:cs="Arial" w:eastAsia="Arial" w:hAnsi="Arial"/>
                <w:sz w:val="16"/>
                <w:szCs w:val="16"/>
                <w:b w:val="1"/>
                <w:bCs w:val="1"/>
                <w:color w:val="auto"/>
              </w:rPr>
              <w:t>Item 2.</w:t>
            </w:r>
          </w:p>
        </w:tc>
        <w:tc>
          <w:tcPr>
            <w:tcW w:w="9520" w:type="dxa"/>
            <w:vAlign w:val="bottom"/>
            <w:gridSpan w:val="12"/>
          </w:tcPr>
          <w:p>
            <w:pPr>
              <w:spacing w:after="0"/>
              <w:rPr>
                <w:sz w:val="20"/>
                <w:szCs w:val="20"/>
                <w:color w:val="auto"/>
              </w:rPr>
            </w:pPr>
            <w:r>
              <w:rPr>
                <w:rFonts w:ascii="Arial" w:cs="Arial" w:eastAsia="Arial" w:hAnsi="Arial"/>
                <w:sz w:val="16"/>
                <w:szCs w:val="16"/>
                <w:color w:val="0000FF"/>
              </w:rPr>
              <w:t>Unregistered Sales of Equity Securities and Use of Proceeds</w:t>
            </w:r>
          </w:p>
        </w:tc>
        <w:tc>
          <w:tcPr>
            <w:tcW w:w="62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412"/>
        </w:trPr>
        <w:tc>
          <w:tcPr>
            <w:tcW w:w="1100" w:type="dxa"/>
            <w:vAlign w:val="bottom"/>
          </w:tcPr>
          <w:p>
            <w:pPr>
              <w:ind w:left="20"/>
              <w:spacing w:after="0"/>
              <w:rPr>
                <w:sz w:val="20"/>
                <w:szCs w:val="20"/>
                <w:color w:val="auto"/>
              </w:rPr>
            </w:pPr>
            <w:r>
              <w:rPr>
                <w:rFonts w:ascii="Arial" w:cs="Arial" w:eastAsia="Arial" w:hAnsi="Arial"/>
                <w:sz w:val="16"/>
                <w:szCs w:val="16"/>
                <w:b w:val="1"/>
                <w:bCs w:val="1"/>
                <w:color w:val="auto"/>
              </w:rPr>
              <w:t>Item 3.</w:t>
            </w:r>
          </w:p>
        </w:tc>
        <w:tc>
          <w:tcPr>
            <w:tcW w:w="2300" w:type="dxa"/>
            <w:vAlign w:val="bottom"/>
            <w:tcBorders>
              <w:top w:val="single" w:sz="8" w:color="0000FF"/>
              <w:bottom w:val="single" w:sz="8" w:color="0000FF"/>
            </w:tcBorders>
            <w:gridSpan w:val="8"/>
          </w:tcPr>
          <w:p>
            <w:pPr>
              <w:spacing w:after="0"/>
              <w:rPr>
                <w:sz w:val="20"/>
                <w:szCs w:val="20"/>
                <w:color w:val="auto"/>
              </w:rPr>
            </w:pPr>
            <w:r>
              <w:rPr>
                <w:rFonts w:ascii="Arial" w:cs="Arial" w:eastAsia="Arial" w:hAnsi="Arial"/>
                <w:sz w:val="16"/>
                <w:szCs w:val="16"/>
                <w:color w:val="0000FF"/>
              </w:rPr>
              <w:t>Defaults Upon Senior Securities</w:t>
            </w:r>
          </w:p>
        </w:tc>
        <w:tc>
          <w:tcPr>
            <w:tcW w:w="2060" w:type="dxa"/>
            <w:vAlign w:val="bottom"/>
            <w:tcBorders>
              <w:top w:val="single" w:sz="8" w:color="0000FF"/>
            </w:tcBorders>
            <w:gridSpan w:val="2"/>
          </w:tcPr>
          <w:p>
            <w:pPr>
              <w:spacing w:after="0"/>
              <w:rPr>
                <w:sz w:val="24"/>
                <w:szCs w:val="24"/>
                <w:color w:val="auto"/>
              </w:rPr>
            </w:pPr>
          </w:p>
        </w:tc>
        <w:tc>
          <w:tcPr>
            <w:tcW w:w="5160" w:type="dxa"/>
            <w:vAlign w:val="bottom"/>
            <w:gridSpan w:val="2"/>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412"/>
        </w:trPr>
        <w:tc>
          <w:tcPr>
            <w:tcW w:w="1100" w:type="dxa"/>
            <w:vAlign w:val="bottom"/>
          </w:tcPr>
          <w:p>
            <w:pPr>
              <w:ind w:left="20"/>
              <w:spacing w:after="0"/>
              <w:rPr>
                <w:sz w:val="20"/>
                <w:szCs w:val="20"/>
                <w:color w:val="auto"/>
              </w:rPr>
            </w:pPr>
            <w:r>
              <w:rPr>
                <w:rFonts w:ascii="Arial" w:cs="Arial" w:eastAsia="Arial" w:hAnsi="Arial"/>
                <w:sz w:val="16"/>
                <w:szCs w:val="16"/>
                <w:b w:val="1"/>
                <w:bCs w:val="1"/>
                <w:color w:val="auto"/>
              </w:rPr>
              <w:t>Item 4.</w:t>
            </w:r>
          </w:p>
        </w:tc>
        <w:tc>
          <w:tcPr>
            <w:tcW w:w="1740" w:type="dxa"/>
            <w:vAlign w:val="bottom"/>
            <w:tcBorders>
              <w:bottom w:val="single" w:sz="8" w:color="0000FF"/>
            </w:tcBorders>
            <w:gridSpan w:val="6"/>
          </w:tcPr>
          <w:p>
            <w:pPr>
              <w:spacing w:after="0"/>
              <w:rPr>
                <w:sz w:val="20"/>
                <w:szCs w:val="20"/>
                <w:color w:val="auto"/>
              </w:rPr>
            </w:pPr>
            <w:r>
              <w:rPr>
                <w:rFonts w:ascii="Arial" w:cs="Arial" w:eastAsia="Arial" w:hAnsi="Arial"/>
                <w:sz w:val="16"/>
                <w:szCs w:val="16"/>
                <w:color w:val="0000FF"/>
              </w:rPr>
              <w:t>Mine Safety Disclosures</w:t>
            </w:r>
          </w:p>
        </w:tc>
        <w:tc>
          <w:tcPr>
            <w:tcW w:w="7780" w:type="dxa"/>
            <w:vAlign w:val="bottom"/>
            <w:gridSpan w:val="6"/>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412"/>
        </w:trPr>
        <w:tc>
          <w:tcPr>
            <w:tcW w:w="1100" w:type="dxa"/>
            <w:vAlign w:val="bottom"/>
          </w:tcPr>
          <w:p>
            <w:pPr>
              <w:ind w:left="20"/>
              <w:spacing w:after="0"/>
              <w:rPr>
                <w:sz w:val="20"/>
                <w:szCs w:val="20"/>
                <w:color w:val="auto"/>
              </w:rPr>
            </w:pPr>
            <w:r>
              <w:rPr>
                <w:rFonts w:ascii="Arial" w:cs="Arial" w:eastAsia="Arial" w:hAnsi="Arial"/>
                <w:sz w:val="16"/>
                <w:szCs w:val="16"/>
                <w:b w:val="1"/>
                <w:bCs w:val="1"/>
                <w:color w:val="auto"/>
              </w:rPr>
              <w:t>Item 5.</w:t>
            </w:r>
          </w:p>
        </w:tc>
        <w:tc>
          <w:tcPr>
            <w:tcW w:w="126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color w:val="0000FF"/>
                <w:w w:val="99"/>
              </w:rPr>
              <w:t>Other Information</w:t>
            </w:r>
          </w:p>
        </w:tc>
        <w:tc>
          <w:tcPr>
            <w:tcW w:w="8260" w:type="dxa"/>
            <w:vAlign w:val="bottom"/>
            <w:gridSpan w:val="9"/>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412"/>
        </w:trPr>
        <w:tc>
          <w:tcPr>
            <w:tcW w:w="1100" w:type="dxa"/>
            <w:vAlign w:val="bottom"/>
          </w:tcPr>
          <w:p>
            <w:pPr>
              <w:ind w:left="20"/>
              <w:spacing w:after="0"/>
              <w:rPr>
                <w:sz w:val="20"/>
                <w:szCs w:val="20"/>
                <w:color w:val="auto"/>
              </w:rPr>
            </w:pPr>
            <w:r>
              <w:rPr>
                <w:rFonts w:ascii="Arial" w:cs="Arial" w:eastAsia="Arial" w:hAnsi="Arial"/>
                <w:sz w:val="16"/>
                <w:szCs w:val="16"/>
                <w:b w:val="1"/>
                <w:bCs w:val="1"/>
                <w:color w:val="auto"/>
              </w:rPr>
              <w:t>Item 6.</w:t>
            </w:r>
          </w:p>
        </w:tc>
        <w:tc>
          <w:tcPr>
            <w:tcW w:w="9520" w:type="dxa"/>
            <w:vAlign w:val="bottom"/>
            <w:gridSpan w:val="12"/>
          </w:tcPr>
          <w:p>
            <w:pPr>
              <w:spacing w:after="0"/>
              <w:rPr>
                <w:sz w:val="20"/>
                <w:szCs w:val="20"/>
                <w:color w:val="auto"/>
              </w:rPr>
            </w:pPr>
            <w:r>
              <w:rPr>
                <w:rFonts w:ascii="Arial" w:cs="Arial" w:eastAsia="Arial" w:hAnsi="Arial"/>
                <w:sz w:val="16"/>
                <w:szCs w:val="16"/>
                <w:color w:val="0000FF"/>
              </w:rPr>
              <w:t>Exhibits</w:t>
            </w:r>
          </w:p>
        </w:tc>
        <w:tc>
          <w:tcPr>
            <w:tcW w:w="62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568"/>
        </w:trPr>
        <w:tc>
          <w:tcPr>
            <w:tcW w:w="1100" w:type="dxa"/>
            <w:vAlign w:val="bottom"/>
            <w:tcBorders>
              <w:bottom w:val="single" w:sz="8" w:color="9A9A9A"/>
            </w:tcBorders>
          </w:tcPr>
          <w:p>
            <w:pPr>
              <w:spacing w:after="0"/>
              <w:rPr>
                <w:sz w:val="24"/>
                <w:szCs w:val="24"/>
                <w:color w:val="auto"/>
              </w:rPr>
            </w:pPr>
          </w:p>
        </w:tc>
        <w:tc>
          <w:tcPr>
            <w:tcW w:w="560" w:type="dxa"/>
            <w:vAlign w:val="bottom"/>
            <w:tcBorders>
              <w:top w:val="single" w:sz="8" w:color="0000FF"/>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31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u w:val="single" w:color="auto"/>
          <w:color w:val="auto"/>
        </w:rPr>
        <w:t>PART I. FINANCIAL INFORMATION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1. Financial Statements.</w:t>
      </w:r>
    </w:p>
    <w:p>
      <w:pPr>
        <w:spacing w:after="0" w:line="194" w:lineRule="exact"/>
        <w:rPr>
          <w:sz w:val="20"/>
          <w:szCs w:val="20"/>
          <w:color w:val="auto"/>
        </w:rPr>
      </w:pPr>
    </w:p>
    <w:p>
      <w:pPr>
        <w:ind w:left="3800"/>
        <w:spacing w:after="0"/>
        <w:rPr>
          <w:sz w:val="20"/>
          <w:szCs w:val="20"/>
          <w:color w:val="auto"/>
        </w:rPr>
      </w:pPr>
      <w:r>
        <w:rPr>
          <w:rFonts w:ascii="Arial" w:cs="Arial" w:eastAsia="Arial" w:hAnsi="Arial"/>
          <w:sz w:val="16"/>
          <w:szCs w:val="16"/>
          <w:b w:val="1"/>
          <w:bCs w:val="1"/>
          <w:u w:val="single" w:color="auto"/>
          <w:color w:val="auto"/>
        </w:rPr>
        <w:t>SCHLUMBERGER LIMITED AND SUBSIDIARIES</w:t>
      </w:r>
    </w:p>
    <w:p>
      <w:pPr>
        <w:spacing w:after="0" w:line="113" w:lineRule="exact"/>
        <w:rPr>
          <w:sz w:val="20"/>
          <w:szCs w:val="20"/>
          <w:color w:val="auto"/>
        </w:rPr>
      </w:pPr>
    </w:p>
    <w:p>
      <w:pPr>
        <w:ind w:left="3980"/>
        <w:spacing w:after="0"/>
        <w:rPr>
          <w:sz w:val="20"/>
          <w:szCs w:val="20"/>
          <w:color w:val="auto"/>
        </w:rPr>
      </w:pPr>
      <w:r>
        <w:rPr>
          <w:rFonts w:ascii="Arial" w:cs="Arial" w:eastAsia="Arial" w:hAnsi="Arial"/>
          <w:sz w:val="16"/>
          <w:szCs w:val="16"/>
          <w:b w:val="1"/>
          <w:bCs w:val="1"/>
          <w:u w:val="single" w:color="auto"/>
          <w:color w:val="auto"/>
        </w:rPr>
        <w:t>CONSOLIDATED STATEMENT OF INCOME</w:t>
      </w:r>
    </w:p>
    <w:p>
      <w:pPr>
        <w:spacing w:after="0" w:line="2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(Unaudited)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20" w:type="dxa"/>
            <w:vAlign w:val="bottom"/>
            <w:gridSpan w:val="7"/>
          </w:tcPr>
          <w:p>
            <w:pPr>
              <w:jc w:val="right"/>
              <w:spacing w:after="0"/>
              <w:rPr>
                <w:sz w:val="20"/>
                <w:szCs w:val="20"/>
                <w:color w:val="auto"/>
              </w:rPr>
            </w:pPr>
            <w:r>
              <w:rPr>
                <w:rFonts w:ascii="Arial" w:cs="Arial" w:eastAsia="Arial" w:hAnsi="Arial"/>
                <w:sz w:val="14"/>
                <w:szCs w:val="14"/>
                <w:i w:val="1"/>
                <w:iCs w:val="1"/>
                <w:color w:val="auto"/>
              </w:rPr>
              <w:t>(Stated in millions, except per share amounts</w:t>
            </w:r>
            <w:r>
              <w:rPr>
                <w:rFonts w:ascii="Arial" w:cs="Arial" w:eastAsia="Arial" w:hAnsi="Arial"/>
                <w:sz w:val="14"/>
                <w:szCs w:val="14"/>
                <w:color w:val="auto"/>
              </w:rPr>
              <w:t>)</w:t>
            </w:r>
          </w:p>
        </w:tc>
        <w:tc>
          <w:tcPr>
            <w:tcW w:w="140" w:type="dxa"/>
            <w:vAlign w:val="bottom"/>
          </w:tcPr>
          <w:p>
            <w:pPr>
              <w:spacing w:after="0"/>
              <w:rPr>
                <w:sz w:val="16"/>
                <w:szCs w:val="16"/>
                <w:color w:val="auto"/>
              </w:rPr>
            </w:pPr>
          </w:p>
        </w:tc>
      </w:tr>
      <w:tr>
        <w:trPr>
          <w:trHeight w:val="431"/>
        </w:trPr>
        <w:tc>
          <w:tcPr>
            <w:tcW w:w="55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4"/>
          </w:tcPr>
          <w:p>
            <w:pPr>
              <w:jc w:val="right"/>
              <w:ind w:right="619"/>
              <w:spacing w:after="0"/>
              <w:rPr>
                <w:sz w:val="20"/>
                <w:szCs w:val="20"/>
                <w:color w:val="auto"/>
              </w:rPr>
            </w:pPr>
            <w:r>
              <w:rPr>
                <w:rFonts w:ascii="Arial" w:cs="Arial" w:eastAsia="Arial" w:hAnsi="Arial"/>
                <w:sz w:val="16"/>
                <w:szCs w:val="16"/>
                <w:b w:val="1"/>
                <w:bCs w:val="1"/>
                <w:color w:val="auto"/>
              </w:rPr>
              <w:t>Second Quarter</w:t>
            </w:r>
          </w:p>
        </w:tc>
        <w:tc>
          <w:tcPr>
            <w:tcW w:w="3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Six Months</w:t>
            </w:r>
          </w:p>
        </w:tc>
        <w:tc>
          <w:tcPr>
            <w:tcW w:w="8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09"/>
        </w:trPr>
        <w:tc>
          <w:tcPr>
            <w:tcW w:w="55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2023</w:t>
            </w: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2022</w:t>
            </w:r>
          </w:p>
        </w:tc>
        <w:tc>
          <w:tcPr>
            <w:tcW w:w="3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2023</w:t>
            </w:r>
          </w:p>
        </w:tc>
        <w:tc>
          <w:tcPr>
            <w:tcW w:w="3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2022</w:t>
            </w:r>
          </w:p>
        </w:tc>
        <w:tc>
          <w:tcPr>
            <w:tcW w:w="140" w:type="dxa"/>
            <w:vAlign w:val="bottom"/>
          </w:tcPr>
          <w:p>
            <w:pPr>
              <w:spacing w:after="0"/>
              <w:rPr>
                <w:sz w:val="18"/>
                <w:szCs w:val="18"/>
                <w:color w:val="auto"/>
              </w:rPr>
            </w:pPr>
          </w:p>
        </w:tc>
      </w:tr>
      <w:tr>
        <w:trPr>
          <w:trHeight w:val="210"/>
        </w:trPr>
        <w:tc>
          <w:tcPr>
            <w:tcW w:w="558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Revenue</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6"/>
        </w:trPr>
        <w:tc>
          <w:tcPr>
            <w:tcW w:w="5580" w:type="dxa"/>
            <w:vAlign w:val="bottom"/>
          </w:tcPr>
          <w:p>
            <w:pPr>
              <w:ind w:left="200"/>
              <w:spacing w:after="0"/>
              <w:rPr>
                <w:sz w:val="20"/>
                <w:szCs w:val="20"/>
                <w:color w:val="auto"/>
              </w:rPr>
            </w:pPr>
            <w:r>
              <w:rPr>
                <w:rFonts w:ascii="Arial" w:cs="Arial" w:eastAsia="Arial" w:hAnsi="Arial"/>
                <w:sz w:val="16"/>
                <w:szCs w:val="16"/>
                <w:color w:val="auto"/>
              </w:rPr>
              <w:t>Services</w:t>
            </w:r>
          </w:p>
        </w:tc>
        <w:tc>
          <w:tcPr>
            <w:tcW w:w="240" w:type="dxa"/>
            <w:vAlign w:val="bottom"/>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5,563</w:t>
            </w:r>
          </w:p>
        </w:tc>
        <w:tc>
          <w:tcPr>
            <w:tcW w:w="54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4,732</w:t>
            </w:r>
          </w:p>
        </w:tc>
        <w:tc>
          <w:tcPr>
            <w:tcW w:w="56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10,897</w:t>
            </w:r>
          </w:p>
        </w:tc>
        <w:tc>
          <w:tcPr>
            <w:tcW w:w="64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8,954</w:t>
            </w:r>
          </w:p>
        </w:tc>
        <w:tc>
          <w:tcPr>
            <w:tcW w:w="140" w:type="dxa"/>
            <w:vAlign w:val="bottom"/>
          </w:tcPr>
          <w:p>
            <w:pPr>
              <w:spacing w:after="0"/>
              <w:rPr>
                <w:sz w:val="18"/>
                <w:szCs w:val="18"/>
                <w:color w:val="auto"/>
              </w:rPr>
            </w:pPr>
          </w:p>
        </w:tc>
      </w:tr>
      <w:tr>
        <w:trPr>
          <w:trHeight w:val="216"/>
        </w:trPr>
        <w:tc>
          <w:tcPr>
            <w:tcW w:w="55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Product sales</w:t>
            </w: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2,536</w:t>
            </w:r>
          </w:p>
        </w:tc>
        <w:tc>
          <w:tcPr>
            <w:tcW w:w="2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2,041</w:t>
            </w:r>
          </w:p>
        </w:tc>
        <w:tc>
          <w:tcPr>
            <w:tcW w:w="3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4,938</w:t>
            </w:r>
          </w:p>
        </w:tc>
        <w:tc>
          <w:tcPr>
            <w:tcW w:w="3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3,781</w:t>
            </w:r>
          </w:p>
        </w:tc>
        <w:tc>
          <w:tcPr>
            <w:tcW w:w="140" w:type="dxa"/>
            <w:vAlign w:val="bottom"/>
            <w:tcBorders>
              <w:bottom w:val="single" w:sz="8" w:color="CFF0FC"/>
            </w:tcBorders>
            <w:shd w:val="clear" w:color="auto" w:fill="CFF0FC"/>
          </w:tcPr>
          <w:p>
            <w:pPr>
              <w:spacing w:after="0"/>
              <w:rPr>
                <w:sz w:val="18"/>
                <w:szCs w:val="18"/>
                <w:color w:val="auto"/>
              </w:rPr>
            </w:pPr>
          </w:p>
        </w:tc>
      </w:tr>
      <w:tr>
        <w:trPr>
          <w:trHeight w:val="209"/>
        </w:trPr>
        <w:tc>
          <w:tcPr>
            <w:tcW w:w="5580" w:type="dxa"/>
            <w:vAlign w:val="bottom"/>
          </w:tcPr>
          <w:p>
            <w:pPr>
              <w:ind w:left="20"/>
              <w:spacing w:after="0"/>
              <w:rPr>
                <w:sz w:val="20"/>
                <w:szCs w:val="20"/>
                <w:color w:val="auto"/>
              </w:rPr>
            </w:pPr>
            <w:r>
              <w:rPr>
                <w:rFonts w:ascii="Arial" w:cs="Arial" w:eastAsia="Arial" w:hAnsi="Arial"/>
                <w:sz w:val="16"/>
                <w:szCs w:val="16"/>
                <w:i w:val="1"/>
                <w:iCs w:val="1"/>
                <w:color w:val="auto"/>
              </w:rPr>
              <w:t>Total Revenue</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8,099</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6,773</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15,835</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12,735</w:t>
            </w:r>
          </w:p>
        </w:tc>
        <w:tc>
          <w:tcPr>
            <w:tcW w:w="140" w:type="dxa"/>
            <w:vAlign w:val="bottom"/>
          </w:tcPr>
          <w:p>
            <w:pPr>
              <w:spacing w:after="0"/>
              <w:rPr>
                <w:sz w:val="18"/>
                <w:szCs w:val="18"/>
                <w:color w:val="auto"/>
              </w:rPr>
            </w:pPr>
          </w:p>
        </w:tc>
      </w:tr>
      <w:tr>
        <w:trPr>
          <w:trHeight w:val="216"/>
        </w:trPr>
        <w:tc>
          <w:tcPr>
            <w:tcW w:w="558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Interest &amp; other income</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82</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311</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174</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361</w:t>
            </w:r>
          </w:p>
        </w:tc>
        <w:tc>
          <w:tcPr>
            <w:tcW w:w="140" w:type="dxa"/>
            <w:vAlign w:val="bottom"/>
            <w:shd w:val="clear" w:color="auto" w:fill="CFF0FC"/>
          </w:tcPr>
          <w:p>
            <w:pPr>
              <w:spacing w:after="0"/>
              <w:rPr>
                <w:sz w:val="18"/>
                <w:szCs w:val="18"/>
                <w:color w:val="auto"/>
              </w:rPr>
            </w:pPr>
          </w:p>
        </w:tc>
      </w:tr>
      <w:tr>
        <w:trPr>
          <w:trHeight w:val="213"/>
        </w:trPr>
        <w:tc>
          <w:tcPr>
            <w:tcW w:w="5580" w:type="dxa"/>
            <w:vAlign w:val="bottom"/>
          </w:tcPr>
          <w:p>
            <w:pPr>
              <w:ind w:left="20"/>
              <w:spacing w:after="0"/>
              <w:rPr>
                <w:sz w:val="20"/>
                <w:szCs w:val="20"/>
                <w:color w:val="auto"/>
              </w:rPr>
            </w:pPr>
            <w:r>
              <w:rPr>
                <w:rFonts w:ascii="Arial" w:cs="Arial" w:eastAsia="Arial" w:hAnsi="Arial"/>
                <w:sz w:val="16"/>
                <w:szCs w:val="16"/>
                <w:i w:val="1"/>
                <w:iCs w:val="1"/>
                <w:color w:val="auto"/>
              </w:rPr>
              <w:t>Expenses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55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Cost of services</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4,288</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3,720</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8,417</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7,107</w:t>
            </w:r>
          </w:p>
        </w:tc>
        <w:tc>
          <w:tcPr>
            <w:tcW w:w="140" w:type="dxa"/>
            <w:vAlign w:val="bottom"/>
            <w:shd w:val="clear" w:color="auto" w:fill="CFF0FC"/>
          </w:tcPr>
          <w:p>
            <w:pPr>
              <w:spacing w:after="0"/>
              <w:rPr>
                <w:sz w:val="19"/>
                <w:szCs w:val="19"/>
                <w:color w:val="auto"/>
              </w:rPr>
            </w:pPr>
          </w:p>
        </w:tc>
      </w:tr>
      <w:tr>
        <w:trPr>
          <w:trHeight w:val="216"/>
        </w:trPr>
        <w:tc>
          <w:tcPr>
            <w:tcW w:w="5580" w:type="dxa"/>
            <w:vAlign w:val="bottom"/>
          </w:tcPr>
          <w:p>
            <w:pPr>
              <w:ind w:left="200"/>
              <w:spacing w:after="0"/>
              <w:rPr>
                <w:sz w:val="20"/>
                <w:szCs w:val="20"/>
                <w:color w:val="auto"/>
              </w:rPr>
            </w:pPr>
            <w:r>
              <w:rPr>
                <w:rFonts w:ascii="Arial" w:cs="Arial" w:eastAsia="Arial" w:hAnsi="Arial"/>
                <w:sz w:val="16"/>
                <w:szCs w:val="16"/>
                <w:color w:val="auto"/>
              </w:rPr>
              <w:t>Cost of sales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2,214</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1,848</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4,370</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3,474</w:t>
            </w:r>
          </w:p>
        </w:tc>
        <w:tc>
          <w:tcPr>
            <w:tcW w:w="140" w:type="dxa"/>
            <w:vAlign w:val="bottom"/>
          </w:tcPr>
          <w:p>
            <w:pPr>
              <w:spacing w:after="0"/>
              <w:rPr>
                <w:sz w:val="18"/>
                <w:szCs w:val="18"/>
                <w:color w:val="auto"/>
              </w:rPr>
            </w:pPr>
          </w:p>
        </w:tc>
      </w:tr>
      <w:tr>
        <w:trPr>
          <w:trHeight w:val="216"/>
        </w:trPr>
        <w:tc>
          <w:tcPr>
            <w:tcW w:w="55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Research &amp; engineering</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163</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154</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337</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295</w:t>
            </w:r>
          </w:p>
        </w:tc>
        <w:tc>
          <w:tcPr>
            <w:tcW w:w="140" w:type="dxa"/>
            <w:vAlign w:val="bottom"/>
            <w:shd w:val="clear" w:color="auto" w:fill="CFF0FC"/>
          </w:tcPr>
          <w:p>
            <w:pPr>
              <w:spacing w:after="0"/>
              <w:rPr>
                <w:sz w:val="18"/>
                <w:szCs w:val="18"/>
                <w:color w:val="auto"/>
              </w:rPr>
            </w:pPr>
          </w:p>
        </w:tc>
      </w:tr>
      <w:tr>
        <w:trPr>
          <w:trHeight w:val="216"/>
        </w:trPr>
        <w:tc>
          <w:tcPr>
            <w:tcW w:w="5580" w:type="dxa"/>
            <w:vAlign w:val="bottom"/>
          </w:tcPr>
          <w:p>
            <w:pPr>
              <w:ind w:left="200"/>
              <w:spacing w:after="0"/>
              <w:rPr>
                <w:sz w:val="20"/>
                <w:szCs w:val="20"/>
                <w:color w:val="auto"/>
              </w:rPr>
            </w:pPr>
            <w:r>
              <w:rPr>
                <w:rFonts w:ascii="Arial" w:cs="Arial" w:eastAsia="Arial" w:hAnsi="Arial"/>
                <w:sz w:val="16"/>
                <w:szCs w:val="16"/>
                <w:color w:val="auto"/>
              </w:rPr>
              <w:t>General &amp; administrative</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96</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86</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187</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183</w:t>
            </w:r>
          </w:p>
        </w:tc>
        <w:tc>
          <w:tcPr>
            <w:tcW w:w="140" w:type="dxa"/>
            <w:vAlign w:val="bottom"/>
          </w:tcPr>
          <w:p>
            <w:pPr>
              <w:spacing w:after="0"/>
              <w:rPr>
                <w:sz w:val="18"/>
                <w:szCs w:val="18"/>
                <w:color w:val="auto"/>
              </w:rPr>
            </w:pPr>
          </w:p>
        </w:tc>
      </w:tr>
      <w:tr>
        <w:trPr>
          <w:trHeight w:val="216"/>
        </w:trPr>
        <w:tc>
          <w:tcPr>
            <w:tcW w:w="55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Interest</w:t>
            </w: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127</w:t>
            </w:r>
          </w:p>
        </w:tc>
        <w:tc>
          <w:tcPr>
            <w:tcW w:w="2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124</w:t>
            </w:r>
          </w:p>
        </w:tc>
        <w:tc>
          <w:tcPr>
            <w:tcW w:w="3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244</w:t>
            </w:r>
          </w:p>
        </w:tc>
        <w:tc>
          <w:tcPr>
            <w:tcW w:w="3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247</w:t>
            </w:r>
          </w:p>
        </w:tc>
        <w:tc>
          <w:tcPr>
            <w:tcW w:w="140" w:type="dxa"/>
            <w:vAlign w:val="bottom"/>
            <w:tcBorders>
              <w:bottom w:val="single" w:sz="8" w:color="CFF0FC"/>
            </w:tcBorders>
            <w:shd w:val="clear" w:color="auto" w:fill="CFF0FC"/>
          </w:tcPr>
          <w:p>
            <w:pPr>
              <w:spacing w:after="0"/>
              <w:rPr>
                <w:sz w:val="18"/>
                <w:szCs w:val="18"/>
                <w:color w:val="auto"/>
              </w:rPr>
            </w:pPr>
          </w:p>
        </w:tc>
      </w:tr>
      <w:tr>
        <w:trPr>
          <w:trHeight w:val="209"/>
        </w:trPr>
        <w:tc>
          <w:tcPr>
            <w:tcW w:w="5580" w:type="dxa"/>
            <w:vAlign w:val="bottom"/>
          </w:tcPr>
          <w:p>
            <w:pPr>
              <w:ind w:left="20"/>
              <w:spacing w:after="0"/>
              <w:rPr>
                <w:sz w:val="20"/>
                <w:szCs w:val="20"/>
                <w:color w:val="auto"/>
              </w:rPr>
            </w:pPr>
            <w:r>
              <w:rPr>
                <w:rFonts w:ascii="Arial" w:cs="Arial" w:eastAsia="Arial" w:hAnsi="Arial"/>
                <w:sz w:val="16"/>
                <w:szCs w:val="16"/>
                <w:i w:val="1"/>
                <w:iCs w:val="1"/>
                <w:color w:val="auto"/>
              </w:rPr>
              <w:t>Income before taxes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1,293</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1,152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2,454</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1,790</w:t>
            </w:r>
          </w:p>
        </w:tc>
        <w:tc>
          <w:tcPr>
            <w:tcW w:w="140" w:type="dxa"/>
            <w:vAlign w:val="bottom"/>
          </w:tcPr>
          <w:p>
            <w:pPr>
              <w:spacing w:after="0"/>
              <w:rPr>
                <w:sz w:val="18"/>
                <w:szCs w:val="18"/>
                <w:color w:val="auto"/>
              </w:rPr>
            </w:pPr>
          </w:p>
        </w:tc>
      </w:tr>
      <w:tr>
        <w:trPr>
          <w:trHeight w:val="216"/>
        </w:trPr>
        <w:tc>
          <w:tcPr>
            <w:tcW w:w="55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Tax expense</w:t>
            </w: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246</w:t>
            </w:r>
          </w:p>
        </w:tc>
        <w:tc>
          <w:tcPr>
            <w:tcW w:w="2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182</w:t>
            </w:r>
          </w:p>
        </w:tc>
        <w:tc>
          <w:tcPr>
            <w:tcW w:w="3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464</w:t>
            </w:r>
          </w:p>
        </w:tc>
        <w:tc>
          <w:tcPr>
            <w:tcW w:w="3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300</w:t>
            </w:r>
          </w:p>
        </w:tc>
        <w:tc>
          <w:tcPr>
            <w:tcW w:w="140" w:type="dxa"/>
            <w:vAlign w:val="bottom"/>
            <w:tcBorders>
              <w:bottom w:val="single" w:sz="8" w:color="CFF0FC"/>
            </w:tcBorders>
            <w:shd w:val="clear" w:color="auto" w:fill="CFF0FC"/>
          </w:tcPr>
          <w:p>
            <w:pPr>
              <w:spacing w:after="0"/>
              <w:rPr>
                <w:sz w:val="18"/>
                <w:szCs w:val="18"/>
                <w:color w:val="auto"/>
              </w:rPr>
            </w:pPr>
          </w:p>
        </w:tc>
      </w:tr>
      <w:tr>
        <w:trPr>
          <w:trHeight w:val="210"/>
        </w:trPr>
        <w:tc>
          <w:tcPr>
            <w:tcW w:w="5580" w:type="dxa"/>
            <w:vAlign w:val="bottom"/>
          </w:tcPr>
          <w:p>
            <w:pPr>
              <w:ind w:left="20"/>
              <w:spacing w:after="0"/>
              <w:rPr>
                <w:sz w:val="20"/>
                <w:szCs w:val="20"/>
                <w:color w:val="auto"/>
              </w:rPr>
            </w:pPr>
            <w:r>
              <w:rPr>
                <w:rFonts w:ascii="Arial" w:cs="Arial" w:eastAsia="Arial" w:hAnsi="Arial"/>
                <w:sz w:val="16"/>
                <w:szCs w:val="16"/>
                <w:i w:val="1"/>
                <w:iCs w:val="1"/>
                <w:color w:val="auto"/>
              </w:rPr>
              <w:t>Net income</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1,047</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970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1,990</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1,490</w:t>
            </w:r>
          </w:p>
        </w:tc>
        <w:tc>
          <w:tcPr>
            <w:tcW w:w="140" w:type="dxa"/>
            <w:vAlign w:val="bottom"/>
          </w:tcPr>
          <w:p>
            <w:pPr>
              <w:spacing w:after="0"/>
              <w:rPr>
                <w:sz w:val="18"/>
                <w:szCs w:val="18"/>
                <w:color w:val="auto"/>
              </w:rPr>
            </w:pPr>
          </w:p>
        </w:tc>
      </w:tr>
      <w:tr>
        <w:trPr>
          <w:trHeight w:val="216"/>
        </w:trPr>
        <w:tc>
          <w:tcPr>
            <w:tcW w:w="55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Net income attributable to noncontrolling interests</w:t>
            </w: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14</w:t>
            </w:r>
          </w:p>
        </w:tc>
        <w:tc>
          <w:tcPr>
            <w:tcW w:w="2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3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23</w:t>
            </w:r>
          </w:p>
        </w:tc>
        <w:tc>
          <w:tcPr>
            <w:tcW w:w="3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w:t>
            </w:r>
          </w:p>
        </w:tc>
        <w:tc>
          <w:tcPr>
            <w:tcW w:w="140" w:type="dxa"/>
            <w:vAlign w:val="bottom"/>
            <w:tcBorders>
              <w:bottom w:val="single" w:sz="8" w:color="CFF0FC"/>
            </w:tcBorders>
            <w:shd w:val="clear" w:color="auto" w:fill="CFF0FC"/>
          </w:tcPr>
          <w:p>
            <w:pPr>
              <w:spacing w:after="0"/>
              <w:rPr>
                <w:sz w:val="18"/>
                <w:szCs w:val="18"/>
                <w:color w:val="auto"/>
              </w:rPr>
            </w:pPr>
          </w:p>
        </w:tc>
      </w:tr>
      <w:tr>
        <w:trPr>
          <w:trHeight w:val="209"/>
        </w:trPr>
        <w:tc>
          <w:tcPr>
            <w:tcW w:w="5580" w:type="dxa"/>
            <w:vAlign w:val="bottom"/>
          </w:tcPr>
          <w:p>
            <w:pPr>
              <w:ind w:left="20"/>
              <w:spacing w:after="0"/>
              <w:rPr>
                <w:sz w:val="20"/>
                <w:szCs w:val="20"/>
                <w:color w:val="auto"/>
              </w:rPr>
            </w:pPr>
            <w:r>
              <w:rPr>
                <w:rFonts w:ascii="Arial" w:cs="Arial" w:eastAsia="Arial" w:hAnsi="Arial"/>
                <w:sz w:val="16"/>
                <w:szCs w:val="16"/>
                <w:i w:val="1"/>
                <w:iCs w:val="1"/>
                <w:color w:val="auto"/>
              </w:rPr>
              <w:t>Net income attributable to SLB</w:t>
            </w: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1,033</w:t>
            </w:r>
          </w:p>
        </w:tc>
        <w:tc>
          <w:tcPr>
            <w:tcW w:w="28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959</w:t>
            </w:r>
          </w:p>
        </w:tc>
        <w:tc>
          <w:tcPr>
            <w:tcW w:w="3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1,967</w:t>
            </w:r>
          </w:p>
        </w:tc>
        <w:tc>
          <w:tcPr>
            <w:tcW w:w="3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1,469</w:t>
            </w:r>
          </w:p>
        </w:tc>
        <w:tc>
          <w:tcPr>
            <w:tcW w:w="140" w:type="dxa"/>
            <w:vAlign w:val="bottom"/>
          </w:tcPr>
          <w:p>
            <w:pPr>
              <w:spacing w:after="0"/>
              <w:rPr>
                <w:sz w:val="18"/>
                <w:szCs w:val="18"/>
                <w:color w:val="auto"/>
              </w:rPr>
            </w:pPr>
          </w:p>
        </w:tc>
      </w:tr>
      <w:tr>
        <w:trPr>
          <w:trHeight w:val="20"/>
        </w:trPr>
        <w:tc>
          <w:tcPr>
            <w:tcW w:w="5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7"/>
        </w:trPr>
        <w:tc>
          <w:tcPr>
            <w:tcW w:w="5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4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640" w:type="dxa"/>
            <w:vAlign w:val="bottom"/>
            <w:gridSpan w:val="2"/>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56"/>
        </w:trPr>
        <w:tc>
          <w:tcPr>
            <w:tcW w:w="5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Basic income per share of SLB</w:t>
            </w:r>
          </w:p>
        </w:tc>
        <w:tc>
          <w:tcPr>
            <w:tcW w:w="240" w:type="dxa"/>
            <w:vAlign w:val="bottom"/>
            <w:tcBorders>
              <w:bottom w:val="single" w:sz="8" w:color="auto"/>
            </w:tcBorders>
            <w:shd w:val="clear" w:color="auto" w:fill="CFF0FC"/>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0.73</w:t>
            </w:r>
          </w:p>
        </w:tc>
        <w:tc>
          <w:tcPr>
            <w:tcW w:w="28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0.68</w:t>
            </w:r>
          </w:p>
        </w:tc>
        <w:tc>
          <w:tcPr>
            <w:tcW w:w="30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1.38</w:t>
            </w:r>
          </w:p>
        </w:tc>
        <w:tc>
          <w:tcPr>
            <w:tcW w:w="30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1.04</w:t>
            </w:r>
          </w:p>
        </w:tc>
        <w:tc>
          <w:tcPr>
            <w:tcW w:w="140" w:type="dxa"/>
            <w:vAlign w:val="bottom"/>
            <w:tcBorders>
              <w:bottom w:val="single" w:sz="8" w:color="CFF0FC"/>
            </w:tcBorders>
            <w:shd w:val="clear" w:color="auto" w:fill="CFF0FC"/>
          </w:tcPr>
          <w:p>
            <w:pPr>
              <w:spacing w:after="0"/>
              <w:rPr>
                <w:sz w:val="22"/>
                <w:szCs w:val="22"/>
                <w:color w:val="auto"/>
              </w:rPr>
            </w:pPr>
          </w:p>
        </w:tc>
      </w:tr>
      <w:tr>
        <w:trPr>
          <w:trHeight w:val="197"/>
        </w:trPr>
        <w:tc>
          <w:tcPr>
            <w:tcW w:w="5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4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640" w:type="dxa"/>
            <w:vAlign w:val="bottom"/>
            <w:gridSpan w:val="2"/>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56"/>
        </w:trPr>
        <w:tc>
          <w:tcPr>
            <w:tcW w:w="55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Diluted income per share of SLB</w:t>
            </w: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0.72</w:t>
            </w:r>
          </w:p>
        </w:tc>
        <w:tc>
          <w:tcPr>
            <w:tcW w:w="54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0.67</w:t>
            </w:r>
          </w:p>
        </w:tc>
        <w:tc>
          <w:tcPr>
            <w:tcW w:w="56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1.36</w:t>
            </w:r>
          </w:p>
        </w:tc>
        <w:tc>
          <w:tcPr>
            <w:tcW w:w="640" w:type="dxa"/>
            <w:vAlign w:val="bottom"/>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w:t>
            </w:r>
          </w:p>
        </w:tc>
        <w:tc>
          <w:tcPr>
            <w:tcW w:w="140" w:type="dxa"/>
            <w:vAlign w:val="bottom"/>
            <w:shd w:val="clear" w:color="auto" w:fill="CFF0FC"/>
          </w:tcPr>
          <w:p>
            <w:pPr>
              <w:spacing w:after="0"/>
              <w:rPr>
                <w:sz w:val="22"/>
                <w:szCs w:val="22"/>
                <w:color w:val="auto"/>
              </w:rPr>
            </w:pPr>
          </w:p>
        </w:tc>
      </w:tr>
      <w:tr>
        <w:trPr>
          <w:trHeight w:val="196"/>
        </w:trPr>
        <w:tc>
          <w:tcPr>
            <w:tcW w:w="558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r>
      <w:tr>
        <w:trPr>
          <w:trHeight w:val="216"/>
        </w:trPr>
        <w:tc>
          <w:tcPr>
            <w:tcW w:w="55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Average shares outstanding:</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6"/>
        </w:trPr>
        <w:tc>
          <w:tcPr>
            <w:tcW w:w="5580" w:type="dxa"/>
            <w:vAlign w:val="bottom"/>
          </w:tcPr>
          <w:p>
            <w:pPr>
              <w:ind w:left="200"/>
              <w:spacing w:after="0"/>
              <w:rPr>
                <w:sz w:val="20"/>
                <w:szCs w:val="20"/>
                <w:color w:val="auto"/>
              </w:rPr>
            </w:pPr>
            <w:r>
              <w:rPr>
                <w:rFonts w:ascii="Arial" w:cs="Arial" w:eastAsia="Arial" w:hAnsi="Arial"/>
                <w:sz w:val="16"/>
                <w:szCs w:val="16"/>
                <w:color w:val="auto"/>
              </w:rPr>
              <w:t>Basic</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1,423</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1,414</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1,425</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1,413</w:t>
            </w:r>
          </w:p>
        </w:tc>
        <w:tc>
          <w:tcPr>
            <w:tcW w:w="140" w:type="dxa"/>
            <w:vAlign w:val="bottom"/>
          </w:tcPr>
          <w:p>
            <w:pPr>
              <w:spacing w:after="0"/>
              <w:rPr>
                <w:sz w:val="18"/>
                <w:szCs w:val="18"/>
                <w:color w:val="auto"/>
              </w:rPr>
            </w:pPr>
          </w:p>
        </w:tc>
      </w:tr>
      <w:tr>
        <w:trPr>
          <w:trHeight w:val="216"/>
        </w:trPr>
        <w:tc>
          <w:tcPr>
            <w:tcW w:w="55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Assuming dilution</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1,442</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1,436</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1,444</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1,435</w:t>
            </w:r>
          </w:p>
        </w:tc>
        <w:tc>
          <w:tcPr>
            <w:tcW w:w="14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-2990850</wp:posOffset>
            </wp:positionV>
            <wp:extent cx="85725" cy="1454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-2990850</wp:posOffset>
            </wp:positionV>
            <wp:extent cx="85725" cy="145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-2990850</wp:posOffset>
            </wp:positionV>
            <wp:extent cx="85725" cy="145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-2990850</wp:posOffset>
            </wp:positionV>
            <wp:extent cx="85725" cy="145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-1885315</wp:posOffset>
            </wp:positionV>
            <wp:extent cx="85725"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-1885315</wp:posOffset>
            </wp:positionV>
            <wp:extent cx="85725"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-1885315</wp:posOffset>
            </wp:positionV>
            <wp:extent cx="85725"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-1885315</wp:posOffset>
            </wp:positionV>
            <wp:extent cx="85725"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-1602740</wp:posOffset>
            </wp:positionV>
            <wp:extent cx="85725"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5725" cy="14605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-1602740</wp:posOffset>
            </wp:positionV>
            <wp:extent cx="85725"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5725" cy="14605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-1602740</wp:posOffset>
            </wp:positionV>
            <wp:extent cx="85725"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5725" cy="1460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-1602740</wp:posOffset>
            </wp:positionV>
            <wp:extent cx="85725"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725" cy="1460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-1319530</wp:posOffset>
            </wp:positionV>
            <wp:extent cx="85725" cy="3086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5725" cy="30861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-1319530</wp:posOffset>
            </wp:positionV>
            <wp:extent cx="85725" cy="3086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725" cy="30861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-1319530</wp:posOffset>
            </wp:positionV>
            <wp:extent cx="85725" cy="3086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25" cy="30861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-1319530</wp:posOffset>
            </wp:positionV>
            <wp:extent cx="85725" cy="3086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 cy="30861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-873760</wp:posOffset>
            </wp:positionV>
            <wp:extent cx="2863215"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863215" cy="16319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-573405</wp:posOffset>
            </wp:positionV>
            <wp:extent cx="2863215" cy="1625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863215" cy="162560"/>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ind w:left="3760"/>
        <w:spacing w:after="0"/>
        <w:rPr>
          <w:sz w:val="20"/>
          <w:szCs w:val="20"/>
          <w:color w:val="auto"/>
        </w:rPr>
      </w:pPr>
      <w:r>
        <w:rPr>
          <w:rFonts w:ascii="Arial" w:cs="Arial" w:eastAsia="Arial" w:hAnsi="Arial"/>
          <w:sz w:val="16"/>
          <w:szCs w:val="16"/>
          <w:b w:val="1"/>
          <w:bCs w:val="1"/>
          <w:u w:val="single" w:color="auto"/>
          <w:color w:val="auto"/>
        </w:rPr>
        <w:t>SCHLUMBERGER LIMITED AND SUBSIDIARIES</w:t>
      </w:r>
    </w:p>
    <w:p>
      <w:pPr>
        <w:spacing w:after="0" w:line="113" w:lineRule="exact"/>
        <w:rPr>
          <w:sz w:val="20"/>
          <w:szCs w:val="20"/>
          <w:color w:val="auto"/>
        </w:rPr>
      </w:pPr>
    </w:p>
    <w:p>
      <w:pPr>
        <w:ind w:left="3240"/>
        <w:spacing w:after="0"/>
        <w:rPr>
          <w:sz w:val="20"/>
          <w:szCs w:val="20"/>
          <w:color w:val="auto"/>
        </w:rPr>
      </w:pPr>
      <w:r>
        <w:rPr>
          <w:rFonts w:ascii="Arial" w:cs="Arial" w:eastAsia="Arial" w:hAnsi="Arial"/>
          <w:sz w:val="16"/>
          <w:szCs w:val="16"/>
          <w:b w:val="1"/>
          <w:bCs w:val="1"/>
          <w:u w:val="single" w:color="auto"/>
          <w:color w:val="auto"/>
        </w:rPr>
        <w:t>CONSOLIDATED STATEMENT OF COMPREHENSIVE INCOME</w:t>
      </w:r>
    </w:p>
    <w:p>
      <w:pPr>
        <w:spacing w:after="0" w:line="2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(Unaudited)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4"/>
          </w:tcPr>
          <w:p>
            <w:pPr>
              <w:jc w:val="right"/>
              <w:ind w:right="140"/>
              <w:spacing w:after="0"/>
              <w:rPr>
                <w:sz w:val="20"/>
                <w:szCs w:val="20"/>
                <w:color w:val="auto"/>
              </w:rPr>
            </w:pPr>
            <w:r>
              <w:rPr>
                <w:rFonts w:ascii="Arial" w:cs="Arial" w:eastAsia="Arial" w:hAnsi="Arial"/>
                <w:sz w:val="14"/>
                <w:szCs w:val="14"/>
                <w:i w:val="1"/>
                <w:iCs w:val="1"/>
                <w:color w:val="auto"/>
              </w:rPr>
              <w:t>(Stated in millions)</w:t>
            </w:r>
          </w:p>
        </w:tc>
      </w:tr>
      <w:tr>
        <w:trPr>
          <w:trHeight w:val="431"/>
        </w:trPr>
        <w:tc>
          <w:tcPr>
            <w:tcW w:w="5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60" w:type="dxa"/>
            <w:vAlign w:val="bottom"/>
            <w:gridSpan w:val="5"/>
          </w:tcPr>
          <w:p>
            <w:pPr>
              <w:jc w:val="right"/>
              <w:ind w:right="1000"/>
              <w:spacing w:after="0"/>
              <w:rPr>
                <w:sz w:val="20"/>
                <w:szCs w:val="20"/>
                <w:color w:val="auto"/>
              </w:rPr>
            </w:pPr>
            <w:r>
              <w:rPr>
                <w:rFonts w:ascii="Arial" w:cs="Arial" w:eastAsia="Arial" w:hAnsi="Arial"/>
                <w:sz w:val="16"/>
                <w:szCs w:val="16"/>
                <w:b w:val="1"/>
                <w:bCs w:val="1"/>
                <w:color w:val="auto"/>
              </w:rPr>
              <w:t>Second Quarter</w:t>
            </w:r>
          </w:p>
        </w:tc>
        <w:tc>
          <w:tcPr>
            <w:tcW w:w="260" w:type="dxa"/>
            <w:vAlign w:val="bottom"/>
          </w:tcPr>
          <w:p>
            <w:pPr>
              <w:spacing w:after="0"/>
              <w:rPr>
                <w:sz w:val="24"/>
                <w:szCs w:val="24"/>
                <w:color w:val="auto"/>
              </w:rPr>
            </w:pPr>
          </w:p>
        </w:tc>
        <w:tc>
          <w:tcPr>
            <w:tcW w:w="1540" w:type="dxa"/>
            <w:vAlign w:val="bottom"/>
            <w:gridSpan w:val="4"/>
          </w:tcPr>
          <w:p>
            <w:pPr>
              <w:jc w:val="right"/>
              <w:spacing w:after="0"/>
              <w:rPr>
                <w:sz w:val="20"/>
                <w:szCs w:val="20"/>
                <w:color w:val="auto"/>
              </w:rPr>
            </w:pPr>
            <w:r>
              <w:rPr>
                <w:rFonts w:ascii="Arial" w:cs="Arial" w:eastAsia="Arial" w:hAnsi="Arial"/>
                <w:sz w:val="16"/>
                <w:szCs w:val="16"/>
                <w:b w:val="1"/>
                <w:bCs w:val="1"/>
                <w:color w:val="auto"/>
              </w:rPr>
              <w:t>Six Months</w:t>
            </w: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09"/>
        </w:trPr>
        <w:tc>
          <w:tcPr>
            <w:tcW w:w="55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2023</w:t>
            </w:r>
          </w:p>
        </w:tc>
        <w:tc>
          <w:tcPr>
            <w:tcW w:w="28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rPr>
              <w:t>2022</w:t>
            </w:r>
          </w:p>
        </w:tc>
        <w:tc>
          <w:tcPr>
            <w:tcW w:w="3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2023</w:t>
            </w:r>
          </w:p>
        </w:tc>
        <w:tc>
          <w:tcPr>
            <w:tcW w:w="1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rPr>
              <w:t>2022</w:t>
            </w:r>
          </w:p>
        </w:tc>
        <w:tc>
          <w:tcPr>
            <w:tcW w:w="140" w:type="dxa"/>
            <w:vAlign w:val="bottom"/>
          </w:tcPr>
          <w:p>
            <w:pPr>
              <w:spacing w:after="0"/>
              <w:rPr>
                <w:sz w:val="18"/>
                <w:szCs w:val="18"/>
                <w:color w:val="auto"/>
              </w:rPr>
            </w:pPr>
          </w:p>
        </w:tc>
      </w:tr>
      <w:tr>
        <w:trPr>
          <w:trHeight w:val="209"/>
        </w:trPr>
        <w:tc>
          <w:tcPr>
            <w:tcW w:w="558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Net income</w:t>
            </w: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1,047</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970</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1,990</w:t>
            </w:r>
          </w:p>
        </w:tc>
        <w:tc>
          <w:tcPr>
            <w:tcW w:w="18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1,490</w:t>
            </w:r>
          </w:p>
        </w:tc>
        <w:tc>
          <w:tcPr>
            <w:tcW w:w="140" w:type="dxa"/>
            <w:vAlign w:val="bottom"/>
            <w:shd w:val="clear" w:color="auto" w:fill="CFF0FC"/>
          </w:tcPr>
          <w:p>
            <w:pPr>
              <w:spacing w:after="0"/>
              <w:rPr>
                <w:sz w:val="18"/>
                <w:szCs w:val="18"/>
                <w:color w:val="auto"/>
              </w:rPr>
            </w:pPr>
          </w:p>
        </w:tc>
      </w:tr>
      <w:tr>
        <w:trPr>
          <w:trHeight w:val="213"/>
        </w:trPr>
        <w:tc>
          <w:tcPr>
            <w:tcW w:w="5580" w:type="dxa"/>
            <w:vAlign w:val="bottom"/>
          </w:tcPr>
          <w:p>
            <w:pPr>
              <w:ind w:left="20"/>
              <w:spacing w:after="0"/>
              <w:rPr>
                <w:sz w:val="20"/>
                <w:szCs w:val="20"/>
                <w:color w:val="auto"/>
              </w:rPr>
            </w:pPr>
            <w:r>
              <w:rPr>
                <w:rFonts w:ascii="Arial" w:cs="Arial" w:eastAsia="Arial" w:hAnsi="Arial"/>
                <w:sz w:val="16"/>
                <w:szCs w:val="16"/>
                <w:i w:val="1"/>
                <w:iCs w:val="1"/>
                <w:color w:val="auto"/>
              </w:rPr>
              <w:t>Currency translation adjustments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55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Unrealized net change arising during the period</w:t>
            </w: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(43 )</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216</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b w:val="1"/>
                <w:bCs w:val="1"/>
                <w:color w:val="auto"/>
              </w:rPr>
              <w:t>(77 )</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w:t>
            </w:r>
          </w:p>
        </w:tc>
        <w:tc>
          <w:tcPr>
            <w:tcW w:w="140" w:type="dxa"/>
            <w:vAlign w:val="bottom"/>
            <w:shd w:val="clear" w:color="auto" w:fill="CFF0FC"/>
          </w:tcPr>
          <w:p>
            <w:pPr>
              <w:spacing w:after="0"/>
              <w:rPr>
                <w:sz w:val="19"/>
                <w:szCs w:val="19"/>
                <w:color w:val="auto"/>
              </w:rPr>
            </w:pPr>
          </w:p>
        </w:tc>
      </w:tr>
      <w:tr>
        <w:trPr>
          <w:trHeight w:val="213"/>
        </w:trPr>
        <w:tc>
          <w:tcPr>
            <w:tcW w:w="5580" w:type="dxa"/>
            <w:vAlign w:val="bottom"/>
          </w:tcPr>
          <w:p>
            <w:pPr>
              <w:ind w:left="20"/>
              <w:spacing w:after="0"/>
              <w:rPr>
                <w:sz w:val="20"/>
                <w:szCs w:val="20"/>
                <w:color w:val="auto"/>
              </w:rPr>
            </w:pPr>
            <w:r>
              <w:rPr>
                <w:rFonts w:ascii="Arial" w:cs="Arial" w:eastAsia="Arial" w:hAnsi="Arial"/>
                <w:sz w:val="16"/>
                <w:szCs w:val="16"/>
                <w:i w:val="1"/>
                <w:iCs w:val="1"/>
                <w:color w:val="auto"/>
              </w:rPr>
              <w:t>Cash flow hedges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55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Net gain (loss) on cash flow hedges</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105</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(106 )</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72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(97 )</w:t>
            </w:r>
          </w:p>
        </w:tc>
      </w:tr>
      <w:tr>
        <w:trPr>
          <w:trHeight w:val="216"/>
        </w:trPr>
        <w:tc>
          <w:tcPr>
            <w:tcW w:w="5580" w:type="dxa"/>
            <w:vAlign w:val="bottom"/>
          </w:tcPr>
          <w:p>
            <w:pPr>
              <w:ind w:left="200"/>
              <w:spacing w:after="0"/>
              <w:rPr>
                <w:sz w:val="20"/>
                <w:szCs w:val="20"/>
                <w:color w:val="auto"/>
              </w:rPr>
            </w:pPr>
            <w:r>
              <w:rPr>
                <w:rFonts w:ascii="Arial" w:cs="Arial" w:eastAsia="Arial" w:hAnsi="Arial"/>
                <w:sz w:val="16"/>
                <w:szCs w:val="16"/>
                <w:color w:val="auto"/>
              </w:rPr>
              <w:t>Reclassification to net income of net realized (gain) loss</w:t>
            </w:r>
          </w:p>
        </w:tc>
        <w:tc>
          <w:tcPr>
            <w:tcW w:w="2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(9 )</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55</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(14 )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72</w:t>
            </w:r>
          </w:p>
        </w:tc>
        <w:tc>
          <w:tcPr>
            <w:tcW w:w="140" w:type="dxa"/>
            <w:vAlign w:val="bottom"/>
          </w:tcPr>
          <w:p>
            <w:pPr>
              <w:spacing w:after="0"/>
              <w:rPr>
                <w:sz w:val="18"/>
                <w:szCs w:val="18"/>
                <w:color w:val="auto"/>
              </w:rPr>
            </w:pPr>
          </w:p>
        </w:tc>
      </w:tr>
      <w:tr>
        <w:trPr>
          <w:trHeight w:val="216"/>
        </w:trPr>
        <w:tc>
          <w:tcPr>
            <w:tcW w:w="558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Pension and other postretirement benefit plans</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6"/>
        </w:trPr>
        <w:tc>
          <w:tcPr>
            <w:tcW w:w="5580" w:type="dxa"/>
            <w:vAlign w:val="bottom"/>
          </w:tcPr>
          <w:p>
            <w:pPr>
              <w:ind w:left="200"/>
              <w:spacing w:after="0"/>
              <w:rPr>
                <w:sz w:val="20"/>
                <w:szCs w:val="20"/>
                <w:color w:val="auto"/>
              </w:rPr>
            </w:pPr>
            <w:r>
              <w:rPr>
                <w:rFonts w:ascii="Arial" w:cs="Arial" w:eastAsia="Arial" w:hAnsi="Arial"/>
                <w:sz w:val="16"/>
                <w:szCs w:val="16"/>
                <w:color w:val="auto"/>
              </w:rPr>
              <w:t>Amortization to net income of net actuarial loss</w:t>
            </w:r>
          </w:p>
        </w:tc>
        <w:tc>
          <w:tcPr>
            <w:tcW w:w="2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(2 )</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(4 )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w:t>
            </w:r>
          </w:p>
        </w:tc>
        <w:tc>
          <w:tcPr>
            <w:tcW w:w="140" w:type="dxa"/>
            <w:vAlign w:val="bottom"/>
          </w:tcPr>
          <w:p>
            <w:pPr>
              <w:spacing w:after="0"/>
              <w:rPr>
                <w:sz w:val="18"/>
                <w:szCs w:val="18"/>
                <w:color w:val="auto"/>
              </w:rPr>
            </w:pPr>
          </w:p>
        </w:tc>
      </w:tr>
      <w:tr>
        <w:trPr>
          <w:trHeight w:val="216"/>
        </w:trPr>
        <w:tc>
          <w:tcPr>
            <w:tcW w:w="55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Amortization to net income of net prior service credit</w:t>
            </w:r>
          </w:p>
        </w:tc>
        <w:tc>
          <w:tcPr>
            <w:tcW w:w="2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(6 )</w:t>
            </w: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(6 )</w:t>
            </w:r>
          </w:p>
        </w:tc>
        <w:tc>
          <w:tcPr>
            <w:tcW w:w="2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b w:val="1"/>
                <w:bCs w:val="1"/>
                <w:color w:val="auto"/>
              </w:rPr>
              <w:t>(11 )</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(11 )</w:t>
            </w:r>
          </w:p>
        </w:tc>
      </w:tr>
      <w:tr>
        <w:trPr>
          <w:trHeight w:val="216"/>
        </w:trPr>
        <w:tc>
          <w:tcPr>
            <w:tcW w:w="5580" w:type="dxa"/>
            <w:vAlign w:val="bottom"/>
          </w:tcPr>
          <w:p>
            <w:pPr>
              <w:ind w:left="200"/>
              <w:spacing w:after="0"/>
              <w:rPr>
                <w:sz w:val="20"/>
                <w:szCs w:val="20"/>
                <w:color w:val="auto"/>
              </w:rPr>
            </w:pPr>
            <w:r>
              <w:rPr>
                <w:rFonts w:ascii="Arial" w:cs="Arial" w:eastAsia="Arial" w:hAnsi="Arial"/>
                <w:sz w:val="16"/>
                <w:szCs w:val="16"/>
                <w:color w:val="auto"/>
              </w:rPr>
              <w:t>Income taxes on pension and other postretirement benefit plans</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w:t>
            </w: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3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40" w:type="dxa"/>
            <w:vAlign w:val="bottom"/>
          </w:tcPr>
          <w:p>
            <w:pPr>
              <w:spacing w:after="0"/>
              <w:rPr>
                <w:sz w:val="18"/>
                <w:szCs w:val="18"/>
                <w:color w:val="auto"/>
              </w:rPr>
            </w:pPr>
          </w:p>
        </w:tc>
      </w:tr>
      <w:tr>
        <w:trPr>
          <w:trHeight w:val="209"/>
        </w:trPr>
        <w:tc>
          <w:tcPr>
            <w:tcW w:w="558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Comprehensive income</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1,094</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1,145</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1,959</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1,596</w:t>
            </w:r>
          </w:p>
        </w:tc>
        <w:tc>
          <w:tcPr>
            <w:tcW w:w="140" w:type="dxa"/>
            <w:vAlign w:val="bottom"/>
            <w:shd w:val="clear" w:color="auto" w:fill="CFF0FC"/>
          </w:tcPr>
          <w:p>
            <w:pPr>
              <w:spacing w:after="0"/>
              <w:rPr>
                <w:sz w:val="18"/>
                <w:szCs w:val="18"/>
                <w:color w:val="auto"/>
              </w:rPr>
            </w:pPr>
          </w:p>
        </w:tc>
      </w:tr>
      <w:tr>
        <w:trPr>
          <w:trHeight w:val="216"/>
        </w:trPr>
        <w:tc>
          <w:tcPr>
            <w:tcW w:w="5580" w:type="dxa"/>
            <w:vAlign w:val="bottom"/>
          </w:tcPr>
          <w:p>
            <w:pPr>
              <w:ind w:left="200"/>
              <w:spacing w:after="0"/>
              <w:rPr>
                <w:sz w:val="20"/>
                <w:szCs w:val="20"/>
                <w:color w:val="auto"/>
              </w:rPr>
            </w:pPr>
            <w:r>
              <w:rPr>
                <w:rFonts w:ascii="Arial" w:cs="Arial" w:eastAsia="Arial" w:hAnsi="Arial"/>
                <w:sz w:val="16"/>
                <w:szCs w:val="16"/>
                <w:color w:val="auto"/>
              </w:rPr>
              <w:t>Comprehensive income attributable to noncontrolling interests</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w:t>
            </w: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3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40" w:type="dxa"/>
            <w:vAlign w:val="bottom"/>
          </w:tcPr>
          <w:p>
            <w:pPr>
              <w:spacing w:after="0"/>
              <w:rPr>
                <w:sz w:val="18"/>
                <w:szCs w:val="18"/>
                <w:color w:val="auto"/>
              </w:rPr>
            </w:pPr>
          </w:p>
        </w:tc>
      </w:tr>
      <w:tr>
        <w:trPr>
          <w:trHeight w:val="249"/>
        </w:trPr>
        <w:tc>
          <w:tcPr>
            <w:tcW w:w="5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i w:val="1"/>
                <w:iCs w:val="1"/>
                <w:color w:val="auto"/>
              </w:rPr>
              <w:t>Comprehensive income attributable to SLB</w:t>
            </w:r>
          </w:p>
        </w:tc>
        <w:tc>
          <w:tcPr>
            <w:tcW w:w="240" w:type="dxa"/>
            <w:vAlign w:val="bottom"/>
            <w:tcBorders>
              <w:bottom w:val="single" w:sz="8" w:color="auto"/>
            </w:tcBorders>
            <w:shd w:val="clear" w:color="auto" w:fill="CFF0FC"/>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1,080</w:t>
            </w:r>
          </w:p>
        </w:tc>
        <w:tc>
          <w:tcPr>
            <w:tcW w:w="2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1,134</w:t>
            </w:r>
          </w:p>
        </w:tc>
        <w:tc>
          <w:tcPr>
            <w:tcW w:w="3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1,936</w:t>
            </w:r>
          </w:p>
        </w:tc>
        <w:tc>
          <w:tcPr>
            <w:tcW w:w="1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1,575</w:t>
            </w:r>
          </w:p>
        </w:tc>
        <w:tc>
          <w:tcPr>
            <w:tcW w:w="14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-25400</wp:posOffset>
            </wp:positionV>
            <wp:extent cx="857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-8255</wp:posOffset>
            </wp:positionV>
            <wp:extent cx="857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-25400</wp:posOffset>
            </wp:positionV>
            <wp:extent cx="857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-8255</wp:posOffset>
            </wp:positionV>
            <wp:extent cx="857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-25400</wp:posOffset>
            </wp:positionV>
            <wp:extent cx="857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-8255</wp:posOffset>
            </wp:positionV>
            <wp:extent cx="857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-25400</wp:posOffset>
            </wp:positionV>
            <wp:extent cx="857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-8255</wp:posOffset>
            </wp:positionV>
            <wp:extent cx="8572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center"/>
        <w:ind w:right="40"/>
        <w:spacing w:after="0"/>
        <w:rPr>
          <w:sz w:val="20"/>
          <w:szCs w:val="20"/>
          <w:color w:val="auto"/>
        </w:rPr>
      </w:pPr>
      <w:r>
        <w:rPr>
          <w:rFonts w:ascii="Arial" w:cs="Arial" w:eastAsia="Arial" w:hAnsi="Arial"/>
          <w:sz w:val="16"/>
          <w:szCs w:val="16"/>
          <w:b w:val="1"/>
          <w:bCs w:val="1"/>
          <w:u w:val="single" w:color="auto"/>
          <w:color w:val="auto"/>
        </w:rPr>
        <w:t>SCHLUMBERGER LIMITED AND SUBSIDIARIES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CONSOLIDATED BALANCE SHEET</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i w:val="1"/>
                <w:iCs w:val="1"/>
                <w:color w:val="auto"/>
              </w:rPr>
              <w:t>(Stated in millions)</w:t>
            </w:r>
          </w:p>
        </w:tc>
      </w:tr>
      <w:tr>
        <w:trPr>
          <w:trHeight w:val="426"/>
        </w:trPr>
        <w:tc>
          <w:tcPr>
            <w:tcW w:w="7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gridSpan w:val="2"/>
          </w:tcPr>
          <w:p>
            <w:pPr>
              <w:jc w:val="center"/>
              <w:ind w:right="580"/>
              <w:spacing w:after="0"/>
              <w:rPr>
                <w:sz w:val="20"/>
                <w:szCs w:val="20"/>
                <w:color w:val="auto"/>
              </w:rPr>
            </w:pPr>
            <w:r>
              <w:rPr>
                <w:rFonts w:ascii="Arial" w:cs="Arial" w:eastAsia="Arial" w:hAnsi="Arial"/>
                <w:sz w:val="16"/>
                <w:szCs w:val="16"/>
                <w:b w:val="1"/>
                <w:bCs w:val="1"/>
                <w:color w:val="auto"/>
              </w:rPr>
              <w:t>Jun. 30,</w:t>
            </w: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7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center"/>
              <w:ind w:right="119"/>
              <w:spacing w:after="0"/>
              <w:rPr>
                <w:sz w:val="20"/>
                <w:szCs w:val="20"/>
                <w:color w:val="auto"/>
              </w:rPr>
            </w:pPr>
            <w:r>
              <w:rPr>
                <w:rFonts w:ascii="Arial" w:cs="Arial" w:eastAsia="Arial" w:hAnsi="Arial"/>
                <w:sz w:val="16"/>
                <w:szCs w:val="16"/>
                <w:b w:val="1"/>
                <w:bCs w:val="1"/>
                <w:color w:val="auto"/>
              </w:rPr>
              <w:t>2023</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right"/>
              <w:ind w:right="640"/>
              <w:spacing w:after="0"/>
              <w:rPr>
                <w:sz w:val="20"/>
                <w:szCs w:val="20"/>
                <w:color w:val="auto"/>
              </w:rPr>
            </w:pPr>
            <w:r>
              <w:rPr>
                <w:rFonts w:ascii="Arial" w:cs="Arial" w:eastAsia="Arial" w:hAnsi="Arial"/>
                <w:sz w:val="16"/>
                <w:szCs w:val="16"/>
                <w:color w:val="auto"/>
              </w:rPr>
              <w:t>Dec. 31,</w:t>
            </w:r>
          </w:p>
        </w:tc>
      </w:tr>
      <w:tr>
        <w:trPr>
          <w:trHeight w:val="221"/>
        </w:trPr>
        <w:tc>
          <w:tcPr>
            <w:tcW w:w="7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gridSpan w:val="2"/>
          </w:tcPr>
          <w:p>
            <w:pPr>
              <w:jc w:val="center"/>
              <w:ind w:right="580"/>
              <w:spacing w:after="0"/>
              <w:rPr>
                <w:sz w:val="20"/>
                <w:szCs w:val="20"/>
                <w:color w:val="auto"/>
              </w:rPr>
            </w:pPr>
            <w:r>
              <w:rPr>
                <w:rFonts w:ascii="Arial" w:cs="Arial" w:eastAsia="Arial" w:hAnsi="Arial"/>
                <w:sz w:val="16"/>
                <w:szCs w:val="16"/>
                <w:b w:val="1"/>
                <w:bCs w:val="1"/>
                <w:color w:val="auto"/>
              </w:rPr>
              <w:t>(Unaudited)</w:t>
            </w:r>
          </w:p>
        </w:tc>
        <w:tc>
          <w:tcPr>
            <w:tcW w:w="260" w:type="dxa"/>
            <w:vAlign w:val="bottom"/>
          </w:tcPr>
          <w:p>
            <w:pPr>
              <w:spacing w:after="0"/>
              <w:rPr>
                <w:sz w:val="19"/>
                <w:szCs w:val="19"/>
                <w:color w:val="auto"/>
              </w:rPr>
            </w:pPr>
          </w:p>
        </w:tc>
        <w:tc>
          <w:tcPr>
            <w:tcW w:w="1340" w:type="dxa"/>
            <w:vAlign w:val="bottom"/>
          </w:tcPr>
          <w:p>
            <w:pPr>
              <w:jc w:val="right"/>
              <w:ind w:right="539"/>
              <w:spacing w:after="0"/>
              <w:rPr>
                <w:sz w:val="20"/>
                <w:szCs w:val="20"/>
                <w:color w:val="auto"/>
              </w:rPr>
            </w:pPr>
            <w:r>
              <w:rPr>
                <w:rFonts w:ascii="Arial" w:cs="Arial" w:eastAsia="Arial" w:hAnsi="Arial"/>
                <w:sz w:val="16"/>
                <w:szCs w:val="16"/>
                <w:color w:val="auto"/>
              </w:rPr>
              <w:t>2022</w:t>
            </w:r>
          </w:p>
        </w:tc>
        <w:tc>
          <w:tcPr>
            <w:tcW w:w="140" w:type="dxa"/>
            <w:vAlign w:val="bottom"/>
          </w:tcPr>
          <w:p>
            <w:pPr>
              <w:spacing w:after="0"/>
              <w:rPr>
                <w:sz w:val="19"/>
                <w:szCs w:val="19"/>
                <w:color w:val="auto"/>
              </w:rPr>
            </w:pPr>
          </w:p>
        </w:tc>
      </w:tr>
      <w:tr>
        <w:trPr>
          <w:trHeight w:val="230"/>
        </w:trPr>
        <w:tc>
          <w:tcPr>
            <w:tcW w:w="7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i w:val="1"/>
                <w:iCs w:val="1"/>
                <w:color w:val="auto"/>
              </w:rPr>
              <w:t>ASSETS</w:t>
            </w:r>
          </w:p>
        </w:tc>
        <w:tc>
          <w:tcPr>
            <w:tcW w:w="220" w:type="dxa"/>
            <w:vAlign w:val="bottom"/>
            <w:tcBorders>
              <w:top w:val="single" w:sz="8" w:color="auto"/>
              <w:bottom w:val="single" w:sz="8" w:color="CFF0FC"/>
            </w:tcBorders>
            <w:shd w:val="clear" w:color="auto" w:fill="CFF0FC"/>
          </w:tcPr>
          <w:p>
            <w:pPr>
              <w:spacing w:after="0"/>
              <w:rPr>
                <w:sz w:val="20"/>
                <w:szCs w:val="20"/>
                <w:color w:val="auto"/>
              </w:rPr>
            </w:pPr>
          </w:p>
        </w:tc>
        <w:tc>
          <w:tcPr>
            <w:tcW w:w="1360" w:type="dxa"/>
            <w:vAlign w:val="bottom"/>
            <w:tcBorders>
              <w:top w:val="single" w:sz="8" w:color="auto"/>
              <w:bottom w:val="single" w:sz="8" w:color="CFF0FC"/>
            </w:tcBorders>
            <w:shd w:val="clear" w:color="auto" w:fill="CFF0FC"/>
          </w:tcPr>
          <w:p>
            <w:pPr>
              <w:spacing w:after="0"/>
              <w:rPr>
                <w:sz w:val="20"/>
                <w:szCs w:val="20"/>
                <w:color w:val="auto"/>
              </w:rPr>
            </w:pPr>
          </w:p>
        </w:tc>
        <w:tc>
          <w:tcPr>
            <w:tcW w:w="3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CFF0FC"/>
            </w:tcBorders>
            <w:shd w:val="clear" w:color="auto" w:fill="CFF0FC"/>
          </w:tcPr>
          <w:p>
            <w:pPr>
              <w:spacing w:after="0"/>
              <w:rPr>
                <w:sz w:val="20"/>
                <w:szCs w:val="20"/>
                <w:color w:val="auto"/>
              </w:rPr>
            </w:pPr>
          </w:p>
        </w:tc>
        <w:tc>
          <w:tcPr>
            <w:tcW w:w="1340" w:type="dxa"/>
            <w:vAlign w:val="bottom"/>
            <w:tcBorders>
              <w:top w:val="single" w:sz="8" w:color="auto"/>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r>
      <w:tr>
        <w:trPr>
          <w:trHeight w:val="213"/>
        </w:trPr>
        <w:tc>
          <w:tcPr>
            <w:tcW w:w="7560" w:type="dxa"/>
            <w:vAlign w:val="bottom"/>
          </w:tcPr>
          <w:p>
            <w:pPr>
              <w:ind w:left="20"/>
              <w:spacing w:after="0"/>
              <w:rPr>
                <w:sz w:val="20"/>
                <w:szCs w:val="20"/>
                <w:color w:val="auto"/>
              </w:rPr>
            </w:pPr>
            <w:r>
              <w:rPr>
                <w:rFonts w:ascii="Arial" w:cs="Arial" w:eastAsia="Arial" w:hAnsi="Arial"/>
                <w:sz w:val="16"/>
                <w:szCs w:val="16"/>
                <w:i w:val="1"/>
                <w:iCs w:val="1"/>
                <w:color w:val="auto"/>
              </w:rPr>
              <w:t>Current Assets</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75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Cash</w:t>
            </w: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1,930</w:t>
            </w:r>
          </w:p>
        </w:tc>
        <w:tc>
          <w:tcPr>
            <w:tcW w:w="3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1,655</w:t>
            </w:r>
          </w:p>
        </w:tc>
        <w:tc>
          <w:tcPr>
            <w:tcW w:w="140" w:type="dxa"/>
            <w:vAlign w:val="bottom"/>
            <w:shd w:val="clear" w:color="auto" w:fill="CFF0FC"/>
          </w:tcPr>
          <w:p>
            <w:pPr>
              <w:spacing w:after="0"/>
              <w:rPr>
                <w:sz w:val="19"/>
                <w:szCs w:val="19"/>
                <w:color w:val="auto"/>
              </w:rPr>
            </w:pPr>
          </w:p>
        </w:tc>
      </w:tr>
      <w:tr>
        <w:trPr>
          <w:trHeight w:val="216"/>
        </w:trPr>
        <w:tc>
          <w:tcPr>
            <w:tcW w:w="7560" w:type="dxa"/>
            <w:vAlign w:val="bottom"/>
          </w:tcPr>
          <w:p>
            <w:pPr>
              <w:ind w:left="200"/>
              <w:spacing w:after="0"/>
              <w:rPr>
                <w:sz w:val="20"/>
                <w:szCs w:val="20"/>
                <w:color w:val="auto"/>
              </w:rPr>
            </w:pPr>
            <w:r>
              <w:rPr>
                <w:rFonts w:ascii="Arial" w:cs="Arial" w:eastAsia="Arial" w:hAnsi="Arial"/>
                <w:sz w:val="16"/>
                <w:szCs w:val="16"/>
                <w:color w:val="auto"/>
              </w:rPr>
              <w:t>Short-term investments</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1,264</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1,239</w:t>
            </w:r>
          </w:p>
        </w:tc>
        <w:tc>
          <w:tcPr>
            <w:tcW w:w="140" w:type="dxa"/>
            <w:vAlign w:val="bottom"/>
          </w:tcPr>
          <w:p>
            <w:pPr>
              <w:spacing w:after="0"/>
              <w:rPr>
                <w:sz w:val="18"/>
                <w:szCs w:val="18"/>
                <w:color w:val="auto"/>
              </w:rPr>
            </w:pPr>
          </w:p>
        </w:tc>
      </w:tr>
      <w:tr>
        <w:trPr>
          <w:trHeight w:val="216"/>
        </w:trPr>
        <w:tc>
          <w:tcPr>
            <w:tcW w:w="75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Receivables less allowance for doubtful accounts (2023 - $339; 2022 - $340)</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7,675</w:t>
            </w: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7,032</w:t>
            </w:r>
          </w:p>
        </w:tc>
        <w:tc>
          <w:tcPr>
            <w:tcW w:w="140" w:type="dxa"/>
            <w:vAlign w:val="bottom"/>
            <w:shd w:val="clear" w:color="auto" w:fill="CFF0FC"/>
          </w:tcPr>
          <w:p>
            <w:pPr>
              <w:spacing w:after="0"/>
              <w:rPr>
                <w:sz w:val="18"/>
                <w:szCs w:val="18"/>
                <w:color w:val="auto"/>
              </w:rPr>
            </w:pPr>
          </w:p>
        </w:tc>
      </w:tr>
      <w:tr>
        <w:trPr>
          <w:trHeight w:val="216"/>
        </w:trPr>
        <w:tc>
          <w:tcPr>
            <w:tcW w:w="7560" w:type="dxa"/>
            <w:vAlign w:val="bottom"/>
          </w:tcPr>
          <w:p>
            <w:pPr>
              <w:ind w:left="200"/>
              <w:spacing w:after="0"/>
              <w:rPr>
                <w:sz w:val="20"/>
                <w:szCs w:val="20"/>
                <w:color w:val="auto"/>
              </w:rPr>
            </w:pPr>
            <w:r>
              <w:rPr>
                <w:rFonts w:ascii="Arial" w:cs="Arial" w:eastAsia="Arial" w:hAnsi="Arial"/>
                <w:sz w:val="16"/>
                <w:szCs w:val="16"/>
                <w:color w:val="auto"/>
              </w:rPr>
              <w:t>Inventories</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4,360</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3,999</w:t>
            </w:r>
          </w:p>
        </w:tc>
        <w:tc>
          <w:tcPr>
            <w:tcW w:w="140" w:type="dxa"/>
            <w:vAlign w:val="bottom"/>
          </w:tcPr>
          <w:p>
            <w:pPr>
              <w:spacing w:after="0"/>
              <w:rPr>
                <w:sz w:val="18"/>
                <w:szCs w:val="18"/>
                <w:color w:val="auto"/>
              </w:rPr>
            </w:pPr>
          </w:p>
        </w:tc>
      </w:tr>
      <w:tr>
        <w:trPr>
          <w:trHeight w:val="216"/>
        </w:trPr>
        <w:tc>
          <w:tcPr>
            <w:tcW w:w="75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Other current assets</w:t>
            </w:r>
          </w:p>
        </w:tc>
        <w:tc>
          <w:tcPr>
            <w:tcW w:w="2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925</w:t>
            </w:r>
          </w:p>
        </w:tc>
        <w:tc>
          <w:tcPr>
            <w:tcW w:w="3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1,078</w:t>
            </w:r>
          </w:p>
        </w:tc>
        <w:tc>
          <w:tcPr>
            <w:tcW w:w="140" w:type="dxa"/>
            <w:vAlign w:val="bottom"/>
            <w:tcBorders>
              <w:bottom w:val="single" w:sz="8" w:color="CFF0FC"/>
            </w:tcBorders>
            <w:shd w:val="clear" w:color="auto" w:fill="CFF0FC"/>
          </w:tcPr>
          <w:p>
            <w:pPr>
              <w:spacing w:after="0"/>
              <w:rPr>
                <w:sz w:val="18"/>
                <w:szCs w:val="18"/>
                <w:color w:val="auto"/>
              </w:rPr>
            </w:pPr>
          </w:p>
        </w:tc>
      </w:tr>
      <w:tr>
        <w:trPr>
          <w:trHeight w:val="210"/>
        </w:trPr>
        <w:tc>
          <w:tcPr>
            <w:tcW w:w="7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16,154</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15,003</w:t>
            </w:r>
          </w:p>
        </w:tc>
        <w:tc>
          <w:tcPr>
            <w:tcW w:w="140" w:type="dxa"/>
            <w:vAlign w:val="bottom"/>
          </w:tcPr>
          <w:p>
            <w:pPr>
              <w:spacing w:after="0"/>
              <w:rPr>
                <w:sz w:val="18"/>
                <w:szCs w:val="18"/>
                <w:color w:val="auto"/>
              </w:rPr>
            </w:pPr>
          </w:p>
        </w:tc>
      </w:tr>
      <w:tr>
        <w:trPr>
          <w:trHeight w:val="216"/>
        </w:trPr>
        <w:tc>
          <w:tcPr>
            <w:tcW w:w="756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Investments in Affiliated Companies</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1,601</w:t>
            </w: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1,581</w:t>
            </w:r>
          </w:p>
        </w:tc>
        <w:tc>
          <w:tcPr>
            <w:tcW w:w="140" w:type="dxa"/>
            <w:vAlign w:val="bottom"/>
            <w:shd w:val="clear" w:color="auto" w:fill="CFF0FC"/>
          </w:tcPr>
          <w:p>
            <w:pPr>
              <w:spacing w:after="0"/>
              <w:rPr>
                <w:sz w:val="18"/>
                <w:szCs w:val="18"/>
                <w:color w:val="auto"/>
              </w:rPr>
            </w:pPr>
          </w:p>
        </w:tc>
      </w:tr>
      <w:tr>
        <w:trPr>
          <w:trHeight w:val="216"/>
        </w:trPr>
        <w:tc>
          <w:tcPr>
            <w:tcW w:w="7560" w:type="dxa"/>
            <w:vAlign w:val="bottom"/>
          </w:tcPr>
          <w:p>
            <w:pPr>
              <w:ind w:left="20"/>
              <w:spacing w:after="0"/>
              <w:rPr>
                <w:sz w:val="20"/>
                <w:szCs w:val="20"/>
                <w:color w:val="auto"/>
              </w:rPr>
            </w:pPr>
            <w:r>
              <w:rPr>
                <w:rFonts w:ascii="Arial" w:cs="Arial" w:eastAsia="Arial" w:hAnsi="Arial"/>
                <w:sz w:val="16"/>
                <w:szCs w:val="16"/>
                <w:i w:val="1"/>
                <w:iCs w:val="1"/>
                <w:color w:val="auto"/>
              </w:rPr>
              <w:t>Fixed Assets less accumulated depreciation</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6,804</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6,607</w:t>
            </w:r>
          </w:p>
        </w:tc>
        <w:tc>
          <w:tcPr>
            <w:tcW w:w="140" w:type="dxa"/>
            <w:vAlign w:val="bottom"/>
          </w:tcPr>
          <w:p>
            <w:pPr>
              <w:spacing w:after="0"/>
              <w:rPr>
                <w:sz w:val="18"/>
                <w:szCs w:val="18"/>
                <w:color w:val="auto"/>
              </w:rPr>
            </w:pPr>
          </w:p>
        </w:tc>
      </w:tr>
      <w:tr>
        <w:trPr>
          <w:trHeight w:val="216"/>
        </w:trPr>
        <w:tc>
          <w:tcPr>
            <w:tcW w:w="756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Goodwill</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13,117</w:t>
            </w: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12,982</w:t>
            </w:r>
          </w:p>
        </w:tc>
        <w:tc>
          <w:tcPr>
            <w:tcW w:w="140" w:type="dxa"/>
            <w:vAlign w:val="bottom"/>
            <w:shd w:val="clear" w:color="auto" w:fill="CFF0FC"/>
          </w:tcPr>
          <w:p>
            <w:pPr>
              <w:spacing w:after="0"/>
              <w:rPr>
                <w:sz w:val="18"/>
                <w:szCs w:val="18"/>
                <w:color w:val="auto"/>
              </w:rPr>
            </w:pPr>
          </w:p>
        </w:tc>
      </w:tr>
      <w:tr>
        <w:trPr>
          <w:trHeight w:val="216"/>
        </w:trPr>
        <w:tc>
          <w:tcPr>
            <w:tcW w:w="7560" w:type="dxa"/>
            <w:vAlign w:val="bottom"/>
          </w:tcPr>
          <w:p>
            <w:pPr>
              <w:ind w:left="20"/>
              <w:spacing w:after="0"/>
              <w:rPr>
                <w:sz w:val="20"/>
                <w:szCs w:val="20"/>
                <w:color w:val="auto"/>
              </w:rPr>
            </w:pPr>
            <w:r>
              <w:rPr>
                <w:rFonts w:ascii="Arial" w:cs="Arial" w:eastAsia="Arial" w:hAnsi="Arial"/>
                <w:sz w:val="16"/>
                <w:szCs w:val="16"/>
                <w:i w:val="1"/>
                <w:iCs w:val="1"/>
                <w:color w:val="auto"/>
              </w:rPr>
              <w:t>Intangible Assets</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2,968</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2,992</w:t>
            </w:r>
          </w:p>
        </w:tc>
        <w:tc>
          <w:tcPr>
            <w:tcW w:w="140" w:type="dxa"/>
            <w:vAlign w:val="bottom"/>
          </w:tcPr>
          <w:p>
            <w:pPr>
              <w:spacing w:after="0"/>
              <w:rPr>
                <w:sz w:val="18"/>
                <w:szCs w:val="18"/>
                <w:color w:val="auto"/>
              </w:rPr>
            </w:pPr>
          </w:p>
        </w:tc>
      </w:tr>
      <w:tr>
        <w:trPr>
          <w:trHeight w:val="216"/>
        </w:trPr>
        <w:tc>
          <w:tcPr>
            <w:tcW w:w="7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i w:val="1"/>
                <w:iCs w:val="1"/>
                <w:color w:val="auto"/>
              </w:rPr>
              <w:t>Other Assets</w:t>
            </w:r>
          </w:p>
        </w:tc>
        <w:tc>
          <w:tcPr>
            <w:tcW w:w="2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4,182</w:t>
            </w:r>
          </w:p>
        </w:tc>
        <w:tc>
          <w:tcPr>
            <w:tcW w:w="3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3,970</w:t>
            </w:r>
          </w:p>
        </w:tc>
        <w:tc>
          <w:tcPr>
            <w:tcW w:w="140" w:type="dxa"/>
            <w:vAlign w:val="bottom"/>
            <w:tcBorders>
              <w:bottom w:val="single" w:sz="8" w:color="CFF0FC"/>
            </w:tcBorders>
            <w:shd w:val="clear" w:color="auto" w:fill="CFF0FC"/>
          </w:tcPr>
          <w:p>
            <w:pPr>
              <w:spacing w:after="0"/>
              <w:rPr>
                <w:sz w:val="18"/>
                <w:szCs w:val="18"/>
                <w:color w:val="auto"/>
              </w:rPr>
            </w:pPr>
          </w:p>
        </w:tc>
      </w:tr>
      <w:tr>
        <w:trPr>
          <w:trHeight w:val="209"/>
        </w:trPr>
        <w:tc>
          <w:tcPr>
            <w:tcW w:w="756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44,826</w:t>
            </w:r>
          </w:p>
        </w:tc>
        <w:tc>
          <w:tcPr>
            <w:tcW w:w="36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43,135</w:t>
            </w:r>
          </w:p>
        </w:tc>
        <w:tc>
          <w:tcPr>
            <w:tcW w:w="140" w:type="dxa"/>
            <w:vAlign w:val="bottom"/>
          </w:tcPr>
          <w:p>
            <w:pPr>
              <w:spacing w:after="0"/>
              <w:rPr>
                <w:sz w:val="18"/>
                <w:szCs w:val="18"/>
                <w:color w:val="auto"/>
              </w:rPr>
            </w:pPr>
          </w:p>
        </w:tc>
      </w:tr>
      <w:tr>
        <w:trPr>
          <w:trHeight w:val="20"/>
        </w:trPr>
        <w:tc>
          <w:tcPr>
            <w:tcW w:w="7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7"/>
        </w:trPr>
        <w:tc>
          <w:tcPr>
            <w:tcW w:w="7560" w:type="dxa"/>
            <w:vAlign w:val="bottom"/>
            <w:shd w:val="clear" w:color="auto" w:fill="CFF0FC"/>
          </w:tcPr>
          <w:p>
            <w:pPr>
              <w:ind w:left="20"/>
              <w:spacing w:after="0"/>
              <w:rPr>
                <w:sz w:val="20"/>
                <w:szCs w:val="20"/>
                <w:color w:val="auto"/>
              </w:rPr>
            </w:pPr>
            <w:r>
              <w:rPr>
                <w:rFonts w:ascii="Arial" w:cs="Arial" w:eastAsia="Arial" w:hAnsi="Arial"/>
                <w:sz w:val="16"/>
                <w:szCs w:val="16"/>
                <w:b w:val="1"/>
                <w:bCs w:val="1"/>
                <w:i w:val="1"/>
                <w:iCs w:val="1"/>
                <w:color w:val="auto"/>
              </w:rPr>
              <w:t>LIABILITIES AND EQUITY</w:t>
            </w: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13"/>
        </w:trPr>
        <w:tc>
          <w:tcPr>
            <w:tcW w:w="7560" w:type="dxa"/>
            <w:vAlign w:val="bottom"/>
          </w:tcPr>
          <w:p>
            <w:pPr>
              <w:ind w:left="20"/>
              <w:spacing w:after="0"/>
              <w:rPr>
                <w:sz w:val="20"/>
                <w:szCs w:val="20"/>
                <w:color w:val="auto"/>
              </w:rPr>
            </w:pPr>
            <w:r>
              <w:rPr>
                <w:rFonts w:ascii="Arial" w:cs="Arial" w:eastAsia="Arial" w:hAnsi="Arial"/>
                <w:sz w:val="16"/>
                <w:szCs w:val="16"/>
                <w:i w:val="1"/>
                <w:iCs w:val="1"/>
                <w:color w:val="auto"/>
              </w:rPr>
              <w:t>Current Liabilities</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75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Accounts payable and accrued liabilities</w:t>
            </w: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8,938</w:t>
            </w:r>
          </w:p>
        </w:tc>
        <w:tc>
          <w:tcPr>
            <w:tcW w:w="3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9,121</w:t>
            </w:r>
          </w:p>
        </w:tc>
        <w:tc>
          <w:tcPr>
            <w:tcW w:w="140" w:type="dxa"/>
            <w:vAlign w:val="bottom"/>
            <w:shd w:val="clear" w:color="auto" w:fill="CFF0FC"/>
          </w:tcPr>
          <w:p>
            <w:pPr>
              <w:spacing w:after="0"/>
              <w:rPr>
                <w:sz w:val="19"/>
                <w:szCs w:val="19"/>
                <w:color w:val="auto"/>
              </w:rPr>
            </w:pPr>
          </w:p>
        </w:tc>
      </w:tr>
      <w:tr>
        <w:trPr>
          <w:trHeight w:val="216"/>
        </w:trPr>
        <w:tc>
          <w:tcPr>
            <w:tcW w:w="7560" w:type="dxa"/>
            <w:vAlign w:val="bottom"/>
          </w:tcPr>
          <w:p>
            <w:pPr>
              <w:ind w:left="200"/>
              <w:spacing w:after="0"/>
              <w:rPr>
                <w:sz w:val="20"/>
                <w:szCs w:val="20"/>
                <w:color w:val="auto"/>
              </w:rPr>
            </w:pPr>
            <w:r>
              <w:rPr>
                <w:rFonts w:ascii="Arial" w:cs="Arial" w:eastAsia="Arial" w:hAnsi="Arial"/>
                <w:sz w:val="16"/>
                <w:szCs w:val="16"/>
                <w:color w:val="auto"/>
              </w:rPr>
              <w:t>Estimated liability for taxes on income</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859</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1,002</w:t>
            </w:r>
          </w:p>
        </w:tc>
        <w:tc>
          <w:tcPr>
            <w:tcW w:w="140" w:type="dxa"/>
            <w:vAlign w:val="bottom"/>
          </w:tcPr>
          <w:p>
            <w:pPr>
              <w:spacing w:after="0"/>
              <w:rPr>
                <w:sz w:val="18"/>
                <w:szCs w:val="18"/>
                <w:color w:val="auto"/>
              </w:rPr>
            </w:pPr>
          </w:p>
        </w:tc>
      </w:tr>
      <w:tr>
        <w:trPr>
          <w:trHeight w:val="216"/>
        </w:trPr>
        <w:tc>
          <w:tcPr>
            <w:tcW w:w="75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Short-term borrowings and current portion of long-term debt</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1,993</w:t>
            </w: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1,632</w:t>
            </w:r>
          </w:p>
        </w:tc>
        <w:tc>
          <w:tcPr>
            <w:tcW w:w="140" w:type="dxa"/>
            <w:vAlign w:val="bottom"/>
            <w:shd w:val="clear" w:color="auto" w:fill="CFF0FC"/>
          </w:tcPr>
          <w:p>
            <w:pPr>
              <w:spacing w:after="0"/>
              <w:rPr>
                <w:sz w:val="18"/>
                <w:szCs w:val="18"/>
                <w:color w:val="auto"/>
              </w:rPr>
            </w:pPr>
          </w:p>
        </w:tc>
      </w:tr>
      <w:tr>
        <w:trPr>
          <w:trHeight w:val="216"/>
        </w:trPr>
        <w:tc>
          <w:tcPr>
            <w:tcW w:w="7560" w:type="dxa"/>
            <w:vAlign w:val="bottom"/>
          </w:tcPr>
          <w:p>
            <w:pPr>
              <w:ind w:left="200"/>
              <w:spacing w:after="0"/>
              <w:rPr>
                <w:sz w:val="20"/>
                <w:szCs w:val="20"/>
                <w:color w:val="auto"/>
              </w:rPr>
            </w:pPr>
            <w:r>
              <w:rPr>
                <w:rFonts w:ascii="Arial" w:cs="Arial" w:eastAsia="Arial" w:hAnsi="Arial"/>
                <w:sz w:val="16"/>
                <w:szCs w:val="16"/>
                <w:color w:val="auto"/>
              </w:rPr>
              <w:t>Dividends payable</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373</w:t>
            </w:r>
          </w:p>
        </w:tc>
        <w:tc>
          <w:tcPr>
            <w:tcW w:w="3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w:t>
            </w:r>
          </w:p>
        </w:tc>
        <w:tc>
          <w:tcPr>
            <w:tcW w:w="140" w:type="dxa"/>
            <w:vAlign w:val="bottom"/>
          </w:tcPr>
          <w:p>
            <w:pPr>
              <w:spacing w:after="0"/>
              <w:rPr>
                <w:sz w:val="18"/>
                <w:szCs w:val="18"/>
                <w:color w:val="auto"/>
              </w:rPr>
            </w:pPr>
          </w:p>
        </w:tc>
      </w:tr>
      <w:tr>
        <w:trPr>
          <w:trHeight w:val="209"/>
        </w:trPr>
        <w:tc>
          <w:tcPr>
            <w:tcW w:w="7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12,163</w:t>
            </w: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12,018</w:t>
            </w:r>
          </w:p>
        </w:tc>
        <w:tc>
          <w:tcPr>
            <w:tcW w:w="140" w:type="dxa"/>
            <w:vAlign w:val="bottom"/>
            <w:shd w:val="clear" w:color="auto" w:fill="CFF0FC"/>
          </w:tcPr>
          <w:p>
            <w:pPr>
              <w:spacing w:after="0"/>
              <w:rPr>
                <w:sz w:val="18"/>
                <w:szCs w:val="18"/>
                <w:color w:val="auto"/>
              </w:rPr>
            </w:pPr>
          </w:p>
        </w:tc>
      </w:tr>
      <w:tr>
        <w:trPr>
          <w:trHeight w:val="216"/>
        </w:trPr>
        <w:tc>
          <w:tcPr>
            <w:tcW w:w="7560" w:type="dxa"/>
            <w:vAlign w:val="bottom"/>
          </w:tcPr>
          <w:p>
            <w:pPr>
              <w:ind w:left="20"/>
              <w:spacing w:after="0"/>
              <w:rPr>
                <w:sz w:val="20"/>
                <w:szCs w:val="20"/>
                <w:color w:val="auto"/>
              </w:rPr>
            </w:pPr>
            <w:r>
              <w:rPr>
                <w:rFonts w:ascii="Arial" w:cs="Arial" w:eastAsia="Arial" w:hAnsi="Arial"/>
                <w:sz w:val="16"/>
                <w:szCs w:val="16"/>
                <w:i w:val="1"/>
                <w:iCs w:val="1"/>
                <w:color w:val="auto"/>
              </w:rPr>
              <w:t>Long-term Debt</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11,342</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10,594</w:t>
            </w:r>
          </w:p>
        </w:tc>
        <w:tc>
          <w:tcPr>
            <w:tcW w:w="140" w:type="dxa"/>
            <w:vAlign w:val="bottom"/>
          </w:tcPr>
          <w:p>
            <w:pPr>
              <w:spacing w:after="0"/>
              <w:rPr>
                <w:sz w:val="18"/>
                <w:szCs w:val="18"/>
                <w:color w:val="auto"/>
              </w:rPr>
            </w:pPr>
          </w:p>
        </w:tc>
      </w:tr>
      <w:tr>
        <w:trPr>
          <w:trHeight w:val="216"/>
        </w:trPr>
        <w:tc>
          <w:tcPr>
            <w:tcW w:w="756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Postretirement Benefits</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167</w:t>
            </w: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165</w:t>
            </w:r>
          </w:p>
        </w:tc>
        <w:tc>
          <w:tcPr>
            <w:tcW w:w="140" w:type="dxa"/>
            <w:vAlign w:val="bottom"/>
            <w:shd w:val="clear" w:color="auto" w:fill="CFF0FC"/>
          </w:tcPr>
          <w:p>
            <w:pPr>
              <w:spacing w:after="0"/>
              <w:rPr>
                <w:sz w:val="18"/>
                <w:szCs w:val="18"/>
                <w:color w:val="auto"/>
              </w:rPr>
            </w:pPr>
          </w:p>
        </w:tc>
      </w:tr>
      <w:tr>
        <w:trPr>
          <w:trHeight w:val="216"/>
        </w:trPr>
        <w:tc>
          <w:tcPr>
            <w:tcW w:w="7560" w:type="dxa"/>
            <w:vAlign w:val="bottom"/>
          </w:tcPr>
          <w:p>
            <w:pPr>
              <w:ind w:left="20"/>
              <w:spacing w:after="0"/>
              <w:rPr>
                <w:sz w:val="20"/>
                <w:szCs w:val="20"/>
                <w:color w:val="auto"/>
              </w:rPr>
            </w:pPr>
            <w:r>
              <w:rPr>
                <w:rFonts w:ascii="Arial" w:cs="Arial" w:eastAsia="Arial" w:hAnsi="Arial"/>
                <w:sz w:val="16"/>
                <w:szCs w:val="16"/>
                <w:i w:val="1"/>
                <w:iCs w:val="1"/>
                <w:color w:val="auto"/>
              </w:rPr>
              <w:t>Deferred Taxes</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183</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61</w:t>
            </w:r>
          </w:p>
        </w:tc>
        <w:tc>
          <w:tcPr>
            <w:tcW w:w="140" w:type="dxa"/>
            <w:vAlign w:val="bottom"/>
          </w:tcPr>
          <w:p>
            <w:pPr>
              <w:spacing w:after="0"/>
              <w:rPr>
                <w:sz w:val="18"/>
                <w:szCs w:val="18"/>
                <w:color w:val="auto"/>
              </w:rPr>
            </w:pPr>
          </w:p>
        </w:tc>
      </w:tr>
      <w:tr>
        <w:trPr>
          <w:trHeight w:val="216"/>
        </w:trPr>
        <w:tc>
          <w:tcPr>
            <w:tcW w:w="7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i w:val="1"/>
                <w:iCs w:val="1"/>
                <w:color w:val="auto"/>
              </w:rPr>
              <w:t>Other Liabilities</w:t>
            </w:r>
          </w:p>
        </w:tc>
        <w:tc>
          <w:tcPr>
            <w:tcW w:w="2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2,037</w:t>
            </w:r>
          </w:p>
        </w:tc>
        <w:tc>
          <w:tcPr>
            <w:tcW w:w="3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2,308</w:t>
            </w:r>
          </w:p>
        </w:tc>
        <w:tc>
          <w:tcPr>
            <w:tcW w:w="140" w:type="dxa"/>
            <w:vAlign w:val="bottom"/>
            <w:tcBorders>
              <w:bottom w:val="single" w:sz="8" w:color="CFF0FC"/>
            </w:tcBorders>
            <w:shd w:val="clear" w:color="auto" w:fill="CFF0FC"/>
          </w:tcPr>
          <w:p>
            <w:pPr>
              <w:spacing w:after="0"/>
              <w:rPr>
                <w:sz w:val="18"/>
                <w:szCs w:val="18"/>
                <w:color w:val="auto"/>
              </w:rPr>
            </w:pPr>
          </w:p>
        </w:tc>
      </w:tr>
      <w:tr>
        <w:trPr>
          <w:trHeight w:val="210"/>
        </w:trPr>
        <w:tc>
          <w:tcPr>
            <w:tcW w:w="75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25,892</w:t>
            </w:r>
          </w:p>
        </w:tc>
        <w:tc>
          <w:tcPr>
            <w:tcW w:w="3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25,146</w:t>
            </w:r>
          </w:p>
        </w:tc>
        <w:tc>
          <w:tcPr>
            <w:tcW w:w="140" w:type="dxa"/>
            <w:vAlign w:val="bottom"/>
          </w:tcPr>
          <w:p>
            <w:pPr>
              <w:spacing w:after="0"/>
              <w:rPr>
                <w:sz w:val="18"/>
                <w:szCs w:val="18"/>
                <w:color w:val="auto"/>
              </w:rPr>
            </w:pPr>
          </w:p>
        </w:tc>
      </w:tr>
      <w:tr>
        <w:trPr>
          <w:trHeight w:val="209"/>
        </w:trPr>
        <w:tc>
          <w:tcPr>
            <w:tcW w:w="756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Equity</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6"/>
        </w:trPr>
        <w:tc>
          <w:tcPr>
            <w:tcW w:w="756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11,270</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11,837</w:t>
            </w:r>
          </w:p>
        </w:tc>
        <w:tc>
          <w:tcPr>
            <w:tcW w:w="140" w:type="dxa"/>
            <w:vAlign w:val="bottom"/>
          </w:tcPr>
          <w:p>
            <w:pPr>
              <w:spacing w:after="0"/>
              <w:rPr>
                <w:sz w:val="18"/>
                <w:szCs w:val="18"/>
                <w:color w:val="auto"/>
              </w:rPr>
            </w:pPr>
          </w:p>
        </w:tc>
      </w:tr>
      <w:tr>
        <w:trPr>
          <w:trHeight w:val="216"/>
        </w:trPr>
        <w:tc>
          <w:tcPr>
            <w:tcW w:w="75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Treasury stock</w:t>
            </w:r>
          </w:p>
        </w:tc>
        <w:tc>
          <w:tcPr>
            <w:tcW w:w="2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b w:val="1"/>
                <w:bCs w:val="1"/>
                <w:color w:val="auto"/>
              </w:rPr>
              <w:t>(750 )</w:t>
            </w:r>
          </w:p>
        </w:tc>
        <w:tc>
          <w:tcPr>
            <w:tcW w:w="2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(1,016 )</w:t>
            </w:r>
          </w:p>
        </w:tc>
      </w:tr>
      <w:tr>
        <w:trPr>
          <w:trHeight w:val="216"/>
        </w:trPr>
        <w:tc>
          <w:tcPr>
            <w:tcW w:w="7560" w:type="dxa"/>
            <w:vAlign w:val="bottom"/>
          </w:tcPr>
          <w:p>
            <w:pPr>
              <w:ind w:left="200"/>
              <w:spacing w:after="0"/>
              <w:rPr>
                <w:sz w:val="20"/>
                <w:szCs w:val="20"/>
                <w:color w:val="auto"/>
              </w:rPr>
            </w:pPr>
            <w:r>
              <w:rPr>
                <w:rFonts w:ascii="Arial" w:cs="Arial" w:eastAsia="Arial" w:hAnsi="Arial"/>
                <w:sz w:val="16"/>
                <w:szCs w:val="16"/>
                <w:color w:val="auto"/>
              </w:rPr>
              <w:t>Retained earnings</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11,974</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10,719</w:t>
            </w:r>
          </w:p>
        </w:tc>
        <w:tc>
          <w:tcPr>
            <w:tcW w:w="140" w:type="dxa"/>
            <w:vAlign w:val="bottom"/>
          </w:tcPr>
          <w:p>
            <w:pPr>
              <w:spacing w:after="0"/>
              <w:rPr>
                <w:sz w:val="18"/>
                <w:szCs w:val="18"/>
                <w:color w:val="auto"/>
              </w:rPr>
            </w:pPr>
          </w:p>
        </w:tc>
      </w:tr>
      <w:tr>
        <w:trPr>
          <w:trHeight w:val="216"/>
        </w:trPr>
        <w:tc>
          <w:tcPr>
            <w:tcW w:w="75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Accumulated other comprehensive loss</w:t>
            </w:r>
          </w:p>
        </w:tc>
        <w:tc>
          <w:tcPr>
            <w:tcW w:w="2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b w:val="1"/>
                <w:bCs w:val="1"/>
                <w:color w:val="auto"/>
              </w:rPr>
              <w:t>(3,886 )</w:t>
            </w:r>
          </w:p>
        </w:tc>
        <w:tc>
          <w:tcPr>
            <w:tcW w:w="2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(3,855 )</w:t>
            </w:r>
          </w:p>
        </w:tc>
      </w:tr>
      <w:tr>
        <w:trPr>
          <w:trHeight w:val="210"/>
        </w:trPr>
        <w:tc>
          <w:tcPr>
            <w:tcW w:w="7560" w:type="dxa"/>
            <w:vAlign w:val="bottom"/>
            <w:tcBorders>
              <w:top w:val="single" w:sz="8" w:color="CFF0FC"/>
            </w:tcBorders>
          </w:tcPr>
          <w:p>
            <w:pPr>
              <w:ind w:left="200"/>
              <w:spacing w:after="0"/>
              <w:rPr>
                <w:sz w:val="20"/>
                <w:szCs w:val="20"/>
                <w:color w:val="auto"/>
              </w:rPr>
            </w:pPr>
            <w:r>
              <w:rPr>
                <w:rFonts w:ascii="Arial" w:cs="Arial" w:eastAsia="Arial" w:hAnsi="Arial"/>
                <w:sz w:val="16"/>
                <w:szCs w:val="16"/>
                <w:color w:val="auto"/>
              </w:rPr>
              <w:t>SLB stockholders’ equity</w:t>
            </w: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18,608</w:t>
            </w:r>
          </w:p>
        </w:tc>
        <w:tc>
          <w:tcPr>
            <w:tcW w:w="36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17,685</w:t>
            </w:r>
          </w:p>
        </w:tc>
        <w:tc>
          <w:tcPr>
            <w:tcW w:w="140" w:type="dxa"/>
            <w:vAlign w:val="bottom"/>
            <w:tcBorders>
              <w:top w:val="single" w:sz="8" w:color="CFF0FC"/>
            </w:tcBorders>
          </w:tcPr>
          <w:p>
            <w:pPr>
              <w:spacing w:after="0"/>
              <w:rPr>
                <w:sz w:val="18"/>
                <w:szCs w:val="18"/>
                <w:color w:val="auto"/>
              </w:rPr>
            </w:pPr>
          </w:p>
        </w:tc>
      </w:tr>
      <w:tr>
        <w:trPr>
          <w:trHeight w:val="216"/>
        </w:trPr>
        <w:tc>
          <w:tcPr>
            <w:tcW w:w="75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Noncontrolling interests</w:t>
            </w:r>
          </w:p>
        </w:tc>
        <w:tc>
          <w:tcPr>
            <w:tcW w:w="2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326</w:t>
            </w:r>
          </w:p>
        </w:tc>
        <w:tc>
          <w:tcPr>
            <w:tcW w:w="3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304</w:t>
            </w:r>
          </w:p>
        </w:tc>
        <w:tc>
          <w:tcPr>
            <w:tcW w:w="140" w:type="dxa"/>
            <w:vAlign w:val="bottom"/>
            <w:tcBorders>
              <w:bottom w:val="single" w:sz="8" w:color="CFF0FC"/>
            </w:tcBorders>
            <w:shd w:val="clear" w:color="auto" w:fill="CFF0FC"/>
          </w:tcPr>
          <w:p>
            <w:pPr>
              <w:spacing w:after="0"/>
              <w:rPr>
                <w:sz w:val="18"/>
                <w:szCs w:val="18"/>
                <w:color w:val="auto"/>
              </w:rPr>
            </w:pPr>
          </w:p>
        </w:tc>
      </w:tr>
      <w:tr>
        <w:trPr>
          <w:trHeight w:val="210"/>
        </w:trPr>
        <w:tc>
          <w:tcPr>
            <w:tcW w:w="75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18,934</w:t>
            </w:r>
          </w:p>
        </w:tc>
        <w:tc>
          <w:tcPr>
            <w:tcW w:w="3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17,989</w:t>
            </w:r>
          </w:p>
        </w:tc>
        <w:tc>
          <w:tcPr>
            <w:tcW w:w="140" w:type="dxa"/>
            <w:vAlign w:val="bottom"/>
          </w:tcPr>
          <w:p>
            <w:pPr>
              <w:spacing w:after="0"/>
              <w:rPr>
                <w:sz w:val="18"/>
                <w:szCs w:val="18"/>
                <w:color w:val="auto"/>
              </w:rPr>
            </w:pPr>
          </w:p>
        </w:tc>
      </w:tr>
      <w:tr>
        <w:trPr>
          <w:trHeight w:val="250"/>
        </w:trPr>
        <w:tc>
          <w:tcPr>
            <w:tcW w:w="75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44,826</w:t>
            </w:r>
          </w:p>
        </w:tc>
        <w:tc>
          <w:tcPr>
            <w:tcW w:w="3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43,135</w:t>
            </w:r>
          </w:p>
        </w:tc>
        <w:tc>
          <w:tcPr>
            <w:tcW w:w="14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-4808855</wp:posOffset>
            </wp:positionV>
            <wp:extent cx="85725" cy="1631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-3959860</wp:posOffset>
            </wp:positionV>
            <wp:extent cx="85725"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5725" cy="1460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-3959860</wp:posOffset>
            </wp:positionV>
            <wp:extent cx="85725"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5725" cy="14605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-3128010</wp:posOffset>
            </wp:positionV>
            <wp:extent cx="85725"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-3128010</wp:posOffset>
            </wp:positionV>
            <wp:extent cx="85725"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-1439545</wp:posOffset>
            </wp:positionV>
            <wp:extent cx="85725" cy="154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-1439545</wp:posOffset>
            </wp:positionV>
            <wp:extent cx="85725" cy="154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-599440</wp:posOffset>
            </wp:positionV>
            <wp:extent cx="85725" cy="146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5725" cy="1460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-599440</wp:posOffset>
            </wp:positionV>
            <wp:extent cx="85725" cy="146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5725" cy="14605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-316865</wp:posOffset>
            </wp:positionV>
            <wp:extent cx="85725" cy="154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-316865</wp:posOffset>
            </wp:positionV>
            <wp:extent cx="85725" cy="1543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-24765</wp:posOffset>
            </wp:positionV>
            <wp:extent cx="857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-8255</wp:posOffset>
            </wp:positionV>
            <wp:extent cx="8572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-8255</wp:posOffset>
            </wp:positionV>
            <wp:extent cx="8572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6"/>
          <w:szCs w:val="16"/>
          <w:b w:val="1"/>
          <w:bCs w:val="1"/>
          <w:u w:val="single" w:color="auto"/>
          <w:color w:val="auto"/>
        </w:rPr>
        <w:t>SCHLUMBERGER LIMITED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CONSOLIDATED STATEMENT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i w:val="1"/>
                <w:iCs w:val="1"/>
                <w:color w:val="auto"/>
              </w:rPr>
              <w:t>(Stated in millions)</w:t>
            </w:r>
          </w:p>
        </w:tc>
      </w:tr>
      <w:tr>
        <w:trPr>
          <w:trHeight w:val="390"/>
        </w:trPr>
        <w:tc>
          <w:tcPr>
            <w:tcW w:w="7560" w:type="dxa"/>
            <w:vAlign w:val="bottom"/>
          </w:tcPr>
          <w:p>
            <w:pPr>
              <w:spacing w:after="0"/>
              <w:rPr>
                <w:sz w:val="24"/>
                <w:szCs w:val="24"/>
                <w:color w:val="auto"/>
              </w:rPr>
            </w:pPr>
          </w:p>
        </w:tc>
        <w:tc>
          <w:tcPr>
            <w:tcW w:w="3680" w:type="dxa"/>
            <w:vAlign w:val="bottom"/>
            <w:gridSpan w:val="6"/>
          </w:tcPr>
          <w:p>
            <w:pPr>
              <w:jc w:val="right"/>
              <w:ind w:right="860"/>
              <w:spacing w:after="0"/>
              <w:rPr>
                <w:sz w:val="20"/>
                <w:szCs w:val="20"/>
                <w:color w:val="auto"/>
              </w:rPr>
            </w:pPr>
            <w:r>
              <w:rPr>
                <w:rFonts w:ascii="Arial" w:cs="Arial" w:eastAsia="Arial" w:hAnsi="Arial"/>
                <w:sz w:val="16"/>
                <w:szCs w:val="16"/>
                <w:b w:val="1"/>
                <w:bCs w:val="1"/>
                <w:color w:val="auto"/>
              </w:rPr>
              <w:t>Six Months Ended June 30,</w:t>
            </w:r>
          </w:p>
        </w:tc>
      </w:tr>
      <w:tr>
        <w:trPr>
          <w:trHeight w:val="210"/>
        </w:trPr>
        <w:tc>
          <w:tcPr>
            <w:tcW w:w="756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4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color w:val="auto"/>
              </w:rPr>
              <w:t>2022</w:t>
            </w:r>
          </w:p>
        </w:tc>
        <w:tc>
          <w:tcPr>
            <w:tcW w:w="140" w:type="dxa"/>
            <w:vAlign w:val="bottom"/>
          </w:tcPr>
          <w:p>
            <w:pPr>
              <w:spacing w:after="0"/>
              <w:rPr>
                <w:sz w:val="18"/>
                <w:szCs w:val="18"/>
                <w:color w:val="auto"/>
              </w:rPr>
            </w:pPr>
          </w:p>
        </w:tc>
      </w:tr>
      <w:tr>
        <w:trPr>
          <w:trHeight w:val="209"/>
        </w:trPr>
        <w:tc>
          <w:tcPr>
            <w:tcW w:w="75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flows from operating activities:</w:t>
            </w:r>
          </w:p>
        </w:tc>
        <w:tc>
          <w:tcPr>
            <w:tcW w:w="10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6"/>
        </w:trPr>
        <w:tc>
          <w:tcPr>
            <w:tcW w:w="7560" w:type="dxa"/>
            <w:vAlign w:val="bottom"/>
          </w:tcPr>
          <w:p>
            <w:pPr>
              <w:ind w:left="200"/>
              <w:spacing w:after="0"/>
              <w:rPr>
                <w:sz w:val="20"/>
                <w:szCs w:val="20"/>
                <w:color w:val="auto"/>
              </w:rPr>
            </w:pPr>
            <w:r>
              <w:rPr>
                <w:rFonts w:ascii="Arial" w:cs="Arial" w:eastAsia="Arial" w:hAnsi="Arial"/>
                <w:sz w:val="16"/>
                <w:szCs w:val="16"/>
                <w:color w:val="auto"/>
              </w:rPr>
              <w:t>Net income</w:t>
            </w:r>
          </w:p>
        </w:tc>
        <w:tc>
          <w:tcPr>
            <w:tcW w:w="1040" w:type="dxa"/>
            <w:vAlign w:val="bottom"/>
          </w:tcPr>
          <w:p>
            <w:pPr>
              <w:jc w:val="right"/>
              <w:ind w:right="859"/>
              <w:spacing w:after="0"/>
              <w:rPr>
                <w:sz w:val="20"/>
                <w:szCs w:val="20"/>
                <w:color w:val="auto"/>
              </w:rPr>
            </w:pPr>
            <w:r>
              <w:rPr>
                <w:rFonts w:ascii="Arial" w:cs="Arial" w:eastAsia="Arial" w:hAnsi="Arial"/>
                <w:sz w:val="16"/>
                <w:szCs w:val="16"/>
                <w:b w:val="1"/>
                <w:bCs w:val="1"/>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1,990</w:t>
            </w:r>
          </w:p>
        </w:tc>
        <w:tc>
          <w:tcPr>
            <w:tcW w:w="36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1,490</w:t>
            </w:r>
          </w:p>
        </w:tc>
        <w:tc>
          <w:tcPr>
            <w:tcW w:w="140" w:type="dxa"/>
            <w:vAlign w:val="bottom"/>
          </w:tcPr>
          <w:p>
            <w:pPr>
              <w:spacing w:after="0"/>
              <w:rPr>
                <w:sz w:val="18"/>
                <w:szCs w:val="18"/>
                <w:color w:val="auto"/>
              </w:rPr>
            </w:pPr>
          </w:p>
        </w:tc>
      </w:tr>
      <w:tr>
        <w:trPr>
          <w:trHeight w:val="216"/>
        </w:trPr>
        <w:tc>
          <w:tcPr>
            <w:tcW w:w="75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0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6"/>
        </w:trPr>
        <w:tc>
          <w:tcPr>
            <w:tcW w:w="7560" w:type="dxa"/>
            <w:vAlign w:val="bottom"/>
          </w:tcPr>
          <w:p>
            <w:pPr>
              <w:ind w:left="480"/>
              <w:spacing w:after="0"/>
              <w:rPr>
                <w:sz w:val="20"/>
                <w:szCs w:val="20"/>
                <w:color w:val="auto"/>
              </w:rPr>
            </w:pPr>
            <w:r>
              <w:rPr>
                <w:rFonts w:ascii="Arial" w:cs="Arial" w:eastAsia="Arial" w:hAnsi="Arial"/>
                <w:sz w:val="16"/>
                <w:szCs w:val="16"/>
                <w:color w:val="auto"/>
              </w:rPr>
              <w:t>Gain on sale of Liberty shares</w:t>
            </w:r>
          </w:p>
        </w:tc>
        <w:tc>
          <w:tcPr>
            <w:tcW w:w="1040" w:type="dxa"/>
            <w:vAlign w:val="bottom"/>
          </w:tcPr>
          <w:p>
            <w:pPr>
              <w:spacing w:after="0"/>
              <w:rPr>
                <w:sz w:val="18"/>
                <w:szCs w:val="18"/>
                <w:color w:val="auto"/>
              </w:rPr>
            </w:pPr>
          </w:p>
        </w:tc>
        <w:tc>
          <w:tcPr>
            <w:tcW w:w="900" w:type="dxa"/>
            <w:vAlign w:val="bottom"/>
            <w:gridSpan w:val="2"/>
          </w:tcPr>
          <w:p>
            <w:pPr>
              <w:jc w:val="right"/>
              <w:ind w:right="199"/>
              <w:spacing w:after="0"/>
              <w:rPr>
                <w:sz w:val="20"/>
                <w:szCs w:val="20"/>
                <w:color w:val="auto"/>
              </w:rPr>
            </w:pPr>
            <w:r>
              <w:rPr>
                <w:rFonts w:ascii="Arial" w:cs="Arial" w:eastAsia="Arial" w:hAnsi="Arial"/>
                <w:sz w:val="16"/>
                <w:szCs w:val="16"/>
                <w:b w:val="1"/>
                <w:bCs w:val="1"/>
                <w:color w:val="auto"/>
              </w:rPr>
              <w:t>(36 )</w:t>
            </w:r>
          </w:p>
        </w:tc>
        <w:tc>
          <w:tcPr>
            <w:tcW w:w="26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6"/>
                <w:szCs w:val="16"/>
                <w:color w:val="auto"/>
              </w:rPr>
              <w:t>(242 )</w:t>
            </w:r>
          </w:p>
        </w:tc>
      </w:tr>
      <w:tr>
        <w:trPr>
          <w:trHeight w:val="216"/>
        </w:trPr>
        <w:tc>
          <w:tcPr>
            <w:tcW w:w="7560" w:type="dxa"/>
            <w:vAlign w:val="bottom"/>
            <w:shd w:val="clear" w:color="auto" w:fill="CFF0FC"/>
          </w:tcPr>
          <w:p>
            <w:pPr>
              <w:ind w:left="480"/>
              <w:spacing w:after="0"/>
              <w:rPr>
                <w:sz w:val="20"/>
                <w:szCs w:val="20"/>
                <w:color w:val="auto"/>
              </w:rPr>
            </w:pPr>
            <w:r>
              <w:rPr>
                <w:rFonts w:ascii="Arial" w:cs="Arial" w:eastAsia="Arial" w:hAnsi="Arial"/>
                <w:sz w:val="16"/>
                <w:szCs w:val="16"/>
                <w:color w:val="auto"/>
              </w:rPr>
              <w:t>Gain on sale of real estate</w:t>
            </w:r>
          </w:p>
        </w:tc>
        <w:tc>
          <w:tcPr>
            <w:tcW w:w="104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(43 )</w:t>
            </w:r>
          </w:p>
        </w:tc>
      </w:tr>
      <w:tr>
        <w:trPr>
          <w:trHeight w:val="216"/>
        </w:trPr>
        <w:tc>
          <w:tcPr>
            <w:tcW w:w="7560" w:type="dxa"/>
            <w:vAlign w:val="bottom"/>
          </w:tcPr>
          <w:p>
            <w:pPr>
              <w:ind w:left="480"/>
              <w:spacing w:after="0" w:line="216" w:lineRule="exact"/>
              <w:rPr>
                <w:sz w:val="20"/>
                <w:szCs w:val="20"/>
                <w:color w:val="auto"/>
              </w:rPr>
            </w:pPr>
            <w:r>
              <w:rPr>
                <w:rFonts w:ascii="Arial" w:cs="Arial" w:eastAsia="Arial" w:hAnsi="Arial"/>
                <w:sz w:val="16"/>
                <w:szCs w:val="16"/>
                <w:color w:val="auto"/>
              </w:rPr>
              <w:t xml:space="preserve">Depreciation and amortization </w:t>
            </w:r>
            <w:r>
              <w:rPr>
                <w:rFonts w:ascii="Arial" w:cs="Arial" w:eastAsia="Arial" w:hAnsi="Arial"/>
                <w:sz w:val="21"/>
                <w:szCs w:val="21"/>
                <w:color w:val="auto"/>
                <w:vertAlign w:val="superscript"/>
              </w:rPr>
              <w:t>(1)</w:t>
            </w: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1,124</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1,065</w:t>
            </w:r>
          </w:p>
        </w:tc>
        <w:tc>
          <w:tcPr>
            <w:tcW w:w="140" w:type="dxa"/>
            <w:vAlign w:val="bottom"/>
          </w:tcPr>
          <w:p>
            <w:pPr>
              <w:spacing w:after="0"/>
              <w:rPr>
                <w:sz w:val="18"/>
                <w:szCs w:val="18"/>
                <w:color w:val="auto"/>
              </w:rPr>
            </w:pPr>
          </w:p>
        </w:tc>
      </w:tr>
      <w:tr>
        <w:trPr>
          <w:trHeight w:val="216"/>
        </w:trPr>
        <w:tc>
          <w:tcPr>
            <w:tcW w:w="7560" w:type="dxa"/>
            <w:vAlign w:val="bottom"/>
            <w:shd w:val="clear" w:color="auto" w:fill="CFF0FC"/>
          </w:tcPr>
          <w:p>
            <w:pPr>
              <w:ind w:left="480"/>
              <w:spacing w:after="0"/>
              <w:rPr>
                <w:sz w:val="20"/>
                <w:szCs w:val="20"/>
                <w:color w:val="auto"/>
              </w:rPr>
            </w:pPr>
            <w:r>
              <w:rPr>
                <w:rFonts w:ascii="Arial" w:cs="Arial" w:eastAsia="Arial" w:hAnsi="Arial"/>
                <w:sz w:val="16"/>
                <w:szCs w:val="16"/>
                <w:color w:val="auto"/>
              </w:rPr>
              <w:t>Deferred taxes</w:t>
            </w:r>
          </w:p>
        </w:tc>
        <w:tc>
          <w:tcPr>
            <w:tcW w:w="104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118</w:t>
            </w: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140" w:type="dxa"/>
            <w:vAlign w:val="bottom"/>
            <w:shd w:val="clear" w:color="auto" w:fill="CFF0FC"/>
          </w:tcPr>
          <w:p>
            <w:pPr>
              <w:spacing w:after="0"/>
              <w:rPr>
                <w:sz w:val="18"/>
                <w:szCs w:val="18"/>
                <w:color w:val="auto"/>
              </w:rPr>
            </w:pPr>
          </w:p>
        </w:tc>
      </w:tr>
      <w:tr>
        <w:trPr>
          <w:trHeight w:val="216"/>
        </w:trPr>
        <w:tc>
          <w:tcPr>
            <w:tcW w:w="7560" w:type="dxa"/>
            <w:vAlign w:val="bottom"/>
          </w:tcPr>
          <w:p>
            <w:pPr>
              <w:ind w:left="480"/>
              <w:spacing w:after="0"/>
              <w:rPr>
                <w:sz w:val="20"/>
                <w:szCs w:val="20"/>
                <w:color w:val="auto"/>
              </w:rPr>
            </w:pPr>
            <w:r>
              <w:rPr>
                <w:rFonts w:ascii="Arial" w:cs="Arial" w:eastAsia="Arial" w:hAnsi="Arial"/>
                <w:sz w:val="16"/>
                <w:szCs w:val="16"/>
                <w:color w:val="auto"/>
              </w:rPr>
              <w:t>Stock-based compensation expense</w:t>
            </w: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160</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160</w:t>
            </w:r>
          </w:p>
        </w:tc>
        <w:tc>
          <w:tcPr>
            <w:tcW w:w="140" w:type="dxa"/>
            <w:vAlign w:val="bottom"/>
          </w:tcPr>
          <w:p>
            <w:pPr>
              <w:spacing w:after="0"/>
              <w:rPr>
                <w:sz w:val="18"/>
                <w:szCs w:val="18"/>
                <w:color w:val="auto"/>
              </w:rPr>
            </w:pPr>
          </w:p>
        </w:tc>
      </w:tr>
      <w:tr>
        <w:trPr>
          <w:trHeight w:val="216"/>
        </w:trPr>
        <w:tc>
          <w:tcPr>
            <w:tcW w:w="7560" w:type="dxa"/>
            <w:vAlign w:val="bottom"/>
            <w:shd w:val="clear" w:color="auto" w:fill="CFF0FC"/>
          </w:tcPr>
          <w:p>
            <w:pPr>
              <w:ind w:left="480"/>
              <w:spacing w:after="0"/>
              <w:rPr>
                <w:sz w:val="20"/>
                <w:szCs w:val="20"/>
                <w:color w:val="auto"/>
              </w:rPr>
            </w:pPr>
            <w:r>
              <w:rPr>
                <w:rFonts w:ascii="Arial" w:cs="Arial" w:eastAsia="Arial" w:hAnsi="Arial"/>
                <w:sz w:val="16"/>
                <w:szCs w:val="16"/>
                <w:color w:val="auto"/>
              </w:rPr>
              <w:t>Earnings of equity method investments, less dividends received</w:t>
            </w:r>
          </w:p>
        </w:tc>
        <w:tc>
          <w:tcPr>
            <w:tcW w:w="10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99"/>
              <w:spacing w:after="0"/>
              <w:rPr>
                <w:sz w:val="20"/>
                <w:szCs w:val="20"/>
                <w:color w:val="auto"/>
              </w:rPr>
            </w:pPr>
            <w:r>
              <w:rPr>
                <w:rFonts w:ascii="Arial" w:cs="Arial" w:eastAsia="Arial" w:hAnsi="Arial"/>
                <w:sz w:val="16"/>
                <w:szCs w:val="16"/>
                <w:b w:val="1"/>
                <w:bCs w:val="1"/>
                <w:color w:val="auto"/>
              </w:rPr>
              <w:t>(79 )</w:t>
            </w:r>
          </w:p>
        </w:tc>
        <w:tc>
          <w:tcPr>
            <w:tcW w:w="2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(22 )</w:t>
            </w:r>
          </w:p>
        </w:tc>
      </w:tr>
      <w:tr>
        <w:trPr>
          <w:trHeight w:val="216"/>
        </w:trPr>
        <w:tc>
          <w:tcPr>
            <w:tcW w:w="7560" w:type="dxa"/>
            <w:vAlign w:val="bottom"/>
          </w:tcPr>
          <w:p>
            <w:pPr>
              <w:ind w:left="200"/>
              <w:spacing w:after="0" w:line="216" w:lineRule="exact"/>
              <w:rPr>
                <w:sz w:val="20"/>
                <w:szCs w:val="20"/>
                <w:color w:val="auto"/>
              </w:rPr>
            </w:pPr>
            <w:r>
              <w:rPr>
                <w:rFonts w:ascii="Arial" w:cs="Arial" w:eastAsia="Arial" w:hAnsi="Arial"/>
                <w:sz w:val="16"/>
                <w:szCs w:val="16"/>
                <w:color w:val="auto"/>
              </w:rPr>
              <w:t xml:space="preserve">Change in assets and liabilities: </w:t>
            </w:r>
            <w:r>
              <w:rPr>
                <w:rFonts w:ascii="Arial" w:cs="Arial" w:eastAsia="Arial" w:hAnsi="Arial"/>
                <w:sz w:val="21"/>
                <w:szCs w:val="21"/>
                <w:color w:val="auto"/>
                <w:vertAlign w:val="superscript"/>
              </w:rPr>
              <w:t>(2)</w:t>
            </w: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560" w:type="dxa"/>
            <w:vAlign w:val="bottom"/>
            <w:shd w:val="clear" w:color="auto" w:fill="CFF0FC"/>
          </w:tcPr>
          <w:p>
            <w:pPr>
              <w:ind w:left="480"/>
              <w:spacing w:after="0"/>
              <w:rPr>
                <w:sz w:val="20"/>
                <w:szCs w:val="20"/>
                <w:color w:val="auto"/>
              </w:rPr>
            </w:pPr>
            <w:r>
              <w:rPr>
                <w:rFonts w:ascii="Arial" w:cs="Arial" w:eastAsia="Arial" w:hAnsi="Arial"/>
                <w:sz w:val="16"/>
                <w:szCs w:val="16"/>
                <w:color w:val="auto"/>
              </w:rPr>
              <w:t>Increase in receivables</w:t>
            </w:r>
          </w:p>
        </w:tc>
        <w:tc>
          <w:tcPr>
            <w:tcW w:w="10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99"/>
              <w:spacing w:after="0"/>
              <w:rPr>
                <w:sz w:val="20"/>
                <w:szCs w:val="20"/>
                <w:color w:val="auto"/>
              </w:rPr>
            </w:pPr>
            <w:r>
              <w:rPr>
                <w:rFonts w:ascii="Arial" w:cs="Arial" w:eastAsia="Arial" w:hAnsi="Arial"/>
                <w:sz w:val="16"/>
                <w:szCs w:val="16"/>
                <w:b w:val="1"/>
                <w:bCs w:val="1"/>
                <w:color w:val="auto"/>
              </w:rPr>
              <w:t>(614 )</w:t>
            </w:r>
          </w:p>
        </w:tc>
        <w:tc>
          <w:tcPr>
            <w:tcW w:w="2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(887 )</w:t>
            </w:r>
          </w:p>
        </w:tc>
      </w:tr>
      <w:tr>
        <w:trPr>
          <w:trHeight w:val="216"/>
        </w:trPr>
        <w:tc>
          <w:tcPr>
            <w:tcW w:w="7560" w:type="dxa"/>
            <w:vAlign w:val="bottom"/>
          </w:tcPr>
          <w:p>
            <w:pPr>
              <w:ind w:left="480"/>
              <w:spacing w:after="0"/>
              <w:rPr>
                <w:sz w:val="20"/>
                <w:szCs w:val="20"/>
                <w:color w:val="auto"/>
              </w:rPr>
            </w:pPr>
            <w:r>
              <w:rPr>
                <w:rFonts w:ascii="Arial" w:cs="Arial" w:eastAsia="Arial" w:hAnsi="Arial"/>
                <w:sz w:val="16"/>
                <w:szCs w:val="16"/>
                <w:color w:val="auto"/>
              </w:rPr>
              <w:t>Increase in inventories</w:t>
            </w:r>
          </w:p>
        </w:tc>
        <w:tc>
          <w:tcPr>
            <w:tcW w:w="1040" w:type="dxa"/>
            <w:vAlign w:val="bottom"/>
          </w:tcPr>
          <w:p>
            <w:pPr>
              <w:spacing w:after="0"/>
              <w:rPr>
                <w:sz w:val="18"/>
                <w:szCs w:val="18"/>
                <w:color w:val="auto"/>
              </w:rPr>
            </w:pPr>
          </w:p>
        </w:tc>
        <w:tc>
          <w:tcPr>
            <w:tcW w:w="900" w:type="dxa"/>
            <w:vAlign w:val="bottom"/>
            <w:gridSpan w:val="2"/>
          </w:tcPr>
          <w:p>
            <w:pPr>
              <w:jc w:val="right"/>
              <w:ind w:right="199"/>
              <w:spacing w:after="0"/>
              <w:rPr>
                <w:sz w:val="20"/>
                <w:szCs w:val="20"/>
                <w:color w:val="auto"/>
              </w:rPr>
            </w:pPr>
            <w:r>
              <w:rPr>
                <w:rFonts w:ascii="Arial" w:cs="Arial" w:eastAsia="Arial" w:hAnsi="Arial"/>
                <w:sz w:val="16"/>
                <w:szCs w:val="16"/>
                <w:b w:val="1"/>
                <w:bCs w:val="1"/>
                <w:color w:val="auto"/>
              </w:rPr>
              <w:t>(368 )</w:t>
            </w:r>
          </w:p>
        </w:tc>
        <w:tc>
          <w:tcPr>
            <w:tcW w:w="26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6"/>
                <w:szCs w:val="16"/>
                <w:color w:val="auto"/>
              </w:rPr>
              <w:t>(652 )</w:t>
            </w:r>
          </w:p>
        </w:tc>
      </w:tr>
      <w:tr>
        <w:trPr>
          <w:trHeight w:val="216"/>
        </w:trPr>
        <w:tc>
          <w:tcPr>
            <w:tcW w:w="7560" w:type="dxa"/>
            <w:vAlign w:val="bottom"/>
            <w:shd w:val="clear" w:color="auto" w:fill="CFF0FC"/>
          </w:tcPr>
          <w:p>
            <w:pPr>
              <w:ind w:left="480"/>
              <w:spacing w:after="0"/>
              <w:rPr>
                <w:sz w:val="20"/>
                <w:szCs w:val="20"/>
                <w:color w:val="auto"/>
              </w:rPr>
            </w:pPr>
            <w:r>
              <w:rPr>
                <w:rFonts w:ascii="Arial" w:cs="Arial" w:eastAsia="Arial" w:hAnsi="Arial"/>
                <w:sz w:val="16"/>
                <w:szCs w:val="16"/>
                <w:color w:val="auto"/>
              </w:rPr>
              <w:t>Decrease (increase) in other current assets</w:t>
            </w:r>
          </w:p>
        </w:tc>
        <w:tc>
          <w:tcPr>
            <w:tcW w:w="104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157</w:t>
            </w: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(240 )</w:t>
            </w:r>
          </w:p>
        </w:tc>
      </w:tr>
      <w:tr>
        <w:trPr>
          <w:trHeight w:val="216"/>
        </w:trPr>
        <w:tc>
          <w:tcPr>
            <w:tcW w:w="7560" w:type="dxa"/>
            <w:vAlign w:val="bottom"/>
          </w:tcPr>
          <w:p>
            <w:pPr>
              <w:ind w:left="480"/>
              <w:spacing w:after="0"/>
              <w:rPr>
                <w:sz w:val="20"/>
                <w:szCs w:val="20"/>
                <w:color w:val="auto"/>
              </w:rPr>
            </w:pPr>
            <w:r>
              <w:rPr>
                <w:rFonts w:ascii="Arial" w:cs="Arial" w:eastAsia="Arial" w:hAnsi="Arial"/>
                <w:sz w:val="16"/>
                <w:szCs w:val="16"/>
                <w:color w:val="auto"/>
              </w:rPr>
              <w:t>Increase in other assets</w:t>
            </w:r>
          </w:p>
        </w:tc>
        <w:tc>
          <w:tcPr>
            <w:tcW w:w="1040" w:type="dxa"/>
            <w:vAlign w:val="bottom"/>
          </w:tcPr>
          <w:p>
            <w:pPr>
              <w:spacing w:after="0"/>
              <w:rPr>
                <w:sz w:val="18"/>
                <w:szCs w:val="18"/>
                <w:color w:val="auto"/>
              </w:rPr>
            </w:pPr>
          </w:p>
        </w:tc>
        <w:tc>
          <w:tcPr>
            <w:tcW w:w="900" w:type="dxa"/>
            <w:vAlign w:val="bottom"/>
            <w:gridSpan w:val="2"/>
          </w:tcPr>
          <w:p>
            <w:pPr>
              <w:jc w:val="right"/>
              <w:ind w:right="199"/>
              <w:spacing w:after="0"/>
              <w:rPr>
                <w:sz w:val="20"/>
                <w:szCs w:val="20"/>
                <w:color w:val="auto"/>
              </w:rPr>
            </w:pPr>
            <w:r>
              <w:rPr>
                <w:rFonts w:ascii="Arial" w:cs="Arial" w:eastAsia="Arial" w:hAnsi="Arial"/>
                <w:sz w:val="16"/>
                <w:szCs w:val="16"/>
                <w:b w:val="1"/>
                <w:bCs w:val="1"/>
                <w:color w:val="auto"/>
              </w:rPr>
              <w:t>(18 )</w:t>
            </w:r>
          </w:p>
        </w:tc>
        <w:tc>
          <w:tcPr>
            <w:tcW w:w="26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6"/>
                <w:szCs w:val="16"/>
                <w:color w:val="auto"/>
              </w:rPr>
              <w:t>(26 )</w:t>
            </w:r>
          </w:p>
        </w:tc>
      </w:tr>
      <w:tr>
        <w:trPr>
          <w:trHeight w:val="216"/>
        </w:trPr>
        <w:tc>
          <w:tcPr>
            <w:tcW w:w="7560" w:type="dxa"/>
            <w:vAlign w:val="bottom"/>
            <w:shd w:val="clear" w:color="auto" w:fill="CFF0FC"/>
          </w:tcPr>
          <w:p>
            <w:pPr>
              <w:ind w:left="480"/>
              <w:spacing w:after="0"/>
              <w:rPr>
                <w:sz w:val="20"/>
                <w:szCs w:val="20"/>
                <w:color w:val="auto"/>
              </w:rPr>
            </w:pPr>
            <w:r>
              <w:rPr>
                <w:rFonts w:ascii="Arial" w:cs="Arial" w:eastAsia="Arial" w:hAnsi="Arial"/>
                <w:sz w:val="16"/>
                <w:szCs w:val="16"/>
                <w:color w:val="auto"/>
              </w:rPr>
              <w:t>Decrease in accounts payable and accrued liabilities</w:t>
            </w:r>
          </w:p>
        </w:tc>
        <w:tc>
          <w:tcPr>
            <w:tcW w:w="10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99"/>
              <w:spacing w:after="0"/>
              <w:rPr>
                <w:sz w:val="20"/>
                <w:szCs w:val="20"/>
                <w:color w:val="auto"/>
              </w:rPr>
            </w:pPr>
            <w:r>
              <w:rPr>
                <w:rFonts w:ascii="Arial" w:cs="Arial" w:eastAsia="Arial" w:hAnsi="Arial"/>
                <w:sz w:val="16"/>
                <w:szCs w:val="16"/>
                <w:b w:val="1"/>
                <w:bCs w:val="1"/>
                <w:color w:val="auto"/>
              </w:rPr>
              <w:t>(270 )</w:t>
            </w:r>
          </w:p>
        </w:tc>
        <w:tc>
          <w:tcPr>
            <w:tcW w:w="2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(57 )</w:t>
            </w:r>
          </w:p>
        </w:tc>
      </w:tr>
      <w:tr>
        <w:trPr>
          <w:trHeight w:val="216"/>
        </w:trPr>
        <w:tc>
          <w:tcPr>
            <w:tcW w:w="7560" w:type="dxa"/>
            <w:vAlign w:val="bottom"/>
          </w:tcPr>
          <w:p>
            <w:pPr>
              <w:ind w:left="480"/>
              <w:spacing w:after="0"/>
              <w:rPr>
                <w:sz w:val="20"/>
                <w:szCs w:val="20"/>
                <w:color w:val="auto"/>
              </w:rPr>
            </w:pPr>
            <w:r>
              <w:rPr>
                <w:rFonts w:ascii="Arial" w:cs="Arial" w:eastAsia="Arial" w:hAnsi="Arial"/>
                <w:sz w:val="16"/>
                <w:szCs w:val="16"/>
                <w:color w:val="auto"/>
              </w:rPr>
              <w:t>Decrease in estimated liability for taxes on income</w:t>
            </w:r>
          </w:p>
        </w:tc>
        <w:tc>
          <w:tcPr>
            <w:tcW w:w="1040" w:type="dxa"/>
            <w:vAlign w:val="bottom"/>
          </w:tcPr>
          <w:p>
            <w:pPr>
              <w:spacing w:after="0"/>
              <w:rPr>
                <w:sz w:val="18"/>
                <w:szCs w:val="18"/>
                <w:color w:val="auto"/>
              </w:rPr>
            </w:pPr>
          </w:p>
        </w:tc>
        <w:tc>
          <w:tcPr>
            <w:tcW w:w="900" w:type="dxa"/>
            <w:vAlign w:val="bottom"/>
            <w:gridSpan w:val="2"/>
          </w:tcPr>
          <w:p>
            <w:pPr>
              <w:jc w:val="right"/>
              <w:ind w:right="199"/>
              <w:spacing w:after="0"/>
              <w:rPr>
                <w:sz w:val="20"/>
                <w:szCs w:val="20"/>
                <w:color w:val="auto"/>
              </w:rPr>
            </w:pPr>
            <w:r>
              <w:rPr>
                <w:rFonts w:ascii="Arial" w:cs="Arial" w:eastAsia="Arial" w:hAnsi="Arial"/>
                <w:sz w:val="16"/>
                <w:szCs w:val="16"/>
                <w:b w:val="1"/>
                <w:bCs w:val="1"/>
                <w:color w:val="auto"/>
              </w:rPr>
              <w:t>(191 )</w:t>
            </w:r>
          </w:p>
        </w:tc>
        <w:tc>
          <w:tcPr>
            <w:tcW w:w="26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6"/>
                <w:szCs w:val="16"/>
                <w:color w:val="auto"/>
              </w:rPr>
              <w:t>(48 )</w:t>
            </w:r>
          </w:p>
        </w:tc>
      </w:tr>
      <w:tr>
        <w:trPr>
          <w:trHeight w:val="216"/>
        </w:trPr>
        <w:tc>
          <w:tcPr>
            <w:tcW w:w="7560" w:type="dxa"/>
            <w:vAlign w:val="bottom"/>
            <w:shd w:val="clear" w:color="auto" w:fill="CFF0FC"/>
          </w:tcPr>
          <w:p>
            <w:pPr>
              <w:ind w:left="480"/>
              <w:spacing w:after="0"/>
              <w:rPr>
                <w:sz w:val="20"/>
                <w:szCs w:val="20"/>
                <w:color w:val="auto"/>
              </w:rPr>
            </w:pPr>
            <w:r>
              <w:rPr>
                <w:rFonts w:ascii="Arial" w:cs="Arial" w:eastAsia="Arial" w:hAnsi="Arial"/>
                <w:sz w:val="16"/>
                <w:szCs w:val="16"/>
                <w:color w:val="auto"/>
              </w:rPr>
              <w:t>(Decrease) increase in other liabilities</w:t>
            </w:r>
          </w:p>
        </w:tc>
        <w:tc>
          <w:tcPr>
            <w:tcW w:w="10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99"/>
              <w:spacing w:after="0"/>
              <w:rPr>
                <w:sz w:val="20"/>
                <w:szCs w:val="20"/>
                <w:color w:val="auto"/>
              </w:rPr>
            </w:pPr>
            <w:r>
              <w:rPr>
                <w:rFonts w:ascii="Arial" w:cs="Arial" w:eastAsia="Arial" w:hAnsi="Arial"/>
                <w:sz w:val="16"/>
                <w:szCs w:val="16"/>
                <w:b w:val="1"/>
                <w:bCs w:val="1"/>
                <w:color w:val="auto"/>
              </w:rPr>
              <w:t>(63 )</w:t>
            </w:r>
          </w:p>
        </w:tc>
        <w:tc>
          <w:tcPr>
            <w:tcW w:w="2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140" w:type="dxa"/>
            <w:vAlign w:val="bottom"/>
            <w:shd w:val="clear" w:color="auto" w:fill="CFF0FC"/>
          </w:tcPr>
          <w:p>
            <w:pPr>
              <w:spacing w:after="0"/>
              <w:rPr>
                <w:sz w:val="18"/>
                <w:szCs w:val="18"/>
                <w:color w:val="auto"/>
              </w:rPr>
            </w:pPr>
          </w:p>
        </w:tc>
      </w:tr>
      <w:tr>
        <w:trPr>
          <w:trHeight w:val="216"/>
        </w:trPr>
        <w:tc>
          <w:tcPr>
            <w:tcW w:w="7560" w:type="dxa"/>
            <w:vAlign w:val="bottom"/>
          </w:tcPr>
          <w:p>
            <w:pPr>
              <w:ind w:left="480"/>
              <w:spacing w:after="0"/>
              <w:rPr>
                <w:sz w:val="20"/>
                <w:szCs w:val="20"/>
                <w:color w:val="auto"/>
              </w:rPr>
            </w:pPr>
            <w:r>
              <w:rPr>
                <w:rFonts w:ascii="Arial" w:cs="Arial" w:eastAsia="Arial" w:hAnsi="Arial"/>
                <w:sz w:val="16"/>
                <w:szCs w:val="16"/>
                <w:color w:val="auto"/>
              </w:rPr>
              <w:t>Other</w:t>
            </w:r>
          </w:p>
        </w:tc>
        <w:tc>
          <w:tcPr>
            <w:tcW w:w="10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w:t>
            </w:r>
          </w:p>
        </w:tc>
        <w:tc>
          <w:tcPr>
            <w:tcW w:w="3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40" w:type="dxa"/>
            <w:vAlign w:val="bottom"/>
          </w:tcPr>
          <w:p>
            <w:pPr>
              <w:spacing w:after="0"/>
              <w:rPr>
                <w:sz w:val="18"/>
                <w:szCs w:val="18"/>
                <w:color w:val="auto"/>
              </w:rPr>
            </w:pPr>
          </w:p>
        </w:tc>
      </w:tr>
      <w:tr>
        <w:trPr>
          <w:trHeight w:val="210"/>
        </w:trPr>
        <w:tc>
          <w:tcPr>
            <w:tcW w:w="7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104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1,938</w:t>
            </w:r>
          </w:p>
        </w:tc>
        <w:tc>
          <w:tcPr>
            <w:tcW w:w="3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539</w:t>
            </w:r>
          </w:p>
        </w:tc>
        <w:tc>
          <w:tcPr>
            <w:tcW w:w="140" w:type="dxa"/>
            <w:vAlign w:val="bottom"/>
            <w:tcBorders>
              <w:bottom w:val="single" w:sz="8" w:color="CFF0FC"/>
            </w:tcBorders>
            <w:shd w:val="clear" w:color="auto" w:fill="CFF0FC"/>
          </w:tcPr>
          <w:p>
            <w:pPr>
              <w:spacing w:after="0"/>
              <w:rPr>
                <w:sz w:val="18"/>
                <w:szCs w:val="18"/>
                <w:color w:val="auto"/>
              </w:rPr>
            </w:pPr>
          </w:p>
        </w:tc>
      </w:tr>
      <w:tr>
        <w:trPr>
          <w:trHeight w:val="206"/>
        </w:trPr>
        <w:tc>
          <w:tcPr>
            <w:tcW w:w="756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9"/>
        </w:trPr>
        <w:tc>
          <w:tcPr>
            <w:tcW w:w="7560" w:type="dxa"/>
            <w:vAlign w:val="bottom"/>
            <w:shd w:val="clear" w:color="auto" w:fill="CFF0FC"/>
          </w:tcPr>
          <w:p>
            <w:pPr>
              <w:ind w:left="300"/>
              <w:spacing w:after="0"/>
              <w:rPr>
                <w:sz w:val="20"/>
                <w:szCs w:val="20"/>
                <w:color w:val="auto"/>
              </w:rPr>
            </w:pPr>
            <w:r>
              <w:rPr>
                <w:rFonts w:ascii="Arial" w:cs="Arial" w:eastAsia="Arial" w:hAnsi="Arial"/>
                <w:sz w:val="16"/>
                <w:szCs w:val="16"/>
                <w:color w:val="auto"/>
              </w:rPr>
              <w:t>Capital expenditures</w:t>
            </w:r>
          </w:p>
        </w:tc>
        <w:tc>
          <w:tcPr>
            <w:tcW w:w="10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99"/>
              <w:spacing w:after="0"/>
              <w:rPr>
                <w:sz w:val="20"/>
                <w:szCs w:val="20"/>
                <w:color w:val="auto"/>
              </w:rPr>
            </w:pPr>
            <w:r>
              <w:rPr>
                <w:rFonts w:ascii="Arial" w:cs="Arial" w:eastAsia="Arial" w:hAnsi="Arial"/>
                <w:sz w:val="16"/>
                <w:szCs w:val="16"/>
                <w:b w:val="1"/>
                <w:bCs w:val="1"/>
                <w:color w:val="auto"/>
              </w:rPr>
              <w:t>(881 )</w:t>
            </w:r>
          </w:p>
        </w:tc>
        <w:tc>
          <w:tcPr>
            <w:tcW w:w="2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(664 )</w:t>
            </w:r>
          </w:p>
        </w:tc>
      </w:tr>
      <w:tr>
        <w:trPr>
          <w:trHeight w:val="216"/>
        </w:trPr>
        <w:tc>
          <w:tcPr>
            <w:tcW w:w="7560" w:type="dxa"/>
            <w:vAlign w:val="bottom"/>
          </w:tcPr>
          <w:p>
            <w:pPr>
              <w:ind w:left="300"/>
              <w:spacing w:after="0"/>
              <w:rPr>
                <w:sz w:val="20"/>
                <w:szCs w:val="20"/>
                <w:color w:val="auto"/>
              </w:rPr>
            </w:pPr>
            <w:r>
              <w:rPr>
                <w:rFonts w:ascii="Arial" w:cs="Arial" w:eastAsia="Arial" w:hAnsi="Arial"/>
                <w:sz w:val="16"/>
                <w:szCs w:val="16"/>
                <w:color w:val="auto"/>
              </w:rPr>
              <w:t>APS investments</w:t>
            </w:r>
          </w:p>
        </w:tc>
        <w:tc>
          <w:tcPr>
            <w:tcW w:w="1040" w:type="dxa"/>
            <w:vAlign w:val="bottom"/>
          </w:tcPr>
          <w:p>
            <w:pPr>
              <w:spacing w:after="0"/>
              <w:rPr>
                <w:sz w:val="18"/>
                <w:szCs w:val="18"/>
                <w:color w:val="auto"/>
              </w:rPr>
            </w:pPr>
          </w:p>
        </w:tc>
        <w:tc>
          <w:tcPr>
            <w:tcW w:w="900" w:type="dxa"/>
            <w:vAlign w:val="bottom"/>
            <w:gridSpan w:val="2"/>
          </w:tcPr>
          <w:p>
            <w:pPr>
              <w:jc w:val="right"/>
              <w:ind w:right="199"/>
              <w:spacing w:after="0"/>
              <w:rPr>
                <w:sz w:val="20"/>
                <w:szCs w:val="20"/>
                <w:color w:val="auto"/>
              </w:rPr>
            </w:pPr>
            <w:r>
              <w:rPr>
                <w:rFonts w:ascii="Arial" w:cs="Arial" w:eastAsia="Arial" w:hAnsi="Arial"/>
                <w:sz w:val="16"/>
                <w:szCs w:val="16"/>
                <w:b w:val="1"/>
                <w:bCs w:val="1"/>
                <w:color w:val="auto"/>
              </w:rPr>
              <w:t>(253 )</w:t>
            </w:r>
          </w:p>
        </w:tc>
        <w:tc>
          <w:tcPr>
            <w:tcW w:w="26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6"/>
                <w:szCs w:val="16"/>
                <w:color w:val="auto"/>
              </w:rPr>
              <w:t>(311 )</w:t>
            </w:r>
          </w:p>
        </w:tc>
      </w:tr>
      <w:tr>
        <w:trPr>
          <w:trHeight w:val="216"/>
        </w:trPr>
        <w:tc>
          <w:tcPr>
            <w:tcW w:w="7560" w:type="dxa"/>
            <w:vAlign w:val="bottom"/>
            <w:shd w:val="clear" w:color="auto" w:fill="CFF0FC"/>
          </w:tcPr>
          <w:p>
            <w:pPr>
              <w:ind w:left="300"/>
              <w:spacing w:after="0"/>
              <w:rPr>
                <w:sz w:val="20"/>
                <w:szCs w:val="20"/>
                <w:color w:val="auto"/>
              </w:rPr>
            </w:pPr>
            <w:r>
              <w:rPr>
                <w:rFonts w:ascii="Arial" w:cs="Arial" w:eastAsia="Arial" w:hAnsi="Arial"/>
                <w:sz w:val="16"/>
                <w:szCs w:val="16"/>
                <w:color w:val="auto"/>
              </w:rPr>
              <w:t>Exploration data costs capitalized</w:t>
            </w:r>
          </w:p>
        </w:tc>
        <w:tc>
          <w:tcPr>
            <w:tcW w:w="10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99"/>
              <w:spacing w:after="0"/>
              <w:rPr>
                <w:sz w:val="20"/>
                <w:szCs w:val="20"/>
                <w:color w:val="auto"/>
              </w:rPr>
            </w:pPr>
            <w:r>
              <w:rPr>
                <w:rFonts w:ascii="Arial" w:cs="Arial" w:eastAsia="Arial" w:hAnsi="Arial"/>
                <w:sz w:val="16"/>
                <w:szCs w:val="16"/>
                <w:b w:val="1"/>
                <w:bCs w:val="1"/>
                <w:color w:val="auto"/>
              </w:rPr>
              <w:t>(83 )</w:t>
            </w:r>
          </w:p>
        </w:tc>
        <w:tc>
          <w:tcPr>
            <w:tcW w:w="2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(64 )</w:t>
            </w:r>
          </w:p>
        </w:tc>
      </w:tr>
      <w:tr>
        <w:trPr>
          <w:trHeight w:val="216"/>
        </w:trPr>
        <w:tc>
          <w:tcPr>
            <w:tcW w:w="7560" w:type="dxa"/>
            <w:vAlign w:val="bottom"/>
          </w:tcPr>
          <w:p>
            <w:pPr>
              <w:ind w:left="300"/>
              <w:spacing w:after="0"/>
              <w:rPr>
                <w:sz w:val="20"/>
                <w:szCs w:val="20"/>
                <w:color w:val="auto"/>
              </w:rPr>
            </w:pPr>
            <w:r>
              <w:rPr>
                <w:rFonts w:ascii="Arial" w:cs="Arial" w:eastAsia="Arial" w:hAnsi="Arial"/>
                <w:sz w:val="16"/>
                <w:szCs w:val="16"/>
                <w:color w:val="auto"/>
              </w:rPr>
              <w:t>Business acquisitions and investments, net of cash acquired</w:t>
            </w:r>
          </w:p>
        </w:tc>
        <w:tc>
          <w:tcPr>
            <w:tcW w:w="1040" w:type="dxa"/>
            <w:vAlign w:val="bottom"/>
          </w:tcPr>
          <w:p>
            <w:pPr>
              <w:spacing w:after="0"/>
              <w:rPr>
                <w:sz w:val="18"/>
                <w:szCs w:val="18"/>
                <w:color w:val="auto"/>
              </w:rPr>
            </w:pPr>
          </w:p>
        </w:tc>
        <w:tc>
          <w:tcPr>
            <w:tcW w:w="900" w:type="dxa"/>
            <w:vAlign w:val="bottom"/>
            <w:gridSpan w:val="2"/>
          </w:tcPr>
          <w:p>
            <w:pPr>
              <w:jc w:val="right"/>
              <w:ind w:right="199"/>
              <w:spacing w:after="0"/>
              <w:rPr>
                <w:sz w:val="20"/>
                <w:szCs w:val="20"/>
                <w:color w:val="auto"/>
              </w:rPr>
            </w:pPr>
            <w:r>
              <w:rPr>
                <w:rFonts w:ascii="Arial" w:cs="Arial" w:eastAsia="Arial" w:hAnsi="Arial"/>
                <w:sz w:val="16"/>
                <w:szCs w:val="16"/>
                <w:b w:val="1"/>
                <w:bCs w:val="1"/>
                <w:color w:val="auto"/>
              </w:rPr>
              <w:t>(262 )</w:t>
            </w:r>
          </w:p>
        </w:tc>
        <w:tc>
          <w:tcPr>
            <w:tcW w:w="26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6"/>
                <w:szCs w:val="16"/>
                <w:color w:val="auto"/>
              </w:rPr>
              <w:t>(8 )</w:t>
            </w:r>
          </w:p>
        </w:tc>
      </w:tr>
      <w:tr>
        <w:trPr>
          <w:trHeight w:val="216"/>
        </w:trPr>
        <w:tc>
          <w:tcPr>
            <w:tcW w:w="7560" w:type="dxa"/>
            <w:vAlign w:val="bottom"/>
            <w:shd w:val="clear" w:color="auto" w:fill="CFF0FC"/>
          </w:tcPr>
          <w:p>
            <w:pPr>
              <w:ind w:left="300"/>
              <w:spacing w:after="0"/>
              <w:rPr>
                <w:sz w:val="20"/>
                <w:szCs w:val="20"/>
                <w:color w:val="auto"/>
              </w:rPr>
            </w:pPr>
            <w:r>
              <w:rPr>
                <w:rFonts w:ascii="Arial" w:cs="Arial" w:eastAsia="Arial" w:hAnsi="Arial"/>
                <w:sz w:val="16"/>
                <w:szCs w:val="16"/>
                <w:color w:val="auto"/>
              </w:rPr>
              <w:t>Proceeds from sale of Liberty shares</w:t>
            </w:r>
          </w:p>
        </w:tc>
        <w:tc>
          <w:tcPr>
            <w:tcW w:w="104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137</w:t>
            </w: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513</w:t>
            </w:r>
          </w:p>
        </w:tc>
        <w:tc>
          <w:tcPr>
            <w:tcW w:w="140" w:type="dxa"/>
            <w:vAlign w:val="bottom"/>
            <w:shd w:val="clear" w:color="auto" w:fill="CFF0FC"/>
          </w:tcPr>
          <w:p>
            <w:pPr>
              <w:spacing w:after="0"/>
              <w:rPr>
                <w:sz w:val="18"/>
                <w:szCs w:val="18"/>
                <w:color w:val="auto"/>
              </w:rPr>
            </w:pPr>
          </w:p>
        </w:tc>
      </w:tr>
      <w:tr>
        <w:trPr>
          <w:trHeight w:val="216"/>
        </w:trPr>
        <w:tc>
          <w:tcPr>
            <w:tcW w:w="7560" w:type="dxa"/>
            <w:vAlign w:val="bottom"/>
          </w:tcPr>
          <w:p>
            <w:pPr>
              <w:ind w:left="300"/>
              <w:spacing w:after="0"/>
              <w:rPr>
                <w:sz w:val="20"/>
                <w:szCs w:val="20"/>
                <w:color w:val="auto"/>
              </w:rPr>
            </w:pPr>
            <w:r>
              <w:rPr>
                <w:rFonts w:ascii="Arial" w:cs="Arial" w:eastAsia="Arial" w:hAnsi="Arial"/>
                <w:sz w:val="16"/>
                <w:szCs w:val="16"/>
                <w:color w:val="auto"/>
              </w:rPr>
              <w:t>Proceeds from sale of real estate</w:t>
            </w: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120</w:t>
            </w:r>
          </w:p>
        </w:tc>
        <w:tc>
          <w:tcPr>
            <w:tcW w:w="140" w:type="dxa"/>
            <w:vAlign w:val="bottom"/>
          </w:tcPr>
          <w:p>
            <w:pPr>
              <w:spacing w:after="0"/>
              <w:rPr>
                <w:sz w:val="18"/>
                <w:szCs w:val="18"/>
                <w:color w:val="auto"/>
              </w:rPr>
            </w:pPr>
          </w:p>
        </w:tc>
      </w:tr>
      <w:tr>
        <w:trPr>
          <w:trHeight w:val="216"/>
        </w:trPr>
        <w:tc>
          <w:tcPr>
            <w:tcW w:w="7560" w:type="dxa"/>
            <w:vAlign w:val="bottom"/>
            <w:shd w:val="clear" w:color="auto" w:fill="CFF0FC"/>
          </w:tcPr>
          <w:p>
            <w:pPr>
              <w:ind w:left="300"/>
              <w:spacing w:after="0"/>
              <w:rPr>
                <w:sz w:val="20"/>
                <w:szCs w:val="20"/>
                <w:color w:val="auto"/>
              </w:rPr>
            </w:pPr>
            <w:r>
              <w:rPr>
                <w:rFonts w:ascii="Arial" w:cs="Arial" w:eastAsia="Arial" w:hAnsi="Arial"/>
                <w:sz w:val="16"/>
                <w:szCs w:val="16"/>
                <w:color w:val="auto"/>
              </w:rPr>
              <w:t>(Purchase) sale of short-term investments, net</w:t>
            </w:r>
          </w:p>
        </w:tc>
        <w:tc>
          <w:tcPr>
            <w:tcW w:w="10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99"/>
              <w:spacing w:after="0"/>
              <w:rPr>
                <w:sz w:val="20"/>
                <w:szCs w:val="20"/>
                <w:color w:val="auto"/>
              </w:rPr>
            </w:pPr>
            <w:r>
              <w:rPr>
                <w:rFonts w:ascii="Arial" w:cs="Arial" w:eastAsia="Arial" w:hAnsi="Arial"/>
                <w:sz w:val="16"/>
                <w:szCs w:val="16"/>
                <w:b w:val="1"/>
                <w:bCs w:val="1"/>
                <w:color w:val="auto"/>
              </w:rPr>
              <w:t>(24 )</w:t>
            </w:r>
          </w:p>
        </w:tc>
        <w:tc>
          <w:tcPr>
            <w:tcW w:w="2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457</w:t>
            </w:r>
          </w:p>
        </w:tc>
        <w:tc>
          <w:tcPr>
            <w:tcW w:w="140" w:type="dxa"/>
            <w:vAlign w:val="bottom"/>
            <w:shd w:val="clear" w:color="auto" w:fill="CFF0FC"/>
          </w:tcPr>
          <w:p>
            <w:pPr>
              <w:spacing w:after="0"/>
              <w:rPr>
                <w:sz w:val="18"/>
                <w:szCs w:val="18"/>
                <w:color w:val="auto"/>
              </w:rPr>
            </w:pPr>
          </w:p>
        </w:tc>
      </w:tr>
      <w:tr>
        <w:trPr>
          <w:trHeight w:val="216"/>
        </w:trPr>
        <w:tc>
          <w:tcPr>
            <w:tcW w:w="7560" w:type="dxa"/>
            <w:vAlign w:val="bottom"/>
          </w:tcPr>
          <w:p>
            <w:pPr>
              <w:ind w:left="300"/>
              <w:spacing w:after="0"/>
              <w:rPr>
                <w:sz w:val="20"/>
                <w:szCs w:val="20"/>
                <w:color w:val="auto"/>
              </w:rPr>
            </w:pPr>
            <w:r>
              <w:rPr>
                <w:rFonts w:ascii="Arial" w:cs="Arial" w:eastAsia="Arial" w:hAnsi="Arial"/>
                <w:sz w:val="16"/>
                <w:szCs w:val="16"/>
                <w:color w:val="auto"/>
              </w:rPr>
              <w:t>Other</w:t>
            </w:r>
          </w:p>
        </w:tc>
        <w:tc>
          <w:tcPr>
            <w:tcW w:w="1040" w:type="dxa"/>
            <w:vAlign w:val="bottom"/>
          </w:tcPr>
          <w:p>
            <w:pPr>
              <w:spacing w:after="0"/>
              <w:rPr>
                <w:sz w:val="18"/>
                <w:szCs w:val="18"/>
                <w:color w:val="auto"/>
              </w:rPr>
            </w:pPr>
          </w:p>
        </w:tc>
        <w:tc>
          <w:tcPr>
            <w:tcW w:w="900" w:type="dxa"/>
            <w:vAlign w:val="bottom"/>
            <w:gridSpan w:val="2"/>
          </w:tcPr>
          <w:p>
            <w:pPr>
              <w:jc w:val="right"/>
              <w:ind w:right="199"/>
              <w:spacing w:after="0"/>
              <w:rPr>
                <w:sz w:val="20"/>
                <w:szCs w:val="20"/>
                <w:color w:val="auto"/>
              </w:rPr>
            </w:pPr>
            <w:r>
              <w:rPr>
                <w:rFonts w:ascii="Arial" w:cs="Arial" w:eastAsia="Arial" w:hAnsi="Arial"/>
                <w:sz w:val="16"/>
                <w:szCs w:val="16"/>
                <w:b w:val="1"/>
                <w:bCs w:val="1"/>
                <w:color w:val="auto"/>
              </w:rPr>
              <w:t>(164 )</w:t>
            </w:r>
          </w:p>
        </w:tc>
        <w:tc>
          <w:tcPr>
            <w:tcW w:w="26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6"/>
                <w:szCs w:val="16"/>
                <w:color w:val="auto"/>
              </w:rPr>
              <w:t>(76 )</w:t>
            </w:r>
          </w:p>
        </w:tc>
      </w:tr>
      <w:tr>
        <w:trPr>
          <w:trHeight w:val="20"/>
        </w:trPr>
        <w:tc>
          <w:tcPr>
            <w:tcW w:w="75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75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CASH USED IN INVESTING ACTIVITIES</w:t>
            </w:r>
          </w:p>
        </w:tc>
        <w:tc>
          <w:tcPr>
            <w:tcW w:w="104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(1,530</w:t>
            </w:r>
          </w:p>
        </w:tc>
        <w:tc>
          <w:tcPr>
            <w:tcW w:w="360" w:type="dxa"/>
            <w:vAlign w:val="bottom"/>
            <w:shd w:val="clear" w:color="auto" w:fill="CFF0FC"/>
          </w:tcPr>
          <w:p>
            <w:pPr>
              <w:jc w:val="right"/>
              <w:ind w:right="199"/>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(33 )</w:t>
            </w:r>
          </w:p>
        </w:tc>
      </w:tr>
      <w:tr>
        <w:trPr>
          <w:trHeight w:val="207"/>
        </w:trPr>
        <w:tc>
          <w:tcPr>
            <w:tcW w:w="756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rPr>
              <w:t>Cash flows from financing activities:</w:t>
            </w:r>
          </w:p>
        </w:tc>
        <w:tc>
          <w:tcPr>
            <w:tcW w:w="10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36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r>
      <w:tr>
        <w:trPr>
          <w:trHeight w:val="219"/>
        </w:trPr>
        <w:tc>
          <w:tcPr>
            <w:tcW w:w="7560" w:type="dxa"/>
            <w:vAlign w:val="bottom"/>
            <w:shd w:val="clear" w:color="auto" w:fill="CFF0FC"/>
          </w:tcPr>
          <w:p>
            <w:pPr>
              <w:ind w:left="300"/>
              <w:spacing w:after="0"/>
              <w:rPr>
                <w:sz w:val="20"/>
                <w:szCs w:val="20"/>
                <w:color w:val="auto"/>
              </w:rPr>
            </w:pPr>
            <w:r>
              <w:rPr>
                <w:rFonts w:ascii="Arial" w:cs="Arial" w:eastAsia="Arial" w:hAnsi="Arial"/>
                <w:sz w:val="16"/>
                <w:szCs w:val="16"/>
                <w:color w:val="auto"/>
              </w:rPr>
              <w:t>Dividends paid</w:t>
            </w:r>
          </w:p>
        </w:tc>
        <w:tc>
          <w:tcPr>
            <w:tcW w:w="10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99"/>
              <w:spacing w:after="0"/>
              <w:rPr>
                <w:sz w:val="20"/>
                <w:szCs w:val="20"/>
                <w:color w:val="auto"/>
              </w:rPr>
            </w:pPr>
            <w:r>
              <w:rPr>
                <w:rFonts w:ascii="Arial" w:cs="Arial" w:eastAsia="Arial" w:hAnsi="Arial"/>
                <w:sz w:val="16"/>
                <w:szCs w:val="16"/>
                <w:b w:val="1"/>
                <w:bCs w:val="1"/>
                <w:color w:val="auto"/>
              </w:rPr>
              <w:t>(605 )</w:t>
            </w:r>
          </w:p>
        </w:tc>
        <w:tc>
          <w:tcPr>
            <w:tcW w:w="2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(352 )</w:t>
            </w:r>
          </w:p>
        </w:tc>
      </w:tr>
      <w:tr>
        <w:trPr>
          <w:trHeight w:val="216"/>
        </w:trPr>
        <w:tc>
          <w:tcPr>
            <w:tcW w:w="7560" w:type="dxa"/>
            <w:vAlign w:val="bottom"/>
          </w:tcPr>
          <w:p>
            <w:pPr>
              <w:ind w:left="300"/>
              <w:spacing w:after="0"/>
              <w:rPr>
                <w:sz w:val="20"/>
                <w:szCs w:val="20"/>
                <w:color w:val="auto"/>
              </w:rPr>
            </w:pPr>
            <w:r>
              <w:rPr>
                <w:rFonts w:ascii="Arial" w:cs="Arial" w:eastAsia="Arial" w:hAnsi="Arial"/>
                <w:sz w:val="16"/>
                <w:szCs w:val="16"/>
                <w:color w:val="auto"/>
              </w:rPr>
              <w:t>Proceeds from employee stock purchase plan</w:t>
            </w: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86</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64</w:t>
            </w:r>
          </w:p>
        </w:tc>
        <w:tc>
          <w:tcPr>
            <w:tcW w:w="140" w:type="dxa"/>
            <w:vAlign w:val="bottom"/>
          </w:tcPr>
          <w:p>
            <w:pPr>
              <w:spacing w:after="0"/>
              <w:rPr>
                <w:sz w:val="18"/>
                <w:szCs w:val="18"/>
                <w:color w:val="auto"/>
              </w:rPr>
            </w:pPr>
          </w:p>
        </w:tc>
      </w:tr>
      <w:tr>
        <w:trPr>
          <w:trHeight w:val="216"/>
        </w:trPr>
        <w:tc>
          <w:tcPr>
            <w:tcW w:w="7560" w:type="dxa"/>
            <w:vAlign w:val="bottom"/>
            <w:shd w:val="clear" w:color="auto" w:fill="CFF0FC"/>
          </w:tcPr>
          <w:p>
            <w:pPr>
              <w:ind w:left="300"/>
              <w:spacing w:after="0"/>
              <w:rPr>
                <w:sz w:val="20"/>
                <w:szCs w:val="20"/>
                <w:color w:val="auto"/>
              </w:rPr>
            </w:pPr>
            <w:r>
              <w:rPr>
                <w:rFonts w:ascii="Arial" w:cs="Arial" w:eastAsia="Arial" w:hAnsi="Arial"/>
                <w:sz w:val="16"/>
                <w:szCs w:val="16"/>
                <w:color w:val="auto"/>
              </w:rPr>
              <w:t>Proceeds from exercise of stock options</w:t>
            </w:r>
          </w:p>
        </w:tc>
        <w:tc>
          <w:tcPr>
            <w:tcW w:w="104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38</w:t>
            </w: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w:t>
            </w:r>
          </w:p>
        </w:tc>
        <w:tc>
          <w:tcPr>
            <w:tcW w:w="140" w:type="dxa"/>
            <w:vAlign w:val="bottom"/>
            <w:shd w:val="clear" w:color="auto" w:fill="CFF0FC"/>
          </w:tcPr>
          <w:p>
            <w:pPr>
              <w:spacing w:after="0"/>
              <w:rPr>
                <w:sz w:val="18"/>
                <w:szCs w:val="18"/>
                <w:color w:val="auto"/>
              </w:rPr>
            </w:pPr>
          </w:p>
        </w:tc>
      </w:tr>
      <w:tr>
        <w:trPr>
          <w:trHeight w:val="216"/>
        </w:trPr>
        <w:tc>
          <w:tcPr>
            <w:tcW w:w="7560" w:type="dxa"/>
            <w:vAlign w:val="bottom"/>
          </w:tcPr>
          <w:p>
            <w:pPr>
              <w:ind w:left="300"/>
              <w:spacing w:after="0"/>
              <w:rPr>
                <w:sz w:val="20"/>
                <w:szCs w:val="20"/>
                <w:color w:val="auto"/>
              </w:rPr>
            </w:pPr>
            <w:r>
              <w:rPr>
                <w:rFonts w:ascii="Arial" w:cs="Arial" w:eastAsia="Arial" w:hAnsi="Arial"/>
                <w:sz w:val="16"/>
                <w:szCs w:val="16"/>
                <w:color w:val="auto"/>
              </w:rPr>
              <w:t>Stock repurchase program</w:t>
            </w:r>
          </w:p>
        </w:tc>
        <w:tc>
          <w:tcPr>
            <w:tcW w:w="1040" w:type="dxa"/>
            <w:vAlign w:val="bottom"/>
          </w:tcPr>
          <w:p>
            <w:pPr>
              <w:spacing w:after="0"/>
              <w:rPr>
                <w:sz w:val="18"/>
                <w:szCs w:val="18"/>
                <w:color w:val="auto"/>
              </w:rPr>
            </w:pPr>
          </w:p>
        </w:tc>
        <w:tc>
          <w:tcPr>
            <w:tcW w:w="900" w:type="dxa"/>
            <w:vAlign w:val="bottom"/>
            <w:gridSpan w:val="2"/>
          </w:tcPr>
          <w:p>
            <w:pPr>
              <w:jc w:val="right"/>
              <w:ind w:right="199"/>
              <w:spacing w:after="0"/>
              <w:rPr>
                <w:sz w:val="20"/>
                <w:szCs w:val="20"/>
                <w:color w:val="auto"/>
              </w:rPr>
            </w:pPr>
            <w:r>
              <w:rPr>
                <w:rFonts w:ascii="Arial" w:cs="Arial" w:eastAsia="Arial" w:hAnsi="Arial"/>
                <w:sz w:val="16"/>
                <w:szCs w:val="16"/>
                <w:b w:val="1"/>
                <w:bCs w:val="1"/>
                <w:color w:val="auto"/>
              </w:rPr>
              <w:t>(443 )</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r>
      <w:tr>
        <w:trPr>
          <w:trHeight w:val="216"/>
        </w:trPr>
        <w:tc>
          <w:tcPr>
            <w:tcW w:w="7560" w:type="dxa"/>
            <w:vAlign w:val="bottom"/>
            <w:shd w:val="clear" w:color="auto" w:fill="CFF0FC"/>
          </w:tcPr>
          <w:p>
            <w:pPr>
              <w:ind w:left="300"/>
              <w:spacing w:after="0"/>
              <w:rPr>
                <w:sz w:val="20"/>
                <w:szCs w:val="20"/>
                <w:color w:val="auto"/>
              </w:rPr>
            </w:pPr>
            <w:r>
              <w:rPr>
                <w:rFonts w:ascii="Arial" w:cs="Arial" w:eastAsia="Arial" w:hAnsi="Arial"/>
                <w:sz w:val="16"/>
                <w:szCs w:val="16"/>
                <w:color w:val="auto"/>
              </w:rPr>
              <w:t>Proceeds from issuance of long-term debt</w:t>
            </w:r>
          </w:p>
        </w:tc>
        <w:tc>
          <w:tcPr>
            <w:tcW w:w="104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992</w:t>
            </w: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r>
      <w:tr>
        <w:trPr>
          <w:trHeight w:val="216"/>
        </w:trPr>
        <w:tc>
          <w:tcPr>
            <w:tcW w:w="7560" w:type="dxa"/>
            <w:vAlign w:val="bottom"/>
          </w:tcPr>
          <w:p>
            <w:pPr>
              <w:ind w:left="300"/>
              <w:spacing w:after="0"/>
              <w:rPr>
                <w:sz w:val="20"/>
                <w:szCs w:val="20"/>
                <w:color w:val="auto"/>
              </w:rPr>
            </w:pPr>
            <w:r>
              <w:rPr>
                <w:rFonts w:ascii="Arial" w:cs="Arial" w:eastAsia="Arial" w:hAnsi="Arial"/>
                <w:sz w:val="16"/>
                <w:szCs w:val="16"/>
                <w:color w:val="auto"/>
              </w:rPr>
              <w:t>Net decrease in short-term borrowings</w:t>
            </w:r>
          </w:p>
        </w:tc>
        <w:tc>
          <w:tcPr>
            <w:tcW w:w="1040" w:type="dxa"/>
            <w:vAlign w:val="bottom"/>
          </w:tcPr>
          <w:p>
            <w:pPr>
              <w:spacing w:after="0"/>
              <w:rPr>
                <w:sz w:val="18"/>
                <w:szCs w:val="18"/>
                <w:color w:val="auto"/>
              </w:rPr>
            </w:pPr>
          </w:p>
        </w:tc>
        <w:tc>
          <w:tcPr>
            <w:tcW w:w="900" w:type="dxa"/>
            <w:vAlign w:val="bottom"/>
            <w:gridSpan w:val="2"/>
          </w:tcPr>
          <w:p>
            <w:pPr>
              <w:jc w:val="right"/>
              <w:ind w:right="199"/>
              <w:spacing w:after="0"/>
              <w:rPr>
                <w:sz w:val="20"/>
                <w:szCs w:val="20"/>
                <w:color w:val="auto"/>
              </w:rPr>
            </w:pPr>
            <w:r>
              <w:rPr>
                <w:rFonts w:ascii="Arial" w:cs="Arial" w:eastAsia="Arial" w:hAnsi="Arial"/>
                <w:sz w:val="16"/>
                <w:szCs w:val="16"/>
                <w:b w:val="1"/>
                <w:bCs w:val="1"/>
                <w:color w:val="auto"/>
              </w:rPr>
              <w:t>(48 )</w:t>
            </w:r>
          </w:p>
        </w:tc>
        <w:tc>
          <w:tcPr>
            <w:tcW w:w="26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6"/>
                <w:szCs w:val="16"/>
                <w:color w:val="auto"/>
              </w:rPr>
              <w:t>(11 )</w:t>
            </w:r>
          </w:p>
        </w:tc>
      </w:tr>
      <w:tr>
        <w:trPr>
          <w:trHeight w:val="216"/>
        </w:trPr>
        <w:tc>
          <w:tcPr>
            <w:tcW w:w="7560" w:type="dxa"/>
            <w:vAlign w:val="bottom"/>
            <w:shd w:val="clear" w:color="auto" w:fill="CFF0FC"/>
          </w:tcPr>
          <w:p>
            <w:pPr>
              <w:ind w:left="300"/>
              <w:spacing w:after="0"/>
              <w:rPr>
                <w:sz w:val="20"/>
                <w:szCs w:val="20"/>
                <w:color w:val="auto"/>
              </w:rPr>
            </w:pPr>
            <w:r>
              <w:rPr>
                <w:rFonts w:ascii="Arial" w:cs="Arial" w:eastAsia="Arial" w:hAnsi="Arial"/>
                <w:sz w:val="16"/>
                <w:szCs w:val="16"/>
                <w:color w:val="auto"/>
              </w:rPr>
              <w:t>Taxes paid on net settled stock-based compensation awards</w:t>
            </w:r>
          </w:p>
        </w:tc>
        <w:tc>
          <w:tcPr>
            <w:tcW w:w="10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99"/>
              <w:spacing w:after="0"/>
              <w:rPr>
                <w:sz w:val="20"/>
                <w:szCs w:val="20"/>
                <w:color w:val="auto"/>
              </w:rPr>
            </w:pPr>
            <w:r>
              <w:rPr>
                <w:rFonts w:ascii="Arial" w:cs="Arial" w:eastAsia="Arial" w:hAnsi="Arial"/>
                <w:sz w:val="16"/>
                <w:szCs w:val="16"/>
                <w:b w:val="1"/>
                <w:bCs w:val="1"/>
                <w:color w:val="auto"/>
              </w:rPr>
              <w:t>(144 )</w:t>
            </w:r>
          </w:p>
        </w:tc>
        <w:tc>
          <w:tcPr>
            <w:tcW w:w="2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(85 )</w:t>
            </w:r>
          </w:p>
        </w:tc>
      </w:tr>
      <w:tr>
        <w:trPr>
          <w:trHeight w:val="216"/>
        </w:trPr>
        <w:tc>
          <w:tcPr>
            <w:tcW w:w="7560" w:type="dxa"/>
            <w:vAlign w:val="bottom"/>
          </w:tcPr>
          <w:p>
            <w:pPr>
              <w:ind w:left="300"/>
              <w:spacing w:after="0"/>
              <w:rPr>
                <w:sz w:val="20"/>
                <w:szCs w:val="20"/>
                <w:color w:val="auto"/>
              </w:rPr>
            </w:pPr>
            <w:r>
              <w:rPr>
                <w:rFonts w:ascii="Arial" w:cs="Arial" w:eastAsia="Arial" w:hAnsi="Arial"/>
                <w:sz w:val="16"/>
                <w:szCs w:val="16"/>
                <w:color w:val="auto"/>
              </w:rPr>
              <w:t>Other</w:t>
            </w: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6"/>
                <w:szCs w:val="16"/>
                <w:color w:val="auto"/>
              </w:rPr>
              <w:t>(3 )</w:t>
            </w:r>
          </w:p>
        </w:tc>
      </w:tr>
      <w:tr>
        <w:trPr>
          <w:trHeight w:val="20"/>
        </w:trPr>
        <w:tc>
          <w:tcPr>
            <w:tcW w:w="75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75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CASH USED IN FINANCING ACTIVITIES</w:t>
            </w:r>
          </w:p>
        </w:tc>
        <w:tc>
          <w:tcPr>
            <w:tcW w:w="104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(121</w:t>
            </w:r>
          </w:p>
        </w:tc>
        <w:tc>
          <w:tcPr>
            <w:tcW w:w="360" w:type="dxa"/>
            <w:vAlign w:val="bottom"/>
            <w:shd w:val="clear" w:color="auto" w:fill="CFF0FC"/>
          </w:tcPr>
          <w:p>
            <w:pPr>
              <w:jc w:val="right"/>
              <w:ind w:right="199"/>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(358 )</w:t>
            </w:r>
          </w:p>
        </w:tc>
      </w:tr>
      <w:tr>
        <w:trPr>
          <w:trHeight w:val="210"/>
        </w:trPr>
        <w:tc>
          <w:tcPr>
            <w:tcW w:w="756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rPr>
              <w:t>Net increase in cash before translation effect</w:t>
            </w:r>
          </w:p>
        </w:tc>
        <w:tc>
          <w:tcPr>
            <w:tcW w:w="10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287</w:t>
            </w:r>
          </w:p>
        </w:tc>
        <w:tc>
          <w:tcPr>
            <w:tcW w:w="36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148</w:t>
            </w:r>
          </w:p>
        </w:tc>
        <w:tc>
          <w:tcPr>
            <w:tcW w:w="140" w:type="dxa"/>
            <w:vAlign w:val="bottom"/>
            <w:tcBorders>
              <w:top w:val="single" w:sz="8" w:color="CFF0FC"/>
            </w:tcBorders>
          </w:tcPr>
          <w:p>
            <w:pPr>
              <w:spacing w:after="0"/>
              <w:rPr>
                <w:sz w:val="18"/>
                <w:szCs w:val="18"/>
                <w:color w:val="auto"/>
              </w:rPr>
            </w:pPr>
          </w:p>
        </w:tc>
      </w:tr>
      <w:tr>
        <w:trPr>
          <w:trHeight w:val="216"/>
        </w:trPr>
        <w:tc>
          <w:tcPr>
            <w:tcW w:w="7560" w:type="dxa"/>
            <w:vAlign w:val="bottom"/>
            <w:shd w:val="clear" w:color="auto" w:fill="CFF0FC"/>
          </w:tcPr>
          <w:p>
            <w:pPr>
              <w:ind w:left="20"/>
              <w:spacing w:after="0"/>
              <w:rPr>
                <w:sz w:val="20"/>
                <w:szCs w:val="20"/>
                <w:color w:val="auto"/>
              </w:rPr>
            </w:pPr>
            <w:r>
              <w:rPr>
                <w:rFonts w:ascii="Arial" w:cs="Arial" w:eastAsia="Arial" w:hAnsi="Arial"/>
                <w:sz w:val="16"/>
                <w:szCs w:val="16"/>
                <w:color w:val="auto"/>
              </w:rPr>
              <w:t>Translation effect on cash</w:t>
            </w:r>
          </w:p>
        </w:tc>
        <w:tc>
          <w:tcPr>
            <w:tcW w:w="10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99"/>
              <w:spacing w:after="0"/>
              <w:rPr>
                <w:sz w:val="20"/>
                <w:szCs w:val="20"/>
                <w:color w:val="auto"/>
              </w:rPr>
            </w:pPr>
            <w:r>
              <w:rPr>
                <w:rFonts w:ascii="Arial" w:cs="Arial" w:eastAsia="Arial" w:hAnsi="Arial"/>
                <w:sz w:val="16"/>
                <w:szCs w:val="16"/>
                <w:b w:val="1"/>
                <w:bCs w:val="1"/>
                <w:color w:val="auto"/>
              </w:rPr>
              <w:t>(12 )</w:t>
            </w:r>
          </w:p>
        </w:tc>
        <w:tc>
          <w:tcPr>
            <w:tcW w:w="2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(12 )</w:t>
            </w:r>
          </w:p>
        </w:tc>
      </w:tr>
      <w:tr>
        <w:trPr>
          <w:trHeight w:val="216"/>
        </w:trPr>
        <w:tc>
          <w:tcPr>
            <w:tcW w:w="7560" w:type="dxa"/>
            <w:vAlign w:val="bottom"/>
          </w:tcPr>
          <w:p>
            <w:pPr>
              <w:ind w:left="20"/>
              <w:spacing w:after="0"/>
              <w:rPr>
                <w:sz w:val="20"/>
                <w:szCs w:val="20"/>
                <w:color w:val="auto"/>
              </w:rPr>
            </w:pPr>
            <w:r>
              <w:rPr>
                <w:rFonts w:ascii="Arial" w:cs="Arial" w:eastAsia="Arial" w:hAnsi="Arial"/>
                <w:sz w:val="16"/>
                <w:szCs w:val="16"/>
                <w:color w:val="auto"/>
              </w:rPr>
              <w:t>Cash, beginning of period</w:t>
            </w:r>
          </w:p>
        </w:tc>
        <w:tc>
          <w:tcPr>
            <w:tcW w:w="10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1,655</w:t>
            </w:r>
          </w:p>
        </w:tc>
        <w:tc>
          <w:tcPr>
            <w:tcW w:w="3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1,757</w:t>
            </w:r>
          </w:p>
        </w:tc>
        <w:tc>
          <w:tcPr>
            <w:tcW w:w="140" w:type="dxa"/>
            <w:vAlign w:val="bottom"/>
          </w:tcPr>
          <w:p>
            <w:pPr>
              <w:spacing w:after="0"/>
              <w:rPr>
                <w:sz w:val="18"/>
                <w:szCs w:val="18"/>
                <w:color w:val="auto"/>
              </w:rPr>
            </w:pPr>
          </w:p>
        </w:tc>
      </w:tr>
      <w:tr>
        <w:trPr>
          <w:trHeight w:val="249"/>
        </w:trPr>
        <w:tc>
          <w:tcPr>
            <w:tcW w:w="7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Cash, end of period</w:t>
            </w:r>
          </w:p>
        </w:tc>
        <w:tc>
          <w:tcPr>
            <w:tcW w:w="1040" w:type="dxa"/>
            <w:vAlign w:val="bottom"/>
            <w:tcBorders>
              <w:bottom w:val="single" w:sz="8" w:color="auto"/>
            </w:tcBorders>
            <w:shd w:val="clear" w:color="auto" w:fill="CFF0FC"/>
          </w:tcPr>
          <w:p>
            <w:pPr>
              <w:jc w:val="right"/>
              <w:ind w:right="859"/>
              <w:spacing w:after="0"/>
              <w:rPr>
                <w:sz w:val="20"/>
                <w:szCs w:val="20"/>
                <w:color w:val="auto"/>
              </w:rPr>
            </w:pPr>
            <w:r>
              <w:rPr>
                <w:rFonts w:ascii="Arial" w:cs="Arial" w:eastAsia="Arial" w:hAnsi="Arial"/>
                <w:sz w:val="16"/>
                <w:szCs w:val="16"/>
                <w:b w:val="1"/>
                <w:bCs w:val="1"/>
                <w:color w:val="auto"/>
                <w:w w:val="8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1,930</w:t>
            </w:r>
          </w:p>
        </w:tc>
        <w:tc>
          <w:tcPr>
            <w:tcW w:w="3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1,893</w:t>
            </w:r>
          </w:p>
        </w:tc>
        <w:tc>
          <w:tcPr>
            <w:tcW w:w="14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-3368040</wp:posOffset>
            </wp:positionV>
            <wp:extent cx="85725" cy="1454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-3368040</wp:posOffset>
            </wp:positionV>
            <wp:extent cx="85725" cy="1454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-1979295</wp:posOffset>
            </wp:positionV>
            <wp:extent cx="85725" cy="146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5725" cy="1460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-1979295</wp:posOffset>
            </wp:positionV>
            <wp:extent cx="85725" cy="146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5725" cy="14605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-590550</wp:posOffset>
            </wp:positionV>
            <wp:extent cx="85725" cy="146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5725" cy="1460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-590550</wp:posOffset>
            </wp:positionV>
            <wp:extent cx="85725" cy="146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5725" cy="14605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-24765</wp:posOffset>
            </wp:positionV>
            <wp:extent cx="8572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-7620</wp:posOffset>
            </wp:positionV>
            <wp:extent cx="857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60" w:lineRule="exact"/>
        <w:rPr>
          <w:sz w:val="20"/>
          <w:szCs w:val="20"/>
          <w:color w:val="auto"/>
        </w:rPr>
      </w:pPr>
    </w:p>
    <w:p>
      <w:pPr>
        <w:ind w:left="380" w:hanging="372"/>
        <w:spacing w:after="0"/>
        <w:tabs>
          <w:tab w:leader="none" w:pos="380" w:val="left"/>
        </w:tabs>
        <w:numPr>
          <w:ilvl w:val="0"/>
          <w:numId w:val="3"/>
        </w:numPr>
        <w:rPr>
          <w:rFonts w:ascii="Arial" w:cs="Arial" w:eastAsia="Arial" w:hAnsi="Arial"/>
          <w:sz w:val="19"/>
          <w:szCs w:val="19"/>
          <w:color w:val="auto"/>
          <w:vertAlign w:val="superscript"/>
        </w:rPr>
      </w:pPr>
      <w:r>
        <w:rPr>
          <w:rFonts w:ascii="Arial" w:cs="Arial" w:eastAsia="Arial" w:hAnsi="Arial"/>
          <w:sz w:val="14"/>
          <w:szCs w:val="14"/>
          <w:color w:val="auto"/>
        </w:rPr>
        <w:t>Includes depreciation of fixed assets and amortization of intangible assets, exploration data costs, and APS investments.</w:t>
      </w:r>
    </w:p>
    <w:p>
      <w:pPr>
        <w:spacing w:after="0" w:line="72" w:lineRule="exact"/>
        <w:rPr>
          <w:rFonts w:ascii="Arial" w:cs="Arial" w:eastAsia="Arial" w:hAnsi="Arial"/>
          <w:sz w:val="19"/>
          <w:szCs w:val="19"/>
          <w:color w:val="auto"/>
          <w:vertAlign w:val="superscript"/>
        </w:rPr>
      </w:pPr>
    </w:p>
    <w:p>
      <w:pPr>
        <w:ind w:left="380" w:hanging="372"/>
        <w:spacing w:after="0" w:line="231" w:lineRule="auto"/>
        <w:tabs>
          <w:tab w:leader="none" w:pos="380" w:val="left"/>
        </w:tabs>
        <w:numPr>
          <w:ilvl w:val="0"/>
          <w:numId w:val="3"/>
        </w:numPr>
        <w:rPr>
          <w:rFonts w:ascii="Arial" w:cs="Arial" w:eastAsia="Arial" w:hAnsi="Arial"/>
          <w:sz w:val="19"/>
          <w:szCs w:val="19"/>
          <w:color w:val="auto"/>
          <w:vertAlign w:val="superscript"/>
        </w:rPr>
      </w:pPr>
      <w:r>
        <w:rPr>
          <w:rFonts w:ascii="Arial" w:cs="Arial" w:eastAsia="Arial" w:hAnsi="Arial"/>
          <w:sz w:val="14"/>
          <w:szCs w:val="14"/>
          <w:color w:val="auto"/>
        </w:rPr>
        <w:t>Net of the effect of business acquisitions.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6"/>
          <w:szCs w:val="16"/>
          <w:b w:val="1"/>
          <w:bCs w:val="1"/>
          <w:u w:val="single" w:color="auto"/>
          <w:color w:val="auto"/>
        </w:rPr>
        <w:t>SCHLUMBERGER LIMITED AND SUBSIDIARIES</w:t>
      </w:r>
    </w:p>
    <w:p>
      <w:pPr>
        <w:spacing w:after="0" w:line="2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u w:val="single" w:color="auto"/>
          <w:color w:val="auto"/>
        </w:rPr>
        <w:t>CONSOLIDATED STATEMENT OF STOCKHOLDERS’ EQUITY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20" w:type="dxa"/>
            <w:vAlign w:val="bottom"/>
            <w:gridSpan w:val="11"/>
          </w:tcPr>
          <w:p>
            <w:pPr>
              <w:jc w:val="right"/>
              <w:ind w:right="140"/>
              <w:spacing w:after="0"/>
              <w:rPr>
                <w:sz w:val="20"/>
                <w:szCs w:val="20"/>
                <w:color w:val="auto"/>
              </w:rPr>
            </w:pPr>
            <w:r>
              <w:rPr>
                <w:rFonts w:ascii="Arial" w:cs="Arial" w:eastAsia="Arial" w:hAnsi="Arial"/>
                <w:sz w:val="14"/>
                <w:szCs w:val="14"/>
                <w:i w:val="1"/>
                <w:iCs w:val="1"/>
                <w:color w:val="auto"/>
              </w:rPr>
              <w:t>(Stated in millions, except per share amounts)</w:t>
            </w:r>
          </w:p>
        </w:tc>
        <w:tc>
          <w:tcPr>
            <w:tcW w:w="0" w:type="dxa"/>
            <w:vAlign w:val="bottom"/>
          </w:tcPr>
          <w:p>
            <w:pPr>
              <w:spacing w:after="0"/>
              <w:rPr>
                <w:sz w:val="1"/>
                <w:szCs w:val="1"/>
                <w:color w:val="auto"/>
              </w:rPr>
            </w:pPr>
          </w:p>
        </w:tc>
      </w:tr>
      <w:tr>
        <w:trPr>
          <w:trHeight w:val="377"/>
        </w:trPr>
        <w:tc>
          <w:tcPr>
            <w:tcW w:w="3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Accumulated</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3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Other</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3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5"/>
            <w:vMerge w:val="continue"/>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rPr>
              <w:t>Retained</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Comprehensive</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Noncontrolling</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January 1, 2023 – June 30, 2023</w:t>
            </w:r>
          </w:p>
        </w:tc>
        <w:tc>
          <w:tcPr>
            <w:tcW w:w="160" w:type="dxa"/>
            <w:vAlign w:val="bottom"/>
            <w:gridSpan w:val="2"/>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Issued</w:t>
            </w:r>
          </w:p>
        </w:tc>
        <w:tc>
          <w:tcPr>
            <w:tcW w:w="300" w:type="dxa"/>
            <w:vAlign w:val="bottom"/>
            <w:gridSpan w:val="2"/>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b w:val="1"/>
                <w:bCs w:val="1"/>
                <w:color w:val="auto"/>
              </w:rPr>
              <w:t>In Treasury</w:t>
            </w:r>
          </w:p>
        </w:tc>
        <w:tc>
          <w:tcPr>
            <w:tcW w:w="300" w:type="dxa"/>
            <w:vAlign w:val="bottom"/>
            <w:gridSpan w:val="2"/>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rPr>
              <w:t>Earnings</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7"/>
              </w:rPr>
              <w:t>Loss</w:t>
            </w: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Interests</w:t>
            </w: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68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Balance, January 1, 2023</w:t>
            </w: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11,837</w:t>
            </w:r>
          </w:p>
        </w:tc>
        <w:tc>
          <w:tcPr>
            <w:tcW w:w="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520" w:type="dxa"/>
            <w:vAlign w:val="bottom"/>
            <w:gridSpan w:val="2"/>
            <w:shd w:val="clear" w:color="auto" w:fill="CFF0FC"/>
          </w:tcPr>
          <w:p>
            <w:pPr>
              <w:jc w:val="right"/>
              <w:ind w:right="368"/>
              <w:spacing w:after="0"/>
              <w:rPr>
                <w:sz w:val="20"/>
                <w:szCs w:val="20"/>
                <w:color w:val="auto"/>
              </w:rPr>
            </w:pPr>
            <w:r>
              <w:rPr>
                <w:rFonts w:ascii="Arial" w:cs="Arial" w:eastAsia="Arial" w:hAnsi="Arial"/>
                <w:sz w:val="14"/>
                <w:szCs w:val="14"/>
                <w:color w:val="auto"/>
                <w:w w:val="76"/>
              </w:rPr>
              <w:t>$</w:t>
            </w:r>
          </w:p>
        </w:tc>
        <w:tc>
          <w:tcPr>
            <w:tcW w:w="760" w:type="dxa"/>
            <w:vAlign w:val="bottom"/>
            <w:gridSpan w:val="3"/>
            <w:shd w:val="clear" w:color="auto" w:fill="CFF0FC"/>
          </w:tcPr>
          <w:p>
            <w:pPr>
              <w:jc w:val="right"/>
              <w:ind w:right="240"/>
              <w:spacing w:after="0"/>
              <w:rPr>
                <w:sz w:val="20"/>
                <w:szCs w:val="20"/>
                <w:color w:val="auto"/>
              </w:rPr>
            </w:pPr>
            <w:r>
              <w:rPr>
                <w:rFonts w:ascii="Arial" w:cs="Arial" w:eastAsia="Arial" w:hAnsi="Arial"/>
                <w:sz w:val="14"/>
                <w:szCs w:val="14"/>
                <w:color w:val="auto"/>
              </w:rPr>
              <w:t>(1,016 )</w:t>
            </w:r>
          </w:p>
        </w:tc>
        <w:tc>
          <w:tcPr>
            <w:tcW w:w="1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10,719</w:t>
            </w:r>
          </w:p>
        </w:tc>
        <w:tc>
          <w:tcPr>
            <w:tcW w:w="280" w:type="dxa"/>
            <w:vAlign w:val="bottom"/>
            <w:shd w:val="clear" w:color="auto" w:fill="CFF0FC"/>
          </w:tcPr>
          <w:p>
            <w:pPr>
              <w:spacing w:after="0"/>
              <w:rPr>
                <w:sz w:val="15"/>
                <w:szCs w:val="15"/>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40" w:type="dxa"/>
            <w:vAlign w:val="bottom"/>
            <w:gridSpan w:val="3"/>
            <w:shd w:val="clear" w:color="auto" w:fill="CFF0FC"/>
          </w:tcPr>
          <w:p>
            <w:pPr>
              <w:jc w:val="right"/>
              <w:ind w:right="200"/>
              <w:spacing w:after="0"/>
              <w:rPr>
                <w:sz w:val="20"/>
                <w:szCs w:val="20"/>
                <w:color w:val="auto"/>
              </w:rPr>
            </w:pPr>
            <w:r>
              <w:rPr>
                <w:rFonts w:ascii="Arial" w:cs="Arial" w:eastAsia="Arial" w:hAnsi="Arial"/>
                <w:sz w:val="14"/>
                <w:szCs w:val="14"/>
                <w:color w:val="auto"/>
              </w:rPr>
              <w:t>(3,855 )</w:t>
            </w: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304</w:t>
            </w:r>
          </w:p>
        </w:tc>
        <w:tc>
          <w:tcPr>
            <w:tcW w:w="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17,989</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680" w:type="dxa"/>
            <w:vAlign w:val="bottom"/>
            <w:gridSpan w:val="3"/>
          </w:tcPr>
          <w:p>
            <w:pPr>
              <w:ind w:left="20"/>
              <w:spacing w:after="0"/>
              <w:rPr>
                <w:sz w:val="20"/>
                <w:szCs w:val="20"/>
                <w:color w:val="auto"/>
              </w:rPr>
            </w:pPr>
            <w:r>
              <w:rPr>
                <w:rFonts w:ascii="Arial" w:cs="Arial" w:eastAsia="Arial" w:hAnsi="Arial"/>
                <w:sz w:val="14"/>
                <w:szCs w:val="14"/>
                <w:color w:val="auto"/>
              </w:rPr>
              <w:t>Net income</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1,967</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23</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1,990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8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Currency translation adjustments</w:t>
            </w:r>
          </w:p>
        </w:tc>
        <w:tc>
          <w:tcPr>
            <w:tcW w:w="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40" w:type="dxa"/>
            <w:vAlign w:val="bottom"/>
            <w:gridSpan w:val="3"/>
            <w:shd w:val="clear" w:color="auto" w:fill="CFF0FC"/>
          </w:tcPr>
          <w:p>
            <w:pPr>
              <w:jc w:val="right"/>
              <w:ind w:right="200"/>
              <w:spacing w:after="0"/>
              <w:rPr>
                <w:sz w:val="20"/>
                <w:szCs w:val="20"/>
                <w:color w:val="auto"/>
              </w:rPr>
            </w:pPr>
            <w:r>
              <w:rPr>
                <w:rFonts w:ascii="Arial" w:cs="Arial" w:eastAsia="Arial" w:hAnsi="Arial"/>
                <w:sz w:val="14"/>
                <w:szCs w:val="14"/>
                <w:color w:val="auto"/>
              </w:rPr>
              <w:t>(77 )</w:t>
            </w: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(77 )</w:t>
            </w:r>
          </w:p>
        </w:tc>
        <w:tc>
          <w:tcPr>
            <w:tcW w:w="0" w:type="dxa"/>
            <w:vAlign w:val="bottom"/>
          </w:tcPr>
          <w:p>
            <w:pPr>
              <w:spacing w:after="0"/>
              <w:rPr>
                <w:sz w:val="1"/>
                <w:szCs w:val="1"/>
                <w:color w:val="auto"/>
              </w:rPr>
            </w:pPr>
          </w:p>
        </w:tc>
      </w:tr>
      <w:tr>
        <w:trPr>
          <w:trHeight w:val="189"/>
        </w:trPr>
        <w:tc>
          <w:tcPr>
            <w:tcW w:w="3680" w:type="dxa"/>
            <w:vAlign w:val="bottom"/>
            <w:gridSpan w:val="3"/>
          </w:tcPr>
          <w:p>
            <w:pPr>
              <w:ind w:left="20"/>
              <w:spacing w:after="0"/>
              <w:rPr>
                <w:sz w:val="20"/>
                <w:szCs w:val="20"/>
                <w:color w:val="auto"/>
              </w:rPr>
            </w:pPr>
            <w:r>
              <w:rPr>
                <w:rFonts w:ascii="Arial" w:cs="Arial" w:eastAsia="Arial" w:hAnsi="Arial"/>
                <w:sz w:val="14"/>
                <w:szCs w:val="14"/>
                <w:color w:val="auto"/>
              </w:rPr>
              <w:t>Changes in fair value of cash flow hedges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4"/>
                <w:szCs w:val="14"/>
                <w:color w:val="auto"/>
              </w:rPr>
              <w:t>58</w:t>
            </w: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58</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8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Pension and other postretirement benefit plans</w:t>
            </w:r>
          </w:p>
        </w:tc>
        <w:tc>
          <w:tcPr>
            <w:tcW w:w="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40" w:type="dxa"/>
            <w:vAlign w:val="bottom"/>
            <w:gridSpan w:val="3"/>
            <w:shd w:val="clear" w:color="auto" w:fill="CFF0FC"/>
          </w:tcPr>
          <w:p>
            <w:pPr>
              <w:jc w:val="right"/>
              <w:ind w:right="200"/>
              <w:spacing w:after="0"/>
              <w:rPr>
                <w:sz w:val="20"/>
                <w:szCs w:val="20"/>
                <w:color w:val="auto"/>
              </w:rPr>
            </w:pPr>
            <w:r>
              <w:rPr>
                <w:rFonts w:ascii="Arial" w:cs="Arial" w:eastAsia="Arial" w:hAnsi="Arial"/>
                <w:sz w:val="14"/>
                <w:szCs w:val="14"/>
                <w:color w:val="auto"/>
              </w:rPr>
              <w:t>(12 )</w:t>
            </w: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(12 )</w:t>
            </w:r>
          </w:p>
        </w:tc>
        <w:tc>
          <w:tcPr>
            <w:tcW w:w="0" w:type="dxa"/>
            <w:vAlign w:val="bottom"/>
          </w:tcPr>
          <w:p>
            <w:pPr>
              <w:spacing w:after="0"/>
              <w:rPr>
                <w:sz w:val="1"/>
                <w:szCs w:val="1"/>
                <w:color w:val="auto"/>
              </w:rPr>
            </w:pPr>
          </w:p>
        </w:tc>
      </w:tr>
      <w:tr>
        <w:trPr>
          <w:trHeight w:val="189"/>
        </w:trPr>
        <w:tc>
          <w:tcPr>
            <w:tcW w:w="3680" w:type="dxa"/>
            <w:vAlign w:val="bottom"/>
            <w:gridSpan w:val="3"/>
          </w:tcPr>
          <w:p>
            <w:pPr>
              <w:ind w:left="20"/>
              <w:spacing w:after="0"/>
              <w:rPr>
                <w:sz w:val="20"/>
                <w:szCs w:val="20"/>
                <w:color w:val="auto"/>
              </w:rPr>
            </w:pPr>
            <w:r>
              <w:rPr>
                <w:rFonts w:ascii="Arial" w:cs="Arial" w:eastAsia="Arial" w:hAnsi="Arial"/>
                <w:sz w:val="14"/>
                <w:szCs w:val="14"/>
                <w:color w:val="auto"/>
              </w:rPr>
              <w:t>Shares sold to optionees, less shares exchanged</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4"/>
                <w:szCs w:val="14"/>
                <w:color w:val="auto"/>
              </w:rPr>
              <w:t>(31 )</w:t>
            </w: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69</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38</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8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Vesting of restricted stock, net of taxes withheld</w:t>
            </w:r>
          </w:p>
        </w:tc>
        <w:tc>
          <w:tcPr>
            <w:tcW w:w="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40" w:type="dxa"/>
            <w:vAlign w:val="bottom"/>
            <w:gridSpan w:val="3"/>
            <w:shd w:val="clear" w:color="auto" w:fill="CFF0FC"/>
          </w:tcPr>
          <w:p>
            <w:pPr>
              <w:jc w:val="right"/>
              <w:ind w:right="240"/>
              <w:spacing w:after="0"/>
              <w:rPr>
                <w:sz w:val="20"/>
                <w:szCs w:val="20"/>
                <w:color w:val="auto"/>
              </w:rPr>
            </w:pPr>
            <w:r>
              <w:rPr>
                <w:rFonts w:ascii="Arial" w:cs="Arial" w:eastAsia="Arial" w:hAnsi="Arial"/>
                <w:sz w:val="14"/>
                <w:szCs w:val="14"/>
                <w:color w:val="auto"/>
              </w:rPr>
              <w:t>(573 )</w:t>
            </w:r>
          </w:p>
        </w:tc>
        <w:tc>
          <w:tcPr>
            <w:tcW w:w="4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429</w:t>
            </w:r>
          </w:p>
        </w:tc>
        <w:tc>
          <w:tcPr>
            <w:tcW w:w="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(144 )</w:t>
            </w:r>
          </w:p>
        </w:tc>
        <w:tc>
          <w:tcPr>
            <w:tcW w:w="0" w:type="dxa"/>
            <w:vAlign w:val="bottom"/>
          </w:tcPr>
          <w:p>
            <w:pPr>
              <w:spacing w:after="0"/>
              <w:rPr>
                <w:sz w:val="1"/>
                <w:szCs w:val="1"/>
                <w:color w:val="auto"/>
              </w:rPr>
            </w:pPr>
          </w:p>
        </w:tc>
      </w:tr>
      <w:tr>
        <w:trPr>
          <w:trHeight w:val="189"/>
        </w:trPr>
        <w:tc>
          <w:tcPr>
            <w:tcW w:w="3680" w:type="dxa"/>
            <w:vAlign w:val="bottom"/>
            <w:gridSpan w:val="3"/>
          </w:tcPr>
          <w:p>
            <w:pPr>
              <w:ind w:left="20"/>
              <w:spacing w:after="0"/>
              <w:rPr>
                <w:sz w:val="20"/>
                <w:szCs w:val="20"/>
                <w:color w:val="auto"/>
              </w:rPr>
            </w:pPr>
            <w:r>
              <w:rPr>
                <w:rFonts w:ascii="Arial" w:cs="Arial" w:eastAsia="Arial" w:hAnsi="Arial"/>
                <w:sz w:val="14"/>
                <w:szCs w:val="14"/>
                <w:color w:val="auto"/>
              </w:rPr>
              <w:t>Employee stock purchase plan</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4"/>
                <w:szCs w:val="14"/>
                <w:color w:val="auto"/>
              </w:rPr>
              <w:t>(123 )</w:t>
            </w: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209</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86</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8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Stock repurchase program</w:t>
            </w:r>
          </w:p>
        </w:tc>
        <w:tc>
          <w:tcPr>
            <w:tcW w:w="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760" w:type="dxa"/>
            <w:vAlign w:val="bottom"/>
            <w:gridSpan w:val="3"/>
            <w:shd w:val="clear" w:color="auto" w:fill="CFF0FC"/>
          </w:tcPr>
          <w:p>
            <w:pPr>
              <w:jc w:val="right"/>
              <w:ind w:right="240"/>
              <w:spacing w:after="0"/>
              <w:rPr>
                <w:sz w:val="20"/>
                <w:szCs w:val="20"/>
                <w:color w:val="auto"/>
              </w:rPr>
            </w:pPr>
            <w:r>
              <w:rPr>
                <w:rFonts w:ascii="Arial" w:cs="Arial" w:eastAsia="Arial" w:hAnsi="Arial"/>
                <w:sz w:val="14"/>
                <w:szCs w:val="14"/>
                <w:color w:val="auto"/>
              </w:rPr>
              <w:t>(443 )</w:t>
            </w: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(443 )</w:t>
            </w:r>
          </w:p>
        </w:tc>
        <w:tc>
          <w:tcPr>
            <w:tcW w:w="0" w:type="dxa"/>
            <w:vAlign w:val="bottom"/>
          </w:tcPr>
          <w:p>
            <w:pPr>
              <w:spacing w:after="0"/>
              <w:rPr>
                <w:sz w:val="1"/>
                <w:szCs w:val="1"/>
                <w:color w:val="auto"/>
              </w:rPr>
            </w:pPr>
          </w:p>
        </w:tc>
      </w:tr>
      <w:tr>
        <w:trPr>
          <w:trHeight w:val="189"/>
        </w:trPr>
        <w:tc>
          <w:tcPr>
            <w:tcW w:w="3680" w:type="dxa"/>
            <w:vAlign w:val="bottom"/>
            <w:gridSpan w:val="3"/>
          </w:tcPr>
          <w:p>
            <w:pPr>
              <w:ind w:left="20"/>
              <w:spacing w:after="0"/>
              <w:rPr>
                <w:sz w:val="20"/>
                <w:szCs w:val="20"/>
                <w:color w:val="auto"/>
              </w:rPr>
            </w:pPr>
            <w:r>
              <w:rPr>
                <w:rFonts w:ascii="Arial" w:cs="Arial" w:eastAsia="Arial" w:hAnsi="Arial"/>
                <w:sz w:val="14"/>
                <w:szCs w:val="14"/>
                <w:color w:val="auto"/>
              </w:rPr>
              <w:t>Stock-based compensation expense</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160</w:t>
            </w: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160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8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Dividends declared ($0.50 per share)</w:t>
            </w:r>
          </w:p>
        </w:tc>
        <w:tc>
          <w:tcPr>
            <w:tcW w:w="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00" w:type="dxa"/>
            <w:vAlign w:val="bottom"/>
            <w:gridSpan w:val="3"/>
            <w:shd w:val="clear" w:color="auto" w:fill="CFF0FC"/>
          </w:tcPr>
          <w:p>
            <w:pPr>
              <w:jc w:val="right"/>
              <w:ind w:right="200"/>
              <w:spacing w:after="0"/>
              <w:rPr>
                <w:sz w:val="20"/>
                <w:szCs w:val="20"/>
                <w:color w:val="auto"/>
              </w:rPr>
            </w:pPr>
            <w:r>
              <w:rPr>
                <w:rFonts w:ascii="Arial" w:cs="Arial" w:eastAsia="Arial" w:hAnsi="Arial"/>
                <w:sz w:val="14"/>
                <w:szCs w:val="14"/>
                <w:color w:val="auto"/>
              </w:rPr>
              <w:t>(712 )</w:t>
            </w: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(712 )</w:t>
            </w:r>
          </w:p>
        </w:tc>
        <w:tc>
          <w:tcPr>
            <w:tcW w:w="0" w:type="dxa"/>
            <w:vAlign w:val="bottom"/>
          </w:tcPr>
          <w:p>
            <w:pPr>
              <w:spacing w:after="0"/>
              <w:rPr>
                <w:sz w:val="1"/>
                <w:szCs w:val="1"/>
                <w:color w:val="auto"/>
              </w:rPr>
            </w:pPr>
          </w:p>
        </w:tc>
      </w:tr>
      <w:tr>
        <w:trPr>
          <w:trHeight w:val="189"/>
        </w:trPr>
        <w:tc>
          <w:tcPr>
            <w:tcW w:w="3680" w:type="dxa"/>
            <w:vAlign w:val="bottom"/>
            <w:gridSpan w:val="3"/>
          </w:tcPr>
          <w:p>
            <w:pPr>
              <w:ind w:left="20"/>
              <w:spacing w:after="0"/>
              <w:rPr>
                <w:sz w:val="20"/>
                <w:szCs w:val="20"/>
                <w:color w:val="auto"/>
              </w:rPr>
            </w:pPr>
            <w:r>
              <w:rPr>
                <w:rFonts w:ascii="Arial" w:cs="Arial" w:eastAsia="Arial" w:hAnsi="Arial"/>
                <w:sz w:val="14"/>
                <w:szCs w:val="14"/>
                <w:color w:val="auto"/>
              </w:rPr>
              <w:t>Dividends paid to noncontrolling interests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gridSpan w:val="3"/>
          </w:tcPr>
          <w:p>
            <w:pPr>
              <w:jc w:val="right"/>
              <w:ind w:right="220"/>
              <w:spacing w:after="0"/>
              <w:rPr>
                <w:sz w:val="20"/>
                <w:szCs w:val="20"/>
                <w:color w:val="auto"/>
              </w:rPr>
            </w:pPr>
            <w:r>
              <w:rPr>
                <w:rFonts w:ascii="Arial" w:cs="Arial" w:eastAsia="Arial" w:hAnsi="Arial"/>
                <w:sz w:val="14"/>
                <w:szCs w:val="14"/>
                <w:color w:val="auto"/>
              </w:rPr>
              <w:t>(2 )</w:t>
            </w:r>
          </w:p>
        </w:tc>
        <w:tc>
          <w:tcPr>
            <w:tcW w:w="140" w:type="dxa"/>
            <w:vAlign w:val="bottom"/>
          </w:tcPr>
          <w:p>
            <w:pPr>
              <w:spacing w:after="0"/>
              <w:rPr>
                <w:sz w:val="16"/>
                <w:szCs w:val="16"/>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r>
        <w:trPr>
          <w:trHeight w:val="189"/>
        </w:trPr>
        <w:tc>
          <w:tcPr>
            <w:tcW w:w="368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4"/>
                <w:szCs w:val="14"/>
                <w:color w:val="auto"/>
              </w:rPr>
              <w:t>Other</w:t>
            </w:r>
          </w:p>
        </w:tc>
        <w:tc>
          <w:tcPr>
            <w:tcW w:w="40" w:type="dxa"/>
            <w:vAlign w:val="bottom"/>
            <w:tcBorders>
              <w:bottom w:val="single" w:sz="8" w:color="auto"/>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640" w:type="dxa"/>
            <w:vAlign w:val="bottom"/>
            <w:tcBorders>
              <w:bottom w:val="single" w:sz="8" w:color="auto"/>
            </w:tcBorders>
            <w:shd w:val="clear" w:color="auto" w:fill="CFF0FC"/>
          </w:tcPr>
          <w:p>
            <w:pPr>
              <w:spacing w:after="0"/>
              <w:rPr>
                <w:sz w:val="16"/>
                <w:szCs w:val="16"/>
                <w:color w:val="auto"/>
              </w:rPr>
            </w:pPr>
          </w:p>
        </w:tc>
        <w:tc>
          <w:tcPr>
            <w:tcW w:w="4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40" w:type="dxa"/>
            <w:vAlign w:val="bottom"/>
            <w:tcBorders>
              <w:bottom w:val="single" w:sz="8" w:color="auto"/>
            </w:tcBorders>
            <w:shd w:val="clear" w:color="auto" w:fill="CFF0FC"/>
          </w:tcPr>
          <w:p>
            <w:pPr>
              <w:spacing w:after="0"/>
              <w:rPr>
                <w:sz w:val="16"/>
                <w:szCs w:val="16"/>
                <w:color w:val="auto"/>
              </w:rPr>
            </w:pPr>
          </w:p>
        </w:tc>
        <w:tc>
          <w:tcPr>
            <w:tcW w:w="480" w:type="dxa"/>
            <w:vAlign w:val="bottom"/>
            <w:tcBorders>
              <w:bottom w:val="single" w:sz="8" w:color="auto"/>
            </w:tcBorders>
            <w:shd w:val="clear" w:color="auto" w:fill="CFF0FC"/>
          </w:tcPr>
          <w:p>
            <w:pPr>
              <w:spacing w:after="0"/>
              <w:rPr>
                <w:sz w:val="16"/>
                <w:szCs w:val="16"/>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6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60" w:type="dxa"/>
            <w:vAlign w:val="bottom"/>
            <w:tcBorders>
              <w:bottom w:val="single" w:sz="8" w:color="auto"/>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800" w:type="dxa"/>
            <w:vAlign w:val="bottom"/>
            <w:tcBorders>
              <w:bottom w:val="single" w:sz="8" w:color="auto"/>
            </w:tcBorders>
            <w:shd w:val="clear" w:color="auto" w:fill="CFF0FC"/>
          </w:tcPr>
          <w:p>
            <w:pPr>
              <w:spacing w:after="0"/>
              <w:rPr>
                <w:sz w:val="16"/>
                <w:szCs w:val="16"/>
                <w:color w:val="auto"/>
              </w:rPr>
            </w:pPr>
          </w:p>
        </w:tc>
        <w:tc>
          <w:tcPr>
            <w:tcW w:w="20" w:type="dxa"/>
            <w:vAlign w:val="bottom"/>
            <w:tcBorders>
              <w:bottom w:val="single" w:sz="8" w:color="auto"/>
            </w:tcBorders>
            <w:shd w:val="clear" w:color="auto" w:fill="CFF0FC"/>
          </w:tcPr>
          <w:p>
            <w:pPr>
              <w:spacing w:after="0"/>
              <w:rPr>
                <w:sz w:val="16"/>
                <w:szCs w:val="16"/>
                <w:color w:val="auto"/>
              </w:rPr>
            </w:pPr>
          </w:p>
        </w:tc>
        <w:tc>
          <w:tcPr>
            <w:tcW w:w="280" w:type="dxa"/>
            <w:vAlign w:val="bottom"/>
            <w:tcBorders>
              <w:bottom w:val="single" w:sz="8" w:color="CFF0FC"/>
            </w:tcBorders>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spacing w:after="0"/>
              <w:rPr>
                <w:sz w:val="16"/>
                <w:szCs w:val="16"/>
                <w:color w:val="auto"/>
              </w:rPr>
            </w:pPr>
          </w:p>
        </w:tc>
        <w:tc>
          <w:tcPr>
            <w:tcW w:w="20" w:type="dxa"/>
            <w:vAlign w:val="bottom"/>
            <w:tcBorders>
              <w:bottom w:val="single" w:sz="8" w:color="auto"/>
            </w:tcBorders>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4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20" w:type="dxa"/>
            <w:vAlign w:val="bottom"/>
            <w:tcBorders>
              <w:bottom w:val="single" w:sz="8" w:color="auto"/>
            </w:tcBorders>
            <w:shd w:val="clear" w:color="auto" w:fill="CFF0FC"/>
          </w:tcPr>
          <w:p>
            <w:pPr>
              <w:spacing w:after="0"/>
              <w:rPr>
                <w:sz w:val="16"/>
                <w:szCs w:val="16"/>
                <w:color w:val="auto"/>
              </w:rPr>
            </w:pPr>
          </w:p>
        </w:tc>
        <w:tc>
          <w:tcPr>
            <w:tcW w:w="28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14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680" w:type="dxa"/>
            <w:vAlign w:val="bottom"/>
            <w:gridSpan w:val="3"/>
          </w:tcPr>
          <w:p>
            <w:pPr>
              <w:ind w:left="20"/>
              <w:spacing w:after="0"/>
              <w:rPr>
                <w:sz w:val="20"/>
                <w:szCs w:val="20"/>
                <w:color w:val="auto"/>
              </w:rPr>
            </w:pPr>
            <w:r>
              <w:rPr>
                <w:rFonts w:ascii="Arial" w:cs="Arial" w:eastAsia="Arial" w:hAnsi="Arial"/>
                <w:sz w:val="14"/>
                <w:szCs w:val="14"/>
                <w:color w:val="auto"/>
              </w:rPr>
              <w:t>Balance, June 30, 2023</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11,270</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gridSpan w:val="2"/>
          </w:tcPr>
          <w:p>
            <w:pPr>
              <w:jc w:val="right"/>
              <w:ind w:right="368"/>
              <w:spacing w:after="0"/>
              <w:rPr>
                <w:sz w:val="20"/>
                <w:szCs w:val="20"/>
                <w:color w:val="auto"/>
              </w:rPr>
            </w:pPr>
            <w:r>
              <w:rPr>
                <w:rFonts w:ascii="Arial" w:cs="Arial" w:eastAsia="Arial" w:hAnsi="Arial"/>
                <w:sz w:val="14"/>
                <w:szCs w:val="14"/>
                <w:color w:val="auto"/>
                <w:w w:val="76"/>
              </w:rPr>
              <w:t>$</w:t>
            </w:r>
          </w:p>
        </w:tc>
        <w:tc>
          <w:tcPr>
            <w:tcW w:w="760" w:type="dxa"/>
            <w:vAlign w:val="bottom"/>
            <w:gridSpan w:val="3"/>
          </w:tcPr>
          <w:p>
            <w:pPr>
              <w:jc w:val="right"/>
              <w:ind w:right="240"/>
              <w:spacing w:after="0"/>
              <w:rPr>
                <w:sz w:val="20"/>
                <w:szCs w:val="20"/>
                <w:color w:val="auto"/>
              </w:rPr>
            </w:pPr>
            <w:r>
              <w:rPr>
                <w:rFonts w:ascii="Arial" w:cs="Arial" w:eastAsia="Arial" w:hAnsi="Arial"/>
                <w:sz w:val="14"/>
                <w:szCs w:val="14"/>
                <w:color w:val="auto"/>
              </w:rPr>
              <w:t>(750 )</w:t>
            </w:r>
          </w:p>
        </w:tc>
        <w:tc>
          <w:tcPr>
            <w:tcW w:w="1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11,974</w:t>
            </w:r>
          </w:p>
        </w:tc>
        <w:tc>
          <w:tcPr>
            <w:tcW w:w="280" w:type="dxa"/>
            <w:vAlign w:val="bottom"/>
          </w:tcPr>
          <w:p>
            <w:pPr>
              <w:spacing w:after="0"/>
              <w:rPr>
                <w:sz w:val="15"/>
                <w:szCs w:val="15"/>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40" w:type="dxa"/>
            <w:vAlign w:val="bottom"/>
            <w:gridSpan w:val="3"/>
          </w:tcPr>
          <w:p>
            <w:pPr>
              <w:jc w:val="right"/>
              <w:ind w:right="200"/>
              <w:spacing w:after="0"/>
              <w:rPr>
                <w:sz w:val="20"/>
                <w:szCs w:val="20"/>
                <w:color w:val="auto"/>
              </w:rPr>
            </w:pPr>
            <w:r>
              <w:rPr>
                <w:rFonts w:ascii="Arial" w:cs="Arial" w:eastAsia="Arial" w:hAnsi="Arial"/>
                <w:sz w:val="14"/>
                <w:szCs w:val="14"/>
                <w:color w:val="auto"/>
              </w:rPr>
              <w:t>(3,886 )</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326</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18,934</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6"/>
        </w:trPr>
        <w:tc>
          <w:tcPr>
            <w:tcW w:w="3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3"/>
          </w:tcPr>
          <w:p>
            <w:pPr>
              <w:jc w:val="center"/>
              <w:ind w:right="400"/>
              <w:spacing w:after="0"/>
              <w:rPr>
                <w:sz w:val="20"/>
                <w:szCs w:val="20"/>
                <w:color w:val="auto"/>
              </w:rPr>
            </w:pPr>
            <w:r>
              <w:rPr>
                <w:rFonts w:ascii="Arial" w:cs="Arial" w:eastAsia="Arial" w:hAnsi="Arial"/>
                <w:sz w:val="14"/>
                <w:szCs w:val="14"/>
                <w:color w:val="auto"/>
              </w:rPr>
              <w:t>Accumulated</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tcPr>
          <w:p>
            <w:pPr>
              <w:jc w:val="center"/>
              <w:ind w:right="400"/>
              <w:spacing w:after="0"/>
              <w:rPr>
                <w:sz w:val="20"/>
                <w:szCs w:val="20"/>
                <w:color w:val="auto"/>
              </w:rPr>
            </w:pPr>
            <w:r>
              <w:rPr>
                <w:rFonts w:ascii="Arial" w:cs="Arial" w:eastAsia="Arial" w:hAnsi="Arial"/>
                <w:sz w:val="14"/>
                <w:szCs w:val="14"/>
                <w:color w:val="auto"/>
              </w:rPr>
              <w:t>Other</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Common Stock</w:t>
            </w:r>
          </w:p>
        </w:tc>
        <w:tc>
          <w:tcPr>
            <w:tcW w:w="4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3"/>
          </w:tcPr>
          <w:p>
            <w:pPr>
              <w:jc w:val="center"/>
              <w:ind w:right="400"/>
              <w:spacing w:after="0"/>
              <w:rPr>
                <w:sz w:val="20"/>
                <w:szCs w:val="20"/>
                <w:color w:val="auto"/>
              </w:rPr>
            </w:pPr>
            <w:r>
              <w:rPr>
                <w:rFonts w:ascii="Arial" w:cs="Arial" w:eastAsia="Arial" w:hAnsi="Arial"/>
                <w:sz w:val="14"/>
                <w:szCs w:val="14"/>
                <w:color w:val="auto"/>
              </w:rPr>
              <w:t>Retained</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tcPr>
          <w:p>
            <w:pPr>
              <w:jc w:val="center"/>
              <w:ind w:right="400"/>
              <w:spacing w:after="0"/>
              <w:rPr>
                <w:sz w:val="20"/>
                <w:szCs w:val="20"/>
                <w:color w:val="auto"/>
              </w:rPr>
            </w:pPr>
            <w:r>
              <w:rPr>
                <w:rFonts w:ascii="Arial" w:cs="Arial" w:eastAsia="Arial" w:hAnsi="Arial"/>
                <w:sz w:val="14"/>
                <w:szCs w:val="14"/>
                <w:color w:val="auto"/>
              </w:rPr>
              <w:t>Comprehensive</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gridSpan w:val="3"/>
          </w:tcPr>
          <w:p>
            <w:pPr>
              <w:jc w:val="center"/>
              <w:ind w:right="420"/>
              <w:spacing w:after="0"/>
              <w:rPr>
                <w:sz w:val="20"/>
                <w:szCs w:val="20"/>
                <w:color w:val="auto"/>
              </w:rPr>
            </w:pPr>
            <w:r>
              <w:rPr>
                <w:rFonts w:ascii="Arial" w:cs="Arial" w:eastAsia="Arial" w:hAnsi="Arial"/>
                <w:sz w:val="14"/>
                <w:szCs w:val="14"/>
                <w:color w:val="auto"/>
              </w:rPr>
              <w:t>Noncontrolling</w:t>
            </w: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5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January 1, 2022 – June 30, 2022</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Issued</w:t>
            </w: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color w:val="auto"/>
              </w:rPr>
              <w:t>In Treasury</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color w:val="auto"/>
              </w:rPr>
              <w:t>Earnings</w:t>
            </w:r>
          </w:p>
        </w:tc>
        <w:tc>
          <w:tcPr>
            <w:tcW w:w="300" w:type="dxa"/>
            <w:vAlign w:val="bottom"/>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rPr>
              <w:t>Loss</w:t>
            </w:r>
          </w:p>
        </w:tc>
        <w:tc>
          <w:tcPr>
            <w:tcW w:w="280" w:type="dxa"/>
            <w:vAlign w:val="bottom"/>
            <w:gridSpan w:val="2"/>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color w:val="auto"/>
              </w:rPr>
              <w:t>Interests</w:t>
            </w:r>
          </w:p>
        </w:tc>
        <w:tc>
          <w:tcPr>
            <w:tcW w:w="300" w:type="dxa"/>
            <w:vAlign w:val="bottom"/>
            <w:gridSpan w:val="2"/>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Total</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68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Balance, January 1, 2022</w:t>
            </w: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12,608</w:t>
            </w:r>
          </w:p>
        </w:tc>
        <w:tc>
          <w:tcPr>
            <w:tcW w:w="260" w:type="dxa"/>
            <w:vAlign w:val="bottom"/>
            <w:shd w:val="clear" w:color="auto" w:fill="CFF0FC"/>
          </w:tcPr>
          <w:p>
            <w:pPr>
              <w:spacing w:after="0"/>
              <w:rPr>
                <w:sz w:val="15"/>
                <w:szCs w:val="15"/>
                <w:color w:val="auto"/>
              </w:rPr>
            </w:pPr>
          </w:p>
        </w:tc>
        <w:tc>
          <w:tcPr>
            <w:tcW w:w="520" w:type="dxa"/>
            <w:vAlign w:val="bottom"/>
            <w:gridSpan w:val="2"/>
            <w:shd w:val="clear" w:color="auto" w:fill="CFF0FC"/>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gridSpan w:val="3"/>
            <w:shd w:val="clear" w:color="auto" w:fill="CFF0FC"/>
          </w:tcPr>
          <w:p>
            <w:pPr>
              <w:jc w:val="right"/>
              <w:ind w:right="180"/>
              <w:spacing w:after="0"/>
              <w:rPr>
                <w:sz w:val="20"/>
                <w:szCs w:val="20"/>
                <w:color w:val="auto"/>
              </w:rPr>
            </w:pPr>
            <w:r>
              <w:rPr>
                <w:rFonts w:ascii="Arial" w:cs="Arial" w:eastAsia="Arial" w:hAnsi="Arial"/>
                <w:sz w:val="14"/>
                <w:szCs w:val="14"/>
                <w:color w:val="auto"/>
              </w:rPr>
              <w:t>(2,233 )</w:t>
            </w: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8,199</w:t>
            </w:r>
          </w:p>
        </w:tc>
        <w:tc>
          <w:tcPr>
            <w:tcW w:w="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w w:val="76"/>
              </w:rPr>
              <w:t>$</w:t>
            </w:r>
          </w:p>
        </w:tc>
        <w:tc>
          <w:tcPr>
            <w:tcW w:w="144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(3,570 )</w:t>
            </w:r>
          </w:p>
        </w:tc>
        <w:tc>
          <w:tcPr>
            <w:tcW w:w="1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282</w:t>
            </w:r>
          </w:p>
        </w:tc>
        <w:tc>
          <w:tcPr>
            <w:tcW w:w="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15,286</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680" w:type="dxa"/>
            <w:vAlign w:val="bottom"/>
            <w:gridSpan w:val="3"/>
          </w:tcPr>
          <w:p>
            <w:pPr>
              <w:ind w:left="20"/>
              <w:spacing w:after="0"/>
              <w:rPr>
                <w:sz w:val="20"/>
                <w:szCs w:val="20"/>
                <w:color w:val="auto"/>
              </w:rPr>
            </w:pPr>
            <w:r>
              <w:rPr>
                <w:rFonts w:ascii="Arial" w:cs="Arial" w:eastAsia="Arial" w:hAnsi="Arial"/>
                <w:sz w:val="14"/>
                <w:szCs w:val="14"/>
                <w:color w:val="auto"/>
              </w:rPr>
              <w:t>Net income</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1,469</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21</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1,490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8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Currency translation adjustments</w:t>
            </w:r>
          </w:p>
        </w:tc>
        <w:tc>
          <w:tcPr>
            <w:tcW w:w="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110</w:t>
            </w:r>
          </w:p>
        </w:tc>
        <w:tc>
          <w:tcPr>
            <w:tcW w:w="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110</w:t>
            </w:r>
          </w:p>
        </w:tc>
        <w:tc>
          <w:tcPr>
            <w:tcW w:w="1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80" w:type="dxa"/>
            <w:vAlign w:val="bottom"/>
            <w:gridSpan w:val="3"/>
          </w:tcPr>
          <w:p>
            <w:pPr>
              <w:ind w:left="20"/>
              <w:spacing w:after="0"/>
              <w:rPr>
                <w:sz w:val="20"/>
                <w:szCs w:val="20"/>
                <w:color w:val="auto"/>
              </w:rPr>
            </w:pPr>
            <w:r>
              <w:rPr>
                <w:rFonts w:ascii="Arial" w:cs="Arial" w:eastAsia="Arial" w:hAnsi="Arial"/>
                <w:sz w:val="14"/>
                <w:szCs w:val="14"/>
                <w:color w:val="auto"/>
              </w:rPr>
              <w:t>Changes in fair value of cash flow hedges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tcPr>
          <w:p>
            <w:pPr>
              <w:jc w:val="right"/>
              <w:ind w:right="220"/>
              <w:spacing w:after="0"/>
              <w:rPr>
                <w:sz w:val="20"/>
                <w:szCs w:val="20"/>
                <w:color w:val="auto"/>
              </w:rPr>
            </w:pPr>
            <w:r>
              <w:rPr>
                <w:rFonts w:ascii="Arial" w:cs="Arial" w:eastAsia="Arial" w:hAnsi="Arial"/>
                <w:sz w:val="14"/>
                <w:szCs w:val="14"/>
                <w:color w:val="auto"/>
              </w:rPr>
              <w:t>(25 )</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(25 )</w:t>
            </w:r>
          </w:p>
        </w:tc>
        <w:tc>
          <w:tcPr>
            <w:tcW w:w="0" w:type="dxa"/>
            <w:vAlign w:val="bottom"/>
          </w:tcPr>
          <w:p>
            <w:pPr>
              <w:spacing w:after="0"/>
              <w:rPr>
                <w:sz w:val="1"/>
                <w:szCs w:val="1"/>
                <w:color w:val="auto"/>
              </w:rPr>
            </w:pPr>
          </w:p>
        </w:tc>
      </w:tr>
      <w:tr>
        <w:trPr>
          <w:trHeight w:val="189"/>
        </w:trPr>
        <w:tc>
          <w:tcPr>
            <w:tcW w:w="368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Pension and other postretirement benefit plans</w:t>
            </w:r>
          </w:p>
        </w:tc>
        <w:tc>
          <w:tcPr>
            <w:tcW w:w="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w:t>
            </w:r>
          </w:p>
        </w:tc>
        <w:tc>
          <w:tcPr>
            <w:tcW w:w="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w:t>
            </w:r>
          </w:p>
        </w:tc>
        <w:tc>
          <w:tcPr>
            <w:tcW w:w="1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80" w:type="dxa"/>
            <w:vAlign w:val="bottom"/>
            <w:gridSpan w:val="3"/>
          </w:tcPr>
          <w:p>
            <w:pPr>
              <w:ind w:left="20"/>
              <w:spacing w:after="0"/>
              <w:rPr>
                <w:sz w:val="20"/>
                <w:szCs w:val="20"/>
                <w:color w:val="auto"/>
              </w:rPr>
            </w:pPr>
            <w:r>
              <w:rPr>
                <w:rFonts w:ascii="Arial" w:cs="Arial" w:eastAsia="Arial" w:hAnsi="Arial"/>
                <w:sz w:val="14"/>
                <w:szCs w:val="14"/>
                <w:color w:val="auto"/>
              </w:rPr>
              <w:t>Shares sold to optionees, less shares exchanged</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4"/>
                <w:szCs w:val="14"/>
                <w:color w:val="auto"/>
              </w:rPr>
              <w:t>(24 )</w:t>
            </w: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53</w:t>
            </w: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29</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8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Vesting of restricted stock, net of taxes withheld</w:t>
            </w:r>
          </w:p>
        </w:tc>
        <w:tc>
          <w:tcPr>
            <w:tcW w:w="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40" w:type="dxa"/>
            <w:vAlign w:val="bottom"/>
            <w:gridSpan w:val="3"/>
            <w:shd w:val="clear" w:color="auto" w:fill="CFF0FC"/>
          </w:tcPr>
          <w:p>
            <w:pPr>
              <w:jc w:val="right"/>
              <w:ind w:right="200"/>
              <w:spacing w:after="0"/>
              <w:rPr>
                <w:sz w:val="20"/>
                <w:szCs w:val="20"/>
                <w:color w:val="auto"/>
              </w:rPr>
            </w:pPr>
            <w:r>
              <w:rPr>
                <w:rFonts w:ascii="Arial" w:cs="Arial" w:eastAsia="Arial" w:hAnsi="Arial"/>
                <w:sz w:val="14"/>
                <w:szCs w:val="14"/>
                <w:color w:val="auto"/>
              </w:rPr>
              <w:t>(658 )</w:t>
            </w:r>
          </w:p>
        </w:tc>
        <w:tc>
          <w:tcPr>
            <w:tcW w:w="4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573</w:t>
            </w:r>
          </w:p>
        </w:tc>
        <w:tc>
          <w:tcPr>
            <w:tcW w:w="2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(85 )</w:t>
            </w:r>
          </w:p>
        </w:tc>
        <w:tc>
          <w:tcPr>
            <w:tcW w:w="0" w:type="dxa"/>
            <w:vAlign w:val="bottom"/>
          </w:tcPr>
          <w:p>
            <w:pPr>
              <w:spacing w:after="0"/>
              <w:rPr>
                <w:sz w:val="1"/>
                <w:szCs w:val="1"/>
                <w:color w:val="auto"/>
              </w:rPr>
            </w:pPr>
          </w:p>
        </w:tc>
      </w:tr>
      <w:tr>
        <w:trPr>
          <w:trHeight w:val="189"/>
        </w:trPr>
        <w:tc>
          <w:tcPr>
            <w:tcW w:w="3680" w:type="dxa"/>
            <w:vAlign w:val="bottom"/>
            <w:gridSpan w:val="3"/>
          </w:tcPr>
          <w:p>
            <w:pPr>
              <w:ind w:left="20"/>
              <w:spacing w:after="0"/>
              <w:rPr>
                <w:sz w:val="20"/>
                <w:szCs w:val="20"/>
                <w:color w:val="auto"/>
              </w:rPr>
            </w:pPr>
            <w:r>
              <w:rPr>
                <w:rFonts w:ascii="Arial" w:cs="Arial" w:eastAsia="Arial" w:hAnsi="Arial"/>
                <w:sz w:val="14"/>
                <w:szCs w:val="14"/>
                <w:color w:val="auto"/>
              </w:rPr>
              <w:t>Employee stock purchase plan</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4"/>
                <w:szCs w:val="14"/>
                <w:color w:val="auto"/>
              </w:rPr>
              <w:t>(104 )</w:t>
            </w: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168</w:t>
            </w: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64</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8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Stock-based compensation expense</w:t>
            </w:r>
          </w:p>
        </w:tc>
        <w:tc>
          <w:tcPr>
            <w:tcW w:w="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160</w:t>
            </w:r>
          </w:p>
        </w:tc>
        <w:tc>
          <w:tcPr>
            <w:tcW w:w="26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160</w:t>
            </w:r>
          </w:p>
        </w:tc>
        <w:tc>
          <w:tcPr>
            <w:tcW w:w="1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80" w:type="dxa"/>
            <w:vAlign w:val="bottom"/>
            <w:gridSpan w:val="3"/>
          </w:tcPr>
          <w:p>
            <w:pPr>
              <w:ind w:left="20"/>
              <w:spacing w:after="0"/>
              <w:rPr>
                <w:sz w:val="20"/>
                <w:szCs w:val="20"/>
                <w:color w:val="auto"/>
              </w:rPr>
            </w:pPr>
            <w:r>
              <w:rPr>
                <w:rFonts w:ascii="Arial" w:cs="Arial" w:eastAsia="Arial" w:hAnsi="Arial"/>
                <w:sz w:val="14"/>
                <w:szCs w:val="14"/>
                <w:color w:val="auto"/>
              </w:rPr>
              <w:t>Dividends declared ($0.30 per share)</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4"/>
                <w:szCs w:val="14"/>
                <w:color w:val="auto"/>
              </w:rPr>
              <w:t>(424 )</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(424 )</w:t>
            </w:r>
          </w:p>
        </w:tc>
        <w:tc>
          <w:tcPr>
            <w:tcW w:w="0" w:type="dxa"/>
            <w:vAlign w:val="bottom"/>
          </w:tcPr>
          <w:p>
            <w:pPr>
              <w:spacing w:after="0"/>
              <w:rPr>
                <w:sz w:val="1"/>
                <w:szCs w:val="1"/>
                <w:color w:val="auto"/>
              </w:rPr>
            </w:pPr>
          </w:p>
        </w:tc>
      </w:tr>
      <w:tr>
        <w:trPr>
          <w:trHeight w:val="189"/>
        </w:trPr>
        <w:tc>
          <w:tcPr>
            <w:tcW w:w="368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Dividends paid to noncontrolling interest</w:t>
            </w:r>
          </w:p>
        </w:tc>
        <w:tc>
          <w:tcPr>
            <w:tcW w:w="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20" w:type="dxa"/>
            <w:vAlign w:val="bottom"/>
            <w:gridSpan w:val="3"/>
            <w:shd w:val="clear" w:color="auto" w:fill="CFF0FC"/>
          </w:tcPr>
          <w:p>
            <w:pPr>
              <w:jc w:val="right"/>
              <w:ind w:right="240"/>
              <w:spacing w:after="0"/>
              <w:rPr>
                <w:sz w:val="20"/>
                <w:szCs w:val="20"/>
                <w:color w:val="auto"/>
              </w:rPr>
            </w:pPr>
            <w:r>
              <w:rPr>
                <w:rFonts w:ascii="Arial" w:cs="Arial" w:eastAsia="Arial" w:hAnsi="Arial"/>
                <w:sz w:val="14"/>
                <w:szCs w:val="14"/>
                <w:color w:val="auto"/>
              </w:rPr>
              <w:t>(4 )</w:t>
            </w:r>
          </w:p>
        </w:tc>
        <w:tc>
          <w:tcPr>
            <w:tcW w:w="14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(4 )</w:t>
            </w:r>
          </w:p>
        </w:tc>
        <w:tc>
          <w:tcPr>
            <w:tcW w:w="0" w:type="dxa"/>
            <w:vAlign w:val="bottom"/>
          </w:tcPr>
          <w:p>
            <w:pPr>
              <w:spacing w:after="0"/>
              <w:rPr>
                <w:sz w:val="1"/>
                <w:szCs w:val="1"/>
                <w:color w:val="auto"/>
              </w:rPr>
            </w:pPr>
          </w:p>
        </w:tc>
      </w:tr>
      <w:tr>
        <w:trPr>
          <w:trHeight w:val="189"/>
        </w:trPr>
        <w:tc>
          <w:tcPr>
            <w:tcW w:w="3680" w:type="dxa"/>
            <w:vAlign w:val="bottom"/>
            <w:gridSpan w:val="3"/>
          </w:tcPr>
          <w:p>
            <w:pPr>
              <w:ind w:left="20"/>
              <w:spacing w:after="0"/>
              <w:rPr>
                <w:sz w:val="20"/>
                <w:szCs w:val="20"/>
                <w:color w:val="auto"/>
              </w:rPr>
            </w:pPr>
            <w:r>
              <w:rPr>
                <w:rFonts w:ascii="Arial" w:cs="Arial" w:eastAsia="Arial" w:hAnsi="Arial"/>
                <w:sz w:val="14"/>
                <w:szCs w:val="14"/>
                <w:color w:val="auto"/>
              </w:rPr>
              <w:t>Other</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4"/>
                <w:szCs w:val="14"/>
                <w:color w:val="auto"/>
              </w:rPr>
              <w:t>(1 )</w:t>
            </w: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3</w:t>
            </w: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6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8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Balance, June 30, 2022</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11,981</w:t>
            </w: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gridSpan w:val="3"/>
            <w:shd w:val="clear" w:color="auto" w:fill="CFF0FC"/>
          </w:tcPr>
          <w:p>
            <w:pPr>
              <w:jc w:val="right"/>
              <w:ind w:right="180"/>
              <w:spacing w:after="0"/>
              <w:rPr>
                <w:sz w:val="20"/>
                <w:szCs w:val="20"/>
                <w:color w:val="auto"/>
              </w:rPr>
            </w:pPr>
            <w:r>
              <w:rPr>
                <w:rFonts w:ascii="Arial" w:cs="Arial" w:eastAsia="Arial" w:hAnsi="Arial"/>
                <w:sz w:val="14"/>
                <w:szCs w:val="14"/>
                <w:color w:val="auto"/>
              </w:rPr>
              <w:t>(1,436 )</w:t>
            </w: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9,244</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w w:val="76"/>
              </w:rPr>
              <w:t>$</w:t>
            </w:r>
          </w:p>
        </w:tc>
        <w:tc>
          <w:tcPr>
            <w:tcW w:w="144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(3,464 )</w:t>
            </w:r>
          </w:p>
        </w:tc>
        <w:tc>
          <w:tcPr>
            <w:tcW w:w="1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300</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16,625</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575"/>
        </w:trPr>
        <w:tc>
          <w:tcPr>
            <w:tcW w:w="3520" w:type="dxa"/>
            <w:vAlign w:val="bottom"/>
            <w:tcBorders>
              <w:top w:val="single" w:sz="8" w:color="CFF0FC"/>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Accumulated</w:t>
            </w:r>
          </w:p>
        </w:tc>
        <w:tc>
          <w:tcPr>
            <w:tcW w:w="280" w:type="dxa"/>
            <w:vAlign w:val="bottom"/>
            <w:tcBorders>
              <w:top w:val="single" w:sz="8" w:color="CFF0FC"/>
            </w:tcBorders>
            <w:gridSpan w:val="2"/>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3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Other</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3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5"/>
            <w:vMerge w:val="continue"/>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rPr>
              <w:t>Retained</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Comprehensive</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Noncontrolling</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April 1, 2023 – June 30, 2023</w:t>
            </w:r>
          </w:p>
        </w:tc>
        <w:tc>
          <w:tcPr>
            <w:tcW w:w="160" w:type="dxa"/>
            <w:vAlign w:val="bottom"/>
            <w:gridSpan w:val="2"/>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Issued</w:t>
            </w:r>
          </w:p>
        </w:tc>
        <w:tc>
          <w:tcPr>
            <w:tcW w:w="300" w:type="dxa"/>
            <w:vAlign w:val="bottom"/>
            <w:gridSpan w:val="2"/>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b w:val="1"/>
                <w:bCs w:val="1"/>
                <w:color w:val="auto"/>
              </w:rPr>
              <w:t>In Treasury</w:t>
            </w:r>
          </w:p>
        </w:tc>
        <w:tc>
          <w:tcPr>
            <w:tcW w:w="300" w:type="dxa"/>
            <w:vAlign w:val="bottom"/>
            <w:gridSpan w:val="2"/>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rPr>
              <w:t>Earnings</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7"/>
              </w:rPr>
              <w:t>Loss</w:t>
            </w: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Interests</w:t>
            </w: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68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Balance, April 1, 2023</w:t>
            </w: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11,264</w:t>
            </w:r>
          </w:p>
        </w:tc>
        <w:tc>
          <w:tcPr>
            <w:tcW w:w="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520" w:type="dxa"/>
            <w:vAlign w:val="bottom"/>
            <w:gridSpan w:val="2"/>
            <w:shd w:val="clear" w:color="auto" w:fill="CFF0FC"/>
          </w:tcPr>
          <w:p>
            <w:pPr>
              <w:jc w:val="right"/>
              <w:ind w:right="368"/>
              <w:spacing w:after="0"/>
              <w:rPr>
                <w:sz w:val="20"/>
                <w:szCs w:val="20"/>
                <w:color w:val="auto"/>
              </w:rPr>
            </w:pPr>
            <w:r>
              <w:rPr>
                <w:rFonts w:ascii="Arial" w:cs="Arial" w:eastAsia="Arial" w:hAnsi="Arial"/>
                <w:sz w:val="14"/>
                <w:szCs w:val="14"/>
                <w:color w:val="auto"/>
                <w:w w:val="76"/>
              </w:rPr>
              <w:t>$</w:t>
            </w:r>
          </w:p>
        </w:tc>
        <w:tc>
          <w:tcPr>
            <w:tcW w:w="760" w:type="dxa"/>
            <w:vAlign w:val="bottom"/>
            <w:gridSpan w:val="3"/>
            <w:shd w:val="clear" w:color="auto" w:fill="CFF0FC"/>
          </w:tcPr>
          <w:p>
            <w:pPr>
              <w:jc w:val="right"/>
              <w:ind w:right="240"/>
              <w:spacing w:after="0"/>
              <w:rPr>
                <w:sz w:val="20"/>
                <w:szCs w:val="20"/>
                <w:color w:val="auto"/>
              </w:rPr>
            </w:pPr>
            <w:r>
              <w:rPr>
                <w:rFonts w:ascii="Arial" w:cs="Arial" w:eastAsia="Arial" w:hAnsi="Arial"/>
                <w:sz w:val="14"/>
                <w:szCs w:val="14"/>
                <w:color w:val="auto"/>
              </w:rPr>
              <w:t>(559 )</w:t>
            </w:r>
          </w:p>
        </w:tc>
        <w:tc>
          <w:tcPr>
            <w:tcW w:w="1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11,296</w:t>
            </w:r>
          </w:p>
        </w:tc>
        <w:tc>
          <w:tcPr>
            <w:tcW w:w="280" w:type="dxa"/>
            <w:vAlign w:val="bottom"/>
            <w:shd w:val="clear" w:color="auto" w:fill="CFF0FC"/>
          </w:tcPr>
          <w:p>
            <w:pPr>
              <w:spacing w:after="0"/>
              <w:rPr>
                <w:sz w:val="15"/>
                <w:szCs w:val="15"/>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40" w:type="dxa"/>
            <w:vAlign w:val="bottom"/>
            <w:gridSpan w:val="3"/>
            <w:shd w:val="clear" w:color="auto" w:fill="CFF0FC"/>
          </w:tcPr>
          <w:p>
            <w:pPr>
              <w:jc w:val="right"/>
              <w:ind w:right="200"/>
              <w:spacing w:after="0"/>
              <w:rPr>
                <w:sz w:val="20"/>
                <w:szCs w:val="20"/>
                <w:color w:val="auto"/>
              </w:rPr>
            </w:pPr>
            <w:r>
              <w:rPr>
                <w:rFonts w:ascii="Arial" w:cs="Arial" w:eastAsia="Arial" w:hAnsi="Arial"/>
                <w:sz w:val="14"/>
                <w:szCs w:val="14"/>
                <w:color w:val="auto"/>
              </w:rPr>
              <w:t>(3,933 )</w:t>
            </w: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312</w:t>
            </w:r>
          </w:p>
        </w:tc>
        <w:tc>
          <w:tcPr>
            <w:tcW w:w="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18,380</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680" w:type="dxa"/>
            <w:vAlign w:val="bottom"/>
            <w:gridSpan w:val="3"/>
          </w:tcPr>
          <w:p>
            <w:pPr>
              <w:ind w:left="20"/>
              <w:spacing w:after="0"/>
              <w:rPr>
                <w:sz w:val="20"/>
                <w:szCs w:val="20"/>
                <w:color w:val="auto"/>
              </w:rPr>
            </w:pPr>
            <w:r>
              <w:rPr>
                <w:rFonts w:ascii="Arial" w:cs="Arial" w:eastAsia="Arial" w:hAnsi="Arial"/>
                <w:sz w:val="14"/>
                <w:szCs w:val="14"/>
                <w:color w:val="auto"/>
              </w:rPr>
              <w:t>Net income</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1,033</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1,047</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8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Currency translation adjustments</w:t>
            </w:r>
          </w:p>
        </w:tc>
        <w:tc>
          <w:tcPr>
            <w:tcW w:w="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40" w:type="dxa"/>
            <w:vAlign w:val="bottom"/>
            <w:gridSpan w:val="3"/>
            <w:shd w:val="clear" w:color="auto" w:fill="CFF0FC"/>
          </w:tcPr>
          <w:p>
            <w:pPr>
              <w:jc w:val="right"/>
              <w:ind w:right="200"/>
              <w:spacing w:after="0"/>
              <w:rPr>
                <w:sz w:val="20"/>
                <w:szCs w:val="20"/>
                <w:color w:val="auto"/>
              </w:rPr>
            </w:pPr>
            <w:r>
              <w:rPr>
                <w:rFonts w:ascii="Arial" w:cs="Arial" w:eastAsia="Arial" w:hAnsi="Arial"/>
                <w:sz w:val="14"/>
                <w:szCs w:val="14"/>
                <w:color w:val="auto"/>
              </w:rPr>
              <w:t>(43 )</w:t>
            </w: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(43 )</w:t>
            </w:r>
          </w:p>
        </w:tc>
        <w:tc>
          <w:tcPr>
            <w:tcW w:w="0" w:type="dxa"/>
            <w:vAlign w:val="bottom"/>
          </w:tcPr>
          <w:p>
            <w:pPr>
              <w:spacing w:after="0"/>
              <w:rPr>
                <w:sz w:val="1"/>
                <w:szCs w:val="1"/>
                <w:color w:val="auto"/>
              </w:rPr>
            </w:pPr>
          </w:p>
        </w:tc>
      </w:tr>
      <w:tr>
        <w:trPr>
          <w:trHeight w:val="189"/>
        </w:trPr>
        <w:tc>
          <w:tcPr>
            <w:tcW w:w="3680" w:type="dxa"/>
            <w:vAlign w:val="bottom"/>
            <w:gridSpan w:val="3"/>
          </w:tcPr>
          <w:p>
            <w:pPr>
              <w:ind w:left="20"/>
              <w:spacing w:after="0"/>
              <w:rPr>
                <w:sz w:val="20"/>
                <w:szCs w:val="20"/>
                <w:color w:val="auto"/>
              </w:rPr>
            </w:pPr>
            <w:r>
              <w:rPr>
                <w:rFonts w:ascii="Arial" w:cs="Arial" w:eastAsia="Arial" w:hAnsi="Arial"/>
                <w:sz w:val="14"/>
                <w:szCs w:val="14"/>
                <w:color w:val="auto"/>
              </w:rPr>
              <w:t>Changes in fair value of cash flow hedges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4"/>
                <w:szCs w:val="14"/>
                <w:color w:val="auto"/>
              </w:rPr>
              <w:t>96</w:t>
            </w: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96</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8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Pension and other postretirement benefit plans</w:t>
            </w:r>
          </w:p>
        </w:tc>
        <w:tc>
          <w:tcPr>
            <w:tcW w:w="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40" w:type="dxa"/>
            <w:vAlign w:val="bottom"/>
            <w:gridSpan w:val="3"/>
            <w:shd w:val="clear" w:color="auto" w:fill="CFF0FC"/>
          </w:tcPr>
          <w:p>
            <w:pPr>
              <w:jc w:val="right"/>
              <w:ind w:right="200"/>
              <w:spacing w:after="0"/>
              <w:rPr>
                <w:sz w:val="20"/>
                <w:szCs w:val="20"/>
                <w:color w:val="auto"/>
              </w:rPr>
            </w:pPr>
            <w:r>
              <w:rPr>
                <w:rFonts w:ascii="Arial" w:cs="Arial" w:eastAsia="Arial" w:hAnsi="Arial"/>
                <w:sz w:val="14"/>
                <w:szCs w:val="14"/>
                <w:color w:val="auto"/>
              </w:rPr>
              <w:t>(6 )</w:t>
            </w: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(6 )</w:t>
            </w:r>
          </w:p>
        </w:tc>
        <w:tc>
          <w:tcPr>
            <w:tcW w:w="0" w:type="dxa"/>
            <w:vAlign w:val="bottom"/>
          </w:tcPr>
          <w:p>
            <w:pPr>
              <w:spacing w:after="0"/>
              <w:rPr>
                <w:sz w:val="1"/>
                <w:szCs w:val="1"/>
                <w:color w:val="auto"/>
              </w:rPr>
            </w:pPr>
          </w:p>
        </w:tc>
      </w:tr>
      <w:tr>
        <w:trPr>
          <w:trHeight w:val="189"/>
        </w:trPr>
        <w:tc>
          <w:tcPr>
            <w:tcW w:w="3680" w:type="dxa"/>
            <w:vAlign w:val="bottom"/>
            <w:gridSpan w:val="3"/>
          </w:tcPr>
          <w:p>
            <w:pPr>
              <w:ind w:left="20"/>
              <w:spacing w:after="0"/>
              <w:rPr>
                <w:sz w:val="20"/>
                <w:szCs w:val="20"/>
                <w:color w:val="auto"/>
              </w:rPr>
            </w:pPr>
            <w:r>
              <w:rPr>
                <w:rFonts w:ascii="Arial" w:cs="Arial" w:eastAsia="Arial" w:hAnsi="Arial"/>
                <w:sz w:val="14"/>
                <w:szCs w:val="14"/>
                <w:color w:val="auto"/>
              </w:rPr>
              <w:t>Shares sold to optionees, less shares exchanged</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4"/>
                <w:szCs w:val="14"/>
                <w:color w:val="auto"/>
              </w:rPr>
              <w:t>(3 )</w:t>
            </w: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6</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8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Vesting of restricted stock, net of taxes withheld</w:t>
            </w:r>
          </w:p>
        </w:tc>
        <w:tc>
          <w:tcPr>
            <w:tcW w:w="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40" w:type="dxa"/>
            <w:vAlign w:val="bottom"/>
            <w:gridSpan w:val="3"/>
            <w:shd w:val="clear" w:color="auto" w:fill="CFF0FC"/>
          </w:tcPr>
          <w:p>
            <w:pPr>
              <w:jc w:val="right"/>
              <w:ind w:right="240"/>
              <w:spacing w:after="0"/>
              <w:rPr>
                <w:sz w:val="20"/>
                <w:szCs w:val="20"/>
                <w:color w:val="auto"/>
              </w:rPr>
            </w:pPr>
            <w:r>
              <w:rPr>
                <w:rFonts w:ascii="Arial" w:cs="Arial" w:eastAsia="Arial" w:hAnsi="Arial"/>
                <w:sz w:val="14"/>
                <w:szCs w:val="14"/>
                <w:color w:val="auto"/>
              </w:rPr>
              <w:t>(70 )</w:t>
            </w:r>
          </w:p>
        </w:tc>
        <w:tc>
          <w:tcPr>
            <w:tcW w:w="4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w:t>
            </w:r>
          </w:p>
        </w:tc>
        <w:tc>
          <w:tcPr>
            <w:tcW w:w="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(56 )</w:t>
            </w:r>
          </w:p>
        </w:tc>
        <w:tc>
          <w:tcPr>
            <w:tcW w:w="0" w:type="dxa"/>
            <w:vAlign w:val="bottom"/>
          </w:tcPr>
          <w:p>
            <w:pPr>
              <w:spacing w:after="0"/>
              <w:rPr>
                <w:sz w:val="1"/>
                <w:szCs w:val="1"/>
                <w:color w:val="auto"/>
              </w:rPr>
            </w:pPr>
          </w:p>
        </w:tc>
      </w:tr>
      <w:tr>
        <w:trPr>
          <w:trHeight w:val="189"/>
        </w:trPr>
        <w:tc>
          <w:tcPr>
            <w:tcW w:w="3680" w:type="dxa"/>
            <w:vAlign w:val="bottom"/>
            <w:gridSpan w:val="3"/>
          </w:tcPr>
          <w:p>
            <w:pPr>
              <w:ind w:left="20"/>
              <w:spacing w:after="0"/>
              <w:rPr>
                <w:sz w:val="20"/>
                <w:szCs w:val="20"/>
                <w:color w:val="auto"/>
              </w:rPr>
            </w:pPr>
            <w:r>
              <w:rPr>
                <w:rFonts w:ascii="Arial" w:cs="Arial" w:eastAsia="Arial" w:hAnsi="Arial"/>
                <w:sz w:val="14"/>
                <w:szCs w:val="14"/>
                <w:color w:val="auto"/>
              </w:rPr>
              <w:t>Stock repurchase program</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gridSpan w:val="3"/>
          </w:tcPr>
          <w:p>
            <w:pPr>
              <w:jc w:val="right"/>
              <w:ind w:right="240"/>
              <w:spacing w:after="0"/>
              <w:rPr>
                <w:sz w:val="20"/>
                <w:szCs w:val="20"/>
                <w:color w:val="auto"/>
              </w:rPr>
            </w:pPr>
            <w:r>
              <w:rPr>
                <w:rFonts w:ascii="Arial" w:cs="Arial" w:eastAsia="Arial" w:hAnsi="Arial"/>
                <w:sz w:val="14"/>
                <w:szCs w:val="14"/>
                <w:color w:val="auto"/>
              </w:rPr>
              <w:t>(213 )</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(213 )</w:t>
            </w:r>
          </w:p>
        </w:tc>
        <w:tc>
          <w:tcPr>
            <w:tcW w:w="0" w:type="dxa"/>
            <w:vAlign w:val="bottom"/>
          </w:tcPr>
          <w:p>
            <w:pPr>
              <w:spacing w:after="0"/>
              <w:rPr>
                <w:sz w:val="1"/>
                <w:szCs w:val="1"/>
                <w:color w:val="auto"/>
              </w:rPr>
            </w:pPr>
          </w:p>
        </w:tc>
      </w:tr>
      <w:tr>
        <w:trPr>
          <w:trHeight w:val="189"/>
        </w:trPr>
        <w:tc>
          <w:tcPr>
            <w:tcW w:w="368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Stock-based compensation expense</w:t>
            </w:r>
          </w:p>
        </w:tc>
        <w:tc>
          <w:tcPr>
            <w:tcW w:w="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w:t>
            </w:r>
          </w:p>
        </w:tc>
        <w:tc>
          <w:tcPr>
            <w:tcW w:w="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w:t>
            </w:r>
          </w:p>
        </w:tc>
        <w:tc>
          <w:tcPr>
            <w:tcW w:w="1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80" w:type="dxa"/>
            <w:vAlign w:val="bottom"/>
            <w:gridSpan w:val="3"/>
          </w:tcPr>
          <w:p>
            <w:pPr>
              <w:ind w:left="20"/>
              <w:spacing w:after="0"/>
              <w:rPr>
                <w:sz w:val="20"/>
                <w:szCs w:val="20"/>
                <w:color w:val="auto"/>
              </w:rPr>
            </w:pPr>
            <w:r>
              <w:rPr>
                <w:rFonts w:ascii="Arial" w:cs="Arial" w:eastAsia="Arial" w:hAnsi="Arial"/>
                <w:sz w:val="14"/>
                <w:szCs w:val="14"/>
                <w:color w:val="auto"/>
              </w:rPr>
              <w:t>Dividends declared ($0.25 per share)</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3"/>
          </w:tcPr>
          <w:p>
            <w:pPr>
              <w:jc w:val="right"/>
              <w:ind w:right="200"/>
              <w:spacing w:after="0"/>
              <w:rPr>
                <w:sz w:val="20"/>
                <w:szCs w:val="20"/>
                <w:color w:val="auto"/>
              </w:rPr>
            </w:pPr>
            <w:r>
              <w:rPr>
                <w:rFonts w:ascii="Arial" w:cs="Arial" w:eastAsia="Arial" w:hAnsi="Arial"/>
                <w:sz w:val="14"/>
                <w:szCs w:val="14"/>
                <w:color w:val="auto"/>
              </w:rPr>
              <w:t>(355 )</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(355 )</w:t>
            </w:r>
          </w:p>
        </w:tc>
        <w:tc>
          <w:tcPr>
            <w:tcW w:w="0" w:type="dxa"/>
            <w:vAlign w:val="bottom"/>
          </w:tcPr>
          <w:p>
            <w:pPr>
              <w:spacing w:after="0"/>
              <w:rPr>
                <w:sz w:val="1"/>
                <w:szCs w:val="1"/>
                <w:color w:val="auto"/>
              </w:rPr>
            </w:pPr>
          </w:p>
        </w:tc>
      </w:tr>
      <w:tr>
        <w:trPr>
          <w:trHeight w:val="189"/>
        </w:trPr>
        <w:tc>
          <w:tcPr>
            <w:tcW w:w="368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4"/>
                <w:szCs w:val="14"/>
                <w:color w:val="auto"/>
              </w:rPr>
              <w:t>Other</w:t>
            </w:r>
          </w:p>
        </w:tc>
        <w:tc>
          <w:tcPr>
            <w:tcW w:w="40" w:type="dxa"/>
            <w:vAlign w:val="bottom"/>
            <w:tcBorders>
              <w:bottom w:val="single" w:sz="8" w:color="auto"/>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640" w:type="dxa"/>
            <w:vAlign w:val="bottom"/>
            <w:tcBorders>
              <w:bottom w:val="single" w:sz="8" w:color="auto"/>
            </w:tcBorders>
            <w:shd w:val="clear" w:color="auto" w:fill="CFF0FC"/>
          </w:tcPr>
          <w:p>
            <w:pPr>
              <w:spacing w:after="0"/>
              <w:rPr>
                <w:sz w:val="16"/>
                <w:szCs w:val="16"/>
                <w:color w:val="auto"/>
              </w:rPr>
            </w:pPr>
          </w:p>
        </w:tc>
        <w:tc>
          <w:tcPr>
            <w:tcW w:w="4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40" w:type="dxa"/>
            <w:vAlign w:val="bottom"/>
            <w:tcBorders>
              <w:bottom w:val="single" w:sz="8" w:color="auto"/>
            </w:tcBorders>
            <w:shd w:val="clear" w:color="auto" w:fill="CFF0FC"/>
          </w:tcPr>
          <w:p>
            <w:pPr>
              <w:spacing w:after="0"/>
              <w:rPr>
                <w:sz w:val="16"/>
                <w:szCs w:val="16"/>
                <w:color w:val="auto"/>
              </w:rPr>
            </w:pPr>
          </w:p>
        </w:tc>
        <w:tc>
          <w:tcPr>
            <w:tcW w:w="480" w:type="dxa"/>
            <w:vAlign w:val="bottom"/>
            <w:tcBorders>
              <w:bottom w:val="single" w:sz="8" w:color="auto"/>
            </w:tcBorders>
            <w:shd w:val="clear" w:color="auto" w:fill="CFF0FC"/>
          </w:tcPr>
          <w:p>
            <w:pPr>
              <w:spacing w:after="0"/>
              <w:rPr>
                <w:sz w:val="16"/>
                <w:szCs w:val="16"/>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6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60" w:type="dxa"/>
            <w:vAlign w:val="bottom"/>
            <w:tcBorders>
              <w:bottom w:val="single" w:sz="8" w:color="auto"/>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800" w:type="dxa"/>
            <w:vAlign w:val="bottom"/>
            <w:tcBorders>
              <w:bottom w:val="single" w:sz="8" w:color="auto"/>
            </w:tcBorders>
            <w:shd w:val="clear" w:color="auto" w:fill="CFF0FC"/>
          </w:tcPr>
          <w:p>
            <w:pPr>
              <w:spacing w:after="0"/>
              <w:rPr>
                <w:sz w:val="16"/>
                <w:szCs w:val="16"/>
                <w:color w:val="auto"/>
              </w:rPr>
            </w:pPr>
          </w:p>
        </w:tc>
        <w:tc>
          <w:tcPr>
            <w:tcW w:w="20" w:type="dxa"/>
            <w:vAlign w:val="bottom"/>
            <w:tcBorders>
              <w:bottom w:val="single" w:sz="8" w:color="auto"/>
            </w:tcBorders>
            <w:shd w:val="clear" w:color="auto" w:fill="CFF0FC"/>
          </w:tcPr>
          <w:p>
            <w:pPr>
              <w:spacing w:after="0"/>
              <w:rPr>
                <w:sz w:val="16"/>
                <w:szCs w:val="16"/>
                <w:color w:val="auto"/>
              </w:rPr>
            </w:pPr>
          </w:p>
        </w:tc>
        <w:tc>
          <w:tcPr>
            <w:tcW w:w="280" w:type="dxa"/>
            <w:vAlign w:val="bottom"/>
            <w:tcBorders>
              <w:bottom w:val="single" w:sz="8" w:color="CFF0FC"/>
            </w:tcBorders>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spacing w:after="0"/>
              <w:rPr>
                <w:sz w:val="16"/>
                <w:szCs w:val="16"/>
                <w:color w:val="auto"/>
              </w:rPr>
            </w:pPr>
          </w:p>
        </w:tc>
        <w:tc>
          <w:tcPr>
            <w:tcW w:w="20" w:type="dxa"/>
            <w:vAlign w:val="bottom"/>
            <w:tcBorders>
              <w:bottom w:val="single" w:sz="8" w:color="auto"/>
            </w:tcBorders>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4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spacing w:after="0"/>
              <w:rPr>
                <w:sz w:val="16"/>
                <w:szCs w:val="16"/>
                <w:color w:val="auto"/>
              </w:rPr>
            </w:pPr>
          </w:p>
        </w:tc>
        <w:tc>
          <w:tcPr>
            <w:tcW w:w="20" w:type="dxa"/>
            <w:vAlign w:val="bottom"/>
            <w:tcBorders>
              <w:bottom w:val="single" w:sz="8" w:color="auto"/>
            </w:tcBorders>
            <w:shd w:val="clear" w:color="auto" w:fill="CFF0FC"/>
          </w:tcPr>
          <w:p>
            <w:pPr>
              <w:spacing w:after="0"/>
              <w:rPr>
                <w:sz w:val="16"/>
                <w:szCs w:val="16"/>
                <w:color w:val="auto"/>
              </w:rPr>
            </w:pPr>
          </w:p>
        </w:tc>
        <w:tc>
          <w:tcPr>
            <w:tcW w:w="28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14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680" w:type="dxa"/>
            <w:vAlign w:val="bottom"/>
            <w:gridSpan w:val="3"/>
          </w:tcPr>
          <w:p>
            <w:pPr>
              <w:ind w:left="20"/>
              <w:spacing w:after="0"/>
              <w:rPr>
                <w:sz w:val="20"/>
                <w:szCs w:val="20"/>
                <w:color w:val="auto"/>
              </w:rPr>
            </w:pPr>
            <w:r>
              <w:rPr>
                <w:rFonts w:ascii="Arial" w:cs="Arial" w:eastAsia="Arial" w:hAnsi="Arial"/>
                <w:sz w:val="14"/>
                <w:szCs w:val="14"/>
                <w:color w:val="auto"/>
              </w:rPr>
              <w:t>Balance, June 30, 2023</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11,270</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gridSpan w:val="2"/>
          </w:tcPr>
          <w:p>
            <w:pPr>
              <w:jc w:val="right"/>
              <w:ind w:right="368"/>
              <w:spacing w:after="0"/>
              <w:rPr>
                <w:sz w:val="20"/>
                <w:szCs w:val="20"/>
                <w:color w:val="auto"/>
              </w:rPr>
            </w:pPr>
            <w:r>
              <w:rPr>
                <w:rFonts w:ascii="Arial" w:cs="Arial" w:eastAsia="Arial" w:hAnsi="Arial"/>
                <w:sz w:val="14"/>
                <w:szCs w:val="14"/>
                <w:color w:val="auto"/>
                <w:w w:val="76"/>
              </w:rPr>
              <w:t>$</w:t>
            </w:r>
          </w:p>
        </w:tc>
        <w:tc>
          <w:tcPr>
            <w:tcW w:w="760" w:type="dxa"/>
            <w:vAlign w:val="bottom"/>
            <w:gridSpan w:val="3"/>
          </w:tcPr>
          <w:p>
            <w:pPr>
              <w:jc w:val="right"/>
              <w:ind w:right="240"/>
              <w:spacing w:after="0"/>
              <w:rPr>
                <w:sz w:val="20"/>
                <w:szCs w:val="20"/>
                <w:color w:val="auto"/>
              </w:rPr>
            </w:pPr>
            <w:r>
              <w:rPr>
                <w:rFonts w:ascii="Arial" w:cs="Arial" w:eastAsia="Arial" w:hAnsi="Arial"/>
                <w:sz w:val="14"/>
                <w:szCs w:val="14"/>
                <w:color w:val="auto"/>
              </w:rPr>
              <w:t>(750 )</w:t>
            </w:r>
          </w:p>
        </w:tc>
        <w:tc>
          <w:tcPr>
            <w:tcW w:w="1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11,974</w:t>
            </w:r>
          </w:p>
        </w:tc>
        <w:tc>
          <w:tcPr>
            <w:tcW w:w="280" w:type="dxa"/>
            <w:vAlign w:val="bottom"/>
          </w:tcPr>
          <w:p>
            <w:pPr>
              <w:spacing w:after="0"/>
              <w:rPr>
                <w:sz w:val="15"/>
                <w:szCs w:val="15"/>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40" w:type="dxa"/>
            <w:vAlign w:val="bottom"/>
            <w:gridSpan w:val="3"/>
          </w:tcPr>
          <w:p>
            <w:pPr>
              <w:jc w:val="right"/>
              <w:ind w:right="200"/>
              <w:spacing w:after="0"/>
              <w:rPr>
                <w:sz w:val="20"/>
                <w:szCs w:val="20"/>
                <w:color w:val="auto"/>
              </w:rPr>
            </w:pPr>
            <w:r>
              <w:rPr>
                <w:rFonts w:ascii="Arial" w:cs="Arial" w:eastAsia="Arial" w:hAnsi="Arial"/>
                <w:sz w:val="14"/>
                <w:szCs w:val="14"/>
                <w:color w:val="auto"/>
              </w:rPr>
              <w:t>(3,886 )</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326</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18,934</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-4731385</wp:posOffset>
            </wp:positionV>
            <wp:extent cx="85725" cy="1543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-4731385</wp:posOffset>
            </wp:positionV>
            <wp:extent cx="85725" cy="1543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-4731385</wp:posOffset>
            </wp:positionV>
            <wp:extent cx="85725" cy="1543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-4731385</wp:posOffset>
            </wp:positionV>
            <wp:extent cx="85725" cy="1543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-4731385</wp:posOffset>
            </wp:positionV>
            <wp:extent cx="77470" cy="1543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-4731385</wp:posOffset>
            </wp:positionV>
            <wp:extent cx="85725" cy="1543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-2253615</wp:posOffset>
            </wp:positionV>
            <wp:extent cx="857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-2236470</wp:posOffset>
            </wp:positionV>
            <wp:extent cx="857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-2253615</wp:posOffset>
            </wp:positionV>
            <wp:extent cx="857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-2236470</wp:posOffset>
            </wp:positionV>
            <wp:extent cx="857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-2253615</wp:posOffset>
            </wp:positionV>
            <wp:extent cx="857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-2236470</wp:posOffset>
            </wp:positionV>
            <wp:extent cx="857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-2253615</wp:posOffset>
            </wp:positionV>
            <wp:extent cx="857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-2236470</wp:posOffset>
            </wp:positionV>
            <wp:extent cx="857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-2253615</wp:posOffset>
            </wp:positionV>
            <wp:extent cx="857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-2236470</wp:posOffset>
            </wp:positionV>
            <wp:extent cx="857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-2253615</wp:posOffset>
            </wp:positionV>
            <wp:extent cx="857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-2236470</wp:posOffset>
            </wp:positionV>
            <wp:extent cx="857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-153670</wp:posOffset>
            </wp:positionV>
            <wp:extent cx="85725" cy="1543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-153670</wp:posOffset>
            </wp:positionV>
            <wp:extent cx="85725" cy="1543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-153670</wp:posOffset>
            </wp:positionV>
            <wp:extent cx="85725" cy="1543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-153670</wp:posOffset>
            </wp:positionV>
            <wp:extent cx="85725" cy="1543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-153670</wp:posOffset>
            </wp:positionV>
            <wp:extent cx="77470" cy="1543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-153670</wp:posOffset>
            </wp:positionV>
            <wp:extent cx="85725" cy="1543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5725" cy="15430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86"/>
        </w:trPr>
        <w:tc>
          <w:tcPr>
            <w:tcW w:w="3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0" w:type="dxa"/>
            <w:vAlign w:val="bottom"/>
            <w:gridSpan w:val="8"/>
          </w:tcPr>
          <w:p>
            <w:pPr>
              <w:jc w:val="right"/>
              <w:ind w:right="140"/>
              <w:spacing w:after="0"/>
              <w:rPr>
                <w:sz w:val="20"/>
                <w:szCs w:val="20"/>
                <w:color w:val="auto"/>
              </w:rPr>
            </w:pPr>
            <w:r>
              <w:rPr>
                <w:rFonts w:ascii="Arial" w:cs="Arial" w:eastAsia="Arial" w:hAnsi="Arial"/>
                <w:sz w:val="14"/>
                <w:szCs w:val="14"/>
                <w:i w:val="1"/>
                <w:iCs w:val="1"/>
                <w:color w:val="auto"/>
              </w:rPr>
              <w:t>(Stated in millions, except per share amounts)</w:t>
            </w:r>
          </w:p>
        </w:tc>
      </w:tr>
      <w:tr>
        <w:trPr>
          <w:trHeight w:val="378"/>
        </w:trPr>
        <w:tc>
          <w:tcPr>
            <w:tcW w:w="3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4"/>
                <w:szCs w:val="14"/>
                <w:color w:val="auto"/>
              </w:rPr>
              <w:t>Accumulated</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89"/>
        </w:trPr>
        <w:tc>
          <w:tcPr>
            <w:tcW w:w="3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4"/>
                <w:szCs w:val="14"/>
                <w:color w:val="auto"/>
              </w:rPr>
              <w:t>Other</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8"/>
        </w:trPr>
        <w:tc>
          <w:tcPr>
            <w:tcW w:w="3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468"/>
              <w:spacing w:after="0"/>
              <w:rPr>
                <w:sz w:val="20"/>
                <w:szCs w:val="20"/>
                <w:color w:val="auto"/>
              </w:rPr>
            </w:pPr>
            <w:r>
              <w:rPr>
                <w:rFonts w:ascii="Arial" w:cs="Arial" w:eastAsia="Arial" w:hAnsi="Arial"/>
                <w:sz w:val="14"/>
                <w:szCs w:val="14"/>
                <w:color w:val="auto"/>
              </w:rPr>
              <w:t>Common Stock</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4"/>
                <w:szCs w:val="14"/>
                <w:color w:val="auto"/>
              </w:rPr>
              <w:t>Retained</w:t>
            </w:r>
          </w:p>
        </w:tc>
        <w:tc>
          <w:tcPr>
            <w:tcW w:w="120" w:type="dxa"/>
            <w:vAlign w:val="bottom"/>
          </w:tcPr>
          <w:p>
            <w:pPr>
              <w:spacing w:after="0"/>
              <w:rPr>
                <w:sz w:val="16"/>
                <w:szCs w:val="16"/>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4"/>
                <w:szCs w:val="14"/>
                <w:color w:val="auto"/>
              </w:rPr>
              <w:t>Comprehensive</w:t>
            </w:r>
          </w:p>
        </w:tc>
        <w:tc>
          <w:tcPr>
            <w:tcW w:w="120" w:type="dxa"/>
            <w:vAlign w:val="bottom"/>
          </w:tcPr>
          <w:p>
            <w:pPr>
              <w:spacing w:after="0"/>
              <w:rPr>
                <w:sz w:val="16"/>
                <w:szCs w:val="16"/>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4"/>
                <w:szCs w:val="14"/>
                <w:color w:val="auto"/>
              </w:rPr>
              <w:t>Noncontrolling</w:t>
            </w: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3"/>
        </w:trPr>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April 1, 2022– June 30, 2022</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Issued</w:t>
            </w:r>
          </w:p>
        </w:tc>
        <w:tc>
          <w:tcPr>
            <w:tcW w:w="3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In Treasury</w:t>
            </w:r>
          </w:p>
        </w:tc>
        <w:tc>
          <w:tcPr>
            <w:tcW w:w="3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Earnings</w:t>
            </w:r>
          </w:p>
        </w:tc>
        <w:tc>
          <w:tcPr>
            <w:tcW w:w="3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rPr>
              <w:t>Loss</w:t>
            </w:r>
          </w:p>
        </w:tc>
        <w:tc>
          <w:tcPr>
            <w:tcW w:w="3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Interests</w:t>
            </w:r>
          </w:p>
        </w:tc>
        <w:tc>
          <w:tcPr>
            <w:tcW w:w="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Total</w:t>
            </w:r>
          </w:p>
        </w:tc>
        <w:tc>
          <w:tcPr>
            <w:tcW w:w="140" w:type="dxa"/>
            <w:vAlign w:val="bottom"/>
          </w:tcPr>
          <w:p>
            <w:pPr>
              <w:spacing w:after="0"/>
              <w:rPr>
                <w:sz w:val="15"/>
                <w:szCs w:val="15"/>
                <w:color w:val="auto"/>
              </w:rPr>
            </w:pPr>
          </w:p>
        </w:tc>
      </w:tr>
      <w:tr>
        <w:trPr>
          <w:trHeight w:val="183"/>
        </w:trPr>
        <w:tc>
          <w:tcPr>
            <w:tcW w:w="368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Balance, April 1, 2022</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11,957</w:t>
            </w:r>
          </w:p>
        </w:tc>
        <w:tc>
          <w:tcPr>
            <w:tcW w:w="30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(1,503 )</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8,532</w:t>
            </w:r>
          </w:p>
        </w:tc>
        <w:tc>
          <w:tcPr>
            <w:tcW w:w="30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(3,639 )</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292</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15,639</w:t>
            </w:r>
          </w:p>
        </w:tc>
        <w:tc>
          <w:tcPr>
            <w:tcW w:w="140" w:type="dxa"/>
            <w:vAlign w:val="bottom"/>
            <w:shd w:val="clear" w:color="auto" w:fill="CFF0FC"/>
          </w:tcPr>
          <w:p>
            <w:pPr>
              <w:spacing w:after="0"/>
              <w:rPr>
                <w:sz w:val="15"/>
                <w:szCs w:val="15"/>
                <w:color w:val="auto"/>
              </w:rPr>
            </w:pPr>
          </w:p>
        </w:tc>
      </w:tr>
      <w:tr>
        <w:trPr>
          <w:trHeight w:val="189"/>
        </w:trPr>
        <w:tc>
          <w:tcPr>
            <w:tcW w:w="3680" w:type="dxa"/>
            <w:vAlign w:val="bottom"/>
            <w:gridSpan w:val="2"/>
          </w:tcPr>
          <w:p>
            <w:pPr>
              <w:ind w:left="20"/>
              <w:spacing w:after="0"/>
              <w:rPr>
                <w:sz w:val="20"/>
                <w:szCs w:val="20"/>
                <w:color w:val="auto"/>
              </w:rPr>
            </w:pPr>
            <w:r>
              <w:rPr>
                <w:rFonts w:ascii="Arial" w:cs="Arial" w:eastAsia="Arial" w:hAnsi="Arial"/>
                <w:sz w:val="14"/>
                <w:szCs w:val="14"/>
                <w:color w:val="auto"/>
              </w:rPr>
              <w:t>Net income</w:t>
            </w: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959</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970</w:t>
            </w:r>
          </w:p>
        </w:tc>
        <w:tc>
          <w:tcPr>
            <w:tcW w:w="140" w:type="dxa"/>
            <w:vAlign w:val="bottom"/>
          </w:tcPr>
          <w:p>
            <w:pPr>
              <w:spacing w:after="0"/>
              <w:rPr>
                <w:sz w:val="16"/>
                <w:szCs w:val="16"/>
                <w:color w:val="auto"/>
              </w:rPr>
            </w:pPr>
          </w:p>
        </w:tc>
      </w:tr>
      <w:tr>
        <w:trPr>
          <w:trHeight w:val="189"/>
        </w:trPr>
        <w:tc>
          <w:tcPr>
            <w:tcW w:w="368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Currency translation adjustments</w:t>
            </w:r>
          </w:p>
        </w:tc>
        <w:tc>
          <w:tcPr>
            <w:tcW w:w="14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216</w:t>
            </w:r>
          </w:p>
        </w:tc>
        <w:tc>
          <w:tcPr>
            <w:tcW w:w="3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216</w:t>
            </w:r>
          </w:p>
        </w:tc>
        <w:tc>
          <w:tcPr>
            <w:tcW w:w="140" w:type="dxa"/>
            <w:vAlign w:val="bottom"/>
            <w:shd w:val="clear" w:color="auto" w:fill="CFF0FC"/>
          </w:tcPr>
          <w:p>
            <w:pPr>
              <w:spacing w:after="0"/>
              <w:rPr>
                <w:sz w:val="16"/>
                <w:szCs w:val="16"/>
                <w:color w:val="auto"/>
              </w:rPr>
            </w:pPr>
          </w:p>
        </w:tc>
      </w:tr>
      <w:tr>
        <w:trPr>
          <w:trHeight w:val="189"/>
        </w:trPr>
        <w:tc>
          <w:tcPr>
            <w:tcW w:w="3680" w:type="dxa"/>
            <w:vAlign w:val="bottom"/>
            <w:gridSpan w:val="2"/>
          </w:tcPr>
          <w:p>
            <w:pPr>
              <w:ind w:left="20"/>
              <w:spacing w:after="0"/>
              <w:rPr>
                <w:sz w:val="20"/>
                <w:szCs w:val="20"/>
                <w:color w:val="auto"/>
              </w:rPr>
            </w:pPr>
            <w:r>
              <w:rPr>
                <w:rFonts w:ascii="Arial" w:cs="Arial" w:eastAsia="Arial" w:hAnsi="Arial"/>
                <w:sz w:val="14"/>
                <w:szCs w:val="14"/>
                <w:color w:val="auto"/>
              </w:rPr>
              <w:t>Changes in fair value of cash flow hedges</w:t>
            </w: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4"/>
                <w:szCs w:val="14"/>
                <w:color w:val="auto"/>
              </w:rPr>
              <w:t>(51 )</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(51 )</w:t>
            </w:r>
          </w:p>
        </w:tc>
      </w:tr>
      <w:tr>
        <w:trPr>
          <w:trHeight w:val="189"/>
        </w:trPr>
        <w:tc>
          <w:tcPr>
            <w:tcW w:w="368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Pension and other postretirement benefit plans</w:t>
            </w:r>
          </w:p>
        </w:tc>
        <w:tc>
          <w:tcPr>
            <w:tcW w:w="14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w:t>
            </w:r>
          </w:p>
        </w:tc>
        <w:tc>
          <w:tcPr>
            <w:tcW w:w="3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w:t>
            </w:r>
          </w:p>
        </w:tc>
        <w:tc>
          <w:tcPr>
            <w:tcW w:w="140" w:type="dxa"/>
            <w:vAlign w:val="bottom"/>
            <w:shd w:val="clear" w:color="auto" w:fill="CFF0FC"/>
          </w:tcPr>
          <w:p>
            <w:pPr>
              <w:spacing w:after="0"/>
              <w:rPr>
                <w:sz w:val="16"/>
                <w:szCs w:val="16"/>
                <w:color w:val="auto"/>
              </w:rPr>
            </w:pPr>
          </w:p>
        </w:tc>
      </w:tr>
      <w:tr>
        <w:trPr>
          <w:trHeight w:val="189"/>
        </w:trPr>
        <w:tc>
          <w:tcPr>
            <w:tcW w:w="3680" w:type="dxa"/>
            <w:vAlign w:val="bottom"/>
            <w:gridSpan w:val="2"/>
          </w:tcPr>
          <w:p>
            <w:pPr>
              <w:ind w:left="20"/>
              <w:spacing w:after="0"/>
              <w:rPr>
                <w:sz w:val="20"/>
                <w:szCs w:val="20"/>
                <w:color w:val="auto"/>
              </w:rPr>
            </w:pPr>
            <w:r>
              <w:rPr>
                <w:rFonts w:ascii="Arial" w:cs="Arial" w:eastAsia="Arial" w:hAnsi="Arial"/>
                <w:sz w:val="14"/>
                <w:szCs w:val="14"/>
                <w:color w:val="auto"/>
              </w:rPr>
              <w:t>Shares sold to optionees, less shares exchanged</w:t>
            </w:r>
          </w:p>
        </w:tc>
        <w:tc>
          <w:tcPr>
            <w:tcW w:w="140" w:type="dxa"/>
            <w:vAlign w:val="bottom"/>
          </w:tcPr>
          <w:p>
            <w:pPr>
              <w:spacing w:after="0"/>
              <w:rPr>
                <w:sz w:val="16"/>
                <w:szCs w:val="16"/>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(18 )</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41</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23</w:t>
            </w:r>
          </w:p>
        </w:tc>
        <w:tc>
          <w:tcPr>
            <w:tcW w:w="140" w:type="dxa"/>
            <w:vAlign w:val="bottom"/>
          </w:tcPr>
          <w:p>
            <w:pPr>
              <w:spacing w:after="0"/>
              <w:rPr>
                <w:sz w:val="16"/>
                <w:szCs w:val="16"/>
                <w:color w:val="auto"/>
              </w:rPr>
            </w:pPr>
          </w:p>
        </w:tc>
      </w:tr>
      <w:tr>
        <w:trPr>
          <w:trHeight w:val="189"/>
        </w:trPr>
        <w:tc>
          <w:tcPr>
            <w:tcW w:w="368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Vesting of restricted stock, net of taxes withheld</w:t>
            </w:r>
          </w:p>
        </w:tc>
        <w:tc>
          <w:tcPr>
            <w:tcW w:w="14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(27 )</w:t>
            </w:r>
          </w:p>
        </w:tc>
        <w:tc>
          <w:tcPr>
            <w:tcW w:w="12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w:t>
            </w:r>
          </w:p>
        </w:tc>
        <w:tc>
          <w:tcPr>
            <w:tcW w:w="3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(4 )</w:t>
            </w:r>
          </w:p>
        </w:tc>
      </w:tr>
      <w:tr>
        <w:trPr>
          <w:trHeight w:val="189"/>
        </w:trPr>
        <w:tc>
          <w:tcPr>
            <w:tcW w:w="3680" w:type="dxa"/>
            <w:vAlign w:val="bottom"/>
            <w:gridSpan w:val="2"/>
          </w:tcPr>
          <w:p>
            <w:pPr>
              <w:ind w:left="20"/>
              <w:spacing w:after="0"/>
              <w:rPr>
                <w:sz w:val="20"/>
                <w:szCs w:val="20"/>
                <w:color w:val="auto"/>
              </w:rPr>
            </w:pPr>
            <w:r>
              <w:rPr>
                <w:rFonts w:ascii="Arial" w:cs="Arial" w:eastAsia="Arial" w:hAnsi="Arial"/>
                <w:sz w:val="14"/>
                <w:szCs w:val="14"/>
                <w:color w:val="auto"/>
              </w:rPr>
              <w:t>Stock-based compensation expense</w:t>
            </w: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71</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71</w:t>
            </w:r>
          </w:p>
        </w:tc>
        <w:tc>
          <w:tcPr>
            <w:tcW w:w="140" w:type="dxa"/>
            <w:vAlign w:val="bottom"/>
          </w:tcPr>
          <w:p>
            <w:pPr>
              <w:spacing w:after="0"/>
              <w:rPr>
                <w:sz w:val="16"/>
                <w:szCs w:val="16"/>
                <w:color w:val="auto"/>
              </w:rPr>
            </w:pPr>
          </w:p>
        </w:tc>
      </w:tr>
      <w:tr>
        <w:trPr>
          <w:trHeight w:val="189"/>
        </w:trPr>
        <w:tc>
          <w:tcPr>
            <w:tcW w:w="368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Dividends declared ($0.175 per share)</w:t>
            </w:r>
          </w:p>
        </w:tc>
        <w:tc>
          <w:tcPr>
            <w:tcW w:w="14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(247 )</w:t>
            </w:r>
          </w:p>
        </w:tc>
        <w:tc>
          <w:tcPr>
            <w:tcW w:w="12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(247 )</w:t>
            </w:r>
          </w:p>
        </w:tc>
      </w:tr>
      <w:tr>
        <w:trPr>
          <w:trHeight w:val="189"/>
        </w:trPr>
        <w:tc>
          <w:tcPr>
            <w:tcW w:w="3680" w:type="dxa"/>
            <w:vAlign w:val="bottom"/>
            <w:gridSpan w:val="2"/>
          </w:tcPr>
          <w:p>
            <w:pPr>
              <w:ind w:left="20"/>
              <w:spacing w:after="0"/>
              <w:rPr>
                <w:sz w:val="20"/>
                <w:szCs w:val="20"/>
                <w:color w:val="auto"/>
              </w:rPr>
            </w:pPr>
            <w:r>
              <w:rPr>
                <w:rFonts w:ascii="Arial" w:cs="Arial" w:eastAsia="Arial" w:hAnsi="Arial"/>
                <w:sz w:val="14"/>
                <w:szCs w:val="14"/>
                <w:color w:val="auto"/>
              </w:rPr>
              <w:t>Dividends paid to noncontrolling interest</w:t>
            </w: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(4 )</w:t>
            </w:r>
          </w:p>
        </w:tc>
        <w:tc>
          <w:tcPr>
            <w:tcW w:w="160" w:type="dxa"/>
            <w:vAlign w:val="bottom"/>
          </w:tcPr>
          <w:p>
            <w:pPr>
              <w:spacing w:after="0"/>
              <w:rPr>
                <w:sz w:val="16"/>
                <w:szCs w:val="16"/>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(4 )</w:t>
            </w:r>
          </w:p>
        </w:tc>
      </w:tr>
      <w:tr>
        <w:trPr>
          <w:trHeight w:val="189"/>
        </w:trPr>
        <w:tc>
          <w:tcPr>
            <w:tcW w:w="368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Other</w:t>
            </w:r>
          </w:p>
        </w:tc>
        <w:tc>
          <w:tcPr>
            <w:tcW w:w="14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(2 )</w:t>
            </w:r>
          </w:p>
        </w:tc>
        <w:tc>
          <w:tcPr>
            <w:tcW w:w="12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3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2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140" w:type="dxa"/>
            <w:vAlign w:val="bottom"/>
            <w:shd w:val="clear" w:color="auto" w:fill="CFF0FC"/>
          </w:tcPr>
          <w:p>
            <w:pPr>
              <w:spacing w:after="0"/>
              <w:rPr>
                <w:sz w:val="16"/>
                <w:szCs w:val="16"/>
                <w:color w:val="auto"/>
              </w:rPr>
            </w:pPr>
          </w:p>
        </w:tc>
      </w:tr>
      <w:tr>
        <w:trPr>
          <w:trHeight w:val="20"/>
        </w:trPr>
        <w:tc>
          <w:tcPr>
            <w:tcW w:w="35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182"/>
        </w:trPr>
        <w:tc>
          <w:tcPr>
            <w:tcW w:w="3680" w:type="dxa"/>
            <w:vAlign w:val="bottom"/>
            <w:gridSpan w:val="2"/>
          </w:tcPr>
          <w:p>
            <w:pPr>
              <w:ind w:left="20"/>
              <w:spacing w:after="0"/>
              <w:rPr>
                <w:sz w:val="20"/>
                <w:szCs w:val="20"/>
                <w:color w:val="auto"/>
              </w:rPr>
            </w:pPr>
            <w:r>
              <w:rPr>
                <w:rFonts w:ascii="Arial" w:cs="Arial" w:eastAsia="Arial" w:hAnsi="Arial"/>
                <w:sz w:val="14"/>
                <w:szCs w:val="14"/>
                <w:color w:val="auto"/>
              </w:rPr>
              <w:t>Balance, June 30, 2022</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11,981</w:t>
            </w:r>
          </w:p>
        </w:tc>
        <w:tc>
          <w:tcPr>
            <w:tcW w:w="3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(1,436 )</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9,244</w:t>
            </w:r>
          </w:p>
        </w:tc>
        <w:tc>
          <w:tcPr>
            <w:tcW w:w="3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40"/>
              <w:spacing w:after="0"/>
              <w:rPr>
                <w:sz w:val="20"/>
                <w:szCs w:val="20"/>
                <w:color w:val="auto"/>
              </w:rPr>
            </w:pPr>
            <w:r>
              <w:rPr>
                <w:rFonts w:ascii="Arial" w:cs="Arial" w:eastAsia="Arial" w:hAnsi="Arial"/>
                <w:sz w:val="14"/>
                <w:szCs w:val="14"/>
                <w:color w:val="auto"/>
              </w:rPr>
              <w:t>(3,464 )</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300</w:t>
            </w:r>
          </w:p>
        </w:tc>
        <w:tc>
          <w:tcPr>
            <w:tcW w:w="2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16,625</w:t>
            </w:r>
          </w:p>
        </w:tc>
        <w:tc>
          <w:tcPr>
            <w:tcW w:w="140" w:type="dxa"/>
            <w:vAlign w:val="bottom"/>
          </w:tcPr>
          <w:p>
            <w:pPr>
              <w:spacing w:after="0"/>
              <w:rPr>
                <w:sz w:val="15"/>
                <w:szCs w:val="15"/>
                <w:color w:val="auto"/>
              </w:rPr>
            </w:pPr>
          </w:p>
        </w:tc>
      </w:tr>
      <w:tr>
        <w:trPr>
          <w:trHeight w:val="20"/>
        </w:trPr>
        <w:tc>
          <w:tcPr>
            <w:tcW w:w="3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-153670</wp:posOffset>
            </wp:positionV>
            <wp:extent cx="85725" cy="1543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-153670</wp:posOffset>
            </wp:positionV>
            <wp:extent cx="85725" cy="1543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-153670</wp:posOffset>
            </wp:positionV>
            <wp:extent cx="85725" cy="1543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-153670</wp:posOffset>
            </wp:positionV>
            <wp:extent cx="85725" cy="1543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-153670</wp:posOffset>
            </wp:positionV>
            <wp:extent cx="77470" cy="1543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-153670</wp:posOffset>
            </wp:positionV>
            <wp:extent cx="85725" cy="1543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5725" cy="154305"/>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u w:val="single" w:color="auto"/>
          <w:color w:val="auto"/>
        </w:rPr>
        <w:t>SHARES OF COMMON STOCK</w:t>
      </w:r>
    </w:p>
    <w:p>
      <w:pPr>
        <w:spacing w:after="0" w:line="2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(Unaudited)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4"/>
                <w:szCs w:val="14"/>
                <w:i w:val="1"/>
                <w:iCs w:val="1"/>
                <w:color w:val="auto"/>
              </w:rPr>
              <w:t>(Stated in millions)</w:t>
            </w:r>
          </w:p>
        </w:tc>
      </w:tr>
      <w:tr>
        <w:trPr>
          <w:trHeight w:val="399"/>
        </w:trPr>
        <w:tc>
          <w:tcPr>
            <w:tcW w:w="6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6"/>
                <w:szCs w:val="16"/>
                <w:b w:val="1"/>
                <w:bCs w:val="1"/>
                <w:color w:val="auto"/>
              </w:rPr>
              <w:t>Shares</w:t>
            </w:r>
          </w:p>
        </w:tc>
      </w:tr>
      <w:tr>
        <w:trPr>
          <w:trHeight w:val="221"/>
        </w:trPr>
        <w:tc>
          <w:tcPr>
            <w:tcW w:w="6360" w:type="dxa"/>
            <w:vAlign w:val="bottom"/>
          </w:tcPr>
          <w:p>
            <w:pPr>
              <w:spacing w:after="0"/>
              <w:rPr>
                <w:sz w:val="19"/>
                <w:szCs w:val="19"/>
                <w:color w:val="auto"/>
              </w:rPr>
            </w:pPr>
          </w:p>
        </w:tc>
        <w:tc>
          <w:tcPr>
            <w:tcW w:w="960" w:type="dxa"/>
            <w:vAlign w:val="bottom"/>
            <w:tcBorders>
              <w:bottom w:val="single" w:sz="8" w:color="auto"/>
            </w:tcBorders>
          </w:tcPr>
          <w:p>
            <w:pPr>
              <w:ind w:left="440"/>
              <w:spacing w:after="0"/>
              <w:rPr>
                <w:sz w:val="20"/>
                <w:szCs w:val="20"/>
                <w:color w:val="auto"/>
              </w:rPr>
            </w:pPr>
            <w:r>
              <w:rPr>
                <w:rFonts w:ascii="Arial" w:cs="Arial" w:eastAsia="Arial" w:hAnsi="Arial"/>
                <w:sz w:val="16"/>
                <w:szCs w:val="16"/>
                <w:b w:val="1"/>
                <w:bCs w:val="1"/>
                <w:color w:val="auto"/>
                <w:w w:val="98"/>
              </w:rPr>
              <w:t>Issued</w:t>
            </w:r>
          </w:p>
        </w:tc>
        <w:tc>
          <w:tcPr>
            <w:tcW w:w="4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In Treasury</w:t>
            </w:r>
          </w:p>
        </w:tc>
        <w:tc>
          <w:tcPr>
            <w:tcW w:w="260" w:type="dxa"/>
            <w:vAlign w:val="bottom"/>
          </w:tcPr>
          <w:p>
            <w:pPr>
              <w:spacing w:after="0"/>
              <w:rPr>
                <w:sz w:val="19"/>
                <w:szCs w:val="19"/>
                <w:color w:val="auto"/>
              </w:rPr>
            </w:pPr>
          </w:p>
        </w:tc>
        <w:tc>
          <w:tcPr>
            <w:tcW w:w="14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Outstanding</w:t>
            </w:r>
          </w:p>
        </w:tc>
        <w:tc>
          <w:tcPr>
            <w:tcW w:w="140" w:type="dxa"/>
            <w:vAlign w:val="bottom"/>
          </w:tcPr>
          <w:p>
            <w:pPr>
              <w:spacing w:after="0"/>
              <w:rPr>
                <w:sz w:val="19"/>
                <w:szCs w:val="19"/>
                <w:color w:val="auto"/>
              </w:rPr>
            </w:pPr>
          </w:p>
        </w:tc>
      </w:tr>
      <w:tr>
        <w:trPr>
          <w:trHeight w:val="210"/>
        </w:trPr>
        <w:tc>
          <w:tcPr>
            <w:tcW w:w="732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Balance, January 1, 2023</w:t>
            </w: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1,434</w:t>
            </w:r>
          </w:p>
        </w:tc>
        <w:tc>
          <w:tcPr>
            <w:tcW w:w="1940" w:type="dxa"/>
            <w:vAlign w:val="bottom"/>
            <w:gridSpan w:val="3"/>
            <w:shd w:val="clear" w:color="auto" w:fill="CFF0FC"/>
          </w:tcPr>
          <w:p>
            <w:pPr>
              <w:jc w:val="right"/>
              <w:ind w:right="200"/>
              <w:spacing w:after="0"/>
              <w:rPr>
                <w:sz w:val="20"/>
                <w:szCs w:val="20"/>
                <w:color w:val="auto"/>
              </w:rPr>
            </w:pPr>
            <w:r>
              <w:rPr>
                <w:rFonts w:ascii="Arial" w:cs="Arial" w:eastAsia="Arial" w:hAnsi="Arial"/>
                <w:sz w:val="16"/>
                <w:szCs w:val="16"/>
                <w:color w:val="auto"/>
              </w:rPr>
              <w:t>(14 )</w:t>
            </w: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1,420</w:t>
            </w:r>
          </w:p>
        </w:tc>
        <w:tc>
          <w:tcPr>
            <w:tcW w:w="140" w:type="dxa"/>
            <w:vAlign w:val="bottom"/>
            <w:shd w:val="clear" w:color="auto" w:fill="CFF0FC"/>
          </w:tcPr>
          <w:p>
            <w:pPr>
              <w:spacing w:after="0"/>
              <w:rPr>
                <w:sz w:val="18"/>
                <w:szCs w:val="18"/>
                <w:color w:val="auto"/>
              </w:rPr>
            </w:pPr>
          </w:p>
        </w:tc>
      </w:tr>
      <w:tr>
        <w:trPr>
          <w:trHeight w:val="213"/>
        </w:trPr>
        <w:tc>
          <w:tcPr>
            <w:tcW w:w="7320" w:type="dxa"/>
            <w:vAlign w:val="bottom"/>
            <w:gridSpan w:val="2"/>
          </w:tcPr>
          <w:p>
            <w:pPr>
              <w:ind w:left="20"/>
              <w:spacing w:after="0"/>
              <w:rPr>
                <w:sz w:val="20"/>
                <w:szCs w:val="20"/>
                <w:color w:val="auto"/>
              </w:rPr>
            </w:pPr>
            <w:r>
              <w:rPr>
                <w:rFonts w:ascii="Arial" w:cs="Arial" w:eastAsia="Arial" w:hAnsi="Arial"/>
                <w:sz w:val="16"/>
                <w:szCs w:val="16"/>
                <w:color w:val="auto"/>
              </w:rPr>
              <w:t>Shares sold to optionees, less shares exchanged</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8"/>
                <w:szCs w:val="18"/>
                <w:color w:val="auto"/>
              </w:rPr>
            </w:pPr>
          </w:p>
        </w:tc>
      </w:tr>
      <w:tr>
        <w:trPr>
          <w:trHeight w:val="219"/>
        </w:trPr>
        <w:tc>
          <w:tcPr>
            <w:tcW w:w="732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Vesting of restricted stock</w:t>
            </w: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2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140" w:type="dxa"/>
            <w:vAlign w:val="bottom"/>
            <w:shd w:val="clear" w:color="auto" w:fill="CFF0FC"/>
          </w:tcPr>
          <w:p>
            <w:pPr>
              <w:spacing w:after="0"/>
              <w:rPr>
                <w:sz w:val="19"/>
                <w:szCs w:val="19"/>
                <w:color w:val="auto"/>
              </w:rPr>
            </w:pPr>
          </w:p>
        </w:tc>
      </w:tr>
      <w:tr>
        <w:trPr>
          <w:trHeight w:val="213"/>
        </w:trPr>
        <w:tc>
          <w:tcPr>
            <w:tcW w:w="7320" w:type="dxa"/>
            <w:vAlign w:val="bottom"/>
            <w:gridSpan w:val="2"/>
          </w:tcPr>
          <w:p>
            <w:pPr>
              <w:ind w:left="20"/>
              <w:spacing w:after="0"/>
              <w:rPr>
                <w:sz w:val="20"/>
                <w:szCs w:val="20"/>
                <w:color w:val="auto"/>
              </w:rPr>
            </w:pPr>
            <w:r>
              <w:rPr>
                <w:rFonts w:ascii="Arial" w:cs="Arial" w:eastAsia="Arial" w:hAnsi="Arial"/>
                <w:sz w:val="16"/>
                <w:szCs w:val="16"/>
                <w:color w:val="auto"/>
              </w:rPr>
              <w:t>Shares issued under employee stock purchase plan</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3</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w:t>
            </w:r>
          </w:p>
        </w:tc>
        <w:tc>
          <w:tcPr>
            <w:tcW w:w="140" w:type="dxa"/>
            <w:vAlign w:val="bottom"/>
          </w:tcPr>
          <w:p>
            <w:pPr>
              <w:spacing w:after="0"/>
              <w:rPr>
                <w:sz w:val="18"/>
                <w:szCs w:val="18"/>
                <w:color w:val="auto"/>
              </w:rPr>
            </w:pPr>
          </w:p>
        </w:tc>
      </w:tr>
      <w:tr>
        <w:trPr>
          <w:trHeight w:val="219"/>
        </w:trPr>
        <w:tc>
          <w:tcPr>
            <w:tcW w:w="6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Stock repurchase program</w:t>
            </w:r>
          </w:p>
        </w:tc>
        <w:tc>
          <w:tcPr>
            <w:tcW w:w="9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(9 )</w:t>
            </w: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(9 )</w:t>
            </w:r>
          </w:p>
        </w:tc>
      </w:tr>
      <w:tr>
        <w:trPr>
          <w:trHeight w:val="20"/>
        </w:trPr>
        <w:tc>
          <w:tcPr>
            <w:tcW w:w="636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210"/>
        </w:trPr>
        <w:tc>
          <w:tcPr>
            <w:tcW w:w="6360" w:type="dxa"/>
            <w:vAlign w:val="bottom"/>
          </w:tcPr>
          <w:p>
            <w:pPr>
              <w:ind w:left="20"/>
              <w:spacing w:after="0"/>
              <w:rPr>
                <w:sz w:val="20"/>
                <w:szCs w:val="20"/>
                <w:color w:val="auto"/>
              </w:rPr>
            </w:pPr>
            <w:r>
              <w:rPr>
                <w:rFonts w:ascii="Arial" w:cs="Arial" w:eastAsia="Arial" w:hAnsi="Arial"/>
                <w:sz w:val="16"/>
                <w:szCs w:val="16"/>
                <w:color w:val="auto"/>
              </w:rPr>
              <w:t>Balance, June 30, 2023</w:t>
            </w:r>
          </w:p>
        </w:tc>
        <w:tc>
          <w:tcPr>
            <w:tcW w:w="9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99"/>
              </w:rPr>
              <w:t>1,434</w:t>
            </w:r>
          </w:p>
        </w:tc>
        <w:tc>
          <w:tcPr>
            <w:tcW w:w="26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6"/>
                <w:szCs w:val="16"/>
                <w:color w:val="auto"/>
              </w:rPr>
              <w:t>(13 )</w:t>
            </w:r>
          </w:p>
        </w:tc>
        <w:tc>
          <w:tcPr>
            <w:tcW w:w="1400" w:type="dxa"/>
            <w:vAlign w:val="bottom"/>
          </w:tcPr>
          <w:p>
            <w:pPr>
              <w:jc w:val="right"/>
              <w:spacing w:after="0"/>
              <w:rPr>
                <w:sz w:val="20"/>
                <w:szCs w:val="20"/>
                <w:color w:val="auto"/>
              </w:rPr>
            </w:pPr>
            <w:r>
              <w:rPr>
                <w:rFonts w:ascii="Arial" w:cs="Arial" w:eastAsia="Arial" w:hAnsi="Arial"/>
                <w:sz w:val="16"/>
                <w:szCs w:val="16"/>
                <w:color w:val="auto"/>
              </w:rPr>
              <w:t>1,421</w:t>
            </w:r>
          </w:p>
        </w:tc>
        <w:tc>
          <w:tcPr>
            <w:tcW w:w="140" w:type="dxa"/>
            <w:vAlign w:val="bottom"/>
          </w:tcPr>
          <w:p>
            <w:pPr>
              <w:spacing w:after="0"/>
              <w:rPr>
                <w:sz w:val="18"/>
                <w:szCs w:val="18"/>
                <w:color w:val="auto"/>
              </w:rPr>
            </w:pPr>
          </w:p>
        </w:tc>
      </w:tr>
      <w:tr>
        <w:trPr>
          <w:trHeight w:val="20"/>
        </w:trPr>
        <w:tc>
          <w:tcPr>
            <w:tcW w:w="63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-170815</wp:posOffset>
            </wp:positionV>
            <wp:extent cx="85725" cy="1714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-170815</wp:posOffset>
            </wp:positionV>
            <wp:extent cx="85725" cy="1714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-170815</wp:posOffset>
            </wp:positionV>
            <wp:extent cx="85725" cy="1714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5725" cy="17145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 w:name="page9"/>
    <w:bookmarkEnd w:id="8"/>
    <w:p>
      <w:pPr>
        <w:ind w:left="3760"/>
        <w:spacing w:after="0"/>
        <w:rPr>
          <w:sz w:val="20"/>
          <w:szCs w:val="20"/>
          <w:color w:val="auto"/>
        </w:rPr>
      </w:pPr>
      <w:r>
        <w:rPr>
          <w:rFonts w:ascii="Arial" w:cs="Arial" w:eastAsia="Arial" w:hAnsi="Arial"/>
          <w:sz w:val="16"/>
          <w:szCs w:val="16"/>
          <w:b w:val="1"/>
          <w:bCs w:val="1"/>
          <w:u w:val="single" w:color="auto"/>
          <w:color w:val="auto"/>
        </w:rPr>
        <w:t>SCHLUMBERGER LIMITED AND SUBSIDIARIES</w:t>
      </w:r>
    </w:p>
    <w:p>
      <w:pPr>
        <w:spacing w:after="0" w:line="113" w:lineRule="exact"/>
        <w:rPr>
          <w:sz w:val="20"/>
          <w:szCs w:val="20"/>
          <w:color w:val="auto"/>
        </w:rPr>
      </w:pPr>
    </w:p>
    <w:p>
      <w:pPr>
        <w:ind w:left="3500"/>
        <w:spacing w:after="0"/>
        <w:rPr>
          <w:sz w:val="20"/>
          <w:szCs w:val="20"/>
          <w:color w:val="auto"/>
        </w:rPr>
      </w:pPr>
      <w:r>
        <w:rPr>
          <w:rFonts w:ascii="Arial" w:cs="Arial" w:eastAsia="Arial" w:hAnsi="Arial"/>
          <w:sz w:val="16"/>
          <w:szCs w:val="16"/>
          <w:b w:val="1"/>
          <w:bCs w:val="1"/>
          <w:u w:val="single" w:color="auto"/>
          <w:color w:val="auto"/>
        </w:rPr>
        <w:t>NOTES TO CONSOLIDATED FINANCIAL STATEMENTS</w:t>
      </w:r>
    </w:p>
    <w:p>
      <w:pPr>
        <w:spacing w:after="0" w:line="2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(Unaudited)</w:t>
      </w:r>
    </w:p>
    <w:p>
      <w:pPr>
        <w:spacing w:after="0" w:line="174" w:lineRule="exact"/>
        <w:rPr>
          <w:sz w:val="20"/>
          <w:szCs w:val="20"/>
          <w:color w:val="auto"/>
        </w:rPr>
      </w:pPr>
    </w:p>
    <w:p>
      <w:pPr>
        <w:ind w:left="280" w:hanging="272"/>
        <w:spacing w:after="0"/>
        <w:tabs>
          <w:tab w:leader="none" w:pos="28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Basis of Presentation</w:t>
      </w:r>
    </w:p>
    <w:p>
      <w:pPr>
        <w:spacing w:after="0" w:line="12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 xml:space="preserve">The accompanying unaudited consolidated financial statements of Schlumberger Limited and its subsidiaries (“SLB”) have been prepared in accordance with generally accepted accounting principles in the United States of America for interim financial information and with the instructions to Form 10-Q and Article 10 of Regulation S-X. Accordingly, they do not include all of the information and footnotes required by generally accepted accounting principles for complete financial statements. In the opinion of SLB management, all adjustments considered necessary for a fair statement have been included in the accompanying unaudited financial statements. All intercompany transactions and balances have been eliminated in consolidation. Operating results for the six-month period ended June 30, 2023 are not necessarily indicative of the results that may be expected for the full year ending December 31, 2023. The December 31, 2022 balance sheet information has been derived from the SLB 2022 audited financial statements. For further information, refer to the </w:t>
      </w:r>
      <w:r>
        <w:rPr>
          <w:rFonts w:ascii="Arial" w:cs="Arial" w:eastAsia="Arial" w:hAnsi="Arial"/>
          <w:sz w:val="16"/>
          <w:szCs w:val="16"/>
          <w:i w:val="1"/>
          <w:iCs w:val="1"/>
          <w:color w:val="auto"/>
        </w:rPr>
        <w:t>Consolidated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Statements </w:t>
      </w:r>
      <w:r>
        <w:rPr>
          <w:rFonts w:ascii="Arial" w:cs="Arial" w:eastAsia="Arial" w:hAnsi="Arial"/>
          <w:sz w:val="16"/>
          <w:szCs w:val="16"/>
          <w:color w:val="auto"/>
        </w:rPr>
        <w:t>and notes thereto included in the SLB Annual Report on Form 10-K for the year ended December 31, 2022, filed with the Securities and</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 Commission on January 25, 2023.</w:t>
      </w:r>
    </w:p>
    <w:p>
      <w:pPr>
        <w:spacing w:after="0" w:line="184" w:lineRule="exact"/>
        <w:rPr>
          <w:sz w:val="20"/>
          <w:szCs w:val="20"/>
          <w:color w:val="auto"/>
        </w:rPr>
      </w:pPr>
    </w:p>
    <w:p>
      <w:pPr>
        <w:ind w:right="9380" w:firstLine="8"/>
        <w:spacing w:after="0" w:line="392" w:lineRule="auto"/>
        <w:tabs>
          <w:tab w:leader="none" w:pos="27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 xml:space="preserve">Charges and Credits </w:t>
      </w:r>
      <w:r>
        <w:rPr>
          <w:rFonts w:ascii="Arial" w:cs="Arial" w:eastAsia="Arial" w:hAnsi="Arial"/>
          <w:sz w:val="16"/>
          <w:szCs w:val="16"/>
          <w:b w:val="1"/>
          <w:bCs w:val="1"/>
          <w:color w:val="auto"/>
        </w:rPr>
        <w:t>2023</w:t>
      </w:r>
    </w:p>
    <w:p>
      <w:pPr>
        <w:spacing w:after="0" w:line="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 xml:space="preserve">On December 31, 2020, SLB contributed its onshore hydraulic fracturing business in the United States and Canada, including its pressure pumping, pumpdown perforating and Permian frac sand business to Liberty Energy Inc. (“Liberty”) in exchange for an equity interest in Liberty. During the first quarter of 2023, SLB sold all of its remaining approximately 9 million shares of Liberty and received net proceeds of $137 million. As a result, SLB recognized a gain of $36 million which is classified in </w:t>
      </w:r>
      <w:r>
        <w:rPr>
          <w:rFonts w:ascii="Arial" w:cs="Arial" w:eastAsia="Arial" w:hAnsi="Arial"/>
          <w:sz w:val="16"/>
          <w:szCs w:val="16"/>
          <w:i w:val="1"/>
          <w:iCs w:val="1"/>
          <w:color w:val="auto"/>
        </w:rPr>
        <w:t>Interest &amp; other income</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SLB did not record any charges or credits during the second quarter of 2023.</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2022</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SLB recorded the following credits during the first six months of 2022, all of which are classified in </w:t>
      </w:r>
      <w:r>
        <w:rPr>
          <w:rFonts w:ascii="Arial" w:cs="Arial" w:eastAsia="Arial" w:hAnsi="Arial"/>
          <w:sz w:val="16"/>
          <w:szCs w:val="16"/>
          <w:i w:val="1"/>
          <w:iCs w:val="1"/>
          <w:color w:val="auto"/>
        </w:rPr>
        <w:t>Interest &amp; other income</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Income</w:t>
      </w:r>
      <w:r>
        <w:rPr>
          <w:rFonts w:ascii="Arial" w:cs="Arial" w:eastAsia="Arial" w:hAnsi="Arial"/>
          <w:sz w:val="16"/>
          <w:szCs w:val="16"/>
          <w:color w:val="auto"/>
        </w:rPr>
        <w:t>:</w:t>
      </w:r>
    </w:p>
    <w:p>
      <w:pPr>
        <w:spacing w:after="0" w:line="264" w:lineRule="exact"/>
        <w:rPr>
          <w:sz w:val="20"/>
          <w:szCs w:val="20"/>
          <w:color w:val="auto"/>
        </w:rPr>
      </w:pPr>
    </w:p>
    <w:p>
      <w:pPr>
        <w:ind w:left="9900"/>
        <w:spacing w:after="0"/>
        <w:rPr>
          <w:sz w:val="20"/>
          <w:szCs w:val="20"/>
          <w:color w:val="auto"/>
        </w:rPr>
      </w:pPr>
      <w:r>
        <w:rPr>
          <w:rFonts w:ascii="Arial" w:cs="Arial" w:eastAsia="Arial" w:hAnsi="Arial"/>
          <w:sz w:val="14"/>
          <w:szCs w:val="14"/>
          <w:i w:val="1"/>
          <w:iCs w:val="1"/>
          <w:color w:val="auto"/>
        </w:rPr>
        <w:t>(Stated in millions)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520"/>
              <w:spacing w:after="0"/>
              <w:rPr>
                <w:sz w:val="20"/>
                <w:szCs w:val="20"/>
                <w:color w:val="auto"/>
              </w:rPr>
            </w:pPr>
            <w:r>
              <w:rPr>
                <w:rFonts w:ascii="Arial" w:cs="Arial" w:eastAsia="Arial" w:hAnsi="Arial"/>
                <w:sz w:val="16"/>
                <w:szCs w:val="16"/>
                <w:color w:val="auto"/>
              </w:rPr>
              <w:t>Pretax Credit</w:t>
            </w:r>
          </w:p>
        </w:tc>
        <w:tc>
          <w:tcPr>
            <w:tcW w:w="160" w:type="dxa"/>
            <w:vAlign w:val="bottom"/>
          </w:tcPr>
          <w:p>
            <w:pPr>
              <w:spacing w:after="0"/>
              <w:rPr>
                <w:sz w:val="18"/>
                <w:szCs w:val="18"/>
                <w:color w:val="auto"/>
              </w:rPr>
            </w:pPr>
          </w:p>
        </w:tc>
        <w:tc>
          <w:tcPr>
            <w:tcW w:w="1520" w:type="dxa"/>
            <w:vAlign w:val="bottom"/>
            <w:gridSpan w:val="2"/>
          </w:tcPr>
          <w:p>
            <w:pPr>
              <w:jc w:val="right"/>
              <w:ind w:right="540"/>
              <w:spacing w:after="0"/>
              <w:rPr>
                <w:sz w:val="20"/>
                <w:szCs w:val="20"/>
                <w:color w:val="auto"/>
              </w:rPr>
            </w:pPr>
            <w:r>
              <w:rPr>
                <w:rFonts w:ascii="Arial" w:cs="Arial" w:eastAsia="Arial" w:hAnsi="Arial"/>
                <w:sz w:val="16"/>
                <w:szCs w:val="16"/>
                <w:color w:val="auto"/>
              </w:rPr>
              <w:t>Tax Expense</w:t>
            </w:r>
          </w:p>
        </w:tc>
        <w:tc>
          <w:tcPr>
            <w:tcW w:w="32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6"/>
                <w:szCs w:val="16"/>
                <w:color w:val="auto"/>
              </w:rPr>
              <w:t>Net</w:t>
            </w:r>
          </w:p>
        </w:tc>
      </w:tr>
      <w:tr>
        <w:trPr>
          <w:trHeight w:val="213"/>
        </w:trPr>
        <w:tc>
          <w:tcPr>
            <w:tcW w:w="640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First quarter:</w:t>
            </w:r>
          </w:p>
        </w:tc>
        <w:tc>
          <w:tcPr>
            <w:tcW w:w="1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3"/>
        </w:trPr>
        <w:tc>
          <w:tcPr>
            <w:tcW w:w="6400" w:type="dxa"/>
            <w:vAlign w:val="bottom"/>
          </w:tcPr>
          <w:p>
            <w:pPr>
              <w:ind w:left="200"/>
              <w:spacing w:after="0"/>
              <w:rPr>
                <w:sz w:val="20"/>
                <w:szCs w:val="20"/>
                <w:color w:val="auto"/>
              </w:rPr>
            </w:pPr>
            <w:r>
              <w:rPr>
                <w:rFonts w:ascii="Arial" w:cs="Arial" w:eastAsia="Arial" w:hAnsi="Arial"/>
                <w:sz w:val="16"/>
                <w:szCs w:val="16"/>
                <w:color w:val="auto"/>
              </w:rPr>
              <w:t>Gain on sale of Liberty shares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gridSpan w:val="2"/>
          </w:tcPr>
          <w:p>
            <w:pPr>
              <w:jc w:val="right"/>
              <w:ind w:right="240"/>
              <w:spacing w:after="0"/>
              <w:rPr>
                <w:sz w:val="20"/>
                <w:szCs w:val="20"/>
                <w:color w:val="auto"/>
              </w:rPr>
            </w:pPr>
            <w:r>
              <w:rPr>
                <w:rFonts w:ascii="Arial" w:cs="Arial" w:eastAsia="Arial" w:hAnsi="Arial"/>
                <w:sz w:val="16"/>
                <w:szCs w:val="16"/>
                <w:color w:val="auto"/>
              </w:rPr>
              <w:t>(26 )</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gridSpan w:val="2"/>
          </w:tcPr>
          <w:p>
            <w:pPr>
              <w:jc w:val="right"/>
              <w:ind w:right="260"/>
              <w:spacing w:after="0"/>
              <w:rPr>
                <w:sz w:val="20"/>
                <w:szCs w:val="20"/>
                <w:color w:val="auto"/>
              </w:rPr>
            </w:pPr>
            <w:r>
              <w:rPr>
                <w:rFonts w:ascii="Arial" w:cs="Arial" w:eastAsia="Arial" w:hAnsi="Arial"/>
                <w:sz w:val="16"/>
                <w:szCs w:val="16"/>
                <w:color w:val="auto"/>
              </w:rPr>
              <w:t>(4 )</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(22 )</w:t>
            </w:r>
          </w:p>
        </w:tc>
      </w:tr>
      <w:tr>
        <w:trPr>
          <w:trHeight w:val="219"/>
        </w:trPr>
        <w:tc>
          <w:tcPr>
            <w:tcW w:w="640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Second quarter:</w:t>
            </w: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13"/>
        </w:trPr>
        <w:tc>
          <w:tcPr>
            <w:tcW w:w="6400" w:type="dxa"/>
            <w:vAlign w:val="bottom"/>
          </w:tcPr>
          <w:p>
            <w:pPr>
              <w:ind w:left="200"/>
              <w:spacing w:after="0"/>
              <w:rPr>
                <w:sz w:val="20"/>
                <w:szCs w:val="20"/>
                <w:color w:val="auto"/>
              </w:rPr>
            </w:pPr>
            <w:r>
              <w:rPr>
                <w:rFonts w:ascii="Arial" w:cs="Arial" w:eastAsia="Arial" w:hAnsi="Arial"/>
                <w:sz w:val="16"/>
                <w:szCs w:val="16"/>
                <w:color w:val="auto"/>
              </w:rPr>
              <w:t>Gain on sale of Liberty shares</w:t>
            </w:r>
          </w:p>
        </w:tc>
        <w:tc>
          <w:tcPr>
            <w:tcW w:w="16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6"/>
                <w:szCs w:val="16"/>
                <w:color w:val="auto"/>
              </w:rPr>
              <w:t>(216 )</w:t>
            </w:r>
          </w:p>
        </w:tc>
        <w:tc>
          <w:tcPr>
            <w:tcW w:w="160" w:type="dxa"/>
            <w:vAlign w:val="bottom"/>
          </w:tcPr>
          <w:p>
            <w:pPr>
              <w:spacing w:after="0"/>
              <w:rPr>
                <w:sz w:val="18"/>
                <w:szCs w:val="18"/>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6"/>
                <w:szCs w:val="16"/>
                <w:color w:val="auto"/>
              </w:rPr>
              <w:t>(13 )</w:t>
            </w:r>
          </w:p>
        </w:tc>
        <w:tc>
          <w:tcPr>
            <w:tcW w:w="3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(203 )</w:t>
            </w:r>
          </w:p>
        </w:tc>
      </w:tr>
      <w:tr>
        <w:trPr>
          <w:trHeight w:val="216"/>
        </w:trPr>
        <w:tc>
          <w:tcPr>
            <w:tcW w:w="64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Gain on sale of real estate</w:t>
            </w:r>
          </w:p>
        </w:tc>
        <w:tc>
          <w:tcPr>
            <w:tcW w:w="1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(43 )</w:t>
            </w:r>
          </w:p>
        </w:tc>
        <w:tc>
          <w:tcPr>
            <w:tcW w:w="1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(2 )</w:t>
            </w:r>
          </w:p>
        </w:tc>
        <w:tc>
          <w:tcPr>
            <w:tcW w:w="3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(41 )</w:t>
            </w:r>
          </w:p>
        </w:tc>
      </w:tr>
      <w:tr>
        <w:trPr>
          <w:trHeight w:val="20"/>
        </w:trPr>
        <w:tc>
          <w:tcPr>
            <w:tcW w:w="6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64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gridSpan w:val="2"/>
          </w:tcPr>
          <w:p>
            <w:pPr>
              <w:jc w:val="right"/>
              <w:ind w:right="240"/>
              <w:spacing w:after="0"/>
              <w:rPr>
                <w:sz w:val="20"/>
                <w:szCs w:val="20"/>
                <w:color w:val="auto"/>
              </w:rPr>
            </w:pPr>
            <w:r>
              <w:rPr>
                <w:rFonts w:ascii="Arial" w:cs="Arial" w:eastAsia="Arial" w:hAnsi="Arial"/>
                <w:sz w:val="16"/>
                <w:szCs w:val="16"/>
                <w:color w:val="auto"/>
              </w:rPr>
              <w:t>(285 )</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gridSpan w:val="2"/>
          </w:tcPr>
          <w:p>
            <w:pPr>
              <w:jc w:val="right"/>
              <w:ind w:right="260"/>
              <w:spacing w:after="0"/>
              <w:rPr>
                <w:sz w:val="20"/>
                <w:szCs w:val="20"/>
                <w:color w:val="auto"/>
              </w:rPr>
            </w:pPr>
            <w:r>
              <w:rPr>
                <w:rFonts w:ascii="Arial" w:cs="Arial" w:eastAsia="Arial" w:hAnsi="Arial"/>
                <w:sz w:val="16"/>
                <w:szCs w:val="16"/>
                <w:color w:val="auto"/>
              </w:rPr>
              <w:t>(19 )</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(266 )</w:t>
            </w:r>
          </w:p>
        </w:tc>
      </w:tr>
      <w:tr>
        <w:trPr>
          <w:trHeight w:val="20"/>
        </w:trPr>
        <w:tc>
          <w:tcPr>
            <w:tcW w:w="6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During the first quarter of 2022, SLB sold 7.2 million of its shares of Liberty and received proceeds of $ 84 million. During the second quarter of 2022, SLB sold an additional 26.5 million of its shares in Liberty and received proceeds of $429 million. As a result of these transactions SLB recognized a gain of $26 million during the first quarter of 2022 and a gain of $216 million during the second quarter of 2022.</w:t>
      </w:r>
    </w:p>
    <w:p>
      <w:pPr>
        <w:spacing w:after="0" w:line="156"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During the second quarter of 2022, SLB sold certain real estate and received proceeds of $120 million. As a result of this transaction, SLB recognized a gain of $43 million.</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ind w:left="280" w:hanging="272"/>
        <w:spacing w:after="0"/>
        <w:tabs>
          <w:tab w:leader="none" w:pos="28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Earnings per Share</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reconciliation from basic earnings per share of SLB to diluted earnings per share of SLB:</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700" w:type="dxa"/>
            <w:vAlign w:val="bottom"/>
            <w:gridSpan w:val="7"/>
          </w:tcPr>
          <w:p>
            <w:pPr>
              <w:jc w:val="right"/>
              <w:spacing w:after="0"/>
              <w:rPr>
                <w:sz w:val="20"/>
                <w:szCs w:val="20"/>
                <w:color w:val="auto"/>
              </w:rPr>
            </w:pPr>
            <w:r>
              <w:rPr>
                <w:rFonts w:ascii="Arial" w:cs="Arial" w:eastAsia="Arial" w:hAnsi="Arial"/>
                <w:sz w:val="14"/>
                <w:szCs w:val="14"/>
                <w:i w:val="1"/>
                <w:iCs w:val="1"/>
                <w:color w:val="auto"/>
              </w:rPr>
              <w:t>(Stated in millions, except per share amounts)</w:t>
            </w:r>
          </w:p>
        </w:tc>
        <w:tc>
          <w:tcPr>
            <w:tcW w:w="140" w:type="dxa"/>
            <w:vAlign w:val="bottom"/>
          </w:tcPr>
          <w:p>
            <w:pPr>
              <w:spacing w:after="0"/>
              <w:rPr>
                <w:sz w:val="16"/>
                <w:szCs w:val="16"/>
                <w:color w:val="auto"/>
              </w:rPr>
            </w:pPr>
          </w:p>
        </w:tc>
      </w:tr>
      <w:tr>
        <w:trPr>
          <w:trHeight w:val="444"/>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jc w:val="right"/>
              <w:ind w:right="299"/>
              <w:spacing w:after="0"/>
              <w:rPr>
                <w:sz w:val="20"/>
                <w:szCs w:val="20"/>
                <w:color w:val="auto"/>
              </w:rPr>
            </w:pPr>
            <w:r>
              <w:rPr>
                <w:rFonts w:ascii="Arial" w:cs="Arial" w:eastAsia="Arial" w:hAnsi="Arial"/>
                <w:sz w:val="16"/>
                <w:szCs w:val="16"/>
                <w:b w:val="1"/>
                <w:bCs w:val="1"/>
                <w:color w:val="auto"/>
              </w:rPr>
              <w:t>2023</w:t>
            </w: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color w:val="auto"/>
              </w:rPr>
              <w:t>2022</w:t>
            </w: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178"/>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060" w:type="dxa"/>
            <w:vAlign w:val="bottom"/>
            <w:gridSpan w:val="2"/>
          </w:tcPr>
          <w:p>
            <w:pPr>
              <w:jc w:val="center"/>
              <w:spacing w:after="0" w:line="178" w:lineRule="exact"/>
              <w:rPr>
                <w:sz w:val="20"/>
                <w:szCs w:val="20"/>
                <w:color w:val="auto"/>
              </w:rPr>
            </w:pPr>
            <w:r>
              <w:rPr>
                <w:rFonts w:ascii="Arial" w:cs="Arial" w:eastAsia="Arial" w:hAnsi="Arial"/>
                <w:sz w:val="16"/>
                <w:szCs w:val="16"/>
                <w:b w:val="1"/>
                <w:bCs w:val="1"/>
                <w:color w:val="auto"/>
                <w:w w:val="99"/>
              </w:rPr>
              <w:t>Net Income</w:t>
            </w:r>
          </w:p>
        </w:tc>
        <w:tc>
          <w:tcPr>
            <w:tcW w:w="260" w:type="dxa"/>
            <w:vAlign w:val="bottom"/>
          </w:tcPr>
          <w:p>
            <w:pPr>
              <w:spacing w:after="0"/>
              <w:rPr>
                <w:sz w:val="15"/>
                <w:szCs w:val="15"/>
                <w:color w:val="auto"/>
              </w:rPr>
            </w:pPr>
          </w:p>
        </w:tc>
        <w:tc>
          <w:tcPr>
            <w:tcW w:w="1160" w:type="dxa"/>
            <w:vAlign w:val="bottom"/>
          </w:tcPr>
          <w:p>
            <w:pPr>
              <w:jc w:val="center"/>
              <w:spacing w:after="0" w:line="178" w:lineRule="exact"/>
              <w:rPr>
                <w:sz w:val="20"/>
                <w:szCs w:val="20"/>
                <w:color w:val="auto"/>
              </w:rPr>
            </w:pPr>
            <w:r>
              <w:rPr>
                <w:rFonts w:ascii="Arial" w:cs="Arial" w:eastAsia="Arial" w:hAnsi="Arial"/>
                <w:sz w:val="16"/>
                <w:szCs w:val="16"/>
                <w:b w:val="1"/>
                <w:bCs w:val="1"/>
                <w:color w:val="auto"/>
                <w:w w:val="98"/>
              </w:rPr>
              <w:t>Average</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center"/>
              <w:ind w:right="40"/>
              <w:spacing w:after="0" w:line="178" w:lineRule="exact"/>
              <w:rPr>
                <w:sz w:val="20"/>
                <w:szCs w:val="20"/>
                <w:color w:val="auto"/>
              </w:rPr>
            </w:pPr>
            <w:r>
              <w:rPr>
                <w:rFonts w:ascii="Arial" w:cs="Arial" w:eastAsia="Arial" w:hAnsi="Arial"/>
                <w:sz w:val="16"/>
                <w:szCs w:val="16"/>
                <w:color w:val="auto"/>
              </w:rPr>
              <w:t>Net Income</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ind w:right="179"/>
              <w:spacing w:after="0" w:line="178" w:lineRule="exact"/>
              <w:rPr>
                <w:sz w:val="20"/>
                <w:szCs w:val="20"/>
                <w:color w:val="auto"/>
              </w:rPr>
            </w:pPr>
            <w:r>
              <w:rPr>
                <w:rFonts w:ascii="Arial" w:cs="Arial" w:eastAsia="Arial" w:hAnsi="Arial"/>
                <w:sz w:val="16"/>
                <w:szCs w:val="16"/>
                <w:color w:val="auto"/>
              </w:rPr>
              <w:t>Average</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060" w:type="dxa"/>
            <w:vAlign w:val="bottom"/>
            <w:gridSpan w:val="2"/>
          </w:tcPr>
          <w:p>
            <w:pPr>
              <w:jc w:val="center"/>
              <w:spacing w:after="0"/>
              <w:rPr>
                <w:sz w:val="20"/>
                <w:szCs w:val="20"/>
                <w:color w:val="auto"/>
              </w:rPr>
            </w:pPr>
            <w:r>
              <w:rPr>
                <w:rFonts w:ascii="Arial" w:cs="Arial" w:eastAsia="Arial" w:hAnsi="Arial"/>
                <w:sz w:val="16"/>
                <w:szCs w:val="16"/>
                <w:b w:val="1"/>
                <w:bCs w:val="1"/>
                <w:color w:val="auto"/>
              </w:rPr>
              <w:t>Attributable</w:t>
            </w:r>
          </w:p>
        </w:tc>
        <w:tc>
          <w:tcPr>
            <w:tcW w:w="26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Shares</w:t>
            </w:r>
          </w:p>
        </w:tc>
        <w:tc>
          <w:tcPr>
            <w:tcW w:w="260" w:type="dxa"/>
            <w:vAlign w:val="bottom"/>
          </w:tcPr>
          <w:p>
            <w:pPr>
              <w:spacing w:after="0"/>
              <w:rPr>
                <w:sz w:val="16"/>
                <w:szCs w:val="16"/>
                <w:color w:val="auto"/>
              </w:rPr>
            </w:pPr>
          </w:p>
        </w:tc>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rPr>
              <w:t>Earnings per</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ind w:right="40"/>
              <w:spacing w:after="0"/>
              <w:rPr>
                <w:sz w:val="20"/>
                <w:szCs w:val="20"/>
                <w:color w:val="auto"/>
              </w:rPr>
            </w:pPr>
            <w:r>
              <w:rPr>
                <w:rFonts w:ascii="Arial" w:cs="Arial" w:eastAsia="Arial" w:hAnsi="Arial"/>
                <w:sz w:val="16"/>
                <w:szCs w:val="16"/>
                <w:color w:val="auto"/>
              </w:rPr>
              <w:t>Attributable</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ind w:right="19"/>
              <w:spacing w:after="0"/>
              <w:rPr>
                <w:sz w:val="20"/>
                <w:szCs w:val="20"/>
                <w:color w:val="auto"/>
              </w:rPr>
            </w:pPr>
            <w:r>
              <w:rPr>
                <w:rFonts w:ascii="Arial" w:cs="Arial" w:eastAsia="Arial" w:hAnsi="Arial"/>
                <w:sz w:val="16"/>
                <w:szCs w:val="16"/>
                <w:color w:val="auto"/>
              </w:rPr>
              <w:t>Shares</w:t>
            </w:r>
          </w:p>
        </w:tc>
        <w:tc>
          <w:tcPr>
            <w:tcW w:w="280" w:type="dxa"/>
            <w:vAlign w:val="bottom"/>
          </w:tcPr>
          <w:p>
            <w:pPr>
              <w:spacing w:after="0"/>
              <w:rPr>
                <w:sz w:val="16"/>
                <w:szCs w:val="16"/>
                <w:color w:val="auto"/>
              </w:rPr>
            </w:pPr>
          </w:p>
        </w:tc>
        <w:tc>
          <w:tcPr>
            <w:tcW w:w="1080" w:type="dxa"/>
            <w:vAlign w:val="bottom"/>
            <w:gridSpan w:val="2"/>
          </w:tcPr>
          <w:p>
            <w:pPr>
              <w:jc w:val="center"/>
              <w:spacing w:after="0"/>
              <w:rPr>
                <w:sz w:val="20"/>
                <w:szCs w:val="20"/>
                <w:color w:val="auto"/>
              </w:rPr>
            </w:pPr>
            <w:r>
              <w:rPr>
                <w:rFonts w:ascii="Arial" w:cs="Arial" w:eastAsia="Arial" w:hAnsi="Arial"/>
                <w:sz w:val="16"/>
                <w:szCs w:val="16"/>
                <w:color w:val="auto"/>
              </w:rPr>
              <w:t>Earnings per</w:t>
            </w:r>
          </w:p>
        </w:tc>
        <w:tc>
          <w:tcPr>
            <w:tcW w:w="140" w:type="dxa"/>
            <w:vAlign w:val="bottom"/>
          </w:tcPr>
          <w:p>
            <w:pPr>
              <w:spacing w:after="0"/>
              <w:rPr>
                <w:sz w:val="16"/>
                <w:szCs w:val="16"/>
                <w:color w:val="auto"/>
              </w:rPr>
            </w:pPr>
          </w:p>
        </w:tc>
      </w:tr>
      <w:tr>
        <w:trPr>
          <w:trHeight w:val="221"/>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to SLB</w:t>
            </w:r>
          </w:p>
        </w:tc>
        <w:tc>
          <w:tcPr>
            <w:tcW w:w="260" w:type="dxa"/>
            <w:vAlign w:val="bottom"/>
          </w:tcPr>
          <w:p>
            <w:pPr>
              <w:spacing w:after="0"/>
              <w:rPr>
                <w:sz w:val="19"/>
                <w:szCs w:val="19"/>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Outstanding</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Share</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40"/>
              <w:spacing w:after="0"/>
              <w:rPr>
                <w:sz w:val="20"/>
                <w:szCs w:val="20"/>
                <w:color w:val="auto"/>
              </w:rPr>
            </w:pPr>
            <w:r>
              <w:rPr>
                <w:rFonts w:ascii="Arial" w:cs="Arial" w:eastAsia="Arial" w:hAnsi="Arial"/>
                <w:sz w:val="16"/>
                <w:szCs w:val="16"/>
                <w:color w:val="auto"/>
              </w:rPr>
              <w:t>to SLB</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color w:val="auto"/>
              </w:rPr>
              <w:t>Outstanding</w:t>
            </w: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color w:val="auto"/>
              </w:rPr>
              <w:t>Share</w:t>
            </w:r>
          </w:p>
        </w:tc>
        <w:tc>
          <w:tcPr>
            <w:tcW w:w="140" w:type="dxa"/>
            <w:vAlign w:val="bottom"/>
          </w:tcPr>
          <w:p>
            <w:pPr>
              <w:spacing w:after="0"/>
              <w:rPr>
                <w:sz w:val="19"/>
                <w:szCs w:val="19"/>
                <w:color w:val="auto"/>
              </w:rPr>
            </w:pPr>
          </w:p>
        </w:tc>
      </w:tr>
      <w:tr>
        <w:trPr>
          <w:trHeight w:val="189"/>
        </w:trPr>
        <w:tc>
          <w:tcPr>
            <w:tcW w:w="20" w:type="dxa"/>
            <w:vAlign w:val="bottom"/>
            <w:tcBorders>
              <w:bottom w:val="single" w:sz="8" w:color="CFF0FC"/>
            </w:tcBorders>
            <w:shd w:val="clear" w:color="auto" w:fill="CFF0FC"/>
          </w:tcPr>
          <w:p>
            <w:pPr>
              <w:spacing w:after="0"/>
              <w:rPr>
                <w:sz w:val="16"/>
                <w:szCs w:val="16"/>
                <w:color w:val="auto"/>
              </w:rPr>
            </w:pPr>
          </w:p>
        </w:tc>
        <w:tc>
          <w:tcPr>
            <w:tcW w:w="1220" w:type="dxa"/>
            <w:vAlign w:val="bottom"/>
            <w:tcBorders>
              <w:bottom w:val="single" w:sz="8" w:color="auto"/>
            </w:tcBorders>
            <w:gridSpan w:val="2"/>
            <w:shd w:val="clear" w:color="auto" w:fill="CFF0FC"/>
          </w:tcPr>
          <w:p>
            <w:pPr>
              <w:spacing w:after="0" w:line="169" w:lineRule="exact"/>
              <w:rPr>
                <w:sz w:val="20"/>
                <w:szCs w:val="20"/>
                <w:color w:val="auto"/>
              </w:rPr>
            </w:pPr>
            <w:r>
              <w:rPr>
                <w:rFonts w:ascii="Arial" w:cs="Arial" w:eastAsia="Arial" w:hAnsi="Arial"/>
                <w:sz w:val="16"/>
                <w:szCs w:val="16"/>
                <w:b w:val="1"/>
                <w:bCs w:val="1"/>
                <w:color w:val="auto"/>
                <w:w w:val="99"/>
              </w:rPr>
              <w:t>Second Quarter</w:t>
            </w:r>
          </w:p>
        </w:tc>
        <w:tc>
          <w:tcPr>
            <w:tcW w:w="194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88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116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88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98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98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88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r>
      <w:tr>
        <w:trPr>
          <w:trHeight w:val="216"/>
        </w:trPr>
        <w:tc>
          <w:tcPr>
            <w:tcW w:w="3180" w:type="dxa"/>
            <w:vAlign w:val="bottom"/>
            <w:gridSpan w:val="4"/>
          </w:tcPr>
          <w:p>
            <w:pPr>
              <w:ind w:left="20"/>
              <w:spacing w:after="0"/>
              <w:rPr>
                <w:sz w:val="20"/>
                <w:szCs w:val="20"/>
                <w:color w:val="auto"/>
              </w:rPr>
            </w:pPr>
            <w:r>
              <w:rPr>
                <w:rFonts w:ascii="Arial" w:cs="Arial" w:eastAsia="Arial" w:hAnsi="Arial"/>
                <w:sz w:val="16"/>
                <w:szCs w:val="16"/>
                <w:color w:val="auto"/>
              </w:rPr>
              <w:t>Basic</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1,033</w:t>
            </w:r>
          </w:p>
        </w:tc>
        <w:tc>
          <w:tcPr>
            <w:tcW w:w="1420" w:type="dxa"/>
            <w:vAlign w:val="bottom"/>
            <w:gridSpan w:val="2"/>
          </w:tcPr>
          <w:p>
            <w:pPr>
              <w:jc w:val="right"/>
              <w:spacing w:after="0"/>
              <w:rPr>
                <w:sz w:val="20"/>
                <w:szCs w:val="20"/>
                <w:color w:val="auto"/>
              </w:rPr>
            </w:pPr>
            <w:r>
              <w:rPr>
                <w:rFonts w:ascii="Arial" w:cs="Arial" w:eastAsia="Arial" w:hAnsi="Arial"/>
                <w:sz w:val="16"/>
                <w:szCs w:val="16"/>
                <w:b w:val="1"/>
                <w:bCs w:val="1"/>
                <w:color w:val="auto"/>
              </w:rPr>
              <w:t>1,423</w:t>
            </w:r>
          </w:p>
        </w:tc>
        <w:tc>
          <w:tcPr>
            <w:tcW w:w="48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0.73</w:t>
            </w: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959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1,414</w:t>
            </w:r>
          </w:p>
        </w:tc>
        <w:tc>
          <w:tcPr>
            <w:tcW w:w="48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0.68</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7"/>
        </w:trPr>
        <w:tc>
          <w:tcPr>
            <w:tcW w:w="3180" w:type="dxa"/>
            <w:vAlign w:val="bottom"/>
            <w:gridSpan w:val="4"/>
            <w:shd w:val="clear" w:color="auto" w:fill="CFF0FC"/>
          </w:tcPr>
          <w:p>
            <w:pPr>
              <w:ind w:left="20"/>
              <w:spacing w:after="0"/>
              <w:rPr>
                <w:sz w:val="20"/>
                <w:szCs w:val="20"/>
                <w:color w:val="auto"/>
              </w:rPr>
            </w:pPr>
            <w:r>
              <w:rPr>
                <w:rFonts w:ascii="Arial" w:cs="Arial" w:eastAsia="Arial" w:hAnsi="Arial"/>
                <w:sz w:val="16"/>
                <w:szCs w:val="16"/>
                <w:color w:val="auto"/>
              </w:rPr>
              <w:t>Assumed exercise of stock options</w:t>
            </w:r>
          </w:p>
        </w:tc>
        <w:tc>
          <w:tcPr>
            <w:tcW w:w="18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2</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16"/>
        </w:trPr>
        <w:tc>
          <w:tcPr>
            <w:tcW w:w="3180" w:type="dxa"/>
            <w:vAlign w:val="bottom"/>
            <w:gridSpan w:val="4"/>
          </w:tcPr>
          <w:p>
            <w:pPr>
              <w:ind w:left="20"/>
              <w:spacing w:after="0"/>
              <w:rPr>
                <w:sz w:val="20"/>
                <w:szCs w:val="20"/>
                <w:color w:val="auto"/>
              </w:rPr>
            </w:pPr>
            <w:r>
              <w:rPr>
                <w:rFonts w:ascii="Arial" w:cs="Arial" w:eastAsia="Arial" w:hAnsi="Arial"/>
                <w:sz w:val="16"/>
                <w:szCs w:val="16"/>
                <w:color w:val="auto"/>
              </w:rPr>
              <w:t>Unvested restricted stock</w:t>
            </w: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50"/>
        </w:trPr>
        <w:tc>
          <w:tcPr>
            <w:tcW w:w="3180" w:type="dxa"/>
            <w:vAlign w:val="bottom"/>
            <w:tcBorders>
              <w:bottom w:val="single" w:sz="8" w:color="CFF0FC"/>
            </w:tcBorders>
            <w:gridSpan w:val="4"/>
            <w:shd w:val="clear" w:color="auto" w:fill="CFF0FC"/>
          </w:tcPr>
          <w:p>
            <w:pPr>
              <w:ind w:left="20"/>
              <w:spacing w:after="0"/>
              <w:rPr>
                <w:sz w:val="20"/>
                <w:szCs w:val="20"/>
                <w:color w:val="auto"/>
              </w:rPr>
            </w:pPr>
            <w:r>
              <w:rPr>
                <w:rFonts w:ascii="Arial" w:cs="Arial" w:eastAsia="Arial" w:hAnsi="Arial"/>
                <w:sz w:val="16"/>
                <w:szCs w:val="16"/>
                <w:color w:val="auto"/>
              </w:rPr>
              <w:t>Diluted</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1,033</w:t>
            </w:r>
          </w:p>
        </w:tc>
        <w:tc>
          <w:tcPr>
            <w:tcW w:w="26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1,442</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0.72</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959</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1,436</w:t>
            </w:r>
          </w:p>
        </w:tc>
        <w:tc>
          <w:tcPr>
            <w:tcW w:w="2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0.67</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628"/>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jc w:val="right"/>
              <w:ind w:right="299"/>
              <w:spacing w:after="0"/>
              <w:rPr>
                <w:sz w:val="20"/>
                <w:szCs w:val="20"/>
                <w:color w:val="auto"/>
              </w:rPr>
            </w:pPr>
            <w:r>
              <w:rPr>
                <w:rFonts w:ascii="Arial" w:cs="Arial" w:eastAsia="Arial" w:hAnsi="Arial"/>
                <w:sz w:val="16"/>
                <w:szCs w:val="16"/>
                <w:b w:val="1"/>
                <w:bCs w:val="1"/>
                <w:color w:val="auto"/>
              </w:rPr>
              <w:t>2023</w:t>
            </w: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color w:val="auto"/>
              </w:rPr>
              <w:t>2022</w:t>
            </w: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178"/>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060" w:type="dxa"/>
            <w:vAlign w:val="bottom"/>
            <w:gridSpan w:val="2"/>
          </w:tcPr>
          <w:p>
            <w:pPr>
              <w:jc w:val="center"/>
              <w:spacing w:after="0" w:line="178" w:lineRule="exact"/>
              <w:rPr>
                <w:sz w:val="20"/>
                <w:szCs w:val="20"/>
                <w:color w:val="auto"/>
              </w:rPr>
            </w:pPr>
            <w:r>
              <w:rPr>
                <w:rFonts w:ascii="Arial" w:cs="Arial" w:eastAsia="Arial" w:hAnsi="Arial"/>
                <w:sz w:val="16"/>
                <w:szCs w:val="16"/>
                <w:b w:val="1"/>
                <w:bCs w:val="1"/>
                <w:color w:val="auto"/>
                <w:w w:val="99"/>
              </w:rPr>
              <w:t>Net Income</w:t>
            </w:r>
          </w:p>
        </w:tc>
        <w:tc>
          <w:tcPr>
            <w:tcW w:w="260" w:type="dxa"/>
            <w:vAlign w:val="bottom"/>
          </w:tcPr>
          <w:p>
            <w:pPr>
              <w:spacing w:after="0"/>
              <w:rPr>
                <w:sz w:val="15"/>
                <w:szCs w:val="15"/>
                <w:color w:val="auto"/>
              </w:rPr>
            </w:pPr>
          </w:p>
        </w:tc>
        <w:tc>
          <w:tcPr>
            <w:tcW w:w="1160" w:type="dxa"/>
            <w:vAlign w:val="bottom"/>
          </w:tcPr>
          <w:p>
            <w:pPr>
              <w:jc w:val="center"/>
              <w:spacing w:after="0" w:line="178" w:lineRule="exact"/>
              <w:rPr>
                <w:sz w:val="20"/>
                <w:szCs w:val="20"/>
                <w:color w:val="auto"/>
              </w:rPr>
            </w:pPr>
            <w:r>
              <w:rPr>
                <w:rFonts w:ascii="Arial" w:cs="Arial" w:eastAsia="Arial" w:hAnsi="Arial"/>
                <w:sz w:val="16"/>
                <w:szCs w:val="16"/>
                <w:b w:val="1"/>
                <w:bCs w:val="1"/>
                <w:color w:val="auto"/>
                <w:w w:val="98"/>
              </w:rPr>
              <w:t>Average</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center"/>
              <w:ind w:right="40"/>
              <w:spacing w:after="0" w:line="178" w:lineRule="exact"/>
              <w:rPr>
                <w:sz w:val="20"/>
                <w:szCs w:val="20"/>
                <w:color w:val="auto"/>
              </w:rPr>
            </w:pPr>
            <w:r>
              <w:rPr>
                <w:rFonts w:ascii="Arial" w:cs="Arial" w:eastAsia="Arial" w:hAnsi="Arial"/>
                <w:sz w:val="16"/>
                <w:szCs w:val="16"/>
                <w:color w:val="auto"/>
              </w:rPr>
              <w:t>Net Income</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center"/>
              <w:ind w:right="59"/>
              <w:spacing w:after="0" w:line="178" w:lineRule="exact"/>
              <w:rPr>
                <w:sz w:val="20"/>
                <w:szCs w:val="20"/>
                <w:color w:val="auto"/>
              </w:rPr>
            </w:pPr>
            <w:r>
              <w:rPr>
                <w:rFonts w:ascii="Arial" w:cs="Arial" w:eastAsia="Arial" w:hAnsi="Arial"/>
                <w:sz w:val="16"/>
                <w:szCs w:val="16"/>
                <w:color w:val="auto"/>
              </w:rPr>
              <w:t>Average</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060" w:type="dxa"/>
            <w:vAlign w:val="bottom"/>
            <w:gridSpan w:val="2"/>
          </w:tcPr>
          <w:p>
            <w:pPr>
              <w:jc w:val="center"/>
              <w:spacing w:after="0"/>
              <w:rPr>
                <w:sz w:val="20"/>
                <w:szCs w:val="20"/>
                <w:color w:val="auto"/>
              </w:rPr>
            </w:pPr>
            <w:r>
              <w:rPr>
                <w:rFonts w:ascii="Arial" w:cs="Arial" w:eastAsia="Arial" w:hAnsi="Arial"/>
                <w:sz w:val="16"/>
                <w:szCs w:val="16"/>
                <w:b w:val="1"/>
                <w:bCs w:val="1"/>
                <w:color w:val="auto"/>
              </w:rPr>
              <w:t>Attributable</w:t>
            </w:r>
          </w:p>
        </w:tc>
        <w:tc>
          <w:tcPr>
            <w:tcW w:w="26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Shares</w:t>
            </w:r>
          </w:p>
        </w:tc>
        <w:tc>
          <w:tcPr>
            <w:tcW w:w="260" w:type="dxa"/>
            <w:vAlign w:val="bottom"/>
          </w:tcPr>
          <w:p>
            <w:pPr>
              <w:spacing w:after="0"/>
              <w:rPr>
                <w:sz w:val="16"/>
                <w:szCs w:val="16"/>
                <w:color w:val="auto"/>
              </w:rPr>
            </w:pPr>
          </w:p>
        </w:tc>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rPr>
              <w:t>Earnings per</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ind w:right="40"/>
              <w:spacing w:after="0"/>
              <w:rPr>
                <w:sz w:val="20"/>
                <w:szCs w:val="20"/>
                <w:color w:val="auto"/>
              </w:rPr>
            </w:pPr>
            <w:r>
              <w:rPr>
                <w:rFonts w:ascii="Arial" w:cs="Arial" w:eastAsia="Arial" w:hAnsi="Arial"/>
                <w:sz w:val="16"/>
                <w:szCs w:val="16"/>
                <w:color w:val="auto"/>
              </w:rPr>
              <w:t>Attributable</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ind w:right="19"/>
              <w:spacing w:after="0"/>
              <w:rPr>
                <w:sz w:val="20"/>
                <w:szCs w:val="20"/>
                <w:color w:val="auto"/>
              </w:rPr>
            </w:pPr>
            <w:r>
              <w:rPr>
                <w:rFonts w:ascii="Arial" w:cs="Arial" w:eastAsia="Arial" w:hAnsi="Arial"/>
                <w:sz w:val="16"/>
                <w:szCs w:val="16"/>
                <w:color w:val="auto"/>
              </w:rPr>
              <w:t>Shares</w:t>
            </w:r>
          </w:p>
        </w:tc>
        <w:tc>
          <w:tcPr>
            <w:tcW w:w="280" w:type="dxa"/>
            <w:vAlign w:val="bottom"/>
          </w:tcPr>
          <w:p>
            <w:pPr>
              <w:spacing w:after="0"/>
              <w:rPr>
                <w:sz w:val="16"/>
                <w:szCs w:val="16"/>
                <w:color w:val="auto"/>
              </w:rPr>
            </w:pPr>
          </w:p>
        </w:tc>
        <w:tc>
          <w:tcPr>
            <w:tcW w:w="1080" w:type="dxa"/>
            <w:vAlign w:val="bottom"/>
            <w:gridSpan w:val="2"/>
          </w:tcPr>
          <w:p>
            <w:pPr>
              <w:jc w:val="center"/>
              <w:spacing w:after="0"/>
              <w:rPr>
                <w:sz w:val="20"/>
                <w:szCs w:val="20"/>
                <w:color w:val="auto"/>
              </w:rPr>
            </w:pPr>
            <w:r>
              <w:rPr>
                <w:rFonts w:ascii="Arial" w:cs="Arial" w:eastAsia="Arial" w:hAnsi="Arial"/>
                <w:sz w:val="16"/>
                <w:szCs w:val="16"/>
                <w:color w:val="auto"/>
              </w:rPr>
              <w:t>Earnings per</w:t>
            </w:r>
          </w:p>
        </w:tc>
        <w:tc>
          <w:tcPr>
            <w:tcW w:w="140" w:type="dxa"/>
            <w:vAlign w:val="bottom"/>
          </w:tcPr>
          <w:p>
            <w:pPr>
              <w:spacing w:after="0"/>
              <w:rPr>
                <w:sz w:val="16"/>
                <w:szCs w:val="16"/>
                <w:color w:val="auto"/>
              </w:rPr>
            </w:pPr>
          </w:p>
        </w:tc>
      </w:tr>
      <w:tr>
        <w:trPr>
          <w:trHeight w:val="221"/>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to SLB</w:t>
            </w:r>
          </w:p>
        </w:tc>
        <w:tc>
          <w:tcPr>
            <w:tcW w:w="260" w:type="dxa"/>
            <w:vAlign w:val="bottom"/>
          </w:tcPr>
          <w:p>
            <w:pPr>
              <w:spacing w:after="0"/>
              <w:rPr>
                <w:sz w:val="19"/>
                <w:szCs w:val="19"/>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Outstanding</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Share</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40"/>
              <w:spacing w:after="0"/>
              <w:rPr>
                <w:sz w:val="20"/>
                <w:szCs w:val="20"/>
                <w:color w:val="auto"/>
              </w:rPr>
            </w:pPr>
            <w:r>
              <w:rPr>
                <w:rFonts w:ascii="Arial" w:cs="Arial" w:eastAsia="Arial" w:hAnsi="Arial"/>
                <w:sz w:val="16"/>
                <w:szCs w:val="16"/>
                <w:color w:val="auto"/>
              </w:rPr>
              <w:t>to SLB</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color w:val="auto"/>
              </w:rPr>
              <w:t>Outstanding</w:t>
            </w: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color w:val="auto"/>
              </w:rPr>
              <w:t>Share</w:t>
            </w:r>
          </w:p>
        </w:tc>
        <w:tc>
          <w:tcPr>
            <w:tcW w:w="140" w:type="dxa"/>
            <w:vAlign w:val="bottom"/>
          </w:tcPr>
          <w:p>
            <w:pPr>
              <w:spacing w:after="0"/>
              <w:rPr>
                <w:sz w:val="19"/>
                <w:szCs w:val="19"/>
                <w:color w:val="auto"/>
              </w:rPr>
            </w:pPr>
          </w:p>
        </w:tc>
      </w:tr>
      <w:tr>
        <w:trPr>
          <w:trHeight w:val="189"/>
        </w:trPr>
        <w:tc>
          <w:tcPr>
            <w:tcW w:w="20" w:type="dxa"/>
            <w:vAlign w:val="bottom"/>
            <w:shd w:val="clear" w:color="auto" w:fill="CFF0FC"/>
          </w:tcPr>
          <w:p>
            <w:pPr>
              <w:spacing w:after="0"/>
              <w:rPr>
                <w:sz w:val="16"/>
                <w:szCs w:val="16"/>
                <w:color w:val="auto"/>
              </w:rPr>
            </w:pPr>
          </w:p>
        </w:tc>
        <w:tc>
          <w:tcPr>
            <w:tcW w:w="3160" w:type="dxa"/>
            <w:vAlign w:val="bottom"/>
            <w:gridSpan w:val="3"/>
            <w:shd w:val="clear" w:color="auto" w:fill="CFF0FC"/>
          </w:tcPr>
          <w:p>
            <w:pPr>
              <w:spacing w:after="0" w:line="169" w:lineRule="exact"/>
              <w:rPr>
                <w:sz w:val="20"/>
                <w:szCs w:val="20"/>
                <w:color w:val="auto"/>
              </w:rPr>
            </w:pPr>
            <w:r>
              <w:rPr>
                <w:rFonts w:ascii="Arial" w:cs="Arial" w:eastAsia="Arial" w:hAnsi="Arial"/>
                <w:sz w:val="16"/>
                <w:szCs w:val="16"/>
                <w:b w:val="1"/>
                <w:bCs w:val="1"/>
                <w:color w:val="auto"/>
              </w:rPr>
              <w:t>Six Months</w:t>
            </w:r>
          </w:p>
        </w:tc>
        <w:tc>
          <w:tcPr>
            <w:tcW w:w="18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r>
      <w:tr>
        <w:trPr>
          <w:trHeight w:val="216"/>
        </w:trPr>
        <w:tc>
          <w:tcPr>
            <w:tcW w:w="20" w:type="dxa"/>
            <w:vAlign w:val="bottom"/>
            <w:tcBorders>
              <w:top w:val="single" w:sz="8" w:color="CFF0FC"/>
            </w:tcBorders>
          </w:tcPr>
          <w:p>
            <w:pPr>
              <w:spacing w:after="0"/>
              <w:rPr>
                <w:sz w:val="18"/>
                <w:szCs w:val="18"/>
                <w:color w:val="auto"/>
              </w:rPr>
            </w:pPr>
          </w:p>
        </w:tc>
        <w:tc>
          <w:tcPr>
            <w:tcW w:w="86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Basic</w:t>
            </w:r>
          </w:p>
        </w:tc>
        <w:tc>
          <w:tcPr>
            <w:tcW w:w="2300" w:type="dxa"/>
            <w:vAlign w:val="bottom"/>
            <w:tcBorders>
              <w:top w:val="single" w:sz="8" w:color="CFF0FC"/>
            </w:tcBorders>
            <w:gridSpan w:val="2"/>
          </w:tcPr>
          <w:p>
            <w:pPr>
              <w:spacing w:after="0"/>
              <w:rPr>
                <w:sz w:val="18"/>
                <w:szCs w:val="18"/>
                <w:color w:val="auto"/>
              </w:rPr>
            </w:pPr>
          </w:p>
        </w:tc>
        <w:tc>
          <w:tcPr>
            <w:tcW w:w="180" w:type="dxa"/>
            <w:vAlign w:val="bottom"/>
            <w:tcBorders>
              <w:top w:val="single" w:sz="8" w:color="CFF0FC"/>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top w:val="single" w:sz="8" w:color="CFF0FC"/>
            </w:tcBorders>
          </w:tcPr>
          <w:p>
            <w:pPr>
              <w:jc w:val="right"/>
              <w:spacing w:after="0"/>
              <w:rPr>
                <w:sz w:val="20"/>
                <w:szCs w:val="20"/>
                <w:color w:val="auto"/>
              </w:rPr>
            </w:pPr>
            <w:r>
              <w:rPr>
                <w:rFonts w:ascii="Arial" w:cs="Arial" w:eastAsia="Arial" w:hAnsi="Arial"/>
                <w:sz w:val="16"/>
                <w:szCs w:val="16"/>
                <w:b w:val="1"/>
                <w:bCs w:val="1"/>
                <w:color w:val="auto"/>
              </w:rPr>
              <w:t>1,967</w:t>
            </w:r>
          </w:p>
        </w:tc>
        <w:tc>
          <w:tcPr>
            <w:tcW w:w="1420" w:type="dxa"/>
            <w:vAlign w:val="bottom"/>
            <w:tcBorders>
              <w:top w:val="single" w:sz="8" w:color="CFF0FC"/>
            </w:tcBorders>
            <w:gridSpan w:val="2"/>
          </w:tcPr>
          <w:p>
            <w:pPr>
              <w:jc w:val="right"/>
              <w:spacing w:after="0"/>
              <w:rPr>
                <w:sz w:val="20"/>
                <w:szCs w:val="20"/>
                <w:color w:val="auto"/>
              </w:rPr>
            </w:pPr>
            <w:r>
              <w:rPr>
                <w:rFonts w:ascii="Arial" w:cs="Arial" w:eastAsia="Arial" w:hAnsi="Arial"/>
                <w:sz w:val="16"/>
                <w:szCs w:val="16"/>
                <w:b w:val="1"/>
                <w:bCs w:val="1"/>
                <w:color w:val="auto"/>
              </w:rPr>
              <w:t>1,425</w:t>
            </w:r>
          </w:p>
        </w:tc>
        <w:tc>
          <w:tcPr>
            <w:tcW w:w="480" w:type="dxa"/>
            <w:vAlign w:val="bottom"/>
            <w:tcBorders>
              <w:top w:val="single" w:sz="8" w:color="CFF0FC"/>
            </w:tcBorders>
            <w:gridSpan w:val="2"/>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top w:val="single" w:sz="8" w:color="CFF0FC"/>
            </w:tcBorders>
          </w:tcPr>
          <w:p>
            <w:pPr>
              <w:jc w:val="right"/>
              <w:spacing w:after="0"/>
              <w:rPr>
                <w:sz w:val="20"/>
                <w:szCs w:val="20"/>
                <w:color w:val="auto"/>
              </w:rPr>
            </w:pPr>
            <w:r>
              <w:rPr>
                <w:rFonts w:ascii="Arial" w:cs="Arial" w:eastAsia="Arial" w:hAnsi="Arial"/>
                <w:sz w:val="16"/>
                <w:szCs w:val="16"/>
                <w:b w:val="1"/>
                <w:bCs w:val="1"/>
                <w:color w:val="auto"/>
              </w:rPr>
              <w:t>1.38</w:t>
            </w:r>
          </w:p>
        </w:tc>
        <w:tc>
          <w:tcPr>
            <w:tcW w:w="380" w:type="dxa"/>
            <w:vAlign w:val="bottom"/>
            <w:tcBorders>
              <w:top w:val="single" w:sz="8" w:color="CFF0FC"/>
            </w:tcBorders>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CFF0FC"/>
            </w:tcBorders>
          </w:tcPr>
          <w:p>
            <w:pPr>
              <w:jc w:val="right"/>
              <w:spacing w:after="0"/>
              <w:rPr>
                <w:sz w:val="20"/>
                <w:szCs w:val="20"/>
                <w:color w:val="auto"/>
              </w:rPr>
            </w:pPr>
            <w:r>
              <w:rPr>
                <w:rFonts w:ascii="Arial" w:cs="Arial" w:eastAsia="Arial" w:hAnsi="Arial"/>
                <w:sz w:val="16"/>
                <w:szCs w:val="16"/>
                <w:color w:val="auto"/>
              </w:rPr>
              <w:t>1,469</w:t>
            </w:r>
          </w:p>
        </w:tc>
        <w:tc>
          <w:tcPr>
            <w:tcW w:w="380" w:type="dxa"/>
            <w:vAlign w:val="bottom"/>
            <w:tcBorders>
              <w:top w:val="single" w:sz="8" w:color="CFF0FC"/>
            </w:tcBorders>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CFF0FC"/>
            </w:tcBorders>
          </w:tcPr>
          <w:p>
            <w:pPr>
              <w:jc w:val="right"/>
              <w:spacing w:after="0"/>
              <w:rPr>
                <w:sz w:val="20"/>
                <w:szCs w:val="20"/>
                <w:color w:val="auto"/>
              </w:rPr>
            </w:pPr>
            <w:r>
              <w:rPr>
                <w:rFonts w:ascii="Arial" w:cs="Arial" w:eastAsia="Arial" w:hAnsi="Arial"/>
                <w:sz w:val="16"/>
                <w:szCs w:val="16"/>
                <w:color w:val="auto"/>
              </w:rPr>
              <w:t>1,413</w:t>
            </w:r>
          </w:p>
        </w:tc>
        <w:tc>
          <w:tcPr>
            <w:tcW w:w="480" w:type="dxa"/>
            <w:vAlign w:val="bottom"/>
            <w:tcBorders>
              <w:top w:val="single" w:sz="8" w:color="CFF0FC"/>
            </w:tcBorders>
            <w:gridSpan w:val="2"/>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CFF0FC"/>
            </w:tcBorders>
          </w:tcPr>
          <w:p>
            <w:pPr>
              <w:jc w:val="right"/>
              <w:spacing w:after="0"/>
              <w:rPr>
                <w:sz w:val="20"/>
                <w:szCs w:val="20"/>
                <w:color w:val="auto"/>
              </w:rPr>
            </w:pPr>
            <w:r>
              <w:rPr>
                <w:rFonts w:ascii="Arial" w:cs="Arial" w:eastAsia="Arial" w:hAnsi="Arial"/>
                <w:sz w:val="16"/>
                <w:szCs w:val="16"/>
                <w:color w:val="auto"/>
              </w:rPr>
              <w:t>1.04</w:t>
            </w:r>
          </w:p>
        </w:tc>
        <w:tc>
          <w:tcPr>
            <w:tcW w:w="140" w:type="dxa"/>
            <w:vAlign w:val="bottom"/>
            <w:tcBorders>
              <w:top w:val="single" w:sz="8" w:color="CFF0FC"/>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7"/>
        </w:trPr>
        <w:tc>
          <w:tcPr>
            <w:tcW w:w="3180" w:type="dxa"/>
            <w:vAlign w:val="bottom"/>
            <w:gridSpan w:val="4"/>
            <w:shd w:val="clear" w:color="auto" w:fill="CFF0FC"/>
          </w:tcPr>
          <w:p>
            <w:pPr>
              <w:ind w:left="20"/>
              <w:spacing w:after="0"/>
              <w:rPr>
                <w:sz w:val="20"/>
                <w:szCs w:val="20"/>
                <w:color w:val="auto"/>
              </w:rPr>
            </w:pPr>
            <w:r>
              <w:rPr>
                <w:rFonts w:ascii="Arial" w:cs="Arial" w:eastAsia="Arial" w:hAnsi="Arial"/>
                <w:sz w:val="16"/>
                <w:szCs w:val="16"/>
                <w:color w:val="auto"/>
              </w:rPr>
              <w:t>Assumed exercise of stock options</w:t>
            </w:r>
          </w:p>
        </w:tc>
        <w:tc>
          <w:tcPr>
            <w:tcW w:w="18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2</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16"/>
        </w:trPr>
        <w:tc>
          <w:tcPr>
            <w:tcW w:w="3180" w:type="dxa"/>
            <w:vAlign w:val="bottom"/>
            <w:gridSpan w:val="4"/>
          </w:tcPr>
          <w:p>
            <w:pPr>
              <w:ind w:left="20"/>
              <w:spacing w:after="0"/>
              <w:rPr>
                <w:sz w:val="20"/>
                <w:szCs w:val="20"/>
                <w:color w:val="auto"/>
              </w:rPr>
            </w:pPr>
            <w:r>
              <w:rPr>
                <w:rFonts w:ascii="Arial" w:cs="Arial" w:eastAsia="Arial" w:hAnsi="Arial"/>
                <w:sz w:val="16"/>
                <w:szCs w:val="16"/>
                <w:color w:val="auto"/>
              </w:rPr>
              <w:t>Unvested restricted stock</w:t>
            </w: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50"/>
        </w:trPr>
        <w:tc>
          <w:tcPr>
            <w:tcW w:w="3180" w:type="dxa"/>
            <w:vAlign w:val="bottom"/>
            <w:tcBorders>
              <w:bottom w:val="single" w:sz="8" w:color="CFF0FC"/>
            </w:tcBorders>
            <w:gridSpan w:val="4"/>
            <w:shd w:val="clear" w:color="auto" w:fill="CFF0FC"/>
          </w:tcPr>
          <w:p>
            <w:pPr>
              <w:ind w:left="20"/>
              <w:spacing w:after="0"/>
              <w:rPr>
                <w:sz w:val="20"/>
                <w:szCs w:val="20"/>
                <w:color w:val="auto"/>
              </w:rPr>
            </w:pPr>
            <w:r>
              <w:rPr>
                <w:rFonts w:ascii="Arial" w:cs="Arial" w:eastAsia="Arial" w:hAnsi="Arial"/>
                <w:sz w:val="16"/>
                <w:szCs w:val="16"/>
                <w:color w:val="auto"/>
              </w:rPr>
              <w:t>Diluted</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1,967</w:t>
            </w:r>
          </w:p>
        </w:tc>
        <w:tc>
          <w:tcPr>
            <w:tcW w:w="26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1,444</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1.36</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1,469</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1,435</w:t>
            </w:r>
          </w:p>
        </w:tc>
        <w:tc>
          <w:tcPr>
            <w:tcW w:w="2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1.02</w:t>
            </w:r>
          </w:p>
        </w:tc>
        <w:tc>
          <w:tcPr>
            <w:tcW w:w="14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-1576705</wp:posOffset>
            </wp:positionV>
            <wp:extent cx="4449445" cy="8312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449445" cy="831215"/>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-24765</wp:posOffset>
            </wp:positionV>
            <wp:extent cx="857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-7620</wp:posOffset>
            </wp:positionV>
            <wp:extent cx="857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-24765</wp:posOffset>
            </wp:positionV>
            <wp:extent cx="857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-7620</wp:posOffset>
            </wp:positionV>
            <wp:extent cx="857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-24765</wp:posOffset>
            </wp:positionV>
            <wp:extent cx="857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-7620</wp:posOffset>
            </wp:positionV>
            <wp:extent cx="857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857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857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-24765</wp:posOffset>
            </wp:positionV>
            <wp:extent cx="857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-7620</wp:posOffset>
            </wp:positionV>
            <wp:extent cx="857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99"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The number of outstanding options to purchase shares of SLB common stock that were not included in the computation of diluted income per share, because to do so would have had an antidilutive effect, was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i w:val="1"/>
                <w:iCs w:val="1"/>
                <w:color w:val="auto"/>
              </w:rPr>
              <w:t>(Stated in millions)</w:t>
            </w:r>
          </w:p>
        </w:tc>
        <w:tc>
          <w:tcPr>
            <w:tcW w:w="140" w:type="dxa"/>
            <w:vAlign w:val="bottom"/>
          </w:tcPr>
          <w:p>
            <w:pPr>
              <w:spacing w:after="0"/>
              <w:rPr>
                <w:sz w:val="16"/>
                <w:szCs w:val="16"/>
                <w:color w:val="auto"/>
              </w:rPr>
            </w:pPr>
          </w:p>
        </w:tc>
      </w:tr>
      <w:tr>
        <w:trPr>
          <w:trHeight w:val="444"/>
        </w:trPr>
        <w:tc>
          <w:tcPr>
            <w:tcW w:w="5500" w:type="dxa"/>
            <w:vAlign w:val="bottom"/>
          </w:tcPr>
          <w:p>
            <w:pPr>
              <w:spacing w:after="0"/>
              <w:rPr>
                <w:sz w:val="24"/>
                <w:szCs w:val="24"/>
                <w:color w:val="auto"/>
              </w:rPr>
            </w:pPr>
          </w:p>
        </w:tc>
        <w:tc>
          <w:tcPr>
            <w:tcW w:w="2340" w:type="dxa"/>
            <w:vAlign w:val="bottom"/>
            <w:tcBorders>
              <w:bottom w:val="single" w:sz="8" w:color="auto"/>
            </w:tcBorders>
            <w:gridSpan w:val="4"/>
          </w:tcPr>
          <w:p>
            <w:pPr>
              <w:jc w:val="right"/>
              <w:ind w:right="319"/>
              <w:spacing w:after="0"/>
              <w:rPr>
                <w:sz w:val="20"/>
                <w:szCs w:val="20"/>
                <w:color w:val="auto"/>
              </w:rPr>
            </w:pPr>
            <w:r>
              <w:rPr>
                <w:rFonts w:ascii="Arial" w:cs="Arial" w:eastAsia="Arial" w:hAnsi="Arial"/>
                <w:sz w:val="16"/>
                <w:szCs w:val="16"/>
                <w:b w:val="1"/>
                <w:bCs w:val="1"/>
                <w:color w:val="auto"/>
              </w:rPr>
              <w:t>Second Quarter</w:t>
            </w:r>
          </w:p>
        </w:tc>
        <w:tc>
          <w:tcPr>
            <w:tcW w:w="30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680" w:type="dxa"/>
            <w:vAlign w:val="bottom"/>
            <w:tcBorders>
              <w:bottom w:val="single" w:sz="8" w:color="auto"/>
            </w:tcBorders>
            <w:gridSpan w:val="3"/>
          </w:tcPr>
          <w:p>
            <w:pPr>
              <w:jc w:val="right"/>
              <w:ind w:right="824"/>
              <w:spacing w:after="0"/>
              <w:rPr>
                <w:sz w:val="20"/>
                <w:szCs w:val="20"/>
                <w:color w:val="auto"/>
              </w:rPr>
            </w:pPr>
            <w:r>
              <w:rPr>
                <w:rFonts w:ascii="Arial" w:cs="Arial" w:eastAsia="Arial" w:hAnsi="Arial"/>
                <w:sz w:val="16"/>
                <w:szCs w:val="16"/>
                <w:b w:val="1"/>
                <w:bCs w:val="1"/>
                <w:color w:val="auto"/>
              </w:rPr>
              <w:t>Six Months</w:t>
            </w:r>
          </w:p>
        </w:tc>
        <w:tc>
          <w:tcPr>
            <w:tcW w:w="140" w:type="dxa"/>
            <w:vAlign w:val="bottom"/>
          </w:tcPr>
          <w:p>
            <w:pPr>
              <w:spacing w:after="0"/>
              <w:rPr>
                <w:sz w:val="24"/>
                <w:szCs w:val="24"/>
                <w:color w:val="auto"/>
              </w:rPr>
            </w:pPr>
          </w:p>
        </w:tc>
      </w:tr>
      <w:tr>
        <w:trPr>
          <w:trHeight w:val="209"/>
        </w:trPr>
        <w:tc>
          <w:tcPr>
            <w:tcW w:w="5500" w:type="dxa"/>
            <w:vAlign w:val="bottom"/>
          </w:tcPr>
          <w:p>
            <w:pPr>
              <w:spacing w:after="0"/>
              <w:rPr>
                <w:sz w:val="18"/>
                <w:szCs w:val="18"/>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2023</w:t>
            </w:r>
          </w:p>
        </w:tc>
        <w:tc>
          <w:tcPr>
            <w:tcW w:w="3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2022</w:t>
            </w:r>
          </w:p>
        </w:tc>
        <w:tc>
          <w:tcPr>
            <w:tcW w:w="30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2023</w:t>
            </w:r>
          </w:p>
        </w:tc>
        <w:tc>
          <w:tcPr>
            <w:tcW w:w="260" w:type="dxa"/>
            <w:vAlign w:val="bottom"/>
          </w:tcPr>
          <w:p>
            <w:pPr>
              <w:spacing w:after="0"/>
              <w:rPr>
                <w:sz w:val="18"/>
                <w:szCs w:val="18"/>
                <w:color w:val="auto"/>
              </w:rPr>
            </w:pPr>
          </w:p>
        </w:tc>
        <w:tc>
          <w:tcPr>
            <w:tcW w:w="1220" w:type="dxa"/>
            <w:vAlign w:val="bottom"/>
            <w:tcBorders>
              <w:bottom w:val="single" w:sz="8" w:color="auto"/>
            </w:tcBorders>
          </w:tcPr>
          <w:p>
            <w:pPr>
              <w:jc w:val="right"/>
              <w:ind w:right="344"/>
              <w:spacing w:after="0"/>
              <w:rPr>
                <w:sz w:val="20"/>
                <w:szCs w:val="20"/>
                <w:color w:val="auto"/>
              </w:rPr>
            </w:pPr>
            <w:r>
              <w:rPr>
                <w:rFonts w:ascii="Arial" w:cs="Arial" w:eastAsia="Arial" w:hAnsi="Arial"/>
                <w:sz w:val="16"/>
                <w:szCs w:val="16"/>
                <w:color w:val="auto"/>
              </w:rPr>
              <w:t>2022</w:t>
            </w:r>
          </w:p>
        </w:tc>
        <w:tc>
          <w:tcPr>
            <w:tcW w:w="140" w:type="dxa"/>
            <w:vAlign w:val="bottom"/>
          </w:tcPr>
          <w:p>
            <w:pPr>
              <w:spacing w:after="0"/>
              <w:rPr>
                <w:sz w:val="18"/>
                <w:szCs w:val="18"/>
                <w:color w:val="auto"/>
              </w:rPr>
            </w:pPr>
          </w:p>
        </w:tc>
      </w:tr>
      <w:tr>
        <w:trPr>
          <w:trHeight w:val="210"/>
        </w:trPr>
        <w:tc>
          <w:tcPr>
            <w:tcW w:w="6380" w:type="dxa"/>
            <w:vAlign w:val="bottom"/>
            <w:gridSpan w:val="2"/>
            <w:shd w:val="clear" w:color="auto" w:fill="CFF0FC"/>
          </w:tcPr>
          <w:p>
            <w:pPr>
              <w:jc w:val="right"/>
              <w:ind w:right="4559"/>
              <w:spacing w:after="0"/>
              <w:rPr>
                <w:sz w:val="20"/>
                <w:szCs w:val="20"/>
                <w:color w:val="auto"/>
              </w:rPr>
            </w:pPr>
            <w:r>
              <w:rPr>
                <w:rFonts w:ascii="Arial" w:cs="Arial" w:eastAsia="Arial" w:hAnsi="Arial"/>
                <w:sz w:val="16"/>
                <w:szCs w:val="16"/>
                <w:color w:val="auto"/>
              </w:rPr>
              <w:t>Employee stock options</w:t>
            </w: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22</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w:t>
            </w:r>
          </w:p>
        </w:tc>
        <w:tc>
          <w:tcPr>
            <w:tcW w:w="2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22</w:t>
            </w:r>
          </w:p>
        </w:tc>
        <w:tc>
          <w:tcPr>
            <w:tcW w:w="14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31</w:t>
            </w:r>
          </w:p>
        </w:tc>
        <w:tc>
          <w:tcPr>
            <w:tcW w:w="140" w:type="dxa"/>
            <w:vAlign w:val="bottom"/>
            <w:shd w:val="clear" w:color="auto" w:fill="CFF0FC"/>
          </w:tcPr>
          <w:p>
            <w:pPr>
              <w:spacing w:after="0"/>
              <w:rPr>
                <w:sz w:val="18"/>
                <w:szCs w:val="18"/>
                <w:color w:val="auto"/>
              </w:rPr>
            </w:pPr>
          </w:p>
        </w:tc>
      </w:tr>
    </w:tbl>
    <w:p>
      <w:pPr>
        <w:spacing w:after="0" w:line="292" w:lineRule="exact"/>
        <w:rPr>
          <w:sz w:val="20"/>
          <w:szCs w:val="20"/>
          <w:color w:val="auto"/>
        </w:rPr>
      </w:pPr>
    </w:p>
    <w:p>
      <w:pPr>
        <w:ind w:left="280" w:hanging="272"/>
        <w:spacing w:after="0"/>
        <w:tabs>
          <w:tab w:leader="none" w:pos="280"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Inventories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 summary of inventories, which are stated at the lower of average cost or net realizable value,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i w:val="1"/>
                <w:iCs w:val="1"/>
                <w:color w:val="auto"/>
              </w:rPr>
              <w:t>(Stated in millions)</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9"/>
        </w:trPr>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jc w:val="center"/>
              <w:ind w:right="219"/>
              <w:spacing w:after="0"/>
              <w:rPr>
                <w:sz w:val="20"/>
                <w:szCs w:val="20"/>
                <w:color w:val="auto"/>
              </w:rPr>
            </w:pPr>
            <w:r>
              <w:rPr>
                <w:rFonts w:ascii="Arial" w:cs="Arial" w:eastAsia="Arial" w:hAnsi="Arial"/>
                <w:sz w:val="16"/>
                <w:szCs w:val="16"/>
                <w:b w:val="1"/>
                <w:bCs w:val="1"/>
                <w:color w:val="auto"/>
              </w:rPr>
              <w:t>Jun. 30,</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jc w:val="center"/>
              <w:ind w:right="180"/>
              <w:spacing w:after="0"/>
              <w:rPr>
                <w:sz w:val="20"/>
                <w:szCs w:val="20"/>
                <w:color w:val="auto"/>
              </w:rPr>
            </w:pPr>
            <w:r>
              <w:rPr>
                <w:rFonts w:ascii="Arial" w:cs="Arial" w:eastAsia="Arial" w:hAnsi="Arial"/>
                <w:sz w:val="16"/>
                <w:szCs w:val="16"/>
                <w:color w:val="auto"/>
              </w:rPr>
              <w:t>Dec. 31,</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rPr>
              <w:t>2023</w:t>
            </w:r>
          </w:p>
        </w:tc>
        <w:tc>
          <w:tcPr>
            <w:tcW w:w="3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180"/>
              <w:spacing w:after="0"/>
              <w:rPr>
                <w:sz w:val="20"/>
                <w:szCs w:val="20"/>
                <w:color w:val="auto"/>
              </w:rPr>
            </w:pPr>
            <w:r>
              <w:rPr>
                <w:rFonts w:ascii="Arial" w:cs="Arial" w:eastAsia="Arial" w:hAnsi="Arial"/>
                <w:sz w:val="16"/>
                <w:szCs w:val="16"/>
                <w:color w:val="auto"/>
              </w:rPr>
              <w:t>2022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56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Raw materials &amp; field materials</w:t>
            </w: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2,308</w:t>
            </w:r>
          </w:p>
        </w:tc>
        <w:tc>
          <w:tcPr>
            <w:tcW w:w="62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2,085</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gridSpan w:val="3"/>
          </w:tcPr>
          <w:p>
            <w:pPr>
              <w:ind w:left="20"/>
              <w:spacing w:after="0"/>
              <w:rPr>
                <w:sz w:val="20"/>
                <w:szCs w:val="20"/>
                <w:color w:val="auto"/>
              </w:rPr>
            </w:pPr>
            <w:r>
              <w:rPr>
                <w:rFonts w:ascii="Arial" w:cs="Arial" w:eastAsia="Arial" w:hAnsi="Arial"/>
                <w:sz w:val="16"/>
                <w:szCs w:val="16"/>
                <w:color w:val="auto"/>
              </w:rPr>
              <w:t>Work in progress</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650</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547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6"/>
                <w:szCs w:val="16"/>
                <w:color w:val="auto"/>
              </w:rPr>
              <w:t>Finished goods</w:t>
            </w:r>
          </w:p>
        </w:tc>
        <w:tc>
          <w:tcPr>
            <w:tcW w:w="30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1,402</w:t>
            </w:r>
          </w:p>
        </w:tc>
        <w:tc>
          <w:tcPr>
            <w:tcW w:w="3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1,367</w:t>
            </w:r>
          </w:p>
        </w:tc>
        <w:tc>
          <w:tcPr>
            <w:tcW w:w="1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4,360</w:t>
            </w:r>
          </w:p>
        </w:tc>
        <w:tc>
          <w:tcPr>
            <w:tcW w:w="62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3,999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6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5.  Fixed Assets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756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7560" w:type="dxa"/>
            <w:vAlign w:val="bottom"/>
            <w:gridSpan w:val="3"/>
          </w:tcPr>
          <w:p>
            <w:pPr>
              <w:spacing w:after="0"/>
              <w:rPr>
                <w:sz w:val="20"/>
                <w:szCs w:val="20"/>
                <w:color w:val="auto"/>
              </w:rPr>
            </w:pPr>
            <w:r>
              <w:rPr>
                <w:rFonts w:ascii="Arial" w:cs="Arial" w:eastAsia="Arial" w:hAnsi="Arial"/>
                <w:sz w:val="16"/>
                <w:szCs w:val="16"/>
                <w:color w:val="auto"/>
              </w:rPr>
              <w:t>Fixed assets consist of the following:</w:t>
            </w: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4"/>
                <w:szCs w:val="14"/>
                <w:i w:val="1"/>
                <w:iCs w:val="1"/>
                <w:color w:val="auto"/>
              </w:rPr>
              <w:t>(Stated in millions)</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jc w:val="center"/>
              <w:ind w:right="219"/>
              <w:spacing w:after="0"/>
              <w:rPr>
                <w:sz w:val="20"/>
                <w:szCs w:val="20"/>
                <w:color w:val="auto"/>
              </w:rPr>
            </w:pPr>
            <w:r>
              <w:rPr>
                <w:rFonts w:ascii="Arial" w:cs="Arial" w:eastAsia="Arial" w:hAnsi="Arial"/>
                <w:sz w:val="16"/>
                <w:szCs w:val="16"/>
                <w:b w:val="1"/>
                <w:bCs w:val="1"/>
                <w:color w:val="auto"/>
              </w:rPr>
              <w:t>Jun. 30,</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jc w:val="center"/>
              <w:ind w:right="180"/>
              <w:spacing w:after="0"/>
              <w:rPr>
                <w:sz w:val="20"/>
                <w:szCs w:val="20"/>
                <w:color w:val="auto"/>
              </w:rPr>
            </w:pPr>
            <w:r>
              <w:rPr>
                <w:rFonts w:ascii="Arial" w:cs="Arial" w:eastAsia="Arial" w:hAnsi="Arial"/>
                <w:sz w:val="16"/>
                <w:szCs w:val="16"/>
                <w:color w:val="auto"/>
              </w:rPr>
              <w:t>Dec. 31,</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rPr>
              <w:t>2023</w:t>
            </w:r>
          </w:p>
        </w:tc>
        <w:tc>
          <w:tcPr>
            <w:tcW w:w="3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180"/>
              <w:spacing w:after="0"/>
              <w:rPr>
                <w:sz w:val="20"/>
                <w:szCs w:val="20"/>
                <w:color w:val="auto"/>
              </w:rPr>
            </w:pPr>
            <w:r>
              <w:rPr>
                <w:rFonts w:ascii="Arial" w:cs="Arial" w:eastAsia="Arial" w:hAnsi="Arial"/>
                <w:sz w:val="16"/>
                <w:szCs w:val="16"/>
                <w:color w:val="auto"/>
              </w:rPr>
              <w:t>2022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56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Property, plant &amp; equipment</w:t>
            </w: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28,771</w:t>
            </w:r>
          </w:p>
        </w:tc>
        <w:tc>
          <w:tcPr>
            <w:tcW w:w="62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28,386</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gridSpan w:val="3"/>
          </w:tcPr>
          <w:p>
            <w:pPr>
              <w:ind w:left="20"/>
              <w:spacing w:after="0"/>
              <w:rPr>
                <w:sz w:val="20"/>
                <w:szCs w:val="20"/>
                <w:color w:val="auto"/>
              </w:rPr>
            </w:pPr>
            <w:r>
              <w:rPr>
                <w:rFonts w:ascii="Arial" w:cs="Arial" w:eastAsia="Arial" w:hAnsi="Arial"/>
                <w:sz w:val="16"/>
                <w:szCs w:val="16"/>
                <w:color w:val="auto"/>
              </w:rPr>
              <w:t>Less: Accumulated depreciation</w:t>
            </w: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21,967</w:t>
            </w:r>
          </w:p>
        </w:tc>
        <w:tc>
          <w:tcPr>
            <w:tcW w:w="3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21,779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8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spacing w:after="0"/>
              <w:rPr>
                <w:sz w:val="21"/>
                <w:szCs w:val="21"/>
                <w:color w:val="auto"/>
              </w:rPr>
            </w:pPr>
          </w:p>
        </w:tc>
        <w:tc>
          <w:tcPr>
            <w:tcW w:w="62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6,804</w:t>
            </w:r>
          </w:p>
        </w:tc>
        <w:tc>
          <w:tcPr>
            <w:tcW w:w="3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6,607</w:t>
            </w:r>
          </w:p>
        </w:tc>
        <w:tc>
          <w:tcPr>
            <w:tcW w:w="1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-1731010</wp:posOffset>
            </wp:positionV>
            <wp:extent cx="85725" cy="1714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-1731010</wp:posOffset>
            </wp:positionV>
            <wp:extent cx="85725" cy="1714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-25400</wp:posOffset>
            </wp:positionV>
            <wp:extent cx="8572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-8255</wp:posOffset>
            </wp:positionV>
            <wp:extent cx="8572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-25400</wp:posOffset>
            </wp:positionV>
            <wp:extent cx="8572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-8255</wp:posOffset>
            </wp:positionV>
            <wp:extent cx="8572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Depreciation expense relating to fixed assets was as follows:</w:t>
      </w:r>
    </w:p>
    <w:p>
      <w:pPr>
        <w:sectPr>
          <w:pgSz w:w="11900" w:h="16838" w:orient="portrait"/>
          <w:cols w:equalWidth="0" w:num="1">
            <w:col w:w="11240"/>
          </w:cols>
          <w:pgMar w:left="320" w:top="445" w:right="339" w:bottom="1440" w:gutter="0" w:footer="0" w:header="0"/>
        </w:sect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186"/>
        </w:trPr>
        <w:tc>
          <w:tcPr>
            <w:tcW w:w="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i w:val="1"/>
                <w:iCs w:val="1"/>
                <w:color w:val="auto"/>
              </w:rPr>
              <w:t>(Stated in millions)</w:t>
            </w:r>
          </w:p>
        </w:tc>
        <w:tc>
          <w:tcPr>
            <w:tcW w:w="140" w:type="dxa"/>
            <w:vAlign w:val="bottom"/>
          </w:tcPr>
          <w:p>
            <w:pPr>
              <w:spacing w:after="0"/>
              <w:rPr>
                <w:sz w:val="16"/>
                <w:szCs w:val="16"/>
                <w:color w:val="auto"/>
              </w:rPr>
            </w:pPr>
          </w:p>
        </w:tc>
      </w:tr>
      <w:tr>
        <w:trPr>
          <w:trHeight w:val="444"/>
        </w:trPr>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2023</w:t>
            </w:r>
          </w:p>
        </w:tc>
        <w:tc>
          <w:tcPr>
            <w:tcW w:w="54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w w:val="95"/>
              </w:rPr>
              <w:t>2022</w:t>
            </w:r>
          </w:p>
        </w:tc>
        <w:tc>
          <w:tcPr>
            <w:tcW w:w="140" w:type="dxa"/>
            <w:vAlign w:val="bottom"/>
          </w:tcPr>
          <w:p>
            <w:pPr>
              <w:spacing w:after="0"/>
              <w:rPr>
                <w:sz w:val="24"/>
                <w:szCs w:val="24"/>
                <w:color w:val="auto"/>
              </w:rPr>
            </w:pPr>
          </w:p>
        </w:tc>
      </w:tr>
      <w:tr>
        <w:trPr>
          <w:trHeight w:val="209"/>
        </w:trPr>
        <w:tc>
          <w:tcPr>
            <w:tcW w:w="290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Second Quarter</w:t>
            </w: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579"/>
              <w:spacing w:after="0"/>
              <w:rPr>
                <w:sz w:val="20"/>
                <w:szCs w:val="20"/>
                <w:color w:val="auto"/>
              </w:rPr>
            </w:pPr>
            <w:r>
              <w:rPr>
                <w:rFonts w:ascii="Arial" w:cs="Arial" w:eastAsia="Arial" w:hAnsi="Arial"/>
                <w:sz w:val="16"/>
                <w:szCs w:val="16"/>
                <w:b w:val="1"/>
                <w:bCs w:val="1"/>
                <w:color w:val="auto"/>
                <w:w w:val="89"/>
              </w:rPr>
              <w:t>$</w:t>
            </w:r>
          </w:p>
        </w:tc>
        <w:tc>
          <w:tcPr>
            <w:tcW w:w="28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353</w:t>
            </w:r>
          </w:p>
        </w:tc>
        <w:tc>
          <w:tcPr>
            <w:tcW w:w="5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340</w:t>
            </w:r>
          </w:p>
        </w:tc>
        <w:tc>
          <w:tcPr>
            <w:tcW w:w="140" w:type="dxa"/>
            <w:vAlign w:val="bottom"/>
            <w:shd w:val="clear" w:color="auto" w:fill="CFF0FC"/>
          </w:tcPr>
          <w:p>
            <w:pPr>
              <w:spacing w:after="0"/>
              <w:rPr>
                <w:sz w:val="18"/>
                <w:szCs w:val="18"/>
                <w:color w:val="auto"/>
              </w:rPr>
            </w:pPr>
          </w:p>
        </w:tc>
      </w:tr>
      <w:tr>
        <w:trPr>
          <w:trHeight w:val="227"/>
        </w:trPr>
        <w:tc>
          <w:tcPr>
            <w:tcW w:w="2900" w:type="dxa"/>
            <w:vAlign w:val="bottom"/>
            <w:gridSpan w:val="3"/>
          </w:tcPr>
          <w:p>
            <w:pPr>
              <w:ind w:left="20"/>
              <w:spacing w:after="0"/>
              <w:rPr>
                <w:sz w:val="20"/>
                <w:szCs w:val="20"/>
                <w:color w:val="auto"/>
              </w:rPr>
            </w:pPr>
            <w:r>
              <w:rPr>
                <w:rFonts w:ascii="Arial" w:cs="Arial" w:eastAsia="Arial" w:hAnsi="Arial"/>
                <w:sz w:val="16"/>
                <w:szCs w:val="16"/>
                <w:color w:val="auto"/>
              </w:rPr>
              <w:t>Six Months</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579"/>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700</w:t>
            </w:r>
          </w:p>
        </w:tc>
        <w:tc>
          <w:tcPr>
            <w:tcW w:w="5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678</w:t>
            </w:r>
          </w:p>
        </w:tc>
        <w:tc>
          <w:tcPr>
            <w:tcW w:w="140" w:type="dxa"/>
            <w:vAlign w:val="bottom"/>
          </w:tcPr>
          <w:p>
            <w:pPr>
              <w:spacing w:after="0"/>
              <w:rPr>
                <w:sz w:val="19"/>
                <w:szCs w:val="19"/>
                <w:color w:val="auto"/>
              </w:rPr>
            </w:pPr>
          </w:p>
        </w:tc>
      </w:tr>
      <w:tr>
        <w:trPr>
          <w:trHeight w:val="340"/>
        </w:trPr>
        <w:tc>
          <w:tcPr>
            <w:tcW w:w="2900" w:type="dxa"/>
            <w:vAlign w:val="bottom"/>
            <w:gridSpan w:val="3"/>
          </w:tcPr>
          <w:p>
            <w:pPr>
              <w:spacing w:after="0"/>
              <w:rPr>
                <w:sz w:val="20"/>
                <w:szCs w:val="20"/>
                <w:color w:val="auto"/>
              </w:rPr>
            </w:pPr>
            <w:r>
              <w:rPr>
                <w:rFonts w:ascii="Arial" w:cs="Arial" w:eastAsia="Arial" w:hAnsi="Arial"/>
                <w:sz w:val="16"/>
                <w:szCs w:val="16"/>
                <w:b w:val="1"/>
                <w:bCs w:val="1"/>
                <w:color w:val="auto"/>
              </w:rPr>
              <w:t>6.  Intangible Assets</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0"/>
        </w:trPr>
        <w:tc>
          <w:tcPr>
            <w:tcW w:w="2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12"/>
        </w:trPr>
        <w:tc>
          <w:tcPr>
            <w:tcW w:w="3020" w:type="dxa"/>
            <w:vAlign w:val="bottom"/>
            <w:gridSpan w:val="4"/>
          </w:tcPr>
          <w:p>
            <w:pPr>
              <w:spacing w:after="0"/>
              <w:rPr>
                <w:sz w:val="20"/>
                <w:szCs w:val="20"/>
                <w:color w:val="auto"/>
              </w:rPr>
            </w:pPr>
            <w:r>
              <w:rPr>
                <w:rFonts w:ascii="Arial" w:cs="Arial" w:eastAsia="Arial" w:hAnsi="Arial"/>
                <w:sz w:val="16"/>
                <w:szCs w:val="16"/>
                <w:color w:val="auto"/>
              </w:rPr>
              <w:t>Intangible assets consist of the following:</w:t>
            </w: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39"/>
        </w:trPr>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i w:val="1"/>
                <w:iCs w:val="1"/>
                <w:color w:val="auto"/>
              </w:rPr>
              <w:t>(Stated in millions)</w:t>
            </w:r>
          </w:p>
        </w:tc>
        <w:tc>
          <w:tcPr>
            <w:tcW w:w="140" w:type="dxa"/>
            <w:vAlign w:val="bottom"/>
          </w:tcPr>
          <w:p>
            <w:pPr>
              <w:spacing w:after="0"/>
              <w:rPr>
                <w:sz w:val="24"/>
                <w:szCs w:val="24"/>
                <w:color w:val="auto"/>
              </w:rPr>
            </w:pPr>
          </w:p>
        </w:tc>
      </w:tr>
      <w:tr>
        <w:trPr>
          <w:trHeight w:val="444"/>
        </w:trPr>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Jun. 30, 2023</w:t>
            </w: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rPr>
              <w:t>Dec. 31, 2022</w:t>
            </w: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05"/>
        </w:trPr>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ind w:left="200"/>
              <w:spacing w:after="0"/>
              <w:rPr>
                <w:sz w:val="20"/>
                <w:szCs w:val="20"/>
                <w:color w:val="auto"/>
              </w:rPr>
            </w:pPr>
            <w:r>
              <w:rPr>
                <w:rFonts w:ascii="Arial" w:cs="Arial" w:eastAsia="Arial" w:hAnsi="Arial"/>
                <w:sz w:val="16"/>
                <w:szCs w:val="16"/>
                <w:b w:val="1"/>
                <w:bCs w:val="1"/>
                <w:color w:val="auto"/>
              </w:rPr>
              <w:t>Gross</w:t>
            </w:r>
          </w:p>
        </w:tc>
        <w:tc>
          <w:tcPr>
            <w:tcW w:w="100" w:type="dxa"/>
            <w:vAlign w:val="bottom"/>
          </w:tcPr>
          <w:p>
            <w:pPr>
              <w:spacing w:after="0"/>
              <w:rPr>
                <w:sz w:val="17"/>
                <w:szCs w:val="17"/>
                <w:color w:val="auto"/>
              </w:rPr>
            </w:pPr>
          </w:p>
        </w:tc>
        <w:tc>
          <w:tcPr>
            <w:tcW w:w="1140" w:type="dxa"/>
            <w:vAlign w:val="bottom"/>
          </w:tcPr>
          <w:p>
            <w:pPr>
              <w:spacing w:after="0"/>
              <w:rPr>
                <w:sz w:val="20"/>
                <w:szCs w:val="20"/>
                <w:color w:val="auto"/>
              </w:rPr>
            </w:pPr>
            <w:r>
              <w:rPr>
                <w:rFonts w:ascii="Arial" w:cs="Arial" w:eastAsia="Arial" w:hAnsi="Arial"/>
                <w:sz w:val="16"/>
                <w:szCs w:val="16"/>
                <w:b w:val="1"/>
                <w:bCs w:val="1"/>
                <w:color w:val="auto"/>
              </w:rPr>
              <w:t>Accumulated</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b w:val="1"/>
                <w:bCs w:val="1"/>
                <w:color w:val="auto"/>
              </w:rPr>
              <w:t>Net Book</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3"/>
          </w:tcPr>
          <w:p>
            <w:pPr>
              <w:jc w:val="right"/>
              <w:ind w:right="620"/>
              <w:spacing w:after="0"/>
              <w:rPr>
                <w:sz w:val="20"/>
                <w:szCs w:val="20"/>
                <w:color w:val="auto"/>
              </w:rPr>
            </w:pPr>
            <w:r>
              <w:rPr>
                <w:rFonts w:ascii="Arial" w:cs="Arial" w:eastAsia="Arial" w:hAnsi="Arial"/>
                <w:sz w:val="16"/>
                <w:szCs w:val="16"/>
                <w:color w:val="auto"/>
              </w:rPr>
              <w:t>Gross</w:t>
            </w:r>
          </w:p>
        </w:tc>
        <w:tc>
          <w:tcPr>
            <w:tcW w:w="1120" w:type="dxa"/>
            <w:vAlign w:val="bottom"/>
            <w:gridSpan w:val="3"/>
          </w:tcPr>
          <w:p>
            <w:pPr>
              <w:jc w:val="center"/>
              <w:spacing w:after="0"/>
              <w:rPr>
                <w:sz w:val="20"/>
                <w:szCs w:val="20"/>
                <w:color w:val="auto"/>
              </w:rPr>
            </w:pPr>
            <w:r>
              <w:rPr>
                <w:rFonts w:ascii="Arial" w:cs="Arial" w:eastAsia="Arial" w:hAnsi="Arial"/>
                <w:sz w:val="16"/>
                <w:szCs w:val="16"/>
                <w:color w:val="auto"/>
              </w:rPr>
              <w:t>Accumulated</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Net Book</w:t>
            </w:r>
          </w:p>
        </w:tc>
        <w:tc>
          <w:tcPr>
            <w:tcW w:w="140" w:type="dxa"/>
            <w:vAlign w:val="bottom"/>
          </w:tcPr>
          <w:p>
            <w:pPr>
              <w:spacing w:after="0"/>
              <w:rPr>
                <w:sz w:val="17"/>
                <w:szCs w:val="17"/>
                <w:color w:val="auto"/>
              </w:rPr>
            </w:pPr>
          </w:p>
        </w:tc>
      </w:tr>
      <w:tr>
        <w:trPr>
          <w:trHeight w:val="221"/>
        </w:trPr>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98"/>
              </w:rPr>
              <w:t>Book Value</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Amortization</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Value</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6"/>
                <w:szCs w:val="16"/>
                <w:color w:val="auto"/>
              </w:rPr>
              <w:t>Book Value</w:t>
            </w:r>
          </w:p>
        </w:tc>
        <w:tc>
          <w:tcPr>
            <w:tcW w:w="280" w:type="dxa"/>
            <w:vAlign w:val="bottom"/>
          </w:tcPr>
          <w:p>
            <w:pPr>
              <w:spacing w:after="0"/>
              <w:rPr>
                <w:sz w:val="19"/>
                <w:szCs w:val="19"/>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rPr>
              <w:t>Amortization</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Value</w:t>
            </w:r>
          </w:p>
        </w:tc>
        <w:tc>
          <w:tcPr>
            <w:tcW w:w="140" w:type="dxa"/>
            <w:vAlign w:val="bottom"/>
          </w:tcPr>
          <w:p>
            <w:pPr>
              <w:spacing w:after="0"/>
              <w:rPr>
                <w:sz w:val="19"/>
                <w:szCs w:val="19"/>
                <w:color w:val="auto"/>
              </w:rPr>
            </w:pPr>
          </w:p>
        </w:tc>
      </w:tr>
      <w:tr>
        <w:trPr>
          <w:trHeight w:val="210"/>
        </w:trPr>
        <w:tc>
          <w:tcPr>
            <w:tcW w:w="290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Customer relationships</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1,709</w:t>
            </w: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667</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1,042</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1,680</w:t>
            </w:r>
          </w:p>
        </w:tc>
        <w:tc>
          <w:tcPr>
            <w:tcW w:w="28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339"/>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631</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1,049</w:t>
            </w:r>
          </w:p>
        </w:tc>
        <w:tc>
          <w:tcPr>
            <w:tcW w:w="140" w:type="dxa"/>
            <w:vAlign w:val="bottom"/>
            <w:shd w:val="clear" w:color="auto" w:fill="CFF0FC"/>
          </w:tcPr>
          <w:p>
            <w:pPr>
              <w:spacing w:after="0"/>
              <w:rPr>
                <w:sz w:val="18"/>
                <w:szCs w:val="18"/>
                <w:color w:val="auto"/>
              </w:rPr>
            </w:pPr>
          </w:p>
        </w:tc>
      </w:tr>
      <w:tr>
        <w:trPr>
          <w:trHeight w:val="216"/>
        </w:trPr>
        <w:tc>
          <w:tcPr>
            <w:tcW w:w="2900" w:type="dxa"/>
            <w:vAlign w:val="bottom"/>
            <w:gridSpan w:val="3"/>
          </w:tcPr>
          <w:p>
            <w:pPr>
              <w:ind w:left="20"/>
              <w:spacing w:after="0"/>
              <w:rPr>
                <w:sz w:val="20"/>
                <w:szCs w:val="20"/>
                <w:color w:val="auto"/>
              </w:rPr>
            </w:pPr>
            <w:r>
              <w:rPr>
                <w:rFonts w:ascii="Arial" w:cs="Arial" w:eastAsia="Arial" w:hAnsi="Arial"/>
                <w:sz w:val="16"/>
                <w:szCs w:val="16"/>
                <w:color w:val="auto"/>
              </w:rPr>
              <w:t>Technology/technical know-how</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1,306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721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585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1,280</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6"/>
                <w:szCs w:val="16"/>
                <w:color w:val="auto"/>
              </w:rPr>
              <w:t>676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604</w:t>
            </w:r>
          </w:p>
        </w:tc>
        <w:tc>
          <w:tcPr>
            <w:tcW w:w="140" w:type="dxa"/>
            <w:vAlign w:val="bottom"/>
          </w:tcPr>
          <w:p>
            <w:pPr>
              <w:spacing w:after="0"/>
              <w:rPr>
                <w:sz w:val="18"/>
                <w:szCs w:val="18"/>
                <w:color w:val="auto"/>
              </w:rPr>
            </w:pPr>
          </w:p>
        </w:tc>
      </w:tr>
      <w:tr>
        <w:trPr>
          <w:trHeight w:val="216"/>
        </w:trPr>
        <w:tc>
          <w:tcPr>
            <w:tcW w:w="290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Tradenames</w:t>
            </w: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795</w:t>
            </w: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248</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547</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767</w:t>
            </w:r>
          </w:p>
        </w:tc>
        <w:tc>
          <w:tcPr>
            <w:tcW w:w="2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222</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545</w:t>
            </w:r>
          </w:p>
        </w:tc>
        <w:tc>
          <w:tcPr>
            <w:tcW w:w="140" w:type="dxa"/>
            <w:vAlign w:val="bottom"/>
            <w:shd w:val="clear" w:color="auto" w:fill="CFF0FC"/>
          </w:tcPr>
          <w:p>
            <w:pPr>
              <w:spacing w:after="0"/>
              <w:rPr>
                <w:sz w:val="18"/>
                <w:szCs w:val="18"/>
                <w:color w:val="auto"/>
              </w:rPr>
            </w:pPr>
          </w:p>
        </w:tc>
      </w:tr>
      <w:tr>
        <w:trPr>
          <w:trHeight w:val="216"/>
        </w:trPr>
        <w:tc>
          <w:tcPr>
            <w:tcW w:w="2900" w:type="dxa"/>
            <w:vAlign w:val="bottom"/>
            <w:gridSpan w:val="3"/>
          </w:tcPr>
          <w:p>
            <w:pPr>
              <w:ind w:left="2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1,704</w:t>
            </w: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910</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794</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1,657</w:t>
            </w:r>
          </w:p>
        </w:tc>
        <w:tc>
          <w:tcPr>
            <w:tcW w:w="28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863</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794</w:t>
            </w:r>
          </w:p>
        </w:tc>
        <w:tc>
          <w:tcPr>
            <w:tcW w:w="140" w:type="dxa"/>
            <w:vAlign w:val="bottom"/>
          </w:tcPr>
          <w:p>
            <w:pPr>
              <w:spacing w:after="0"/>
              <w:rPr>
                <w:sz w:val="18"/>
                <w:szCs w:val="18"/>
                <w:color w:val="auto"/>
              </w:rPr>
            </w:pPr>
          </w:p>
        </w:tc>
      </w:tr>
      <w:tr>
        <w:trPr>
          <w:trHeight w:val="250"/>
        </w:trPr>
        <w:tc>
          <w:tcPr>
            <w:tcW w:w="28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5,514</w:t>
            </w:r>
          </w:p>
        </w:tc>
        <w:tc>
          <w:tcPr>
            <w:tcW w:w="3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2,546</w:t>
            </w: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2,968</w:t>
            </w:r>
          </w:p>
        </w:tc>
        <w:tc>
          <w:tcPr>
            <w:tcW w:w="2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5,384</w:t>
            </w:r>
          </w:p>
        </w:tc>
        <w:tc>
          <w:tcPr>
            <w:tcW w:w="28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ind w:right="33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2,392</w:t>
            </w:r>
          </w:p>
        </w:tc>
        <w:tc>
          <w:tcPr>
            <w:tcW w:w="2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2,992</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407"/>
        </w:trPr>
        <w:tc>
          <w:tcPr>
            <w:tcW w:w="4300" w:type="dxa"/>
            <w:vAlign w:val="bottom"/>
            <w:gridSpan w:val="6"/>
          </w:tcPr>
          <w:p>
            <w:pPr>
              <w:spacing w:after="0"/>
              <w:rPr>
                <w:sz w:val="20"/>
                <w:szCs w:val="20"/>
                <w:color w:val="auto"/>
              </w:rPr>
            </w:pPr>
            <w:r>
              <w:rPr>
                <w:rFonts w:ascii="Arial" w:cs="Arial" w:eastAsia="Arial" w:hAnsi="Arial"/>
                <w:sz w:val="16"/>
                <w:szCs w:val="16"/>
                <w:color w:val="auto"/>
              </w:rPr>
              <w:t>Amortization expense charged to income was as follows:</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99"/>
        </w:trPr>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i w:val="1"/>
                <w:iCs w:val="1"/>
                <w:color w:val="auto"/>
              </w:rPr>
              <w:t>(Stated in millions)</w:t>
            </w:r>
          </w:p>
        </w:tc>
        <w:tc>
          <w:tcPr>
            <w:tcW w:w="140" w:type="dxa"/>
            <w:vAlign w:val="bottom"/>
          </w:tcPr>
          <w:p>
            <w:pPr>
              <w:spacing w:after="0"/>
              <w:rPr>
                <w:sz w:val="24"/>
                <w:szCs w:val="24"/>
                <w:color w:val="auto"/>
              </w:rPr>
            </w:pPr>
          </w:p>
        </w:tc>
      </w:tr>
      <w:tr>
        <w:trPr>
          <w:trHeight w:val="444"/>
        </w:trPr>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2023</w:t>
            </w:r>
          </w:p>
        </w:tc>
        <w:tc>
          <w:tcPr>
            <w:tcW w:w="54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w w:val="95"/>
              </w:rPr>
              <w:t>2022</w:t>
            </w:r>
          </w:p>
        </w:tc>
        <w:tc>
          <w:tcPr>
            <w:tcW w:w="140" w:type="dxa"/>
            <w:vAlign w:val="bottom"/>
          </w:tcPr>
          <w:p>
            <w:pPr>
              <w:spacing w:after="0"/>
              <w:rPr>
                <w:sz w:val="24"/>
                <w:szCs w:val="24"/>
                <w:color w:val="auto"/>
              </w:rPr>
            </w:pPr>
          </w:p>
        </w:tc>
      </w:tr>
      <w:tr>
        <w:trPr>
          <w:trHeight w:val="209"/>
        </w:trPr>
        <w:tc>
          <w:tcPr>
            <w:tcW w:w="290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Second Quarter</w:t>
            </w: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579"/>
              <w:spacing w:after="0"/>
              <w:rPr>
                <w:sz w:val="20"/>
                <w:szCs w:val="20"/>
                <w:color w:val="auto"/>
              </w:rPr>
            </w:pPr>
            <w:r>
              <w:rPr>
                <w:rFonts w:ascii="Arial" w:cs="Arial" w:eastAsia="Arial" w:hAnsi="Arial"/>
                <w:sz w:val="16"/>
                <w:szCs w:val="16"/>
                <w:b w:val="1"/>
                <w:bCs w:val="1"/>
                <w:color w:val="auto"/>
                <w:w w:val="89"/>
              </w:rPr>
              <w:t>$</w:t>
            </w:r>
          </w:p>
        </w:tc>
        <w:tc>
          <w:tcPr>
            <w:tcW w:w="28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77</w:t>
            </w:r>
          </w:p>
        </w:tc>
        <w:tc>
          <w:tcPr>
            <w:tcW w:w="5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w:t>
            </w:r>
          </w:p>
        </w:tc>
        <w:tc>
          <w:tcPr>
            <w:tcW w:w="140" w:type="dxa"/>
            <w:vAlign w:val="bottom"/>
            <w:shd w:val="clear" w:color="auto" w:fill="CFF0FC"/>
          </w:tcPr>
          <w:p>
            <w:pPr>
              <w:spacing w:after="0"/>
              <w:rPr>
                <w:sz w:val="18"/>
                <w:szCs w:val="18"/>
                <w:color w:val="auto"/>
              </w:rPr>
            </w:pPr>
          </w:p>
        </w:tc>
      </w:tr>
      <w:tr>
        <w:trPr>
          <w:trHeight w:val="227"/>
        </w:trPr>
        <w:tc>
          <w:tcPr>
            <w:tcW w:w="2900" w:type="dxa"/>
            <w:vAlign w:val="bottom"/>
            <w:gridSpan w:val="3"/>
          </w:tcPr>
          <w:p>
            <w:pPr>
              <w:ind w:left="20"/>
              <w:spacing w:after="0"/>
              <w:rPr>
                <w:sz w:val="20"/>
                <w:szCs w:val="20"/>
                <w:color w:val="auto"/>
              </w:rPr>
            </w:pPr>
            <w:r>
              <w:rPr>
                <w:rFonts w:ascii="Arial" w:cs="Arial" w:eastAsia="Arial" w:hAnsi="Arial"/>
                <w:sz w:val="16"/>
                <w:szCs w:val="16"/>
                <w:color w:val="auto"/>
              </w:rPr>
              <w:t>Six Months</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579"/>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153</w:t>
            </w:r>
          </w:p>
        </w:tc>
        <w:tc>
          <w:tcPr>
            <w:tcW w:w="5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150</w:t>
            </w:r>
          </w:p>
        </w:tc>
        <w:tc>
          <w:tcPr>
            <w:tcW w:w="1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-1120775</wp:posOffset>
            </wp:positionV>
            <wp:extent cx="857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-1103630</wp:posOffset>
            </wp:positionV>
            <wp:extent cx="857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-1120775</wp:posOffset>
            </wp:positionV>
            <wp:extent cx="857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-1103630</wp:posOffset>
            </wp:positionV>
            <wp:extent cx="857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-1120775</wp:posOffset>
            </wp:positionV>
            <wp:extent cx="857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-1103630</wp:posOffset>
            </wp:positionV>
            <wp:extent cx="857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-1120775</wp:posOffset>
            </wp:positionV>
            <wp:extent cx="857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-1103630</wp:posOffset>
            </wp:positionV>
            <wp:extent cx="857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-1120775</wp:posOffset>
            </wp:positionV>
            <wp:extent cx="857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-1103630</wp:posOffset>
            </wp:positionV>
            <wp:extent cx="857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-1120775</wp:posOffset>
            </wp:positionV>
            <wp:extent cx="857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-1103630</wp:posOffset>
            </wp:positionV>
            <wp:extent cx="857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48"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Based on the carrying value of intangible assets at June 30, 2023, amortization expense for the subsequent five years is estimated to be: remaining two quarters of 2023—$153 million; 2024—$288 million; 2025—$273 million; 2026—$269 million; 2027—$267 million; and 2028—$246 million.</w:t>
      </w:r>
    </w:p>
    <w:p>
      <w:pPr>
        <w:spacing w:after="0" w:line="122" w:lineRule="exact"/>
        <w:rPr>
          <w:sz w:val="20"/>
          <w:szCs w:val="20"/>
          <w:color w:val="auto"/>
        </w:rPr>
      </w:pPr>
    </w:p>
    <w:p>
      <w:pPr>
        <w:ind w:left="280" w:hanging="272"/>
        <w:spacing w:after="0"/>
        <w:tabs>
          <w:tab w:leader="none" w:pos="280"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Long-term Debt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Long-term Debt </w:t>
      </w:r>
      <w:r>
        <w:rPr>
          <w:rFonts w:ascii="Arial" w:cs="Arial" w:eastAsia="Arial" w:hAnsi="Arial"/>
          <w:sz w:val="16"/>
          <w:szCs w:val="16"/>
          <w:color w:val="auto"/>
        </w:rPr>
        <w:t>consist of the following:</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0" w:type="dxa"/>
            <w:vAlign w:val="bottom"/>
          </w:tcPr>
          <w:p>
            <w:pPr>
              <w:spacing w:after="0"/>
              <w:rPr>
                <w:sz w:val="16"/>
                <w:szCs w:val="16"/>
                <w:color w:val="auto"/>
              </w:rPr>
            </w:pPr>
          </w:p>
        </w:tc>
        <w:tc>
          <w:tcPr>
            <w:tcW w:w="70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i w:val="1"/>
                <w:iCs w:val="1"/>
                <w:color w:val="auto"/>
              </w:rPr>
              <w:t>(Stated in millions)</w:t>
            </w:r>
          </w:p>
        </w:tc>
        <w:tc>
          <w:tcPr>
            <w:tcW w:w="140" w:type="dxa"/>
            <w:vAlign w:val="bottom"/>
          </w:tcPr>
          <w:p>
            <w:pPr>
              <w:spacing w:after="0"/>
              <w:rPr>
                <w:sz w:val="16"/>
                <w:szCs w:val="16"/>
                <w:color w:val="auto"/>
              </w:rPr>
            </w:pPr>
          </w:p>
        </w:tc>
      </w:tr>
      <w:tr>
        <w:trPr>
          <w:trHeight w:val="439"/>
        </w:trPr>
        <w:tc>
          <w:tcPr>
            <w:tcW w:w="50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Jun. 30,</w:t>
            </w: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jc w:val="right"/>
              <w:ind w:right="419"/>
              <w:spacing w:after="0"/>
              <w:rPr>
                <w:sz w:val="20"/>
                <w:szCs w:val="20"/>
                <w:color w:val="auto"/>
              </w:rPr>
            </w:pPr>
            <w:r>
              <w:rPr>
                <w:rFonts w:ascii="Arial" w:cs="Arial" w:eastAsia="Arial" w:hAnsi="Arial"/>
                <w:sz w:val="16"/>
                <w:szCs w:val="16"/>
                <w:color w:val="auto"/>
              </w:rPr>
              <w:t>Dec. 31,</w:t>
            </w:r>
          </w:p>
        </w:tc>
        <w:tc>
          <w:tcPr>
            <w:tcW w:w="140" w:type="dxa"/>
            <w:vAlign w:val="bottom"/>
          </w:tcPr>
          <w:p>
            <w:pPr>
              <w:spacing w:after="0"/>
              <w:rPr>
                <w:sz w:val="24"/>
                <w:szCs w:val="24"/>
                <w:color w:val="auto"/>
              </w:rPr>
            </w:pPr>
          </w:p>
        </w:tc>
      </w:tr>
      <w:tr>
        <w:trPr>
          <w:trHeight w:val="221"/>
        </w:trPr>
        <w:tc>
          <w:tcPr>
            <w:tcW w:w="500" w:type="dxa"/>
            <w:vAlign w:val="bottom"/>
          </w:tcPr>
          <w:p>
            <w:pPr>
              <w:spacing w:after="0"/>
              <w:rPr>
                <w:sz w:val="19"/>
                <w:szCs w:val="19"/>
                <w:color w:val="auto"/>
              </w:rPr>
            </w:pPr>
          </w:p>
        </w:tc>
        <w:tc>
          <w:tcPr>
            <w:tcW w:w="7060" w:type="dxa"/>
            <w:vAlign w:val="bottom"/>
          </w:tcPr>
          <w:p>
            <w:pPr>
              <w:spacing w:after="0"/>
              <w:rPr>
                <w:sz w:val="19"/>
                <w:szCs w:val="19"/>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2023</w:t>
            </w:r>
          </w:p>
        </w:tc>
        <w:tc>
          <w:tcPr>
            <w:tcW w:w="48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2022</w:t>
            </w:r>
          </w:p>
        </w:tc>
        <w:tc>
          <w:tcPr>
            <w:tcW w:w="140" w:type="dxa"/>
            <w:vAlign w:val="bottom"/>
          </w:tcPr>
          <w:p>
            <w:pPr>
              <w:spacing w:after="0"/>
              <w:rPr>
                <w:sz w:val="19"/>
                <w:szCs w:val="19"/>
                <w:color w:val="auto"/>
              </w:rPr>
            </w:pPr>
          </w:p>
        </w:tc>
      </w:tr>
      <w:tr>
        <w:trPr>
          <w:trHeight w:val="210"/>
        </w:trPr>
        <w:tc>
          <w:tcPr>
            <w:tcW w:w="500" w:type="dxa"/>
            <w:vAlign w:val="bottom"/>
            <w:shd w:val="clear" w:color="auto" w:fill="CFF0FC"/>
          </w:tcPr>
          <w:p>
            <w:pPr>
              <w:ind w:left="20"/>
              <w:spacing w:after="0"/>
              <w:rPr>
                <w:sz w:val="20"/>
                <w:szCs w:val="20"/>
                <w:color w:val="auto"/>
              </w:rPr>
            </w:pPr>
            <w:r>
              <w:rPr>
                <w:rFonts w:ascii="Arial" w:cs="Arial" w:eastAsia="Arial" w:hAnsi="Arial"/>
                <w:sz w:val="16"/>
                <w:szCs w:val="16"/>
                <w:color w:val="auto"/>
              </w:rPr>
              <w:t>3.90%</w:t>
            </w:r>
          </w:p>
        </w:tc>
        <w:tc>
          <w:tcPr>
            <w:tcW w:w="706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Senior Notes due 2028</w:t>
            </w:r>
          </w:p>
        </w:tc>
        <w:tc>
          <w:tcPr>
            <w:tcW w:w="1100" w:type="dxa"/>
            <w:vAlign w:val="bottom"/>
            <w:shd w:val="clear" w:color="auto" w:fill="CFF0FC"/>
          </w:tcPr>
          <w:p>
            <w:pPr>
              <w:jc w:val="right"/>
              <w:ind w:right="919"/>
              <w:spacing w:after="0"/>
              <w:rPr>
                <w:sz w:val="20"/>
                <w:szCs w:val="20"/>
                <w:color w:val="auto"/>
              </w:rPr>
            </w:pPr>
            <w:r>
              <w:rPr>
                <w:rFonts w:ascii="Arial" w:cs="Arial" w:eastAsia="Arial" w:hAnsi="Arial"/>
                <w:sz w:val="16"/>
                <w:szCs w:val="16"/>
                <w:b w:val="1"/>
                <w:bCs w:val="1"/>
                <w:color w:val="auto"/>
                <w:w w:val="8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1,465</w:t>
            </w:r>
          </w:p>
        </w:tc>
        <w:tc>
          <w:tcPr>
            <w:tcW w:w="62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1,464</w:t>
            </w:r>
          </w:p>
        </w:tc>
        <w:tc>
          <w:tcPr>
            <w:tcW w:w="140" w:type="dxa"/>
            <w:vAlign w:val="bottom"/>
            <w:shd w:val="clear" w:color="auto" w:fill="CFF0FC"/>
          </w:tcPr>
          <w:p>
            <w:pPr>
              <w:spacing w:after="0"/>
              <w:rPr>
                <w:sz w:val="18"/>
                <w:szCs w:val="18"/>
                <w:color w:val="auto"/>
              </w:rPr>
            </w:pPr>
          </w:p>
        </w:tc>
      </w:tr>
      <w:tr>
        <w:trPr>
          <w:trHeight w:val="216"/>
        </w:trPr>
        <w:tc>
          <w:tcPr>
            <w:tcW w:w="500" w:type="dxa"/>
            <w:vAlign w:val="bottom"/>
          </w:tcPr>
          <w:p>
            <w:pPr>
              <w:ind w:left="20"/>
              <w:spacing w:after="0"/>
              <w:rPr>
                <w:sz w:val="20"/>
                <w:szCs w:val="20"/>
                <w:color w:val="auto"/>
              </w:rPr>
            </w:pPr>
            <w:r>
              <w:rPr>
                <w:rFonts w:ascii="Arial" w:cs="Arial" w:eastAsia="Arial" w:hAnsi="Arial"/>
                <w:sz w:val="16"/>
                <w:szCs w:val="16"/>
                <w:color w:val="auto"/>
              </w:rPr>
              <w:t>2.65%</w:t>
            </w:r>
          </w:p>
        </w:tc>
        <w:tc>
          <w:tcPr>
            <w:tcW w:w="7060" w:type="dxa"/>
            <w:vAlign w:val="bottom"/>
          </w:tcPr>
          <w:p>
            <w:pPr>
              <w:ind w:left="20"/>
              <w:spacing w:after="0"/>
              <w:rPr>
                <w:sz w:val="20"/>
                <w:szCs w:val="20"/>
                <w:color w:val="auto"/>
              </w:rPr>
            </w:pPr>
            <w:r>
              <w:rPr>
                <w:rFonts w:ascii="Arial" w:cs="Arial" w:eastAsia="Arial" w:hAnsi="Arial"/>
                <w:sz w:val="16"/>
                <w:szCs w:val="16"/>
                <w:color w:val="auto"/>
              </w:rPr>
              <w:t>Senior Notes due 2030</w:t>
            </w:r>
          </w:p>
        </w:tc>
        <w:tc>
          <w:tcPr>
            <w:tcW w:w="1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1,250</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1,250</w:t>
            </w:r>
          </w:p>
        </w:tc>
        <w:tc>
          <w:tcPr>
            <w:tcW w:w="140" w:type="dxa"/>
            <w:vAlign w:val="bottom"/>
          </w:tcPr>
          <w:p>
            <w:pPr>
              <w:spacing w:after="0"/>
              <w:rPr>
                <w:sz w:val="18"/>
                <w:szCs w:val="18"/>
                <w:color w:val="auto"/>
              </w:rPr>
            </w:pPr>
          </w:p>
        </w:tc>
      </w:tr>
      <w:tr>
        <w:trPr>
          <w:trHeight w:val="216"/>
        </w:trPr>
        <w:tc>
          <w:tcPr>
            <w:tcW w:w="756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1.375% Guaranteed Notes due 2026</w:t>
            </w:r>
          </w:p>
        </w:tc>
        <w:tc>
          <w:tcPr>
            <w:tcW w:w="110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1,094</w:t>
            </w: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1,061</w:t>
            </w:r>
          </w:p>
        </w:tc>
        <w:tc>
          <w:tcPr>
            <w:tcW w:w="140" w:type="dxa"/>
            <w:vAlign w:val="bottom"/>
            <w:shd w:val="clear" w:color="auto" w:fill="CFF0FC"/>
          </w:tcPr>
          <w:p>
            <w:pPr>
              <w:spacing w:after="0"/>
              <w:rPr>
                <w:sz w:val="18"/>
                <w:szCs w:val="18"/>
                <w:color w:val="auto"/>
              </w:rPr>
            </w:pPr>
          </w:p>
        </w:tc>
      </w:tr>
      <w:tr>
        <w:trPr>
          <w:trHeight w:val="216"/>
        </w:trPr>
        <w:tc>
          <w:tcPr>
            <w:tcW w:w="500" w:type="dxa"/>
            <w:vAlign w:val="bottom"/>
          </w:tcPr>
          <w:p>
            <w:pPr>
              <w:ind w:left="20"/>
              <w:spacing w:after="0"/>
              <w:rPr>
                <w:sz w:val="20"/>
                <w:szCs w:val="20"/>
                <w:color w:val="auto"/>
              </w:rPr>
            </w:pPr>
            <w:r>
              <w:rPr>
                <w:rFonts w:ascii="Arial" w:cs="Arial" w:eastAsia="Arial" w:hAnsi="Arial"/>
                <w:sz w:val="16"/>
                <w:szCs w:val="16"/>
                <w:color w:val="auto"/>
              </w:rPr>
              <w:t>2.00%</w:t>
            </w:r>
          </w:p>
        </w:tc>
        <w:tc>
          <w:tcPr>
            <w:tcW w:w="7060" w:type="dxa"/>
            <w:vAlign w:val="bottom"/>
          </w:tcPr>
          <w:p>
            <w:pPr>
              <w:ind w:left="20"/>
              <w:spacing w:after="0"/>
              <w:rPr>
                <w:sz w:val="20"/>
                <w:szCs w:val="20"/>
                <w:color w:val="auto"/>
              </w:rPr>
            </w:pPr>
            <w:r>
              <w:rPr>
                <w:rFonts w:ascii="Arial" w:cs="Arial" w:eastAsia="Arial" w:hAnsi="Arial"/>
                <w:sz w:val="16"/>
                <w:szCs w:val="16"/>
                <w:color w:val="auto"/>
              </w:rPr>
              <w:t>Guaranteed Notes due 2032</w:t>
            </w:r>
          </w:p>
        </w:tc>
        <w:tc>
          <w:tcPr>
            <w:tcW w:w="1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1,088</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1,055</w:t>
            </w:r>
          </w:p>
        </w:tc>
        <w:tc>
          <w:tcPr>
            <w:tcW w:w="140" w:type="dxa"/>
            <w:vAlign w:val="bottom"/>
          </w:tcPr>
          <w:p>
            <w:pPr>
              <w:spacing w:after="0"/>
              <w:rPr>
                <w:sz w:val="18"/>
                <w:szCs w:val="18"/>
                <w:color w:val="auto"/>
              </w:rPr>
            </w:pPr>
          </w:p>
        </w:tc>
      </w:tr>
      <w:tr>
        <w:trPr>
          <w:trHeight w:val="216"/>
        </w:trPr>
        <w:tc>
          <w:tcPr>
            <w:tcW w:w="500" w:type="dxa"/>
            <w:vAlign w:val="bottom"/>
            <w:shd w:val="clear" w:color="auto" w:fill="CFF0FC"/>
          </w:tcPr>
          <w:p>
            <w:pPr>
              <w:ind w:left="20"/>
              <w:spacing w:after="0"/>
              <w:rPr>
                <w:sz w:val="20"/>
                <w:szCs w:val="20"/>
                <w:color w:val="auto"/>
              </w:rPr>
            </w:pPr>
            <w:r>
              <w:rPr>
                <w:rFonts w:ascii="Arial" w:cs="Arial" w:eastAsia="Arial" w:hAnsi="Arial"/>
                <w:sz w:val="16"/>
                <w:szCs w:val="16"/>
                <w:color w:val="auto"/>
              </w:rPr>
              <w:t>0.25%</w:t>
            </w:r>
          </w:p>
        </w:tc>
        <w:tc>
          <w:tcPr>
            <w:tcW w:w="70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Notes due 2027</w:t>
            </w:r>
          </w:p>
        </w:tc>
        <w:tc>
          <w:tcPr>
            <w:tcW w:w="110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985</w:t>
            </w: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955</w:t>
            </w:r>
          </w:p>
        </w:tc>
        <w:tc>
          <w:tcPr>
            <w:tcW w:w="140" w:type="dxa"/>
            <w:vAlign w:val="bottom"/>
            <w:shd w:val="clear" w:color="auto" w:fill="CFF0FC"/>
          </w:tcPr>
          <w:p>
            <w:pPr>
              <w:spacing w:after="0"/>
              <w:rPr>
                <w:sz w:val="18"/>
                <w:szCs w:val="18"/>
                <w:color w:val="auto"/>
              </w:rPr>
            </w:pPr>
          </w:p>
        </w:tc>
      </w:tr>
      <w:tr>
        <w:trPr>
          <w:trHeight w:val="216"/>
        </w:trPr>
        <w:tc>
          <w:tcPr>
            <w:tcW w:w="500" w:type="dxa"/>
            <w:vAlign w:val="bottom"/>
          </w:tcPr>
          <w:p>
            <w:pPr>
              <w:ind w:left="20"/>
              <w:spacing w:after="0"/>
              <w:rPr>
                <w:sz w:val="20"/>
                <w:szCs w:val="20"/>
                <w:color w:val="auto"/>
              </w:rPr>
            </w:pPr>
            <w:r>
              <w:rPr>
                <w:rFonts w:ascii="Arial" w:cs="Arial" w:eastAsia="Arial" w:hAnsi="Arial"/>
                <w:sz w:val="16"/>
                <w:szCs w:val="16"/>
                <w:color w:val="auto"/>
              </w:rPr>
              <w:t>0.50%</w:t>
            </w:r>
          </w:p>
        </w:tc>
        <w:tc>
          <w:tcPr>
            <w:tcW w:w="7060" w:type="dxa"/>
            <w:vAlign w:val="bottom"/>
          </w:tcPr>
          <w:p>
            <w:pPr>
              <w:ind w:left="20"/>
              <w:spacing w:after="0"/>
              <w:rPr>
                <w:sz w:val="20"/>
                <w:szCs w:val="20"/>
                <w:color w:val="auto"/>
              </w:rPr>
            </w:pPr>
            <w:r>
              <w:rPr>
                <w:rFonts w:ascii="Arial" w:cs="Arial" w:eastAsia="Arial" w:hAnsi="Arial"/>
                <w:sz w:val="16"/>
                <w:szCs w:val="16"/>
                <w:color w:val="auto"/>
              </w:rPr>
              <w:t>Notes due 2031</w:t>
            </w:r>
          </w:p>
        </w:tc>
        <w:tc>
          <w:tcPr>
            <w:tcW w:w="1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984</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954</w:t>
            </w:r>
          </w:p>
        </w:tc>
        <w:tc>
          <w:tcPr>
            <w:tcW w:w="140" w:type="dxa"/>
            <w:vAlign w:val="bottom"/>
          </w:tcPr>
          <w:p>
            <w:pPr>
              <w:spacing w:after="0"/>
              <w:rPr>
                <w:sz w:val="18"/>
                <w:szCs w:val="18"/>
                <w:color w:val="auto"/>
              </w:rPr>
            </w:pPr>
          </w:p>
        </w:tc>
      </w:tr>
      <w:tr>
        <w:trPr>
          <w:trHeight w:val="216"/>
        </w:trPr>
        <w:tc>
          <w:tcPr>
            <w:tcW w:w="500" w:type="dxa"/>
            <w:vAlign w:val="bottom"/>
            <w:shd w:val="clear" w:color="auto" w:fill="CFF0FC"/>
          </w:tcPr>
          <w:p>
            <w:pPr>
              <w:ind w:left="20"/>
              <w:spacing w:after="0"/>
              <w:rPr>
                <w:sz w:val="20"/>
                <w:szCs w:val="20"/>
                <w:color w:val="auto"/>
              </w:rPr>
            </w:pPr>
            <w:r>
              <w:rPr>
                <w:rFonts w:ascii="Arial" w:cs="Arial" w:eastAsia="Arial" w:hAnsi="Arial"/>
                <w:sz w:val="16"/>
                <w:szCs w:val="16"/>
                <w:color w:val="auto"/>
              </w:rPr>
              <w:t>4.30%</w:t>
            </w:r>
          </w:p>
        </w:tc>
        <w:tc>
          <w:tcPr>
            <w:tcW w:w="706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Senior Notes due 2029</w:t>
            </w:r>
          </w:p>
        </w:tc>
        <w:tc>
          <w:tcPr>
            <w:tcW w:w="110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847</w:t>
            </w: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847</w:t>
            </w:r>
          </w:p>
        </w:tc>
        <w:tc>
          <w:tcPr>
            <w:tcW w:w="140" w:type="dxa"/>
            <w:vAlign w:val="bottom"/>
            <w:shd w:val="clear" w:color="auto" w:fill="CFF0FC"/>
          </w:tcPr>
          <w:p>
            <w:pPr>
              <w:spacing w:after="0"/>
              <w:rPr>
                <w:sz w:val="18"/>
                <w:szCs w:val="18"/>
                <w:color w:val="auto"/>
              </w:rPr>
            </w:pPr>
          </w:p>
        </w:tc>
      </w:tr>
      <w:tr>
        <w:trPr>
          <w:trHeight w:val="216"/>
        </w:trPr>
        <w:tc>
          <w:tcPr>
            <w:tcW w:w="500" w:type="dxa"/>
            <w:vAlign w:val="bottom"/>
          </w:tcPr>
          <w:p>
            <w:pPr>
              <w:ind w:left="20"/>
              <w:spacing w:after="0"/>
              <w:rPr>
                <w:sz w:val="20"/>
                <w:szCs w:val="20"/>
                <w:color w:val="auto"/>
              </w:rPr>
            </w:pPr>
            <w:r>
              <w:rPr>
                <w:rFonts w:ascii="Arial" w:cs="Arial" w:eastAsia="Arial" w:hAnsi="Arial"/>
                <w:sz w:val="16"/>
                <w:szCs w:val="16"/>
                <w:color w:val="auto"/>
              </w:rPr>
              <w:t>1.00%</w:t>
            </w:r>
          </w:p>
        </w:tc>
        <w:tc>
          <w:tcPr>
            <w:tcW w:w="7060" w:type="dxa"/>
            <w:vAlign w:val="bottom"/>
          </w:tcPr>
          <w:p>
            <w:pPr>
              <w:ind w:left="20"/>
              <w:spacing w:after="0"/>
              <w:rPr>
                <w:sz w:val="20"/>
                <w:szCs w:val="20"/>
                <w:color w:val="auto"/>
              </w:rPr>
            </w:pPr>
            <w:r>
              <w:rPr>
                <w:rFonts w:ascii="Arial" w:cs="Arial" w:eastAsia="Arial" w:hAnsi="Arial"/>
                <w:sz w:val="16"/>
                <w:szCs w:val="16"/>
                <w:color w:val="auto"/>
              </w:rPr>
              <w:t>Guaranteed Notes due 2026</w:t>
            </w:r>
          </w:p>
        </w:tc>
        <w:tc>
          <w:tcPr>
            <w:tcW w:w="1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656</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635</w:t>
            </w:r>
          </w:p>
        </w:tc>
        <w:tc>
          <w:tcPr>
            <w:tcW w:w="140" w:type="dxa"/>
            <w:vAlign w:val="bottom"/>
          </w:tcPr>
          <w:p>
            <w:pPr>
              <w:spacing w:after="0"/>
              <w:rPr>
                <w:sz w:val="18"/>
                <w:szCs w:val="18"/>
                <w:color w:val="auto"/>
              </w:rPr>
            </w:pPr>
          </w:p>
        </w:tc>
      </w:tr>
      <w:tr>
        <w:trPr>
          <w:trHeight w:val="216"/>
        </w:trPr>
        <w:tc>
          <w:tcPr>
            <w:tcW w:w="500" w:type="dxa"/>
            <w:vAlign w:val="bottom"/>
            <w:shd w:val="clear" w:color="auto" w:fill="CFF0FC"/>
          </w:tcPr>
          <w:p>
            <w:pPr>
              <w:ind w:left="20"/>
              <w:spacing w:after="0"/>
              <w:rPr>
                <w:sz w:val="20"/>
                <w:szCs w:val="20"/>
                <w:color w:val="auto"/>
              </w:rPr>
            </w:pPr>
            <w:r>
              <w:rPr>
                <w:rFonts w:ascii="Arial" w:cs="Arial" w:eastAsia="Arial" w:hAnsi="Arial"/>
                <w:sz w:val="16"/>
                <w:szCs w:val="16"/>
                <w:color w:val="auto"/>
              </w:rPr>
              <w:t>0.00%</w:t>
            </w:r>
          </w:p>
        </w:tc>
        <w:tc>
          <w:tcPr>
            <w:tcW w:w="70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Notes due 2024</w:t>
            </w:r>
          </w:p>
        </w:tc>
        <w:tc>
          <w:tcPr>
            <w:tcW w:w="110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548</w:t>
            </w: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531</w:t>
            </w:r>
          </w:p>
        </w:tc>
        <w:tc>
          <w:tcPr>
            <w:tcW w:w="140" w:type="dxa"/>
            <w:vAlign w:val="bottom"/>
            <w:shd w:val="clear" w:color="auto" w:fill="CFF0FC"/>
          </w:tcPr>
          <w:p>
            <w:pPr>
              <w:spacing w:after="0"/>
              <w:rPr>
                <w:sz w:val="18"/>
                <w:szCs w:val="18"/>
                <w:color w:val="auto"/>
              </w:rPr>
            </w:pPr>
          </w:p>
        </w:tc>
      </w:tr>
      <w:tr>
        <w:trPr>
          <w:trHeight w:val="216"/>
        </w:trPr>
        <w:tc>
          <w:tcPr>
            <w:tcW w:w="500" w:type="dxa"/>
            <w:vAlign w:val="bottom"/>
          </w:tcPr>
          <w:p>
            <w:pPr>
              <w:ind w:left="20"/>
              <w:spacing w:after="0"/>
              <w:rPr>
                <w:sz w:val="20"/>
                <w:szCs w:val="20"/>
                <w:color w:val="auto"/>
              </w:rPr>
            </w:pPr>
            <w:r>
              <w:rPr>
                <w:rFonts w:ascii="Arial" w:cs="Arial" w:eastAsia="Arial" w:hAnsi="Arial"/>
                <w:sz w:val="16"/>
                <w:szCs w:val="16"/>
                <w:color w:val="auto"/>
              </w:rPr>
              <w:t>4.00%</w:t>
            </w:r>
          </w:p>
        </w:tc>
        <w:tc>
          <w:tcPr>
            <w:tcW w:w="7060" w:type="dxa"/>
            <w:vAlign w:val="bottom"/>
          </w:tcPr>
          <w:p>
            <w:pPr>
              <w:ind w:left="20"/>
              <w:spacing w:after="0"/>
              <w:rPr>
                <w:sz w:val="20"/>
                <w:szCs w:val="20"/>
                <w:color w:val="auto"/>
              </w:rPr>
            </w:pPr>
            <w:r>
              <w:rPr>
                <w:rFonts w:ascii="Arial" w:cs="Arial" w:eastAsia="Arial" w:hAnsi="Arial"/>
                <w:sz w:val="16"/>
                <w:szCs w:val="16"/>
                <w:color w:val="auto"/>
              </w:rPr>
              <w:t>Senior Notes due 2025</w:t>
            </w:r>
          </w:p>
        </w:tc>
        <w:tc>
          <w:tcPr>
            <w:tcW w:w="1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523</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522</w:t>
            </w:r>
          </w:p>
        </w:tc>
        <w:tc>
          <w:tcPr>
            <w:tcW w:w="140" w:type="dxa"/>
            <w:vAlign w:val="bottom"/>
          </w:tcPr>
          <w:p>
            <w:pPr>
              <w:spacing w:after="0"/>
              <w:rPr>
                <w:sz w:val="18"/>
                <w:szCs w:val="18"/>
                <w:color w:val="auto"/>
              </w:rPr>
            </w:pPr>
          </w:p>
        </w:tc>
      </w:tr>
      <w:tr>
        <w:trPr>
          <w:trHeight w:val="216"/>
        </w:trPr>
        <w:tc>
          <w:tcPr>
            <w:tcW w:w="500" w:type="dxa"/>
            <w:vAlign w:val="bottom"/>
            <w:shd w:val="clear" w:color="auto" w:fill="CFF0FC"/>
          </w:tcPr>
          <w:p>
            <w:pPr>
              <w:ind w:left="20"/>
              <w:spacing w:after="0"/>
              <w:rPr>
                <w:sz w:val="20"/>
                <w:szCs w:val="20"/>
                <w:color w:val="auto"/>
              </w:rPr>
            </w:pPr>
            <w:r>
              <w:rPr>
                <w:rFonts w:ascii="Arial" w:cs="Arial" w:eastAsia="Arial" w:hAnsi="Arial"/>
                <w:sz w:val="16"/>
                <w:szCs w:val="16"/>
                <w:color w:val="auto"/>
              </w:rPr>
              <w:t>1.40%</w:t>
            </w:r>
          </w:p>
        </w:tc>
        <w:tc>
          <w:tcPr>
            <w:tcW w:w="706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Senior Notes due 2025</w:t>
            </w:r>
          </w:p>
        </w:tc>
        <w:tc>
          <w:tcPr>
            <w:tcW w:w="110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499</w:t>
            </w: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499</w:t>
            </w:r>
          </w:p>
        </w:tc>
        <w:tc>
          <w:tcPr>
            <w:tcW w:w="140" w:type="dxa"/>
            <w:vAlign w:val="bottom"/>
            <w:shd w:val="clear" w:color="auto" w:fill="CFF0FC"/>
          </w:tcPr>
          <w:p>
            <w:pPr>
              <w:spacing w:after="0"/>
              <w:rPr>
                <w:sz w:val="18"/>
                <w:szCs w:val="18"/>
                <w:color w:val="auto"/>
              </w:rPr>
            </w:pPr>
          </w:p>
        </w:tc>
      </w:tr>
      <w:tr>
        <w:trPr>
          <w:trHeight w:val="216"/>
        </w:trPr>
        <w:tc>
          <w:tcPr>
            <w:tcW w:w="500" w:type="dxa"/>
            <w:vAlign w:val="bottom"/>
          </w:tcPr>
          <w:p>
            <w:pPr>
              <w:ind w:left="20"/>
              <w:spacing w:after="0"/>
              <w:rPr>
                <w:sz w:val="20"/>
                <w:szCs w:val="20"/>
                <w:color w:val="auto"/>
              </w:rPr>
            </w:pPr>
            <w:r>
              <w:rPr>
                <w:rFonts w:ascii="Arial" w:cs="Arial" w:eastAsia="Arial" w:hAnsi="Arial"/>
                <w:sz w:val="16"/>
                <w:szCs w:val="16"/>
                <w:color w:val="auto"/>
              </w:rPr>
              <w:t>4.50%</w:t>
            </w:r>
          </w:p>
        </w:tc>
        <w:tc>
          <w:tcPr>
            <w:tcW w:w="7060" w:type="dxa"/>
            <w:vAlign w:val="bottom"/>
          </w:tcPr>
          <w:p>
            <w:pPr>
              <w:ind w:left="20"/>
              <w:spacing w:after="0"/>
              <w:rPr>
                <w:sz w:val="20"/>
                <w:szCs w:val="20"/>
                <w:color w:val="auto"/>
              </w:rPr>
            </w:pPr>
            <w:r>
              <w:rPr>
                <w:rFonts w:ascii="Arial" w:cs="Arial" w:eastAsia="Arial" w:hAnsi="Arial"/>
                <w:sz w:val="16"/>
                <w:szCs w:val="16"/>
                <w:color w:val="auto"/>
              </w:rPr>
              <w:t>Senior Notes due 2028</w:t>
            </w:r>
          </w:p>
        </w:tc>
        <w:tc>
          <w:tcPr>
            <w:tcW w:w="1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496</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r>
      <w:tr>
        <w:trPr>
          <w:trHeight w:val="216"/>
        </w:trPr>
        <w:tc>
          <w:tcPr>
            <w:tcW w:w="500" w:type="dxa"/>
            <w:vAlign w:val="bottom"/>
            <w:shd w:val="clear" w:color="auto" w:fill="CFF0FC"/>
          </w:tcPr>
          <w:p>
            <w:pPr>
              <w:ind w:left="20"/>
              <w:spacing w:after="0"/>
              <w:rPr>
                <w:sz w:val="20"/>
                <w:szCs w:val="20"/>
                <w:color w:val="auto"/>
              </w:rPr>
            </w:pPr>
            <w:r>
              <w:rPr>
                <w:rFonts w:ascii="Arial" w:cs="Arial" w:eastAsia="Arial" w:hAnsi="Arial"/>
                <w:sz w:val="16"/>
                <w:szCs w:val="16"/>
                <w:color w:val="auto"/>
              </w:rPr>
              <w:t>4.85%</w:t>
            </w:r>
          </w:p>
        </w:tc>
        <w:tc>
          <w:tcPr>
            <w:tcW w:w="706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Senior Notes due 2033</w:t>
            </w:r>
          </w:p>
        </w:tc>
        <w:tc>
          <w:tcPr>
            <w:tcW w:w="110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496</w:t>
            </w: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r>
      <w:tr>
        <w:trPr>
          <w:trHeight w:val="216"/>
        </w:trPr>
        <w:tc>
          <w:tcPr>
            <w:tcW w:w="500" w:type="dxa"/>
            <w:vAlign w:val="bottom"/>
          </w:tcPr>
          <w:p>
            <w:pPr>
              <w:ind w:left="20"/>
              <w:spacing w:after="0"/>
              <w:rPr>
                <w:sz w:val="20"/>
                <w:szCs w:val="20"/>
                <w:color w:val="auto"/>
              </w:rPr>
            </w:pPr>
            <w:r>
              <w:rPr>
                <w:rFonts w:ascii="Arial" w:cs="Arial" w:eastAsia="Arial" w:hAnsi="Arial"/>
                <w:sz w:val="16"/>
                <w:szCs w:val="16"/>
                <w:color w:val="auto"/>
              </w:rPr>
              <w:t>7.00%</w:t>
            </w:r>
          </w:p>
        </w:tc>
        <w:tc>
          <w:tcPr>
            <w:tcW w:w="7060" w:type="dxa"/>
            <w:vAlign w:val="bottom"/>
          </w:tcPr>
          <w:p>
            <w:pPr>
              <w:ind w:left="20"/>
              <w:spacing w:after="0"/>
              <w:rPr>
                <w:sz w:val="20"/>
                <w:szCs w:val="20"/>
                <w:color w:val="auto"/>
              </w:rPr>
            </w:pPr>
            <w:r>
              <w:rPr>
                <w:rFonts w:ascii="Arial" w:cs="Arial" w:eastAsia="Arial" w:hAnsi="Arial"/>
                <w:sz w:val="16"/>
                <w:szCs w:val="16"/>
                <w:color w:val="auto"/>
              </w:rPr>
              <w:t>Notes due 2038</w:t>
            </w:r>
          </w:p>
        </w:tc>
        <w:tc>
          <w:tcPr>
            <w:tcW w:w="1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201</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202</w:t>
            </w:r>
          </w:p>
        </w:tc>
        <w:tc>
          <w:tcPr>
            <w:tcW w:w="140" w:type="dxa"/>
            <w:vAlign w:val="bottom"/>
          </w:tcPr>
          <w:p>
            <w:pPr>
              <w:spacing w:after="0"/>
              <w:rPr>
                <w:sz w:val="18"/>
                <w:szCs w:val="18"/>
                <w:color w:val="auto"/>
              </w:rPr>
            </w:pPr>
          </w:p>
        </w:tc>
      </w:tr>
      <w:tr>
        <w:trPr>
          <w:trHeight w:val="216"/>
        </w:trPr>
        <w:tc>
          <w:tcPr>
            <w:tcW w:w="500" w:type="dxa"/>
            <w:vAlign w:val="bottom"/>
            <w:shd w:val="clear" w:color="auto" w:fill="CFF0FC"/>
          </w:tcPr>
          <w:p>
            <w:pPr>
              <w:ind w:left="20"/>
              <w:spacing w:after="0"/>
              <w:rPr>
                <w:sz w:val="20"/>
                <w:szCs w:val="20"/>
                <w:color w:val="auto"/>
              </w:rPr>
            </w:pPr>
            <w:r>
              <w:rPr>
                <w:rFonts w:ascii="Arial" w:cs="Arial" w:eastAsia="Arial" w:hAnsi="Arial"/>
                <w:sz w:val="16"/>
                <w:szCs w:val="16"/>
                <w:color w:val="auto"/>
              </w:rPr>
              <w:t>5.95%</w:t>
            </w:r>
          </w:p>
        </w:tc>
        <w:tc>
          <w:tcPr>
            <w:tcW w:w="70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Notes due 2041</w:t>
            </w:r>
          </w:p>
        </w:tc>
        <w:tc>
          <w:tcPr>
            <w:tcW w:w="110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112</w:t>
            </w: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w:t>
            </w:r>
          </w:p>
        </w:tc>
        <w:tc>
          <w:tcPr>
            <w:tcW w:w="140" w:type="dxa"/>
            <w:vAlign w:val="bottom"/>
            <w:shd w:val="clear" w:color="auto" w:fill="CFF0FC"/>
          </w:tcPr>
          <w:p>
            <w:pPr>
              <w:spacing w:after="0"/>
              <w:rPr>
                <w:sz w:val="18"/>
                <w:szCs w:val="18"/>
                <w:color w:val="auto"/>
              </w:rPr>
            </w:pPr>
          </w:p>
        </w:tc>
      </w:tr>
      <w:tr>
        <w:trPr>
          <w:trHeight w:val="216"/>
        </w:trPr>
        <w:tc>
          <w:tcPr>
            <w:tcW w:w="500" w:type="dxa"/>
            <w:vAlign w:val="bottom"/>
          </w:tcPr>
          <w:p>
            <w:pPr>
              <w:ind w:left="20"/>
              <w:spacing w:after="0"/>
              <w:rPr>
                <w:sz w:val="20"/>
                <w:szCs w:val="20"/>
                <w:color w:val="auto"/>
              </w:rPr>
            </w:pPr>
            <w:r>
              <w:rPr>
                <w:rFonts w:ascii="Arial" w:cs="Arial" w:eastAsia="Arial" w:hAnsi="Arial"/>
                <w:sz w:val="16"/>
                <w:szCs w:val="16"/>
                <w:color w:val="auto"/>
              </w:rPr>
              <w:t>5.13%</w:t>
            </w:r>
          </w:p>
        </w:tc>
        <w:tc>
          <w:tcPr>
            <w:tcW w:w="7060" w:type="dxa"/>
            <w:vAlign w:val="bottom"/>
          </w:tcPr>
          <w:p>
            <w:pPr>
              <w:ind w:left="20"/>
              <w:spacing w:after="0"/>
              <w:rPr>
                <w:sz w:val="20"/>
                <w:szCs w:val="20"/>
                <w:color w:val="auto"/>
              </w:rPr>
            </w:pPr>
            <w:r>
              <w:rPr>
                <w:rFonts w:ascii="Arial" w:cs="Arial" w:eastAsia="Arial" w:hAnsi="Arial"/>
                <w:sz w:val="16"/>
                <w:szCs w:val="16"/>
                <w:color w:val="auto"/>
              </w:rPr>
              <w:t>Notes due 2043</w:t>
            </w:r>
          </w:p>
        </w:tc>
        <w:tc>
          <w:tcPr>
            <w:tcW w:w="1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98</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98</w:t>
            </w:r>
          </w:p>
        </w:tc>
        <w:tc>
          <w:tcPr>
            <w:tcW w:w="140" w:type="dxa"/>
            <w:vAlign w:val="bottom"/>
          </w:tcPr>
          <w:p>
            <w:pPr>
              <w:spacing w:after="0"/>
              <w:rPr>
                <w:sz w:val="18"/>
                <w:szCs w:val="18"/>
                <w:color w:val="auto"/>
              </w:rPr>
            </w:pPr>
          </w:p>
        </w:tc>
      </w:tr>
      <w:tr>
        <w:trPr>
          <w:trHeight w:val="216"/>
        </w:trPr>
        <w:tc>
          <w:tcPr>
            <w:tcW w:w="500" w:type="dxa"/>
            <w:vAlign w:val="bottom"/>
            <w:shd w:val="clear" w:color="auto" w:fill="CFF0FC"/>
          </w:tcPr>
          <w:p>
            <w:pPr>
              <w:ind w:left="20"/>
              <w:spacing w:after="0"/>
              <w:rPr>
                <w:sz w:val="20"/>
                <w:szCs w:val="20"/>
                <w:color w:val="auto"/>
              </w:rPr>
            </w:pPr>
            <w:r>
              <w:rPr>
                <w:rFonts w:ascii="Arial" w:cs="Arial" w:eastAsia="Arial" w:hAnsi="Arial"/>
                <w:sz w:val="16"/>
                <w:szCs w:val="16"/>
                <w:color w:val="auto"/>
              </w:rPr>
              <w:t>3.75%</w:t>
            </w:r>
          </w:p>
        </w:tc>
        <w:tc>
          <w:tcPr>
            <w:tcW w:w="706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Senior Notes due 2024</w:t>
            </w:r>
          </w:p>
        </w:tc>
        <w:tc>
          <w:tcPr>
            <w:tcW w:w="110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355</w:t>
            </w:r>
          </w:p>
        </w:tc>
        <w:tc>
          <w:tcPr>
            <w:tcW w:w="140" w:type="dxa"/>
            <w:vAlign w:val="bottom"/>
            <w:shd w:val="clear" w:color="auto" w:fill="CFF0FC"/>
          </w:tcPr>
          <w:p>
            <w:pPr>
              <w:spacing w:after="0"/>
              <w:rPr>
                <w:sz w:val="18"/>
                <w:szCs w:val="18"/>
                <w:color w:val="auto"/>
              </w:rPr>
            </w:pPr>
          </w:p>
        </w:tc>
      </w:tr>
      <w:tr>
        <w:trPr>
          <w:trHeight w:val="216"/>
        </w:trPr>
        <w:tc>
          <w:tcPr>
            <w:tcW w:w="500" w:type="dxa"/>
            <w:vAlign w:val="bottom"/>
            <w:tcBorders>
              <w:bottom w:val="single" w:sz="8" w:color="CFF0FC"/>
            </w:tcBorders>
          </w:tcPr>
          <w:p>
            <w:pPr>
              <w:ind w:left="20"/>
              <w:spacing w:after="0"/>
              <w:rPr>
                <w:sz w:val="20"/>
                <w:szCs w:val="20"/>
                <w:color w:val="auto"/>
              </w:rPr>
            </w:pPr>
            <w:r>
              <w:rPr>
                <w:rFonts w:ascii="Arial" w:cs="Arial" w:eastAsia="Arial" w:hAnsi="Arial"/>
                <w:sz w:val="16"/>
                <w:szCs w:val="16"/>
                <w:color w:val="auto"/>
              </w:rPr>
              <w:t>3.70%</w:t>
            </w:r>
          </w:p>
        </w:tc>
        <w:tc>
          <w:tcPr>
            <w:tcW w:w="7060" w:type="dxa"/>
            <w:vAlign w:val="bottom"/>
            <w:tcBorders>
              <w:bottom w:val="single" w:sz="8" w:color="CFF0FC"/>
            </w:tcBorders>
          </w:tcPr>
          <w:p>
            <w:pPr>
              <w:ind w:left="20"/>
              <w:spacing w:after="0"/>
              <w:rPr>
                <w:sz w:val="20"/>
                <w:szCs w:val="20"/>
                <w:color w:val="auto"/>
              </w:rPr>
            </w:pPr>
            <w:r>
              <w:rPr>
                <w:rFonts w:ascii="Arial" w:cs="Arial" w:eastAsia="Arial" w:hAnsi="Arial"/>
                <w:sz w:val="16"/>
                <w:szCs w:val="16"/>
                <w:color w:val="auto"/>
              </w:rPr>
              <w:t>Notes due 2024</w:t>
            </w:r>
          </w:p>
        </w:tc>
        <w:tc>
          <w:tcPr>
            <w:tcW w:w="1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w:t>
            </w:r>
          </w:p>
        </w:tc>
        <w:tc>
          <w:tcPr>
            <w:tcW w:w="140" w:type="dxa"/>
            <w:vAlign w:val="bottom"/>
            <w:tcBorders>
              <w:bottom w:val="single" w:sz="8" w:color="CFF0FC"/>
            </w:tcBorders>
          </w:tcPr>
          <w:p>
            <w:pPr>
              <w:spacing w:after="0"/>
              <w:rPr>
                <w:sz w:val="18"/>
                <w:szCs w:val="18"/>
                <w:color w:val="auto"/>
              </w:rPr>
            </w:pPr>
          </w:p>
        </w:tc>
      </w:tr>
      <w:tr>
        <w:trPr>
          <w:trHeight w:val="250"/>
        </w:trPr>
        <w:tc>
          <w:tcPr>
            <w:tcW w:w="500" w:type="dxa"/>
            <w:vAlign w:val="bottom"/>
            <w:tcBorders>
              <w:bottom w:val="single" w:sz="8" w:color="CFF0FC"/>
            </w:tcBorders>
            <w:shd w:val="clear" w:color="auto" w:fill="CFF0FC"/>
          </w:tcPr>
          <w:p>
            <w:pPr>
              <w:spacing w:after="0"/>
              <w:rPr>
                <w:sz w:val="21"/>
                <w:szCs w:val="21"/>
                <w:color w:val="auto"/>
              </w:rPr>
            </w:pPr>
          </w:p>
        </w:tc>
        <w:tc>
          <w:tcPr>
            <w:tcW w:w="706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919"/>
              <w:spacing w:after="0"/>
              <w:rPr>
                <w:sz w:val="20"/>
                <w:szCs w:val="20"/>
                <w:color w:val="auto"/>
              </w:rPr>
            </w:pPr>
            <w:r>
              <w:rPr>
                <w:rFonts w:ascii="Arial" w:cs="Arial" w:eastAsia="Arial" w:hAnsi="Arial"/>
                <w:sz w:val="16"/>
                <w:szCs w:val="16"/>
                <w:b w:val="1"/>
                <w:bCs w:val="1"/>
                <w:color w:val="auto"/>
                <w:w w:val="8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93"/>
              </w:rPr>
              <w:t>11,342</w:t>
            </w:r>
          </w:p>
        </w:tc>
        <w:tc>
          <w:tcPr>
            <w:tcW w:w="3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10,594</w:t>
            </w:r>
          </w:p>
        </w:tc>
        <w:tc>
          <w:tcPr>
            <w:tcW w:w="14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-24765</wp:posOffset>
            </wp:positionV>
            <wp:extent cx="8572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-8255</wp:posOffset>
            </wp:positionV>
            <wp:extent cx="8572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-170815</wp:posOffset>
            </wp:positionV>
            <wp:extent cx="8572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-8255</wp:posOffset>
            </wp:positionV>
            <wp:extent cx="8572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-170815</wp:posOffset>
            </wp:positionV>
            <wp:extent cx="8572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During the second quarter of 2023 SLB issued $500 million of 4.50% Senior Notes due 2028 and $500 million of 4.85% Senior Notes due 2033.</w:t>
      </w:r>
    </w:p>
    <w:p>
      <w:pPr>
        <w:spacing w:after="0" w:line="190"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 xml:space="preserve">The estimated fair value of SLB’s </w:t>
      </w:r>
      <w:r>
        <w:rPr>
          <w:rFonts w:ascii="Arial" w:cs="Arial" w:eastAsia="Arial" w:hAnsi="Arial"/>
          <w:sz w:val="16"/>
          <w:szCs w:val="16"/>
          <w:i w:val="1"/>
          <w:iCs w:val="1"/>
          <w:color w:val="auto"/>
        </w:rPr>
        <w:t>Long-term Debt,</w:t>
      </w:r>
      <w:r>
        <w:rPr>
          <w:rFonts w:ascii="Arial" w:cs="Arial" w:eastAsia="Arial" w:hAnsi="Arial"/>
          <w:sz w:val="16"/>
          <w:szCs w:val="16"/>
          <w:color w:val="auto"/>
        </w:rPr>
        <w:t xml:space="preserve"> based on quoted market prices at June 30, 2023 and December 31, 2022, was $10.3 billion and $9.4 billion, respectively.</w:t>
      </w:r>
    </w:p>
    <w:p>
      <w:pPr>
        <w:sectPr>
          <w:pgSz w:w="11900" w:h="16838" w:orient="portrait"/>
          <w:cols w:equalWidth="0" w:num="1">
            <w:col w:w="11240"/>
          </w:cols>
          <w:pgMar w:left="320" w:top="171" w:right="339" w:bottom="1440" w:gutter="0" w:footer="0" w:header="0"/>
        </w:sectPr>
      </w:pP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type w:val="continuous"/>
        </w:sectPr>
      </w:pPr>
    </w:p>
    <w:bookmarkStart w:id="11" w:name="page12"/>
    <w:bookmarkEnd w:id="11"/>
    <w:p>
      <w:pPr>
        <w:jc w:val="both"/>
        <w:spacing w:after="0" w:line="253" w:lineRule="auto"/>
        <w:rPr>
          <w:sz w:val="20"/>
          <w:szCs w:val="20"/>
          <w:color w:val="auto"/>
        </w:rPr>
      </w:pPr>
      <w:r>
        <w:rPr>
          <w:rFonts w:ascii="Arial" w:cs="Arial" w:eastAsia="Arial" w:hAnsi="Arial"/>
          <w:sz w:val="16"/>
          <w:szCs w:val="16"/>
          <w:color w:val="auto"/>
        </w:rPr>
        <w:t>At June 30, 2023, SLB had committed credit facility agreements aggregating $5.75 billion with commercial banks. These committed facilities support commercial paper programs in the United States and Europe, of which $0.75 billion matures in February 2024, $2.0 billion matures in February 2025, $1.0 billion matures in July 2026 and $2.0 billion matures in February 2027. SLB also has a €750 million three-year committed revolving credit facility maturing in June 2024. At June 30, 2023 no amounts had been drawn under these facilities. Interest rates and other terms of borrowing under these lines of credit vary by facility.</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There were no borrowings under the commercial paper programs at June 30, 2023 and December 31, 2022, respectively.</w:t>
      </w:r>
    </w:p>
    <w:p>
      <w:pPr>
        <w:spacing w:after="0" w:line="194"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Schlumberger Limited fully and unconditionally guarantees the securities issued by certain of its subsidiaries, including securities issued by Schlumberger Investment S.A. and Schlumberger Finance Canada Ltd., both indirect wholly-owned subsidiaries of Schlumberger Limited.</w:t>
      </w:r>
    </w:p>
    <w:p>
      <w:pPr>
        <w:spacing w:after="0" w:line="163" w:lineRule="exact"/>
        <w:rPr>
          <w:sz w:val="20"/>
          <w:szCs w:val="20"/>
          <w:color w:val="auto"/>
        </w:rPr>
      </w:pPr>
    </w:p>
    <w:p>
      <w:pPr>
        <w:ind w:left="280" w:hanging="272"/>
        <w:spacing w:after="0"/>
        <w:tabs>
          <w:tab w:leader="none" w:pos="280"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Derivative Instruments and Hedging Activities</w:t>
      </w:r>
    </w:p>
    <w:p>
      <w:pPr>
        <w:spacing w:after="0" w:line="12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SLB’s functional currency is primarily the US dollar. However, outside the United States, a significant portion of SLB’s expenses is incurred in foreign currencies. Therefore, when the US dollar weakens (strengthens) in relation to the foreign currencies of the countries in which SLB conducts business, the US dollar-reported expenses will increase (decrease).</w:t>
      </w:r>
    </w:p>
    <w:p>
      <w:pPr>
        <w:spacing w:after="0" w:line="156"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 xml:space="preserve">Changes in foreign currency exchange rates exposes SLB to risks on future cash flows relating to certain of its fixed rate debt denominated in currencies other than the functional currency. SLB uses cross-currency interest rate swaps to provide a hedge against these risks. These contracts are accounted for as cash flow hedges, with the fair value of the derivative recorded on 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xml:space="preserve"> and in </w:t>
      </w:r>
      <w:r>
        <w:rPr>
          <w:rFonts w:ascii="Arial" w:cs="Arial" w:eastAsia="Arial" w:hAnsi="Arial"/>
          <w:sz w:val="16"/>
          <w:szCs w:val="16"/>
          <w:i w:val="1"/>
          <w:iCs w:val="1"/>
          <w:color w:val="auto"/>
        </w:rPr>
        <w:t>Accumulated other comprehensive loss.</w:t>
      </w:r>
      <w:r>
        <w:rPr>
          <w:rFonts w:ascii="Arial" w:cs="Arial" w:eastAsia="Arial" w:hAnsi="Arial"/>
          <w:sz w:val="16"/>
          <w:szCs w:val="16"/>
          <w:color w:val="auto"/>
        </w:rPr>
        <w:t xml:space="preserve"> Amounts recorded </w:t>
      </w:r>
      <w:r>
        <w:rPr>
          <w:rFonts w:ascii="Arial" w:cs="Arial" w:eastAsia="Arial" w:hAnsi="Arial"/>
          <w:sz w:val="16"/>
          <w:szCs w:val="16"/>
          <w:i w:val="1"/>
          <w:iCs w:val="1"/>
          <w:color w:val="auto"/>
        </w:rPr>
        <w:t>Accumulated other comprehensive loss</w:t>
      </w:r>
      <w:r>
        <w:rPr>
          <w:rFonts w:ascii="Arial" w:cs="Arial" w:eastAsia="Arial" w:hAnsi="Arial"/>
          <w:sz w:val="16"/>
          <w:szCs w:val="16"/>
          <w:color w:val="auto"/>
        </w:rPr>
        <w:t xml:space="preserve"> are reclassified into earnings in the same period or periods that the hedged item is recognized in earnings.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Details regarding SLB’s outstanding cross-currency interest rate swaps as of June 30, 2023, were as follows:</w:t>
      </w:r>
    </w:p>
    <w:p>
      <w:pPr>
        <w:spacing w:after="0" w:line="113" w:lineRule="exact"/>
        <w:rPr>
          <w:sz w:val="20"/>
          <w:szCs w:val="20"/>
          <w:color w:val="auto"/>
        </w:rPr>
      </w:pPr>
    </w:p>
    <w:p>
      <w:pPr>
        <w:jc w:val="both"/>
        <w:ind w:left="1020" w:hanging="503"/>
        <w:spacing w:after="0" w:line="250" w:lineRule="auto"/>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During 2019, a US-dollar functional currency subsidiary of SLB issued €1.5 billion of Euro-denominated debt. SLB entered into cross-currency interest rate swaps in order to hedge changes in the US dollar value of its €0.5 billion 0.00% Notes due 2024, €0.5 billion 0.25% Notes due 2027 and €0.5 billion 0.50% Notes due 2031. These cross-currency interest rate swaps effectively convert the Euro-denominated notes to US-dollar denominated debt with fixed annual interest rates of 2.29%, 2.51% and 2.76%, respectively.</w:t>
      </w:r>
    </w:p>
    <w:p>
      <w:pPr>
        <w:spacing w:after="0" w:line="1" w:lineRule="exact"/>
        <w:rPr>
          <w:rFonts w:ascii="Arial" w:cs="Arial" w:eastAsia="Arial" w:hAnsi="Arial"/>
          <w:sz w:val="16"/>
          <w:szCs w:val="16"/>
          <w:color w:val="auto"/>
        </w:rPr>
      </w:pPr>
    </w:p>
    <w:p>
      <w:pPr>
        <w:jc w:val="both"/>
        <w:ind w:left="1020" w:hanging="503"/>
        <w:spacing w:after="0" w:line="246" w:lineRule="auto"/>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During 2020, a US-dollar functional currency subsidiary of SLB issued €0.8 billion of Euro-denominated debt. SLB entered into cross-currency interest rate swaps to hedge changes in the US dollar value of its €0.4 billion of 0.25% Notes due 2027 and €0.4 billion of 0.50% Notes due 2031. These cross-currency interest rate swaps effectively convert the Euro-denominated notes to US-dollar denominated debt with fixed annual interest rates of 1.87% and 2.20%, respectively.</w:t>
      </w:r>
    </w:p>
    <w:p>
      <w:pPr>
        <w:spacing w:after="0" w:line="1" w:lineRule="exact"/>
        <w:rPr>
          <w:rFonts w:ascii="Arial" w:cs="Arial" w:eastAsia="Arial" w:hAnsi="Arial"/>
          <w:sz w:val="16"/>
          <w:szCs w:val="16"/>
          <w:color w:val="auto"/>
        </w:rPr>
      </w:pPr>
    </w:p>
    <w:p>
      <w:pPr>
        <w:jc w:val="both"/>
        <w:ind w:left="1020" w:hanging="503"/>
        <w:spacing w:after="0" w:line="246" w:lineRule="auto"/>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During 2020, a US-dollar functional currency subsidiary of SLB issued €2.0 billion of Euro-denominated debt. SLB entered into cross-currency interest rate swaps to hedge changes in the US dollar value of its €1.0 billion of 1.375% Guaranteed Notes due 2026 and €1.0 billion of 2.00% Guaranteed Notes due 2032. These cross-currency interest rate swaps effectively convert the Euro-denominated notes to US-dollar denominated debt with fixed annual interest rates of 2.77% and 3.49%, respectively.</w:t>
      </w:r>
    </w:p>
    <w:p>
      <w:pPr>
        <w:spacing w:after="0" w:line="1" w:lineRule="exact"/>
        <w:rPr>
          <w:rFonts w:ascii="Arial" w:cs="Arial" w:eastAsia="Arial" w:hAnsi="Arial"/>
          <w:sz w:val="16"/>
          <w:szCs w:val="16"/>
          <w:color w:val="auto"/>
        </w:rPr>
      </w:pPr>
    </w:p>
    <w:p>
      <w:pPr>
        <w:jc w:val="both"/>
        <w:ind w:left="1020" w:hanging="503"/>
        <w:spacing w:after="0" w:line="252" w:lineRule="auto"/>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During 2020, a Canadian dollar functional currency subsidiary of SLB issued $0.5 billion of US dollar denominated debt. SLB entered into cross-currency interest rate swaps to hedge changes in the US dollar value of its $0.5 billion 1.40% Senior Notes due 2025. These cross-currency interest rate swaps effectively convert the US dollar notes to Canadian dollar denominated debt with a fixed annual interest rate of 1.73%.</w:t>
      </w: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 summary of the amounts included in 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xml:space="preserve"> relating to cross currency interest rate swaps was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i w:val="1"/>
                <w:iCs w:val="1"/>
                <w:color w:val="auto"/>
              </w:rPr>
              <w:t>(Stated in millions)</w:t>
            </w:r>
          </w:p>
        </w:tc>
        <w:tc>
          <w:tcPr>
            <w:tcW w:w="140" w:type="dxa"/>
            <w:vAlign w:val="bottom"/>
          </w:tcPr>
          <w:p>
            <w:pPr>
              <w:spacing w:after="0"/>
              <w:rPr>
                <w:sz w:val="16"/>
                <w:szCs w:val="16"/>
                <w:color w:val="auto"/>
              </w:rPr>
            </w:pPr>
          </w:p>
        </w:tc>
      </w:tr>
      <w:tr>
        <w:trPr>
          <w:trHeight w:val="430"/>
        </w:trPr>
        <w:tc>
          <w:tcPr>
            <w:tcW w:w="75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Jun. 30, 2023</w:t>
            </w:r>
          </w:p>
        </w:tc>
        <w:tc>
          <w:tcPr>
            <w:tcW w:w="3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Dec. 31, 2022</w:t>
            </w:r>
          </w:p>
        </w:tc>
        <w:tc>
          <w:tcPr>
            <w:tcW w:w="140" w:type="dxa"/>
            <w:vAlign w:val="bottom"/>
          </w:tcPr>
          <w:p>
            <w:pPr>
              <w:spacing w:after="0"/>
              <w:rPr>
                <w:sz w:val="24"/>
                <w:szCs w:val="24"/>
                <w:color w:val="auto"/>
              </w:rPr>
            </w:pPr>
          </w:p>
        </w:tc>
      </w:tr>
      <w:tr>
        <w:trPr>
          <w:trHeight w:val="209"/>
        </w:trPr>
        <w:tc>
          <w:tcPr>
            <w:tcW w:w="756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Other Assets</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11</w:t>
            </w:r>
          </w:p>
        </w:tc>
        <w:tc>
          <w:tcPr>
            <w:tcW w:w="5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40" w:type="dxa"/>
            <w:vAlign w:val="bottom"/>
            <w:shd w:val="clear" w:color="auto" w:fill="CFF0FC"/>
          </w:tcPr>
          <w:p>
            <w:pPr>
              <w:spacing w:after="0"/>
              <w:rPr>
                <w:sz w:val="18"/>
                <w:szCs w:val="18"/>
                <w:color w:val="auto"/>
              </w:rPr>
            </w:pPr>
          </w:p>
        </w:tc>
      </w:tr>
      <w:tr>
        <w:trPr>
          <w:trHeight w:val="227"/>
        </w:trPr>
        <w:tc>
          <w:tcPr>
            <w:tcW w:w="7560" w:type="dxa"/>
            <w:vAlign w:val="bottom"/>
          </w:tcPr>
          <w:p>
            <w:pPr>
              <w:ind w:left="20"/>
              <w:spacing w:after="0"/>
              <w:rPr>
                <w:sz w:val="20"/>
                <w:szCs w:val="20"/>
                <w:color w:val="auto"/>
              </w:rPr>
            </w:pPr>
            <w:r>
              <w:rPr>
                <w:rFonts w:ascii="Arial" w:cs="Arial" w:eastAsia="Arial" w:hAnsi="Arial"/>
                <w:sz w:val="16"/>
                <w:szCs w:val="16"/>
                <w:i w:val="1"/>
                <w:iCs w:val="1"/>
                <w:color w:val="auto"/>
              </w:rPr>
              <w:t>Other Liabilities</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b w:val="1"/>
                <w:bCs w:val="1"/>
                <w:color w:val="auto"/>
              </w:rPr>
              <w:t>155</w:t>
            </w:r>
          </w:p>
        </w:tc>
        <w:tc>
          <w:tcPr>
            <w:tcW w:w="5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326</w:t>
            </w:r>
          </w:p>
        </w:tc>
        <w:tc>
          <w:tcPr>
            <w:tcW w:w="140" w:type="dxa"/>
            <w:vAlign w:val="bottom"/>
          </w:tcPr>
          <w:p>
            <w:pPr>
              <w:spacing w:after="0"/>
              <w:rPr>
                <w:sz w:val="19"/>
                <w:szCs w:val="19"/>
                <w:color w:val="auto"/>
              </w:rPr>
            </w:pPr>
          </w:p>
        </w:tc>
      </w:tr>
    </w:tbl>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The fair values were determined using a model with inputs that are observable in the market or can be derived or corroborated by observable data.</w:t>
      </w:r>
    </w:p>
    <w:p>
      <w:pPr>
        <w:spacing w:after="0" w:line="19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 xml:space="preserve">SLB has entered into derivative contracts that hedge the price of oil related to approximately 75% of the projected oil production for the remaining six months of 2023 and 35% of the projected oil production for the first six months of 2024 for one of its Asset Performance Solutions ("APS") projects. These contracts are accounted for as cash flow hedges, with changes in the fair value of the hedge recorded in </w:t>
      </w:r>
      <w:r>
        <w:rPr>
          <w:rFonts w:ascii="Arial" w:cs="Arial" w:eastAsia="Arial" w:hAnsi="Arial"/>
          <w:sz w:val="16"/>
          <w:szCs w:val="16"/>
          <w:i w:val="1"/>
          <w:iCs w:val="1"/>
          <w:color w:val="auto"/>
        </w:rPr>
        <w:t>Accumulated other comprehensive loss</w:t>
      </w:r>
      <w:r>
        <w:rPr>
          <w:rFonts w:ascii="Arial" w:cs="Arial" w:eastAsia="Arial" w:hAnsi="Arial"/>
          <w:sz w:val="16"/>
          <w:szCs w:val="16"/>
          <w:color w:val="auto"/>
        </w:rPr>
        <w:t xml:space="preserve"> . Amounts recorded in </w:t>
      </w:r>
      <w:r>
        <w:rPr>
          <w:rFonts w:ascii="Arial" w:cs="Arial" w:eastAsia="Arial" w:hAnsi="Arial"/>
          <w:sz w:val="16"/>
          <w:szCs w:val="16"/>
          <w:i w:val="1"/>
          <w:iCs w:val="1"/>
          <w:color w:val="auto"/>
        </w:rPr>
        <w:t xml:space="preserve">Accumulated other comprehensive loss </w:t>
      </w:r>
      <w:r>
        <w:rPr>
          <w:rFonts w:ascii="Arial" w:cs="Arial" w:eastAsia="Arial" w:hAnsi="Arial"/>
          <w:sz w:val="16"/>
          <w:szCs w:val="16"/>
          <w:color w:val="auto"/>
        </w:rPr>
        <w:t>are reclassified to earnings in the same period or periods that the hedged item is recognized in earnings.</w:t>
      </w:r>
    </w:p>
    <w:p>
      <w:pPr>
        <w:spacing w:after="0" w:line="16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SLB is exposed to risks on future cash flows to the extent that the local currency is not the functional currency and expenses denominated in local currency are not equal to revenues denominated in local currency. SLB uses foreign currency forward contracts to provide a hedge against a portion of these cash flow risks. These contracts are accounted for as cash flow hedges.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8" w:right="339" w:bottom="1440" w:gutter="0" w:footer="0" w:header="0"/>
        </w:sectPr>
      </w:pPr>
    </w:p>
    <w:bookmarkStart w:id="12" w:name="page13"/>
    <w:bookmarkEnd w:id="12"/>
    <w:p>
      <w:pPr>
        <w:jc w:val="both"/>
        <w:spacing w:after="0" w:line="256" w:lineRule="auto"/>
        <w:rPr>
          <w:sz w:val="20"/>
          <w:szCs w:val="20"/>
          <w:color w:val="auto"/>
        </w:rPr>
      </w:pPr>
      <w:r>
        <w:rPr>
          <w:rFonts w:ascii="Arial" w:cs="Arial" w:eastAsia="Arial" w:hAnsi="Arial"/>
          <w:sz w:val="16"/>
          <w:szCs w:val="16"/>
          <w:color w:val="auto"/>
        </w:rPr>
        <w:t xml:space="preserve">SLB is also exposed to changes in the fair value of assets and liabilities denominated in currencies other than the functional currency. While SLB uses foreign currency forward contracts to economically hedge this exposure as it relates to certain currencies, these contracts are not designated as hedges for accounting purposes. Instead, the fair value of the derivative is recorded on 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xml:space="preserve"> and changes in the fair value are recognized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 xml:space="preserve"> as are changes in the fair value of the hedged item.</w:t>
      </w:r>
    </w:p>
    <w:p>
      <w:pPr>
        <w:spacing w:after="0" w:line="160"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Foreign currency forward contracts were outstanding for the US dollar equivalent of $2.4 billion and $2.1 billion in various foreign currencies as of June 30, 2023 and December 31, 2022, respectively.</w:t>
      </w:r>
    </w:p>
    <w:p>
      <w:pPr>
        <w:spacing w:after="0" w:line="144"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Other than the previously mentioned cross-currency interest rate swaps, the fair value of the other outstanding derivatives was not material as of June 30, 2023 and December 31, 2022.</w:t>
      </w:r>
    </w:p>
    <w:p>
      <w:pPr>
        <w:spacing w:after="0" w:line="140"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 xml:space="preserve">The effect of derivative instruments designated as cash flow hedges, and those not designated as hedges, on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 xml:space="preserve"> was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60" w:type="dxa"/>
            <w:vAlign w:val="bottom"/>
            <w:gridSpan w:val="5"/>
          </w:tcPr>
          <w:p>
            <w:pPr>
              <w:jc w:val="right"/>
              <w:ind w:right="280"/>
              <w:spacing w:after="0"/>
              <w:rPr>
                <w:sz w:val="20"/>
                <w:szCs w:val="20"/>
                <w:color w:val="auto"/>
              </w:rPr>
            </w:pPr>
            <w:r>
              <w:rPr>
                <w:rFonts w:ascii="Arial" w:cs="Arial" w:eastAsia="Arial" w:hAnsi="Arial"/>
                <w:sz w:val="14"/>
                <w:szCs w:val="14"/>
                <w:i w:val="1"/>
                <w:iCs w:val="1"/>
                <w:color w:val="auto"/>
              </w:rPr>
              <w:t>(Stated in millions)</w:t>
            </w:r>
          </w:p>
        </w:tc>
        <w:tc>
          <w:tcPr>
            <w:tcW w:w="2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4"/>
        </w:trPr>
        <w:tc>
          <w:tcPr>
            <w:tcW w:w="40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9"/>
          </w:tcPr>
          <w:p>
            <w:pPr>
              <w:jc w:val="right"/>
              <w:ind w:right="19"/>
              <w:spacing w:after="0"/>
              <w:rPr>
                <w:sz w:val="20"/>
                <w:szCs w:val="20"/>
                <w:color w:val="auto"/>
              </w:rPr>
            </w:pPr>
            <w:r>
              <w:rPr>
                <w:rFonts w:ascii="Arial" w:cs="Arial" w:eastAsia="Arial" w:hAnsi="Arial"/>
                <w:sz w:val="16"/>
                <w:szCs w:val="16"/>
                <w:b w:val="1"/>
                <w:bCs w:val="1"/>
                <w:color w:val="auto"/>
              </w:rPr>
              <w:t>Gain (Loss) Recognized in Income</w:t>
            </w:r>
          </w:p>
        </w:tc>
        <w:tc>
          <w:tcPr>
            <w:tcW w:w="66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5"/>
          </w:tcPr>
          <w:p>
            <w:pPr>
              <w:jc w:val="right"/>
              <w:ind w:right="640"/>
              <w:spacing w:after="0"/>
              <w:rPr>
                <w:sz w:val="20"/>
                <w:szCs w:val="20"/>
                <w:color w:val="auto"/>
              </w:rPr>
            </w:pPr>
            <w:r>
              <w:rPr>
                <w:rFonts w:ascii="Arial" w:cs="Arial" w:eastAsia="Arial" w:hAnsi="Arial"/>
                <w:sz w:val="16"/>
                <w:szCs w:val="16"/>
                <w:b w:val="1"/>
                <w:bCs w:val="1"/>
                <w:color w:val="auto"/>
              </w:rPr>
              <w:t>Second Quarter</w:t>
            </w:r>
          </w:p>
        </w:tc>
        <w:tc>
          <w:tcPr>
            <w:tcW w:w="180" w:type="dxa"/>
            <w:vAlign w:val="bottom"/>
          </w:tcPr>
          <w:p>
            <w:pPr>
              <w:spacing w:after="0"/>
              <w:rPr>
                <w:sz w:val="18"/>
                <w:szCs w:val="18"/>
                <w:color w:val="auto"/>
              </w:rPr>
            </w:pPr>
          </w:p>
        </w:tc>
        <w:tc>
          <w:tcPr>
            <w:tcW w:w="1780" w:type="dxa"/>
            <w:vAlign w:val="bottom"/>
            <w:gridSpan w:val="4"/>
          </w:tcPr>
          <w:p>
            <w:pPr>
              <w:jc w:val="right"/>
              <w:ind w:right="459"/>
              <w:spacing w:after="0"/>
              <w:rPr>
                <w:sz w:val="20"/>
                <w:szCs w:val="20"/>
                <w:color w:val="auto"/>
              </w:rPr>
            </w:pPr>
            <w:r>
              <w:rPr>
                <w:rFonts w:ascii="Arial" w:cs="Arial" w:eastAsia="Arial" w:hAnsi="Arial"/>
                <w:sz w:val="16"/>
                <w:szCs w:val="16"/>
                <w:b w:val="1"/>
                <w:bCs w:val="1"/>
                <w:color w:val="auto"/>
              </w:rPr>
              <w:t>Six Months</w:t>
            </w:r>
          </w:p>
        </w:tc>
        <w:tc>
          <w:tcPr>
            <w:tcW w:w="2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40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vMerge w:val="restart"/>
          </w:tcPr>
          <w:p>
            <w:pPr>
              <w:jc w:val="right"/>
              <w:ind w:right="159"/>
              <w:spacing w:after="0"/>
              <w:rPr>
                <w:sz w:val="20"/>
                <w:szCs w:val="20"/>
                <w:color w:val="auto"/>
              </w:rPr>
            </w:pPr>
            <w:r>
              <w:rPr>
                <w:rFonts w:ascii="Arial" w:cs="Arial" w:eastAsia="Arial" w:hAnsi="Arial"/>
                <w:sz w:val="16"/>
                <w:szCs w:val="16"/>
                <w:b w:val="1"/>
                <w:bCs w:val="1"/>
                <w:color w:val="auto"/>
              </w:rPr>
              <w:t>2023</w:t>
            </w:r>
          </w:p>
        </w:tc>
        <w:tc>
          <w:tcPr>
            <w:tcW w:w="2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vMerge w:val="restart"/>
          </w:tcPr>
          <w:p>
            <w:pPr>
              <w:jc w:val="right"/>
              <w:ind w:right="160"/>
              <w:spacing w:after="0"/>
              <w:rPr>
                <w:sz w:val="20"/>
                <w:szCs w:val="20"/>
                <w:color w:val="auto"/>
              </w:rPr>
            </w:pPr>
            <w:r>
              <w:rPr>
                <w:rFonts w:ascii="Arial" w:cs="Arial" w:eastAsia="Arial" w:hAnsi="Arial"/>
                <w:sz w:val="16"/>
                <w:szCs w:val="16"/>
                <w:b w:val="1"/>
                <w:bCs w:val="1"/>
                <w:color w:val="auto"/>
              </w:rPr>
              <w:t>2023</w:t>
            </w:r>
          </w:p>
        </w:tc>
        <w:tc>
          <w:tcPr>
            <w:tcW w:w="2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720" w:type="dxa"/>
            <w:vAlign w:val="bottom"/>
          </w:tcPr>
          <w:p>
            <w:pPr>
              <w:ind w:left="20"/>
              <w:spacing w:after="0"/>
              <w:rPr>
                <w:sz w:val="20"/>
                <w:szCs w:val="20"/>
                <w:color w:val="auto"/>
              </w:rPr>
            </w:pPr>
            <w:r>
              <w:rPr>
                <w:rFonts w:ascii="Arial" w:cs="Arial" w:eastAsia="Arial" w:hAnsi="Arial"/>
                <w:sz w:val="16"/>
                <w:szCs w:val="16"/>
                <w:color w:val="auto"/>
              </w:rPr>
              <w:t>Consolidated Statement of Income</w:t>
            </w:r>
          </w:p>
        </w:tc>
        <w:tc>
          <w:tcPr>
            <w:tcW w:w="0" w:type="dxa"/>
            <w:vAlign w:val="bottom"/>
          </w:tcPr>
          <w:p>
            <w:pPr>
              <w:spacing w:after="0"/>
              <w:rPr>
                <w:sz w:val="1"/>
                <w:szCs w:val="1"/>
                <w:color w:val="auto"/>
              </w:rPr>
            </w:pPr>
          </w:p>
        </w:tc>
      </w:tr>
      <w:tr>
        <w:trPr>
          <w:trHeight w:val="213"/>
        </w:trPr>
        <w:tc>
          <w:tcPr>
            <w:tcW w:w="40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2022</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2022</w:t>
            </w:r>
          </w:p>
        </w:tc>
        <w:tc>
          <w:tcPr>
            <w:tcW w:w="280" w:type="dxa"/>
            <w:vAlign w:val="bottom"/>
          </w:tcPr>
          <w:p>
            <w:pPr>
              <w:spacing w:after="0"/>
              <w:rPr>
                <w:sz w:val="18"/>
                <w:szCs w:val="18"/>
                <w:color w:val="auto"/>
              </w:rPr>
            </w:pPr>
          </w:p>
        </w:tc>
        <w:tc>
          <w:tcPr>
            <w:tcW w:w="27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Classification</w:t>
            </w:r>
          </w:p>
        </w:tc>
        <w:tc>
          <w:tcPr>
            <w:tcW w:w="0" w:type="dxa"/>
            <w:vAlign w:val="bottom"/>
          </w:tcPr>
          <w:p>
            <w:pPr>
              <w:spacing w:after="0"/>
              <w:rPr>
                <w:sz w:val="1"/>
                <w:szCs w:val="1"/>
                <w:color w:val="auto"/>
              </w:rPr>
            </w:pPr>
          </w:p>
        </w:tc>
      </w:tr>
      <w:tr>
        <w:trPr>
          <w:trHeight w:val="210"/>
        </w:trPr>
        <w:tc>
          <w:tcPr>
            <w:tcW w:w="4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Derivatives designated as cash flow hedges:</w:t>
            </w: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7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200"/>
              <w:spacing w:after="0"/>
              <w:rPr>
                <w:sz w:val="20"/>
                <w:szCs w:val="20"/>
                <w:color w:val="auto"/>
              </w:rPr>
            </w:pPr>
            <w:r>
              <w:rPr>
                <w:rFonts w:ascii="Arial" w:cs="Arial" w:eastAsia="Arial" w:hAnsi="Arial"/>
                <w:sz w:val="16"/>
                <w:szCs w:val="16"/>
                <w:color w:val="auto"/>
              </w:rPr>
              <w:t>Cross-currency interest rate swaps</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38</w:t>
            </w: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(160 )</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132</w:t>
            </w:r>
          </w:p>
        </w:tc>
        <w:tc>
          <w:tcPr>
            <w:tcW w:w="2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(291 )</w:t>
            </w:r>
          </w:p>
        </w:tc>
        <w:tc>
          <w:tcPr>
            <w:tcW w:w="2720" w:type="dxa"/>
            <w:vAlign w:val="bottom"/>
          </w:tcPr>
          <w:p>
            <w:pPr>
              <w:ind w:left="20"/>
              <w:spacing w:after="0"/>
              <w:rPr>
                <w:sz w:val="20"/>
                <w:szCs w:val="20"/>
                <w:color w:val="auto"/>
              </w:rPr>
            </w:pPr>
            <w:r>
              <w:rPr>
                <w:rFonts w:ascii="Arial" w:cs="Arial" w:eastAsia="Arial" w:hAnsi="Arial"/>
                <w:sz w:val="16"/>
                <w:szCs w:val="16"/>
                <w:i w:val="1"/>
                <w:iCs w:val="1"/>
                <w:color w:val="auto"/>
              </w:rPr>
              <w:t>Cost of services/sales</w:t>
            </w: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Cross-currency interest rate swaps</w:t>
            </w: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b w:val="1"/>
                <w:bCs w:val="1"/>
                <w:color w:val="auto"/>
              </w:rPr>
              <w:t>(22 )</w:t>
            </w: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b w:val="1"/>
                <w:bCs w:val="1"/>
                <w:color w:val="auto"/>
              </w:rPr>
              <w:t>(44 )</w:t>
            </w: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8"/>
                <w:szCs w:val="18"/>
                <w:color w:val="auto"/>
              </w:rPr>
            </w:pPr>
          </w:p>
        </w:tc>
        <w:tc>
          <w:tcPr>
            <w:tcW w:w="272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Interest expense</w:t>
            </w:r>
          </w:p>
        </w:tc>
        <w:tc>
          <w:tcPr>
            <w:tcW w:w="0" w:type="dxa"/>
            <w:vAlign w:val="bottom"/>
          </w:tcPr>
          <w:p>
            <w:pPr>
              <w:spacing w:after="0"/>
              <w:rPr>
                <w:sz w:val="1"/>
                <w:szCs w:val="1"/>
                <w:color w:val="auto"/>
              </w:rPr>
            </w:pPr>
          </w:p>
        </w:tc>
      </w:tr>
      <w:tr>
        <w:trPr>
          <w:trHeight w:val="216"/>
        </w:trPr>
        <w:tc>
          <w:tcPr>
            <w:tcW w:w="4040" w:type="dxa"/>
            <w:vAlign w:val="bottom"/>
          </w:tcPr>
          <w:p>
            <w:pPr>
              <w:ind w:left="200"/>
              <w:spacing w:after="0"/>
              <w:rPr>
                <w:sz w:val="20"/>
                <w:szCs w:val="20"/>
                <w:color w:val="auto"/>
              </w:rPr>
            </w:pPr>
            <w:r>
              <w:rPr>
                <w:rFonts w:ascii="Arial" w:cs="Arial" w:eastAsia="Arial" w:hAnsi="Arial"/>
                <w:sz w:val="16"/>
                <w:szCs w:val="16"/>
                <w:color w:val="auto"/>
              </w:rPr>
              <w:t>Commodity contracts</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(50 )</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7</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(65 )</w:t>
            </w:r>
          </w:p>
        </w:tc>
        <w:tc>
          <w:tcPr>
            <w:tcW w:w="2720" w:type="dxa"/>
            <w:vAlign w:val="bottom"/>
          </w:tcPr>
          <w:p>
            <w:pPr>
              <w:ind w:left="20"/>
              <w:spacing w:after="0"/>
              <w:rPr>
                <w:sz w:val="20"/>
                <w:szCs w:val="20"/>
                <w:color w:val="auto"/>
              </w:rPr>
            </w:pPr>
            <w:r>
              <w:rPr>
                <w:rFonts w:ascii="Arial" w:cs="Arial" w:eastAsia="Arial" w:hAnsi="Arial"/>
                <w:sz w:val="16"/>
                <w:szCs w:val="16"/>
                <w:i w:val="1"/>
                <w:iCs w:val="1"/>
                <w:color w:val="auto"/>
              </w:rPr>
              <w:t>Revenue</w:t>
            </w: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Foreign exchange contracts</w:t>
            </w: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(5 )</w:t>
            </w: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7</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(7 )</w:t>
            </w:r>
          </w:p>
        </w:tc>
        <w:tc>
          <w:tcPr>
            <w:tcW w:w="272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Cost of services/sales</w:t>
            </w:r>
          </w:p>
        </w:tc>
        <w:tc>
          <w:tcPr>
            <w:tcW w:w="0" w:type="dxa"/>
            <w:vAlign w:val="bottom"/>
          </w:tcPr>
          <w:p>
            <w:pPr>
              <w:spacing w:after="0"/>
              <w:rPr>
                <w:sz w:val="1"/>
                <w:szCs w:val="1"/>
                <w:color w:val="auto"/>
              </w:rPr>
            </w:pPr>
          </w:p>
        </w:tc>
      </w:tr>
      <w:tr>
        <w:trPr>
          <w:trHeight w:val="20"/>
        </w:trPr>
        <w:tc>
          <w:tcPr>
            <w:tcW w:w="40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7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24</w:t>
            </w: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(215 )</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102</w:t>
            </w:r>
          </w:p>
        </w:tc>
        <w:tc>
          <w:tcPr>
            <w:tcW w:w="2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(363 )</w:t>
            </w: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Derivatives not designated as hedges:</w:t>
            </w:r>
          </w:p>
        </w:tc>
        <w:tc>
          <w:tcPr>
            <w:tcW w:w="1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7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200"/>
              <w:spacing w:after="0"/>
              <w:rPr>
                <w:sz w:val="20"/>
                <w:szCs w:val="20"/>
                <w:color w:val="auto"/>
              </w:rPr>
            </w:pPr>
            <w:r>
              <w:rPr>
                <w:rFonts w:ascii="Arial" w:cs="Arial" w:eastAsia="Arial" w:hAnsi="Arial"/>
                <w:sz w:val="16"/>
                <w:szCs w:val="16"/>
                <w:color w:val="auto"/>
              </w:rPr>
              <w:t>Foreign exchange contracts</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(27 )</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(27 )</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9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(26 )</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(38 )</w:t>
            </w:r>
          </w:p>
        </w:tc>
        <w:tc>
          <w:tcPr>
            <w:tcW w:w="2720" w:type="dxa"/>
            <w:vAlign w:val="bottom"/>
          </w:tcPr>
          <w:p>
            <w:pPr>
              <w:ind w:left="20"/>
              <w:spacing w:after="0"/>
              <w:rPr>
                <w:sz w:val="20"/>
                <w:szCs w:val="20"/>
                <w:color w:val="auto"/>
              </w:rPr>
            </w:pPr>
            <w:r>
              <w:rPr>
                <w:rFonts w:ascii="Arial" w:cs="Arial" w:eastAsia="Arial" w:hAnsi="Arial"/>
                <w:sz w:val="16"/>
                <w:szCs w:val="16"/>
                <w:i w:val="1"/>
                <w:iCs w:val="1"/>
                <w:color w:val="auto"/>
              </w:rPr>
              <w:t>Cost of services/sales</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-470535</wp:posOffset>
            </wp:positionV>
            <wp:extent cx="85725" cy="1714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-470535</wp:posOffset>
            </wp:positionV>
            <wp:extent cx="85725" cy="1714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-470535</wp:posOffset>
            </wp:positionV>
            <wp:extent cx="85725" cy="1714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-470535</wp:posOffset>
            </wp:positionV>
            <wp:extent cx="85725" cy="1714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5725" cy="171450"/>
                    </a:xfrm>
                    <a:prstGeom prst="rect">
                      <a:avLst/>
                    </a:prstGeom>
                    <a:noFill/>
                  </pic:spPr>
                </pic:pic>
              </a:graphicData>
            </a:graphic>
          </wp:anchor>
        </w:drawing>
      </w:r>
    </w:p>
    <w:p>
      <w:pPr>
        <w:spacing w:after="0" w:line="205" w:lineRule="exact"/>
        <w:rPr>
          <w:sz w:val="20"/>
          <w:szCs w:val="20"/>
          <w:color w:val="auto"/>
        </w:rPr>
      </w:pPr>
    </w:p>
    <w:p>
      <w:pPr>
        <w:ind w:left="280" w:hanging="272"/>
        <w:spacing w:after="0"/>
        <w:tabs>
          <w:tab w:leader="none" w:pos="280"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Contingencies</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SLB is party to various legal proceedings from time to time. A liability is accrued when a loss is both probable and can be reasonably estimated. Management believes that the probability of a material loss with respect to any currently pending legal proceeding is remote. However, litigation is inherently uncertain and it is not possible to predict the ultimate disposition of any of these proceedings.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10.  </w:t>
      </w:r>
      <w:r>
        <w:rPr>
          <w:rFonts w:ascii="Arial" w:cs="Arial" w:eastAsia="Arial" w:hAnsi="Arial"/>
          <w:sz w:val="16"/>
          <w:szCs w:val="16"/>
          <w:b w:val="1"/>
          <w:bCs w:val="1"/>
          <w:u w:val="single" w:color="auto"/>
          <w:color w:val="auto"/>
        </w:rPr>
        <w:t>Segment Information</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4"/>
                <w:szCs w:val="14"/>
                <w:i w:val="1"/>
                <w:iCs w:val="1"/>
                <w:color w:val="auto"/>
              </w:rPr>
              <w:t>(Stated in millions)</w:t>
            </w:r>
          </w:p>
        </w:tc>
      </w:tr>
      <w:tr>
        <w:trPr>
          <w:trHeight w:val="444"/>
        </w:trPr>
        <w:tc>
          <w:tcPr>
            <w:tcW w:w="52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4"/>
          </w:tcPr>
          <w:p>
            <w:pPr>
              <w:jc w:val="right"/>
              <w:ind w:right="499"/>
              <w:spacing w:after="0"/>
              <w:rPr>
                <w:sz w:val="20"/>
                <w:szCs w:val="20"/>
                <w:color w:val="auto"/>
              </w:rPr>
            </w:pPr>
            <w:r>
              <w:rPr>
                <w:rFonts w:ascii="Arial" w:cs="Arial" w:eastAsia="Arial" w:hAnsi="Arial"/>
                <w:sz w:val="16"/>
                <w:szCs w:val="16"/>
                <w:b w:val="1"/>
                <w:bCs w:val="1"/>
                <w:color w:val="auto"/>
              </w:rPr>
              <w:t>Second Quarter 2023</w:t>
            </w:r>
          </w:p>
        </w:tc>
        <w:tc>
          <w:tcPr>
            <w:tcW w:w="3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4"/>
          </w:tcPr>
          <w:p>
            <w:pPr>
              <w:jc w:val="right"/>
              <w:ind w:right="519"/>
              <w:spacing w:after="0"/>
              <w:rPr>
                <w:sz w:val="20"/>
                <w:szCs w:val="20"/>
                <w:color w:val="auto"/>
              </w:rPr>
            </w:pPr>
            <w:r>
              <w:rPr>
                <w:rFonts w:ascii="Arial" w:cs="Arial" w:eastAsia="Arial" w:hAnsi="Arial"/>
                <w:sz w:val="16"/>
                <w:szCs w:val="16"/>
                <w:color w:val="auto"/>
              </w:rPr>
              <w:t>Second Quarter 2022</w:t>
            </w:r>
          </w:p>
        </w:tc>
        <w:tc>
          <w:tcPr>
            <w:tcW w:w="140" w:type="dxa"/>
            <w:vAlign w:val="bottom"/>
          </w:tcPr>
          <w:p>
            <w:pPr>
              <w:spacing w:after="0"/>
              <w:rPr>
                <w:sz w:val="24"/>
                <w:szCs w:val="24"/>
                <w:color w:val="auto"/>
              </w:rPr>
            </w:pPr>
          </w:p>
        </w:tc>
      </w:tr>
      <w:tr>
        <w:trPr>
          <w:trHeight w:val="205"/>
        </w:trPr>
        <w:tc>
          <w:tcPr>
            <w:tcW w:w="5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259"/>
              <w:spacing w:after="0"/>
              <w:rPr>
                <w:sz w:val="20"/>
                <w:szCs w:val="20"/>
                <w:color w:val="auto"/>
              </w:rPr>
            </w:pPr>
            <w:r>
              <w:rPr>
                <w:rFonts w:ascii="Arial" w:cs="Arial" w:eastAsia="Arial" w:hAnsi="Arial"/>
                <w:sz w:val="16"/>
                <w:szCs w:val="16"/>
                <w:b w:val="1"/>
                <w:bCs w:val="1"/>
                <w:color w:val="auto"/>
              </w:rPr>
              <w:t>Income</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color w:val="auto"/>
              </w:rPr>
              <w:t>Income</w:t>
            </w:r>
          </w:p>
        </w:tc>
      </w:tr>
      <w:tr>
        <w:trPr>
          <w:trHeight w:val="221"/>
        </w:trPr>
        <w:tc>
          <w:tcPr>
            <w:tcW w:w="5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6"/>
                <w:szCs w:val="16"/>
                <w:b w:val="1"/>
                <w:bCs w:val="1"/>
                <w:color w:val="auto"/>
              </w:rPr>
              <w:t>Revenue</w:t>
            </w:r>
          </w:p>
        </w:tc>
        <w:tc>
          <w:tcPr>
            <w:tcW w:w="120" w:type="dxa"/>
            <w:vAlign w:val="bottom"/>
          </w:tcPr>
          <w:p>
            <w:pPr>
              <w:spacing w:after="0"/>
              <w:rPr>
                <w:sz w:val="19"/>
                <w:szCs w:val="19"/>
                <w:color w:val="auto"/>
              </w:rPr>
            </w:pPr>
          </w:p>
        </w:tc>
        <w:tc>
          <w:tcPr>
            <w:tcW w:w="142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w w:val="97"/>
              </w:rPr>
              <w:t>Before Taxes</w:t>
            </w:r>
          </w:p>
        </w:tc>
        <w:tc>
          <w:tcPr>
            <w:tcW w:w="200" w:type="dxa"/>
            <w:vAlign w:val="bottom"/>
          </w:tcPr>
          <w:p>
            <w:pPr>
              <w:spacing w:after="0"/>
              <w:rPr>
                <w:sz w:val="19"/>
                <w:szCs w:val="19"/>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6"/>
                <w:szCs w:val="16"/>
                <w:color w:val="auto"/>
              </w:rPr>
              <w:t>Revenue</w:t>
            </w:r>
          </w:p>
        </w:tc>
        <w:tc>
          <w:tcPr>
            <w:tcW w:w="140" w:type="dxa"/>
            <w:vAlign w:val="bottom"/>
          </w:tcPr>
          <w:p>
            <w:pPr>
              <w:spacing w:after="0"/>
              <w:rPr>
                <w:sz w:val="19"/>
                <w:szCs w:val="19"/>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color w:val="auto"/>
                <w:w w:val="98"/>
              </w:rPr>
              <w:t>Before Taxes</w:t>
            </w:r>
          </w:p>
        </w:tc>
      </w:tr>
      <w:tr>
        <w:trPr>
          <w:trHeight w:val="210"/>
        </w:trPr>
        <w:tc>
          <w:tcPr>
            <w:tcW w:w="5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Digital &amp; Integration</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947</w:t>
            </w:r>
          </w:p>
        </w:tc>
        <w:tc>
          <w:tcPr>
            <w:tcW w:w="3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322</w:t>
            </w:r>
          </w:p>
        </w:tc>
        <w:tc>
          <w:tcPr>
            <w:tcW w:w="3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955</w:t>
            </w:r>
          </w:p>
        </w:tc>
        <w:tc>
          <w:tcPr>
            <w:tcW w:w="3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379</w:t>
            </w:r>
          </w:p>
        </w:tc>
        <w:tc>
          <w:tcPr>
            <w:tcW w:w="140" w:type="dxa"/>
            <w:vAlign w:val="bottom"/>
            <w:shd w:val="clear" w:color="auto" w:fill="CFF0FC"/>
          </w:tcPr>
          <w:p>
            <w:pPr>
              <w:spacing w:after="0"/>
              <w:rPr>
                <w:sz w:val="18"/>
                <w:szCs w:val="18"/>
                <w:color w:val="auto"/>
              </w:rPr>
            </w:pPr>
          </w:p>
        </w:tc>
      </w:tr>
      <w:tr>
        <w:trPr>
          <w:trHeight w:val="216"/>
        </w:trPr>
        <w:tc>
          <w:tcPr>
            <w:tcW w:w="5280" w:type="dxa"/>
            <w:vAlign w:val="bottom"/>
          </w:tcPr>
          <w:p>
            <w:pPr>
              <w:ind w:left="20"/>
              <w:spacing w:after="0"/>
              <w:rPr>
                <w:sz w:val="20"/>
                <w:szCs w:val="20"/>
                <w:color w:val="auto"/>
              </w:rPr>
            </w:pPr>
            <w:r>
              <w:rPr>
                <w:rFonts w:ascii="Arial" w:cs="Arial" w:eastAsia="Arial" w:hAnsi="Arial"/>
                <w:sz w:val="16"/>
                <w:szCs w:val="16"/>
                <w:color w:val="auto"/>
              </w:rPr>
              <w:t>Reservoir Performance</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1,643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306</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1,333</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195</w:t>
            </w:r>
          </w:p>
        </w:tc>
        <w:tc>
          <w:tcPr>
            <w:tcW w:w="140" w:type="dxa"/>
            <w:vAlign w:val="bottom"/>
          </w:tcPr>
          <w:p>
            <w:pPr>
              <w:spacing w:after="0"/>
              <w:rPr>
                <w:sz w:val="18"/>
                <w:szCs w:val="18"/>
                <w:color w:val="auto"/>
              </w:rPr>
            </w:pPr>
          </w:p>
        </w:tc>
      </w:tr>
      <w:tr>
        <w:trPr>
          <w:trHeight w:val="216"/>
        </w:trPr>
        <w:tc>
          <w:tcPr>
            <w:tcW w:w="5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Well Construction</w:t>
            </w: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3,362</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731</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2,686</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470</w:t>
            </w:r>
          </w:p>
        </w:tc>
        <w:tc>
          <w:tcPr>
            <w:tcW w:w="140" w:type="dxa"/>
            <w:vAlign w:val="bottom"/>
            <w:shd w:val="clear" w:color="auto" w:fill="CFF0FC"/>
          </w:tcPr>
          <w:p>
            <w:pPr>
              <w:spacing w:after="0"/>
              <w:rPr>
                <w:sz w:val="18"/>
                <w:szCs w:val="18"/>
                <w:color w:val="auto"/>
              </w:rPr>
            </w:pPr>
          </w:p>
        </w:tc>
      </w:tr>
      <w:tr>
        <w:trPr>
          <w:trHeight w:val="216"/>
        </w:trPr>
        <w:tc>
          <w:tcPr>
            <w:tcW w:w="5280" w:type="dxa"/>
            <w:vAlign w:val="bottom"/>
          </w:tcPr>
          <w:p>
            <w:pPr>
              <w:ind w:left="20"/>
              <w:spacing w:after="0"/>
              <w:rPr>
                <w:sz w:val="20"/>
                <w:szCs w:val="20"/>
                <w:color w:val="auto"/>
              </w:rPr>
            </w:pPr>
            <w:r>
              <w:rPr>
                <w:rFonts w:ascii="Arial" w:cs="Arial" w:eastAsia="Arial" w:hAnsi="Arial"/>
                <w:sz w:val="16"/>
                <w:szCs w:val="16"/>
                <w:color w:val="auto"/>
              </w:rPr>
              <w:t>Production Systems</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2,313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278</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1,893</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171</w:t>
            </w:r>
          </w:p>
        </w:tc>
        <w:tc>
          <w:tcPr>
            <w:tcW w:w="140" w:type="dxa"/>
            <w:vAlign w:val="bottom"/>
          </w:tcPr>
          <w:p>
            <w:pPr>
              <w:spacing w:after="0"/>
              <w:rPr>
                <w:sz w:val="18"/>
                <w:szCs w:val="18"/>
                <w:color w:val="auto"/>
              </w:rPr>
            </w:pPr>
          </w:p>
        </w:tc>
      </w:tr>
      <w:tr>
        <w:trPr>
          <w:trHeight w:val="216"/>
        </w:trPr>
        <w:tc>
          <w:tcPr>
            <w:tcW w:w="5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Eliminations &amp; other</w:t>
            </w:r>
          </w:p>
        </w:tc>
        <w:tc>
          <w:tcPr>
            <w:tcW w:w="1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(166 )</w:t>
            </w:r>
          </w:p>
        </w:tc>
        <w:tc>
          <w:tcPr>
            <w:tcW w:w="1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(56 )</w:t>
            </w:r>
          </w:p>
        </w:tc>
        <w:tc>
          <w:tcPr>
            <w:tcW w:w="2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(94 )</w:t>
            </w:r>
          </w:p>
        </w:tc>
        <w:tc>
          <w:tcPr>
            <w:tcW w:w="1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(56 )</w:t>
            </w:r>
          </w:p>
        </w:tc>
      </w:tr>
      <w:tr>
        <w:trPr>
          <w:trHeight w:val="209"/>
        </w:trPr>
        <w:tc>
          <w:tcPr>
            <w:tcW w:w="528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rPr>
              <w:t>Pretax segment operating income</w:t>
            </w:r>
          </w:p>
        </w:tc>
        <w:tc>
          <w:tcPr>
            <w:tcW w:w="180" w:type="dxa"/>
            <w:vAlign w:val="bottom"/>
            <w:tcBorders>
              <w:top w:val="single" w:sz="8" w:color="CFF0FC"/>
            </w:tcBorders>
          </w:tcPr>
          <w:p>
            <w:pPr>
              <w:spacing w:after="0"/>
              <w:rPr>
                <w:sz w:val="18"/>
                <w:szCs w:val="18"/>
                <w:color w:val="auto"/>
              </w:rPr>
            </w:pPr>
          </w:p>
        </w:tc>
        <w:tc>
          <w:tcPr>
            <w:tcW w:w="1040" w:type="dxa"/>
            <w:vAlign w:val="bottom"/>
            <w:tcBorders>
              <w:top w:val="single" w:sz="8" w:color="CFF0FC"/>
            </w:tcBorders>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1,581</w:t>
            </w:r>
          </w:p>
        </w:tc>
        <w:tc>
          <w:tcPr>
            <w:tcW w:w="300" w:type="dxa"/>
            <w:vAlign w:val="bottom"/>
            <w:tcBorders>
              <w:top w:val="single" w:sz="8" w:color="CFF0FC"/>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1020" w:type="dxa"/>
            <w:vAlign w:val="bottom"/>
            <w:tcBorders>
              <w:top w:val="single" w:sz="8" w:color="CFF0FC"/>
            </w:tcBorders>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1,159</w:t>
            </w:r>
          </w:p>
        </w:tc>
        <w:tc>
          <w:tcPr>
            <w:tcW w:w="140" w:type="dxa"/>
            <w:vAlign w:val="bottom"/>
            <w:tcBorders>
              <w:top w:val="single" w:sz="8" w:color="CFF0FC"/>
            </w:tcBorders>
          </w:tcPr>
          <w:p>
            <w:pPr>
              <w:spacing w:after="0"/>
              <w:rPr>
                <w:sz w:val="18"/>
                <w:szCs w:val="18"/>
                <w:color w:val="auto"/>
              </w:rPr>
            </w:pPr>
          </w:p>
        </w:tc>
      </w:tr>
      <w:tr>
        <w:trPr>
          <w:trHeight w:val="216"/>
        </w:trPr>
        <w:tc>
          <w:tcPr>
            <w:tcW w:w="5280" w:type="dxa"/>
            <w:vAlign w:val="bottom"/>
            <w:shd w:val="clear" w:color="auto" w:fill="CFF0FC"/>
          </w:tcPr>
          <w:p>
            <w:pPr>
              <w:ind w:left="20"/>
              <w:spacing w:after="0" w:line="216" w:lineRule="exact"/>
              <w:rPr>
                <w:sz w:val="20"/>
                <w:szCs w:val="20"/>
                <w:color w:val="auto"/>
              </w:rPr>
            </w:pPr>
            <w:r>
              <w:rPr>
                <w:rFonts w:ascii="Arial" w:cs="Arial" w:eastAsia="Arial" w:hAnsi="Arial"/>
                <w:sz w:val="16"/>
                <w:szCs w:val="16"/>
                <w:color w:val="auto"/>
              </w:rPr>
              <w:t xml:space="preserve">Corporate &amp; other </w:t>
            </w:r>
            <w:r>
              <w:rPr>
                <w:rFonts w:ascii="Arial" w:cs="Arial" w:eastAsia="Arial" w:hAnsi="Arial"/>
                <w:sz w:val="21"/>
                <w:szCs w:val="21"/>
                <w:color w:val="auto"/>
                <w:vertAlign w:val="superscript"/>
              </w:rPr>
              <w:t>(1)</w:t>
            </w: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(183 )</w:t>
            </w: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(148 )</w:t>
            </w:r>
          </w:p>
        </w:tc>
      </w:tr>
      <w:tr>
        <w:trPr>
          <w:trHeight w:val="216"/>
        </w:trPr>
        <w:tc>
          <w:tcPr>
            <w:tcW w:w="52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Interest income </w:t>
            </w:r>
            <w:r>
              <w:rPr>
                <w:rFonts w:ascii="Arial" w:cs="Arial" w:eastAsia="Arial" w:hAnsi="Arial"/>
                <w:sz w:val="21"/>
                <w:szCs w:val="21"/>
                <w:color w:val="auto"/>
                <w:vertAlign w:val="superscript"/>
              </w:rPr>
              <w:t>(2)</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19</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w:t>
            </w:r>
          </w:p>
        </w:tc>
        <w:tc>
          <w:tcPr>
            <w:tcW w:w="140" w:type="dxa"/>
            <w:vAlign w:val="bottom"/>
          </w:tcPr>
          <w:p>
            <w:pPr>
              <w:spacing w:after="0"/>
              <w:rPr>
                <w:sz w:val="18"/>
                <w:szCs w:val="18"/>
                <w:color w:val="auto"/>
              </w:rPr>
            </w:pPr>
          </w:p>
        </w:tc>
      </w:tr>
      <w:tr>
        <w:trPr>
          <w:trHeight w:val="216"/>
        </w:trPr>
        <w:tc>
          <w:tcPr>
            <w:tcW w:w="5280" w:type="dxa"/>
            <w:vAlign w:val="bottom"/>
            <w:shd w:val="clear" w:color="auto" w:fill="CFF0FC"/>
          </w:tcPr>
          <w:p>
            <w:pPr>
              <w:ind w:left="20"/>
              <w:spacing w:after="0" w:line="216" w:lineRule="exact"/>
              <w:rPr>
                <w:sz w:val="20"/>
                <w:szCs w:val="20"/>
                <w:color w:val="auto"/>
              </w:rPr>
            </w:pPr>
            <w:r>
              <w:rPr>
                <w:rFonts w:ascii="Arial" w:cs="Arial" w:eastAsia="Arial" w:hAnsi="Arial"/>
                <w:sz w:val="16"/>
                <w:szCs w:val="16"/>
                <w:color w:val="auto"/>
              </w:rPr>
              <w:t xml:space="preserve">Interest expense </w:t>
            </w:r>
            <w:r>
              <w:rPr>
                <w:rFonts w:ascii="Arial" w:cs="Arial" w:eastAsia="Arial" w:hAnsi="Arial"/>
                <w:sz w:val="21"/>
                <w:szCs w:val="21"/>
                <w:color w:val="auto"/>
                <w:vertAlign w:val="superscript"/>
              </w:rPr>
              <w:t>(3)</w:t>
            </w: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(124 )</w:t>
            </w: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(121 )</w:t>
            </w:r>
          </w:p>
        </w:tc>
      </w:tr>
      <w:tr>
        <w:trPr>
          <w:trHeight w:val="216"/>
        </w:trPr>
        <w:tc>
          <w:tcPr>
            <w:tcW w:w="52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Charges and credits </w:t>
            </w:r>
            <w:r>
              <w:rPr>
                <w:rFonts w:ascii="Arial" w:cs="Arial" w:eastAsia="Arial" w:hAnsi="Arial"/>
                <w:sz w:val="21"/>
                <w:szCs w:val="21"/>
                <w:color w:val="auto"/>
                <w:vertAlign w:val="superscript"/>
              </w:rPr>
              <w:t>(4)</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w:t>
            </w:r>
          </w:p>
        </w:tc>
        <w:tc>
          <w:tcPr>
            <w:tcW w:w="140" w:type="dxa"/>
            <w:vAlign w:val="bottom"/>
          </w:tcPr>
          <w:p>
            <w:pPr>
              <w:spacing w:after="0"/>
              <w:rPr>
                <w:sz w:val="18"/>
                <w:szCs w:val="18"/>
                <w:color w:val="auto"/>
              </w:rPr>
            </w:pPr>
          </w:p>
        </w:tc>
      </w:tr>
      <w:tr>
        <w:trPr>
          <w:trHeight w:val="250"/>
        </w:trPr>
        <w:tc>
          <w:tcPr>
            <w:tcW w:w="5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8,099</w:t>
            </w:r>
          </w:p>
        </w:tc>
        <w:tc>
          <w:tcPr>
            <w:tcW w:w="3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1,293</w:t>
            </w:r>
          </w:p>
        </w:tc>
        <w:tc>
          <w:tcPr>
            <w:tcW w:w="3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6,773</w:t>
            </w:r>
          </w:p>
        </w:tc>
        <w:tc>
          <w:tcPr>
            <w:tcW w:w="3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1,152</w:t>
            </w:r>
          </w:p>
        </w:tc>
        <w:tc>
          <w:tcPr>
            <w:tcW w:w="14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-864870</wp:posOffset>
            </wp:positionV>
            <wp:extent cx="85725" cy="1454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-864870</wp:posOffset>
            </wp:positionV>
            <wp:extent cx="85725" cy="1454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-24765</wp:posOffset>
            </wp:positionV>
            <wp:extent cx="857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-7620</wp:posOffset>
            </wp:positionV>
            <wp:extent cx="857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-24765</wp:posOffset>
            </wp:positionV>
            <wp:extent cx="857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-7620</wp:posOffset>
            </wp:positionV>
            <wp:extent cx="857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-24765</wp:posOffset>
            </wp:positionV>
            <wp:extent cx="857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857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96" w:lineRule="exact"/>
        <w:rPr>
          <w:sz w:val="20"/>
          <w:szCs w:val="20"/>
          <w:color w:val="auto"/>
        </w:rPr>
      </w:pPr>
    </w:p>
    <w:p>
      <w:pPr>
        <w:ind w:left="380" w:hanging="372"/>
        <w:spacing w:after="0" w:line="217" w:lineRule="auto"/>
        <w:tabs>
          <w:tab w:leader="none" w:pos="380" w:val="left"/>
        </w:tabs>
        <w:numPr>
          <w:ilvl w:val="0"/>
          <w:numId w:val="12"/>
        </w:numPr>
        <w:rPr>
          <w:rFonts w:ascii="Arial" w:cs="Arial" w:eastAsia="Arial" w:hAnsi="Arial"/>
          <w:sz w:val="19"/>
          <w:szCs w:val="19"/>
          <w:color w:val="auto"/>
          <w:vertAlign w:val="superscript"/>
        </w:rPr>
      </w:pPr>
      <w:r>
        <w:rPr>
          <w:rFonts w:ascii="Arial" w:cs="Arial" w:eastAsia="Arial" w:hAnsi="Arial"/>
          <w:sz w:val="14"/>
          <w:szCs w:val="14"/>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52" w:lineRule="exact"/>
        <w:rPr>
          <w:rFonts w:ascii="Arial" w:cs="Arial" w:eastAsia="Arial" w:hAnsi="Arial"/>
          <w:sz w:val="19"/>
          <w:szCs w:val="19"/>
          <w:color w:val="auto"/>
          <w:vertAlign w:val="superscript"/>
        </w:rPr>
      </w:pPr>
    </w:p>
    <w:p>
      <w:pPr>
        <w:ind w:left="380" w:hanging="372"/>
        <w:spacing w:after="0"/>
        <w:tabs>
          <w:tab w:leader="none" w:pos="380" w:val="left"/>
        </w:tabs>
        <w:numPr>
          <w:ilvl w:val="0"/>
          <w:numId w:val="12"/>
        </w:numPr>
        <w:rPr>
          <w:rFonts w:ascii="Arial" w:cs="Arial" w:eastAsia="Arial" w:hAnsi="Arial"/>
          <w:sz w:val="19"/>
          <w:szCs w:val="19"/>
          <w:color w:val="auto"/>
          <w:vertAlign w:val="superscript"/>
        </w:rPr>
      </w:pPr>
      <w:r>
        <w:rPr>
          <w:rFonts w:ascii="Arial" w:cs="Arial" w:eastAsia="Arial" w:hAnsi="Arial"/>
          <w:sz w:val="14"/>
          <w:szCs w:val="14"/>
          <w:color w:val="auto"/>
        </w:rPr>
        <w:t>Interest income excludes amounts that are included in the segments’ income ($- million in 2023; $16 million in 2022).</w:t>
      </w:r>
    </w:p>
    <w:p>
      <w:pPr>
        <w:spacing w:after="0" w:line="72" w:lineRule="exact"/>
        <w:rPr>
          <w:rFonts w:ascii="Arial" w:cs="Arial" w:eastAsia="Arial" w:hAnsi="Arial"/>
          <w:sz w:val="19"/>
          <w:szCs w:val="19"/>
          <w:color w:val="auto"/>
          <w:vertAlign w:val="superscript"/>
        </w:rPr>
      </w:pPr>
    </w:p>
    <w:p>
      <w:pPr>
        <w:ind w:left="380" w:hanging="372"/>
        <w:spacing w:after="0" w:line="217" w:lineRule="auto"/>
        <w:tabs>
          <w:tab w:leader="none" w:pos="380" w:val="left"/>
        </w:tabs>
        <w:numPr>
          <w:ilvl w:val="0"/>
          <w:numId w:val="12"/>
        </w:numPr>
        <w:rPr>
          <w:rFonts w:ascii="Arial" w:cs="Arial" w:eastAsia="Arial" w:hAnsi="Arial"/>
          <w:sz w:val="19"/>
          <w:szCs w:val="19"/>
          <w:color w:val="auto"/>
          <w:vertAlign w:val="superscript"/>
        </w:rPr>
      </w:pPr>
      <w:r>
        <w:rPr>
          <w:rFonts w:ascii="Arial" w:cs="Arial" w:eastAsia="Arial" w:hAnsi="Arial"/>
          <w:sz w:val="14"/>
          <w:szCs w:val="14"/>
          <w:color w:val="auto"/>
        </w:rPr>
        <w:t>Interest expense excludes amounts that are included in the segments’ income ($3 million in 2023; $3 million in 2022).</w:t>
      </w:r>
    </w:p>
    <w:p>
      <w:pPr>
        <w:spacing w:after="0" w:line="72" w:lineRule="exact"/>
        <w:rPr>
          <w:rFonts w:ascii="Arial" w:cs="Arial" w:eastAsia="Arial" w:hAnsi="Arial"/>
          <w:sz w:val="19"/>
          <w:szCs w:val="19"/>
          <w:color w:val="auto"/>
          <w:vertAlign w:val="superscript"/>
        </w:rPr>
      </w:pPr>
    </w:p>
    <w:p>
      <w:pPr>
        <w:ind w:left="380" w:hanging="372"/>
        <w:spacing w:after="0" w:line="217" w:lineRule="auto"/>
        <w:tabs>
          <w:tab w:leader="none" w:pos="380" w:val="left"/>
        </w:tabs>
        <w:numPr>
          <w:ilvl w:val="0"/>
          <w:numId w:val="12"/>
        </w:numPr>
        <w:rPr>
          <w:rFonts w:ascii="Arial" w:cs="Arial" w:eastAsia="Arial" w:hAnsi="Arial"/>
          <w:sz w:val="19"/>
          <w:szCs w:val="19"/>
          <w:color w:val="auto"/>
          <w:vertAlign w:val="superscript"/>
        </w:rPr>
      </w:pPr>
      <w:r>
        <w:rPr>
          <w:rFonts w:ascii="Arial" w:cs="Arial" w:eastAsia="Arial" w:hAnsi="Arial"/>
          <w:sz w:val="14"/>
          <w:szCs w:val="14"/>
          <w:color w:val="auto"/>
        </w:rPr>
        <w:t xml:space="preserve">See Note 2 – </w:t>
      </w:r>
      <w:r>
        <w:rPr>
          <w:rFonts w:ascii="Arial" w:cs="Arial" w:eastAsia="Arial" w:hAnsi="Arial"/>
          <w:sz w:val="14"/>
          <w:szCs w:val="14"/>
          <w:i w:val="1"/>
          <w:iCs w:val="1"/>
          <w:color w:val="auto"/>
        </w:rPr>
        <w:t>Charges and Credits</w:t>
      </w:r>
      <w:r>
        <w:rPr>
          <w:rFonts w:ascii="Arial" w:cs="Arial" w:eastAsia="Arial" w:hAnsi="Arial"/>
          <w:sz w:val="14"/>
          <w:szCs w:val="14"/>
          <w:color w:val="auto"/>
        </w:rPr>
        <w: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86"/>
        </w:trPr>
        <w:tc>
          <w:tcPr>
            <w:tcW w:w="5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4"/>
                <w:szCs w:val="14"/>
                <w:i w:val="1"/>
                <w:iCs w:val="1"/>
                <w:color w:val="auto"/>
              </w:rPr>
              <w:t>(Stated in millions)</w:t>
            </w:r>
          </w:p>
        </w:tc>
      </w:tr>
      <w:tr>
        <w:trPr>
          <w:trHeight w:val="444"/>
        </w:trPr>
        <w:tc>
          <w:tcPr>
            <w:tcW w:w="52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4"/>
          </w:tcPr>
          <w:p>
            <w:pPr>
              <w:jc w:val="right"/>
              <w:ind w:right="679"/>
              <w:spacing w:after="0"/>
              <w:rPr>
                <w:sz w:val="20"/>
                <w:szCs w:val="20"/>
                <w:color w:val="auto"/>
              </w:rPr>
            </w:pPr>
            <w:r>
              <w:rPr>
                <w:rFonts w:ascii="Arial" w:cs="Arial" w:eastAsia="Arial" w:hAnsi="Arial"/>
                <w:sz w:val="16"/>
                <w:szCs w:val="16"/>
                <w:b w:val="1"/>
                <w:bCs w:val="1"/>
                <w:color w:val="auto"/>
              </w:rPr>
              <w:t>Six Months 2023</w:t>
            </w:r>
          </w:p>
        </w:tc>
        <w:tc>
          <w:tcPr>
            <w:tcW w:w="3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4"/>
          </w:tcPr>
          <w:p>
            <w:pPr>
              <w:jc w:val="right"/>
              <w:ind w:right="699"/>
              <w:spacing w:after="0"/>
              <w:rPr>
                <w:sz w:val="20"/>
                <w:szCs w:val="20"/>
                <w:color w:val="auto"/>
              </w:rPr>
            </w:pPr>
            <w:r>
              <w:rPr>
                <w:rFonts w:ascii="Arial" w:cs="Arial" w:eastAsia="Arial" w:hAnsi="Arial"/>
                <w:sz w:val="16"/>
                <w:szCs w:val="16"/>
                <w:color w:val="auto"/>
              </w:rPr>
              <w:t>Six Months 2022</w:t>
            </w:r>
          </w:p>
        </w:tc>
        <w:tc>
          <w:tcPr>
            <w:tcW w:w="140" w:type="dxa"/>
            <w:vAlign w:val="bottom"/>
          </w:tcPr>
          <w:p>
            <w:pPr>
              <w:spacing w:after="0"/>
              <w:rPr>
                <w:sz w:val="24"/>
                <w:szCs w:val="24"/>
                <w:color w:val="auto"/>
              </w:rPr>
            </w:pPr>
          </w:p>
        </w:tc>
      </w:tr>
      <w:tr>
        <w:trPr>
          <w:trHeight w:val="205"/>
        </w:trPr>
        <w:tc>
          <w:tcPr>
            <w:tcW w:w="5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259"/>
              <w:spacing w:after="0"/>
              <w:rPr>
                <w:sz w:val="20"/>
                <w:szCs w:val="20"/>
                <w:color w:val="auto"/>
              </w:rPr>
            </w:pPr>
            <w:r>
              <w:rPr>
                <w:rFonts w:ascii="Arial" w:cs="Arial" w:eastAsia="Arial" w:hAnsi="Arial"/>
                <w:sz w:val="16"/>
                <w:szCs w:val="16"/>
                <w:b w:val="1"/>
                <w:bCs w:val="1"/>
                <w:color w:val="auto"/>
              </w:rPr>
              <w:t>Income</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color w:val="auto"/>
              </w:rPr>
              <w:t>Income</w:t>
            </w:r>
          </w:p>
        </w:tc>
      </w:tr>
      <w:tr>
        <w:trPr>
          <w:trHeight w:val="221"/>
        </w:trPr>
        <w:tc>
          <w:tcPr>
            <w:tcW w:w="5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6"/>
                <w:szCs w:val="16"/>
                <w:b w:val="1"/>
                <w:bCs w:val="1"/>
                <w:color w:val="auto"/>
              </w:rPr>
              <w:t>Revenue</w:t>
            </w:r>
          </w:p>
        </w:tc>
        <w:tc>
          <w:tcPr>
            <w:tcW w:w="120" w:type="dxa"/>
            <w:vAlign w:val="bottom"/>
          </w:tcPr>
          <w:p>
            <w:pPr>
              <w:spacing w:after="0"/>
              <w:rPr>
                <w:sz w:val="19"/>
                <w:szCs w:val="19"/>
                <w:color w:val="auto"/>
              </w:rPr>
            </w:pPr>
          </w:p>
        </w:tc>
        <w:tc>
          <w:tcPr>
            <w:tcW w:w="142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w w:val="97"/>
              </w:rPr>
              <w:t>Before Taxes</w:t>
            </w:r>
          </w:p>
        </w:tc>
        <w:tc>
          <w:tcPr>
            <w:tcW w:w="200" w:type="dxa"/>
            <w:vAlign w:val="bottom"/>
          </w:tcPr>
          <w:p>
            <w:pPr>
              <w:spacing w:after="0"/>
              <w:rPr>
                <w:sz w:val="19"/>
                <w:szCs w:val="19"/>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6"/>
                <w:szCs w:val="16"/>
                <w:color w:val="auto"/>
              </w:rPr>
              <w:t>Revenue</w:t>
            </w:r>
          </w:p>
        </w:tc>
        <w:tc>
          <w:tcPr>
            <w:tcW w:w="140" w:type="dxa"/>
            <w:vAlign w:val="bottom"/>
          </w:tcPr>
          <w:p>
            <w:pPr>
              <w:spacing w:after="0"/>
              <w:rPr>
                <w:sz w:val="19"/>
                <w:szCs w:val="19"/>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color w:val="auto"/>
                <w:w w:val="98"/>
              </w:rPr>
              <w:t>Before Taxes</w:t>
            </w:r>
          </w:p>
        </w:tc>
      </w:tr>
      <w:tr>
        <w:trPr>
          <w:trHeight w:val="210"/>
        </w:trPr>
        <w:tc>
          <w:tcPr>
            <w:tcW w:w="5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Digital &amp; Integration</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1,840</w:t>
            </w:r>
          </w:p>
        </w:tc>
        <w:tc>
          <w:tcPr>
            <w:tcW w:w="3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587</w:t>
            </w:r>
          </w:p>
        </w:tc>
        <w:tc>
          <w:tcPr>
            <w:tcW w:w="3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1,813</w:t>
            </w:r>
          </w:p>
        </w:tc>
        <w:tc>
          <w:tcPr>
            <w:tcW w:w="3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671</w:t>
            </w:r>
          </w:p>
        </w:tc>
        <w:tc>
          <w:tcPr>
            <w:tcW w:w="140" w:type="dxa"/>
            <w:vAlign w:val="bottom"/>
            <w:shd w:val="clear" w:color="auto" w:fill="CFF0FC"/>
          </w:tcPr>
          <w:p>
            <w:pPr>
              <w:spacing w:after="0"/>
              <w:rPr>
                <w:sz w:val="18"/>
                <w:szCs w:val="18"/>
                <w:color w:val="auto"/>
              </w:rPr>
            </w:pPr>
          </w:p>
        </w:tc>
      </w:tr>
      <w:tr>
        <w:trPr>
          <w:trHeight w:val="216"/>
        </w:trPr>
        <w:tc>
          <w:tcPr>
            <w:tcW w:w="5280" w:type="dxa"/>
            <w:vAlign w:val="bottom"/>
          </w:tcPr>
          <w:p>
            <w:pPr>
              <w:ind w:left="20"/>
              <w:spacing w:after="0"/>
              <w:rPr>
                <w:sz w:val="20"/>
                <w:szCs w:val="20"/>
                <w:color w:val="auto"/>
              </w:rPr>
            </w:pPr>
            <w:r>
              <w:rPr>
                <w:rFonts w:ascii="Arial" w:cs="Arial" w:eastAsia="Arial" w:hAnsi="Arial"/>
                <w:sz w:val="16"/>
                <w:szCs w:val="16"/>
                <w:color w:val="auto"/>
              </w:rPr>
              <w:t>Reservoir Performance</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3,146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548</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2,543</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355</w:t>
            </w:r>
          </w:p>
        </w:tc>
        <w:tc>
          <w:tcPr>
            <w:tcW w:w="140" w:type="dxa"/>
            <w:vAlign w:val="bottom"/>
          </w:tcPr>
          <w:p>
            <w:pPr>
              <w:spacing w:after="0"/>
              <w:rPr>
                <w:sz w:val="18"/>
                <w:szCs w:val="18"/>
                <w:color w:val="auto"/>
              </w:rPr>
            </w:pPr>
          </w:p>
        </w:tc>
      </w:tr>
      <w:tr>
        <w:trPr>
          <w:trHeight w:val="216"/>
        </w:trPr>
        <w:tc>
          <w:tcPr>
            <w:tcW w:w="5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Well Construction</w:t>
            </w: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6,623</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1,403</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5,083</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858</w:t>
            </w:r>
          </w:p>
        </w:tc>
        <w:tc>
          <w:tcPr>
            <w:tcW w:w="140" w:type="dxa"/>
            <w:vAlign w:val="bottom"/>
            <w:shd w:val="clear" w:color="auto" w:fill="CFF0FC"/>
          </w:tcPr>
          <w:p>
            <w:pPr>
              <w:spacing w:after="0"/>
              <w:rPr>
                <w:sz w:val="18"/>
                <w:szCs w:val="18"/>
                <w:color w:val="auto"/>
              </w:rPr>
            </w:pPr>
          </w:p>
        </w:tc>
      </w:tr>
      <w:tr>
        <w:trPr>
          <w:trHeight w:val="216"/>
        </w:trPr>
        <w:tc>
          <w:tcPr>
            <w:tcW w:w="5280" w:type="dxa"/>
            <w:vAlign w:val="bottom"/>
          </w:tcPr>
          <w:p>
            <w:pPr>
              <w:ind w:left="20"/>
              <w:spacing w:after="0"/>
              <w:rPr>
                <w:sz w:val="20"/>
                <w:szCs w:val="20"/>
                <w:color w:val="auto"/>
              </w:rPr>
            </w:pPr>
            <w:r>
              <w:rPr>
                <w:rFonts w:ascii="Arial" w:cs="Arial" w:eastAsia="Arial" w:hAnsi="Arial"/>
                <w:sz w:val="16"/>
                <w:szCs w:val="16"/>
                <w:color w:val="auto"/>
              </w:rPr>
              <w:t>Production Systems</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4,520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483</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3,497</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285</w:t>
            </w:r>
          </w:p>
        </w:tc>
        <w:tc>
          <w:tcPr>
            <w:tcW w:w="140" w:type="dxa"/>
            <w:vAlign w:val="bottom"/>
          </w:tcPr>
          <w:p>
            <w:pPr>
              <w:spacing w:after="0"/>
              <w:rPr>
                <w:sz w:val="18"/>
                <w:szCs w:val="18"/>
                <w:color w:val="auto"/>
              </w:rPr>
            </w:pPr>
          </w:p>
        </w:tc>
      </w:tr>
      <w:tr>
        <w:trPr>
          <w:trHeight w:val="216"/>
        </w:trPr>
        <w:tc>
          <w:tcPr>
            <w:tcW w:w="5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Eliminations &amp; other</w:t>
            </w:r>
          </w:p>
        </w:tc>
        <w:tc>
          <w:tcPr>
            <w:tcW w:w="1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(294 )</w:t>
            </w:r>
          </w:p>
        </w:tc>
        <w:tc>
          <w:tcPr>
            <w:tcW w:w="1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(49 )</w:t>
            </w:r>
          </w:p>
        </w:tc>
        <w:tc>
          <w:tcPr>
            <w:tcW w:w="2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(201 )</w:t>
            </w:r>
          </w:p>
        </w:tc>
        <w:tc>
          <w:tcPr>
            <w:tcW w:w="1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(115 )</w:t>
            </w:r>
          </w:p>
        </w:tc>
      </w:tr>
      <w:tr>
        <w:trPr>
          <w:trHeight w:val="210"/>
        </w:trPr>
        <w:tc>
          <w:tcPr>
            <w:tcW w:w="528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rPr>
              <w:t>Pretax segment operating income</w:t>
            </w:r>
          </w:p>
        </w:tc>
        <w:tc>
          <w:tcPr>
            <w:tcW w:w="180" w:type="dxa"/>
            <w:vAlign w:val="bottom"/>
            <w:tcBorders>
              <w:top w:val="single" w:sz="8" w:color="CFF0FC"/>
            </w:tcBorders>
          </w:tcPr>
          <w:p>
            <w:pPr>
              <w:spacing w:after="0"/>
              <w:rPr>
                <w:sz w:val="18"/>
                <w:szCs w:val="18"/>
                <w:color w:val="auto"/>
              </w:rPr>
            </w:pPr>
          </w:p>
        </w:tc>
        <w:tc>
          <w:tcPr>
            <w:tcW w:w="1040" w:type="dxa"/>
            <w:vAlign w:val="bottom"/>
            <w:tcBorders>
              <w:top w:val="single" w:sz="8" w:color="CFF0FC"/>
            </w:tcBorders>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2,972</w:t>
            </w:r>
          </w:p>
        </w:tc>
        <w:tc>
          <w:tcPr>
            <w:tcW w:w="300" w:type="dxa"/>
            <w:vAlign w:val="bottom"/>
            <w:tcBorders>
              <w:top w:val="single" w:sz="8" w:color="CFF0FC"/>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1020" w:type="dxa"/>
            <w:vAlign w:val="bottom"/>
            <w:tcBorders>
              <w:top w:val="single" w:sz="8" w:color="CFF0FC"/>
            </w:tcBorders>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2,054</w:t>
            </w:r>
          </w:p>
        </w:tc>
        <w:tc>
          <w:tcPr>
            <w:tcW w:w="140" w:type="dxa"/>
            <w:vAlign w:val="bottom"/>
            <w:tcBorders>
              <w:top w:val="single" w:sz="8" w:color="CFF0FC"/>
            </w:tcBorders>
          </w:tcPr>
          <w:p>
            <w:pPr>
              <w:spacing w:after="0"/>
              <w:rPr>
                <w:sz w:val="18"/>
                <w:szCs w:val="18"/>
                <w:color w:val="auto"/>
              </w:rPr>
            </w:pPr>
          </w:p>
        </w:tc>
      </w:tr>
      <w:tr>
        <w:trPr>
          <w:trHeight w:val="216"/>
        </w:trPr>
        <w:tc>
          <w:tcPr>
            <w:tcW w:w="5280" w:type="dxa"/>
            <w:vAlign w:val="bottom"/>
            <w:shd w:val="clear" w:color="auto" w:fill="CFF0FC"/>
          </w:tcPr>
          <w:p>
            <w:pPr>
              <w:ind w:left="20"/>
              <w:spacing w:after="0" w:line="216" w:lineRule="exact"/>
              <w:rPr>
                <w:sz w:val="20"/>
                <w:szCs w:val="20"/>
                <w:color w:val="auto"/>
              </w:rPr>
            </w:pPr>
            <w:r>
              <w:rPr>
                <w:rFonts w:ascii="Arial" w:cs="Arial" w:eastAsia="Arial" w:hAnsi="Arial"/>
                <w:sz w:val="16"/>
                <w:szCs w:val="16"/>
                <w:color w:val="auto"/>
              </w:rPr>
              <w:t xml:space="preserve">Corporate &amp; other </w:t>
            </w:r>
            <w:r>
              <w:rPr>
                <w:rFonts w:ascii="Arial" w:cs="Arial" w:eastAsia="Arial" w:hAnsi="Arial"/>
                <w:sz w:val="21"/>
                <w:szCs w:val="21"/>
                <w:color w:val="auto"/>
                <w:vertAlign w:val="superscript"/>
              </w:rPr>
              <w:t>(1)</w:t>
            </w: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(353 )</w:t>
            </w: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(313 )</w:t>
            </w:r>
          </w:p>
        </w:tc>
      </w:tr>
      <w:tr>
        <w:trPr>
          <w:trHeight w:val="216"/>
        </w:trPr>
        <w:tc>
          <w:tcPr>
            <w:tcW w:w="52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Interest income </w:t>
            </w:r>
            <w:r>
              <w:rPr>
                <w:rFonts w:ascii="Arial" w:cs="Arial" w:eastAsia="Arial" w:hAnsi="Arial"/>
                <w:sz w:val="21"/>
                <w:szCs w:val="21"/>
                <w:color w:val="auto"/>
                <w:vertAlign w:val="superscript"/>
              </w:rPr>
              <w:t>(2)</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36</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w:t>
            </w:r>
          </w:p>
        </w:tc>
        <w:tc>
          <w:tcPr>
            <w:tcW w:w="140" w:type="dxa"/>
            <w:vAlign w:val="bottom"/>
          </w:tcPr>
          <w:p>
            <w:pPr>
              <w:spacing w:after="0"/>
              <w:rPr>
                <w:sz w:val="18"/>
                <w:szCs w:val="18"/>
                <w:color w:val="auto"/>
              </w:rPr>
            </w:pPr>
          </w:p>
        </w:tc>
      </w:tr>
      <w:tr>
        <w:trPr>
          <w:trHeight w:val="216"/>
        </w:trPr>
        <w:tc>
          <w:tcPr>
            <w:tcW w:w="5280" w:type="dxa"/>
            <w:vAlign w:val="bottom"/>
            <w:shd w:val="clear" w:color="auto" w:fill="CFF0FC"/>
          </w:tcPr>
          <w:p>
            <w:pPr>
              <w:ind w:left="20"/>
              <w:spacing w:after="0" w:line="216" w:lineRule="exact"/>
              <w:rPr>
                <w:sz w:val="20"/>
                <w:szCs w:val="20"/>
                <w:color w:val="auto"/>
              </w:rPr>
            </w:pPr>
            <w:r>
              <w:rPr>
                <w:rFonts w:ascii="Arial" w:cs="Arial" w:eastAsia="Arial" w:hAnsi="Arial"/>
                <w:sz w:val="16"/>
                <w:szCs w:val="16"/>
                <w:color w:val="auto"/>
              </w:rPr>
              <w:t xml:space="preserve">Interest expense </w:t>
            </w:r>
            <w:r>
              <w:rPr>
                <w:rFonts w:ascii="Arial" w:cs="Arial" w:eastAsia="Arial" w:hAnsi="Arial"/>
                <w:sz w:val="21"/>
                <w:szCs w:val="21"/>
                <w:color w:val="auto"/>
                <w:vertAlign w:val="superscript"/>
              </w:rPr>
              <w:t>(3)</w:t>
            </w: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(237 )</w:t>
            </w: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(241 )</w:t>
            </w:r>
          </w:p>
        </w:tc>
      </w:tr>
      <w:tr>
        <w:trPr>
          <w:trHeight w:val="216"/>
        </w:trPr>
        <w:tc>
          <w:tcPr>
            <w:tcW w:w="52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Charges and credits </w:t>
            </w:r>
            <w:r>
              <w:rPr>
                <w:rFonts w:ascii="Arial" w:cs="Arial" w:eastAsia="Arial" w:hAnsi="Arial"/>
                <w:sz w:val="21"/>
                <w:szCs w:val="21"/>
                <w:color w:val="auto"/>
                <w:vertAlign w:val="superscript"/>
              </w:rPr>
              <w:t>(4)</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w:t>
            </w:r>
          </w:p>
        </w:tc>
        <w:tc>
          <w:tcPr>
            <w:tcW w:w="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w:t>
            </w:r>
          </w:p>
        </w:tc>
        <w:tc>
          <w:tcPr>
            <w:tcW w:w="140" w:type="dxa"/>
            <w:vAlign w:val="bottom"/>
          </w:tcPr>
          <w:p>
            <w:pPr>
              <w:spacing w:after="0"/>
              <w:rPr>
                <w:sz w:val="18"/>
                <w:szCs w:val="18"/>
                <w:color w:val="auto"/>
              </w:rPr>
            </w:pPr>
          </w:p>
        </w:tc>
      </w:tr>
      <w:tr>
        <w:trPr>
          <w:trHeight w:val="249"/>
        </w:trPr>
        <w:tc>
          <w:tcPr>
            <w:tcW w:w="5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15,835</w:t>
            </w:r>
          </w:p>
        </w:tc>
        <w:tc>
          <w:tcPr>
            <w:tcW w:w="3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2,454</w:t>
            </w:r>
          </w:p>
        </w:tc>
        <w:tc>
          <w:tcPr>
            <w:tcW w:w="3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12,735</w:t>
            </w:r>
          </w:p>
        </w:tc>
        <w:tc>
          <w:tcPr>
            <w:tcW w:w="3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1,790</w:t>
            </w:r>
          </w:p>
        </w:tc>
        <w:tc>
          <w:tcPr>
            <w:tcW w:w="14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-865505</wp:posOffset>
            </wp:positionV>
            <wp:extent cx="85725" cy="1460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5725" cy="1460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-865505</wp:posOffset>
            </wp:positionV>
            <wp:extent cx="85725" cy="1460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5725" cy="14605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-25400</wp:posOffset>
            </wp:positionV>
            <wp:extent cx="857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-8255</wp:posOffset>
            </wp:positionV>
            <wp:extent cx="8572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-25400</wp:posOffset>
            </wp:positionV>
            <wp:extent cx="857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-8255</wp:posOffset>
            </wp:positionV>
            <wp:extent cx="8572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-25400</wp:posOffset>
            </wp:positionV>
            <wp:extent cx="857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-8255</wp:posOffset>
            </wp:positionV>
            <wp:extent cx="8572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-25400</wp:posOffset>
            </wp:positionV>
            <wp:extent cx="857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-8255</wp:posOffset>
            </wp:positionV>
            <wp:extent cx="8572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258" w:lineRule="exact"/>
        <w:rPr>
          <w:sz w:val="20"/>
          <w:szCs w:val="20"/>
          <w:color w:val="auto"/>
        </w:rPr>
      </w:pPr>
    </w:p>
    <w:p>
      <w:pPr>
        <w:ind w:left="380" w:hanging="372"/>
        <w:spacing w:after="0" w:line="217" w:lineRule="auto"/>
        <w:tabs>
          <w:tab w:leader="none" w:pos="380" w:val="left"/>
        </w:tabs>
        <w:numPr>
          <w:ilvl w:val="0"/>
          <w:numId w:val="13"/>
        </w:numPr>
        <w:rPr>
          <w:rFonts w:ascii="Arial" w:cs="Arial" w:eastAsia="Arial" w:hAnsi="Arial"/>
          <w:sz w:val="19"/>
          <w:szCs w:val="19"/>
          <w:color w:val="auto"/>
          <w:vertAlign w:val="superscript"/>
        </w:rPr>
      </w:pPr>
      <w:r>
        <w:rPr>
          <w:rFonts w:ascii="Arial" w:cs="Arial" w:eastAsia="Arial" w:hAnsi="Arial"/>
          <w:sz w:val="14"/>
          <w:szCs w:val="14"/>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52" w:lineRule="exact"/>
        <w:rPr>
          <w:rFonts w:ascii="Arial" w:cs="Arial" w:eastAsia="Arial" w:hAnsi="Arial"/>
          <w:sz w:val="19"/>
          <w:szCs w:val="19"/>
          <w:color w:val="auto"/>
          <w:vertAlign w:val="superscript"/>
        </w:rPr>
      </w:pPr>
    </w:p>
    <w:p>
      <w:pPr>
        <w:ind w:left="380" w:hanging="372"/>
        <w:spacing w:after="0"/>
        <w:tabs>
          <w:tab w:leader="none" w:pos="380" w:val="left"/>
        </w:tabs>
        <w:numPr>
          <w:ilvl w:val="0"/>
          <w:numId w:val="13"/>
        </w:numPr>
        <w:rPr>
          <w:rFonts w:ascii="Arial" w:cs="Arial" w:eastAsia="Arial" w:hAnsi="Arial"/>
          <w:sz w:val="19"/>
          <w:szCs w:val="19"/>
          <w:color w:val="auto"/>
          <w:vertAlign w:val="superscript"/>
        </w:rPr>
      </w:pPr>
      <w:r>
        <w:rPr>
          <w:rFonts w:ascii="Arial" w:cs="Arial" w:eastAsia="Arial" w:hAnsi="Arial"/>
          <w:sz w:val="14"/>
          <w:szCs w:val="14"/>
          <w:color w:val="auto"/>
        </w:rPr>
        <w:t>Interest income excludes amounts that are included in the segments’ income ($- million in 2023; $28 million in 2022).</w:t>
      </w:r>
    </w:p>
    <w:p>
      <w:pPr>
        <w:spacing w:after="0" w:line="72" w:lineRule="exact"/>
        <w:rPr>
          <w:rFonts w:ascii="Arial" w:cs="Arial" w:eastAsia="Arial" w:hAnsi="Arial"/>
          <w:sz w:val="19"/>
          <w:szCs w:val="19"/>
          <w:color w:val="auto"/>
          <w:vertAlign w:val="superscript"/>
        </w:rPr>
      </w:pPr>
    </w:p>
    <w:p>
      <w:pPr>
        <w:ind w:left="380" w:hanging="372"/>
        <w:spacing w:after="0" w:line="217" w:lineRule="auto"/>
        <w:tabs>
          <w:tab w:leader="none" w:pos="380" w:val="left"/>
        </w:tabs>
        <w:numPr>
          <w:ilvl w:val="0"/>
          <w:numId w:val="13"/>
        </w:numPr>
        <w:rPr>
          <w:rFonts w:ascii="Arial" w:cs="Arial" w:eastAsia="Arial" w:hAnsi="Arial"/>
          <w:sz w:val="19"/>
          <w:szCs w:val="19"/>
          <w:color w:val="auto"/>
          <w:vertAlign w:val="superscript"/>
        </w:rPr>
      </w:pPr>
      <w:r>
        <w:rPr>
          <w:rFonts w:ascii="Arial" w:cs="Arial" w:eastAsia="Arial" w:hAnsi="Arial"/>
          <w:sz w:val="14"/>
          <w:szCs w:val="14"/>
          <w:color w:val="auto"/>
        </w:rPr>
        <w:t>Interest expense excludes amounts that are included in the segments’ income ($7 million in 2023; $6 million in 2022).</w:t>
      </w:r>
    </w:p>
    <w:p>
      <w:pPr>
        <w:spacing w:after="0" w:line="72" w:lineRule="exact"/>
        <w:rPr>
          <w:rFonts w:ascii="Arial" w:cs="Arial" w:eastAsia="Arial" w:hAnsi="Arial"/>
          <w:sz w:val="19"/>
          <w:szCs w:val="19"/>
          <w:color w:val="auto"/>
          <w:vertAlign w:val="superscript"/>
        </w:rPr>
      </w:pPr>
    </w:p>
    <w:p>
      <w:pPr>
        <w:ind w:left="380" w:hanging="372"/>
        <w:spacing w:after="0" w:line="217" w:lineRule="auto"/>
        <w:tabs>
          <w:tab w:leader="none" w:pos="380" w:val="left"/>
        </w:tabs>
        <w:numPr>
          <w:ilvl w:val="0"/>
          <w:numId w:val="13"/>
        </w:numPr>
        <w:rPr>
          <w:rFonts w:ascii="Arial" w:cs="Arial" w:eastAsia="Arial" w:hAnsi="Arial"/>
          <w:sz w:val="19"/>
          <w:szCs w:val="19"/>
          <w:color w:val="auto"/>
          <w:vertAlign w:val="superscript"/>
        </w:rPr>
      </w:pPr>
      <w:r>
        <w:rPr>
          <w:rFonts w:ascii="Arial" w:cs="Arial" w:eastAsia="Arial" w:hAnsi="Arial"/>
          <w:sz w:val="14"/>
          <w:szCs w:val="14"/>
          <w:color w:val="auto"/>
        </w:rPr>
        <w:t xml:space="preserve">See Note 2 – </w:t>
      </w:r>
      <w:r>
        <w:rPr>
          <w:rFonts w:ascii="Arial" w:cs="Arial" w:eastAsia="Arial" w:hAnsi="Arial"/>
          <w:sz w:val="14"/>
          <w:szCs w:val="14"/>
          <w:i w:val="1"/>
          <w:iCs w:val="1"/>
          <w:color w:val="auto"/>
        </w:rPr>
        <w:t>Charges and Credits</w:t>
      </w:r>
      <w:r>
        <w:rPr>
          <w:rFonts w:ascii="Arial" w:cs="Arial" w:eastAsia="Arial" w:hAnsi="Arial"/>
          <w:sz w:val="14"/>
          <w:szCs w:val="14"/>
          <w:color w:val="auto"/>
        </w:rPr>
        <w:t>.</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auto"/>
        </w:rPr>
        <w:t>Revenue by geographic area was as follows: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i w:val="1"/>
                <w:iCs w:val="1"/>
                <w:color w:val="auto"/>
              </w:rPr>
              <w:t>(Stated in millions)</w:t>
            </w:r>
          </w:p>
        </w:tc>
        <w:tc>
          <w:tcPr>
            <w:tcW w:w="140" w:type="dxa"/>
            <w:vAlign w:val="bottom"/>
          </w:tcPr>
          <w:p>
            <w:pPr>
              <w:spacing w:after="0"/>
              <w:rPr>
                <w:sz w:val="16"/>
                <w:szCs w:val="16"/>
                <w:color w:val="auto"/>
              </w:rPr>
            </w:pPr>
          </w:p>
        </w:tc>
      </w:tr>
      <w:tr>
        <w:trPr>
          <w:trHeight w:val="444"/>
        </w:trPr>
        <w:tc>
          <w:tcPr>
            <w:tcW w:w="5280" w:type="dxa"/>
            <w:vAlign w:val="bottom"/>
          </w:tcPr>
          <w:p>
            <w:pPr>
              <w:spacing w:after="0"/>
              <w:rPr>
                <w:sz w:val="24"/>
                <w:szCs w:val="24"/>
                <w:color w:val="auto"/>
              </w:rPr>
            </w:pPr>
          </w:p>
        </w:tc>
        <w:tc>
          <w:tcPr>
            <w:tcW w:w="2320" w:type="dxa"/>
            <w:vAlign w:val="bottom"/>
            <w:tcBorders>
              <w:bottom w:val="single" w:sz="8" w:color="auto"/>
            </w:tcBorders>
            <w:gridSpan w:val="4"/>
          </w:tcPr>
          <w:p>
            <w:pPr>
              <w:jc w:val="right"/>
              <w:ind w:right="259"/>
              <w:spacing w:after="0"/>
              <w:rPr>
                <w:sz w:val="20"/>
                <w:szCs w:val="20"/>
                <w:color w:val="auto"/>
              </w:rPr>
            </w:pPr>
            <w:r>
              <w:rPr>
                <w:rFonts w:ascii="Arial" w:cs="Arial" w:eastAsia="Arial" w:hAnsi="Arial"/>
                <w:sz w:val="16"/>
                <w:szCs w:val="16"/>
                <w:b w:val="1"/>
                <w:bCs w:val="1"/>
                <w:color w:val="auto"/>
              </w:rPr>
              <w:t>Second Quarter</w:t>
            </w:r>
          </w:p>
        </w:tc>
        <w:tc>
          <w:tcPr>
            <w:tcW w:w="44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Six Months</w:t>
            </w:r>
          </w:p>
        </w:tc>
        <w:tc>
          <w:tcPr>
            <w:tcW w:w="8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10"/>
        </w:trPr>
        <w:tc>
          <w:tcPr>
            <w:tcW w:w="528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2022</w:t>
            </w:r>
          </w:p>
        </w:tc>
        <w:tc>
          <w:tcPr>
            <w:tcW w:w="44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2023</w:t>
            </w:r>
          </w:p>
        </w:tc>
        <w:tc>
          <w:tcPr>
            <w:tcW w:w="3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2022</w:t>
            </w:r>
          </w:p>
        </w:tc>
        <w:tc>
          <w:tcPr>
            <w:tcW w:w="140" w:type="dxa"/>
            <w:vAlign w:val="bottom"/>
          </w:tcPr>
          <w:p>
            <w:pPr>
              <w:spacing w:after="0"/>
              <w:rPr>
                <w:sz w:val="18"/>
                <w:szCs w:val="18"/>
                <w:color w:val="auto"/>
              </w:rPr>
            </w:pPr>
          </w:p>
        </w:tc>
      </w:tr>
      <w:tr>
        <w:trPr>
          <w:trHeight w:val="209"/>
        </w:trPr>
        <w:tc>
          <w:tcPr>
            <w:tcW w:w="5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North America</w:t>
            </w:r>
          </w:p>
        </w:tc>
        <w:tc>
          <w:tcPr>
            <w:tcW w:w="800" w:type="dxa"/>
            <w:vAlign w:val="bottom"/>
            <w:shd w:val="clear" w:color="auto" w:fill="CFF0FC"/>
          </w:tcPr>
          <w:p>
            <w:pPr>
              <w:jc w:val="right"/>
              <w:ind w:right="619"/>
              <w:spacing w:after="0"/>
              <w:rPr>
                <w:sz w:val="20"/>
                <w:szCs w:val="20"/>
                <w:color w:val="auto"/>
              </w:rPr>
            </w:pPr>
            <w:r>
              <w:rPr>
                <w:rFonts w:ascii="Arial" w:cs="Arial" w:eastAsia="Arial" w:hAnsi="Arial"/>
                <w:sz w:val="16"/>
                <w:szCs w:val="16"/>
                <w:b w:val="1"/>
                <w:bCs w:val="1"/>
                <w:color w:val="auto"/>
                <w:w w:val="8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99"/>
              </w:rPr>
              <w:t>1,746</w:t>
            </w:r>
          </w:p>
        </w:tc>
        <w:tc>
          <w:tcPr>
            <w:tcW w:w="1100" w:type="dxa"/>
            <w:vAlign w:val="bottom"/>
            <w:gridSpan w:val="2"/>
            <w:shd w:val="clear" w:color="auto" w:fill="CFF0FC"/>
          </w:tcPr>
          <w:p>
            <w:pPr>
              <w:jc w:val="right"/>
              <w:ind w:right="619"/>
              <w:spacing w:after="0"/>
              <w:rPr>
                <w:sz w:val="20"/>
                <w:szCs w:val="20"/>
                <w:color w:val="auto"/>
              </w:rPr>
            </w:pPr>
            <w:r>
              <w:rPr>
                <w:rFonts w:ascii="Arial" w:cs="Arial" w:eastAsia="Arial" w:hAnsi="Arial"/>
                <w:sz w:val="16"/>
                <w:szCs w:val="16"/>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1,537</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3,443</w:t>
            </w:r>
          </w:p>
        </w:tc>
        <w:tc>
          <w:tcPr>
            <w:tcW w:w="660" w:type="dxa"/>
            <w:vAlign w:val="bottom"/>
            <w:gridSpan w:val="2"/>
            <w:shd w:val="clear" w:color="auto" w:fill="CFF0FC"/>
          </w:tcPr>
          <w:p>
            <w:pPr>
              <w:jc w:val="right"/>
              <w:ind w:right="188"/>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2,819</w:t>
            </w:r>
          </w:p>
        </w:tc>
        <w:tc>
          <w:tcPr>
            <w:tcW w:w="140" w:type="dxa"/>
            <w:vAlign w:val="bottom"/>
            <w:shd w:val="clear" w:color="auto" w:fill="CFF0FC"/>
          </w:tcPr>
          <w:p>
            <w:pPr>
              <w:spacing w:after="0"/>
              <w:rPr>
                <w:sz w:val="18"/>
                <w:szCs w:val="18"/>
                <w:color w:val="auto"/>
              </w:rPr>
            </w:pPr>
          </w:p>
        </w:tc>
      </w:tr>
      <w:tr>
        <w:trPr>
          <w:trHeight w:val="216"/>
        </w:trPr>
        <w:tc>
          <w:tcPr>
            <w:tcW w:w="5280" w:type="dxa"/>
            <w:vAlign w:val="bottom"/>
          </w:tcPr>
          <w:p>
            <w:pPr>
              <w:ind w:left="20"/>
              <w:spacing w:after="0"/>
              <w:rPr>
                <w:sz w:val="20"/>
                <w:szCs w:val="20"/>
                <w:color w:val="auto"/>
              </w:rPr>
            </w:pPr>
            <w:r>
              <w:rPr>
                <w:rFonts w:ascii="Arial" w:cs="Arial" w:eastAsia="Arial" w:hAnsi="Arial"/>
                <w:sz w:val="16"/>
                <w:szCs w:val="16"/>
                <w:color w:val="auto"/>
              </w:rPr>
              <w:t>Latin America</w:t>
            </w:r>
          </w:p>
        </w:tc>
        <w:tc>
          <w:tcPr>
            <w:tcW w:w="8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b w:val="1"/>
                <w:bCs w:val="1"/>
                <w:color w:val="auto"/>
                <w:w w:val="99"/>
              </w:rPr>
              <w:t>1,624</w:t>
            </w: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99"/>
              </w:rPr>
              <w:t>1,329</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3,242</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2,534</w:t>
            </w:r>
          </w:p>
        </w:tc>
        <w:tc>
          <w:tcPr>
            <w:tcW w:w="140" w:type="dxa"/>
            <w:vAlign w:val="bottom"/>
          </w:tcPr>
          <w:p>
            <w:pPr>
              <w:spacing w:after="0"/>
              <w:rPr>
                <w:sz w:val="18"/>
                <w:szCs w:val="18"/>
                <w:color w:val="auto"/>
              </w:rPr>
            </w:pPr>
          </w:p>
        </w:tc>
      </w:tr>
      <w:tr>
        <w:trPr>
          <w:trHeight w:val="216"/>
        </w:trPr>
        <w:tc>
          <w:tcPr>
            <w:tcW w:w="5280" w:type="dxa"/>
            <w:vAlign w:val="bottom"/>
            <w:shd w:val="clear" w:color="auto" w:fill="CFF0FC"/>
          </w:tcPr>
          <w:p>
            <w:pPr>
              <w:ind w:left="20"/>
              <w:spacing w:after="0" w:line="216" w:lineRule="exact"/>
              <w:rPr>
                <w:sz w:val="20"/>
                <w:szCs w:val="20"/>
                <w:color w:val="auto"/>
              </w:rPr>
            </w:pPr>
            <w:r>
              <w:rPr>
                <w:rFonts w:ascii="Arial" w:cs="Arial" w:eastAsia="Arial" w:hAnsi="Arial"/>
                <w:sz w:val="16"/>
                <w:szCs w:val="16"/>
                <w:color w:val="auto"/>
              </w:rPr>
              <w:t xml:space="preserve">Europe &amp; Africa </w:t>
            </w:r>
            <w:r>
              <w:rPr>
                <w:rFonts w:ascii="Arial" w:cs="Arial" w:eastAsia="Arial" w:hAnsi="Arial"/>
                <w:sz w:val="21"/>
                <w:szCs w:val="21"/>
                <w:color w:val="auto"/>
                <w:vertAlign w:val="superscript"/>
              </w:rPr>
              <w:t>(1)</w:t>
            </w:r>
          </w:p>
        </w:tc>
        <w:tc>
          <w:tcPr>
            <w:tcW w:w="80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99"/>
              </w:rPr>
              <w:t>2,031</w:t>
            </w:r>
          </w:p>
        </w:tc>
        <w:tc>
          <w:tcPr>
            <w:tcW w:w="3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1,691</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4,005</w:t>
            </w: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3,094</w:t>
            </w:r>
          </w:p>
        </w:tc>
        <w:tc>
          <w:tcPr>
            <w:tcW w:w="140" w:type="dxa"/>
            <w:vAlign w:val="bottom"/>
            <w:shd w:val="clear" w:color="auto" w:fill="CFF0FC"/>
          </w:tcPr>
          <w:p>
            <w:pPr>
              <w:spacing w:after="0"/>
              <w:rPr>
                <w:sz w:val="18"/>
                <w:szCs w:val="18"/>
                <w:color w:val="auto"/>
              </w:rPr>
            </w:pPr>
          </w:p>
        </w:tc>
      </w:tr>
      <w:tr>
        <w:trPr>
          <w:trHeight w:val="216"/>
        </w:trPr>
        <w:tc>
          <w:tcPr>
            <w:tcW w:w="5280" w:type="dxa"/>
            <w:vAlign w:val="bottom"/>
          </w:tcPr>
          <w:p>
            <w:pPr>
              <w:ind w:left="20"/>
              <w:spacing w:after="0"/>
              <w:rPr>
                <w:sz w:val="20"/>
                <w:szCs w:val="20"/>
                <w:color w:val="auto"/>
              </w:rPr>
            </w:pPr>
            <w:r>
              <w:rPr>
                <w:rFonts w:ascii="Arial" w:cs="Arial" w:eastAsia="Arial" w:hAnsi="Arial"/>
                <w:sz w:val="16"/>
                <w:szCs w:val="16"/>
                <w:color w:val="auto"/>
              </w:rPr>
              <w:t>Middle East &amp; Asia</w:t>
            </w:r>
          </w:p>
        </w:tc>
        <w:tc>
          <w:tcPr>
            <w:tcW w:w="8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b w:val="1"/>
                <w:bCs w:val="1"/>
                <w:color w:val="auto"/>
                <w:w w:val="99"/>
              </w:rPr>
              <w:t>2,642</w:t>
            </w: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99"/>
              </w:rPr>
              <w:t>2,168</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5,035</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4,192</w:t>
            </w:r>
          </w:p>
        </w:tc>
        <w:tc>
          <w:tcPr>
            <w:tcW w:w="140" w:type="dxa"/>
            <w:vAlign w:val="bottom"/>
          </w:tcPr>
          <w:p>
            <w:pPr>
              <w:spacing w:after="0"/>
              <w:rPr>
                <w:sz w:val="18"/>
                <w:szCs w:val="18"/>
                <w:color w:val="auto"/>
              </w:rPr>
            </w:pPr>
          </w:p>
        </w:tc>
      </w:tr>
      <w:tr>
        <w:trPr>
          <w:trHeight w:val="216"/>
        </w:trPr>
        <w:tc>
          <w:tcPr>
            <w:tcW w:w="52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w:t>
            </w:r>
          </w:p>
        </w:tc>
        <w:tc>
          <w:tcPr>
            <w:tcW w:w="80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56</w:t>
            </w:r>
          </w:p>
        </w:tc>
        <w:tc>
          <w:tcPr>
            <w:tcW w:w="30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48</w:t>
            </w:r>
          </w:p>
        </w:tc>
        <w:tc>
          <w:tcPr>
            <w:tcW w:w="3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110</w:t>
            </w:r>
          </w:p>
        </w:tc>
        <w:tc>
          <w:tcPr>
            <w:tcW w:w="3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96</w:t>
            </w:r>
          </w:p>
        </w:tc>
        <w:tc>
          <w:tcPr>
            <w:tcW w:w="140" w:type="dxa"/>
            <w:vAlign w:val="bottom"/>
            <w:tcBorders>
              <w:bottom w:val="single" w:sz="8" w:color="CFF0FC"/>
            </w:tcBorders>
            <w:shd w:val="clear" w:color="auto" w:fill="CFF0FC"/>
          </w:tcPr>
          <w:p>
            <w:pPr>
              <w:spacing w:after="0"/>
              <w:rPr>
                <w:sz w:val="18"/>
                <w:szCs w:val="18"/>
                <w:color w:val="auto"/>
              </w:rPr>
            </w:pPr>
          </w:p>
        </w:tc>
      </w:tr>
      <w:tr>
        <w:trPr>
          <w:trHeight w:val="210"/>
        </w:trPr>
        <w:tc>
          <w:tcPr>
            <w:tcW w:w="5280" w:type="dxa"/>
            <w:vAlign w:val="bottom"/>
          </w:tcPr>
          <w:p>
            <w:pPr>
              <w:spacing w:after="0"/>
              <w:rPr>
                <w:sz w:val="18"/>
                <w:szCs w:val="18"/>
                <w:color w:val="auto"/>
              </w:rPr>
            </w:pPr>
          </w:p>
        </w:tc>
        <w:tc>
          <w:tcPr>
            <w:tcW w:w="800" w:type="dxa"/>
            <w:vAlign w:val="bottom"/>
          </w:tcPr>
          <w:p>
            <w:pPr>
              <w:jc w:val="right"/>
              <w:ind w:right="619"/>
              <w:spacing w:after="0"/>
              <w:rPr>
                <w:sz w:val="20"/>
                <w:szCs w:val="20"/>
                <w:color w:val="auto"/>
              </w:rPr>
            </w:pPr>
            <w:r>
              <w:rPr>
                <w:rFonts w:ascii="Arial" w:cs="Arial" w:eastAsia="Arial" w:hAnsi="Arial"/>
                <w:sz w:val="16"/>
                <w:szCs w:val="16"/>
                <w:b w:val="1"/>
                <w:bCs w:val="1"/>
                <w:color w:val="auto"/>
                <w:w w:val="89"/>
              </w:rPr>
              <w:t>$</w:t>
            </w:r>
          </w:p>
        </w:tc>
        <w:tc>
          <w:tcPr>
            <w:tcW w:w="420" w:type="dxa"/>
            <w:vAlign w:val="bottom"/>
          </w:tcPr>
          <w:p>
            <w:pPr>
              <w:jc w:val="right"/>
              <w:spacing w:after="0"/>
              <w:rPr>
                <w:sz w:val="20"/>
                <w:szCs w:val="20"/>
                <w:color w:val="auto"/>
              </w:rPr>
            </w:pPr>
            <w:r>
              <w:rPr>
                <w:rFonts w:ascii="Arial" w:cs="Arial" w:eastAsia="Arial" w:hAnsi="Arial"/>
                <w:sz w:val="16"/>
                <w:szCs w:val="16"/>
                <w:b w:val="1"/>
                <w:bCs w:val="1"/>
                <w:color w:val="auto"/>
                <w:w w:val="99"/>
              </w:rPr>
              <w:t>8,099</w:t>
            </w:r>
          </w:p>
        </w:tc>
        <w:tc>
          <w:tcPr>
            <w:tcW w:w="1100" w:type="dxa"/>
            <w:vAlign w:val="bottom"/>
            <w:gridSpan w:val="2"/>
          </w:tcPr>
          <w:p>
            <w:pPr>
              <w:jc w:val="right"/>
              <w:ind w:right="619"/>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w w:val="99"/>
              </w:rPr>
              <w:t>6,773</w:t>
            </w:r>
          </w:p>
        </w:tc>
        <w:tc>
          <w:tcPr>
            <w:tcW w:w="56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15,835</w:t>
            </w:r>
          </w:p>
        </w:tc>
        <w:tc>
          <w:tcPr>
            <w:tcW w:w="660" w:type="dxa"/>
            <w:vAlign w:val="bottom"/>
            <w:gridSpan w:val="2"/>
          </w:tcPr>
          <w:p>
            <w:pPr>
              <w:jc w:val="right"/>
              <w:ind w:right="188"/>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12,735</w:t>
            </w:r>
          </w:p>
        </w:tc>
        <w:tc>
          <w:tcPr>
            <w:tcW w:w="140" w:type="dxa"/>
            <w:vAlign w:val="bottom"/>
          </w:tcPr>
          <w:p>
            <w:pPr>
              <w:spacing w:after="0"/>
              <w:rPr>
                <w:sz w:val="18"/>
                <w:szCs w:val="18"/>
                <w:color w:val="auto"/>
              </w:rPr>
            </w:pPr>
          </w:p>
        </w:tc>
      </w:tr>
      <w:tr>
        <w:trPr>
          <w:trHeight w:val="20"/>
        </w:trPr>
        <w:tc>
          <w:tcPr>
            <w:tcW w:w="5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-170815</wp:posOffset>
            </wp:positionV>
            <wp:extent cx="85725" cy="1714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-170815</wp:posOffset>
            </wp:positionV>
            <wp:extent cx="85725" cy="1714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-170815</wp:posOffset>
            </wp:positionV>
            <wp:extent cx="85725" cy="1714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-170815</wp:posOffset>
            </wp:positionV>
            <wp:extent cx="85725" cy="1714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5725" cy="171450"/>
                    </a:xfrm>
                    <a:prstGeom prst="rect">
                      <a:avLst/>
                    </a:prstGeom>
                    <a:noFill/>
                  </pic:spPr>
                </pic:pic>
              </a:graphicData>
            </a:graphic>
          </wp:anchor>
        </w:drawing>
      </w:r>
    </w:p>
    <w:p>
      <w:pPr>
        <w:spacing w:after="0" w:line="60" w:lineRule="exact"/>
        <w:rPr>
          <w:sz w:val="20"/>
          <w:szCs w:val="20"/>
          <w:color w:val="auto"/>
        </w:rPr>
      </w:pPr>
    </w:p>
    <w:p>
      <w:pPr>
        <w:ind w:left="380" w:hanging="372"/>
        <w:spacing w:after="0"/>
        <w:tabs>
          <w:tab w:leader="none" w:pos="380"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auto"/>
        </w:rPr>
        <w:t>Includes Russia and the Caspian region.</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auto"/>
        </w:rPr>
        <w:t>North America and International revenue disaggregated by segment was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4"/>
                <w:szCs w:val="14"/>
                <w:i w:val="1"/>
                <w:iCs w:val="1"/>
                <w:color w:val="auto"/>
              </w:rPr>
              <w:t>(Stated in millions)</w:t>
            </w:r>
          </w:p>
        </w:tc>
      </w:tr>
      <w:tr>
        <w:trPr>
          <w:trHeight w:val="444"/>
        </w:trPr>
        <w:tc>
          <w:tcPr>
            <w:tcW w:w="52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3"/>
          </w:tcPr>
          <w:p>
            <w:pPr>
              <w:jc w:val="right"/>
              <w:ind w:right="179"/>
              <w:spacing w:after="0"/>
              <w:rPr>
                <w:sz w:val="20"/>
                <w:szCs w:val="20"/>
                <w:color w:val="auto"/>
              </w:rPr>
            </w:pPr>
            <w:r>
              <w:rPr>
                <w:rFonts w:ascii="Arial" w:cs="Arial" w:eastAsia="Arial" w:hAnsi="Arial"/>
                <w:sz w:val="16"/>
                <w:szCs w:val="16"/>
                <w:b w:val="1"/>
                <w:bCs w:val="1"/>
                <w:color w:val="auto"/>
              </w:rPr>
              <w:t>Second Quarter 2023</w:t>
            </w:r>
          </w:p>
        </w:tc>
        <w:tc>
          <w:tcPr>
            <w:tcW w:w="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05"/>
        </w:trPr>
        <w:tc>
          <w:tcPr>
            <w:tcW w:w="5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8"/>
              </w:rPr>
              <w:t>North</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21"/>
        </w:trPr>
        <w:tc>
          <w:tcPr>
            <w:tcW w:w="5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rPr>
              <w:t>America</w:t>
            </w:r>
          </w:p>
        </w:tc>
        <w:tc>
          <w:tcPr>
            <w:tcW w:w="120" w:type="dxa"/>
            <w:vAlign w:val="bottom"/>
          </w:tcPr>
          <w:p>
            <w:pPr>
              <w:spacing w:after="0"/>
              <w:rPr>
                <w:sz w:val="19"/>
                <w:szCs w:val="19"/>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w w:val="99"/>
              </w:rPr>
              <w:t>International</w:t>
            </w: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auto"/>
              </w:rPr>
              <w:t>Other</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9"/>
              </w:rPr>
              <w:t>Total</w:t>
            </w:r>
          </w:p>
        </w:tc>
      </w:tr>
      <w:tr>
        <w:trPr>
          <w:trHeight w:val="210"/>
        </w:trPr>
        <w:tc>
          <w:tcPr>
            <w:tcW w:w="5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Digital &amp; Integration</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234</w:t>
            </w:r>
          </w:p>
        </w:tc>
        <w:tc>
          <w:tcPr>
            <w:tcW w:w="3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712</w:t>
            </w:r>
          </w:p>
        </w:tc>
        <w:tc>
          <w:tcPr>
            <w:tcW w:w="300" w:type="dxa"/>
            <w:vAlign w:val="bottom"/>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jc w:val="right"/>
              <w:ind w:right="739"/>
              <w:spacing w:after="0"/>
              <w:rPr>
                <w:sz w:val="20"/>
                <w:szCs w:val="20"/>
                <w:color w:val="auto"/>
              </w:rPr>
            </w:pPr>
            <w:r>
              <w:rPr>
                <w:rFonts w:ascii="Arial" w:cs="Arial" w:eastAsia="Arial" w:hAnsi="Arial"/>
                <w:sz w:val="16"/>
                <w:szCs w:val="16"/>
                <w:b w:val="1"/>
                <w:bCs w:val="1"/>
                <w:color w:val="auto"/>
                <w:w w:val="89"/>
              </w:rPr>
              <w:t>$</w:t>
            </w: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w:t>
            </w:r>
          </w:p>
        </w:tc>
        <w:tc>
          <w:tcPr>
            <w:tcW w:w="30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101"/>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947</w:t>
            </w:r>
          </w:p>
        </w:tc>
        <w:tc>
          <w:tcPr>
            <w:tcW w:w="140" w:type="dxa"/>
            <w:vAlign w:val="bottom"/>
            <w:shd w:val="clear" w:color="auto" w:fill="CFF0FC"/>
          </w:tcPr>
          <w:p>
            <w:pPr>
              <w:spacing w:after="0"/>
              <w:rPr>
                <w:sz w:val="18"/>
                <w:szCs w:val="18"/>
                <w:color w:val="auto"/>
              </w:rPr>
            </w:pPr>
          </w:p>
        </w:tc>
      </w:tr>
      <w:tr>
        <w:trPr>
          <w:trHeight w:val="216"/>
        </w:trPr>
        <w:tc>
          <w:tcPr>
            <w:tcW w:w="5280" w:type="dxa"/>
            <w:vAlign w:val="bottom"/>
          </w:tcPr>
          <w:p>
            <w:pPr>
              <w:ind w:left="20"/>
              <w:spacing w:after="0"/>
              <w:rPr>
                <w:sz w:val="20"/>
                <w:szCs w:val="20"/>
                <w:color w:val="auto"/>
              </w:rPr>
            </w:pPr>
            <w:r>
              <w:rPr>
                <w:rFonts w:ascii="Arial" w:cs="Arial" w:eastAsia="Arial" w:hAnsi="Arial"/>
                <w:sz w:val="16"/>
                <w:szCs w:val="16"/>
                <w:color w:val="auto"/>
              </w:rPr>
              <w:t>Reservoir Performance</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130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1,512</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1,643</w:t>
            </w:r>
          </w:p>
        </w:tc>
        <w:tc>
          <w:tcPr>
            <w:tcW w:w="140" w:type="dxa"/>
            <w:vAlign w:val="bottom"/>
          </w:tcPr>
          <w:p>
            <w:pPr>
              <w:spacing w:after="0"/>
              <w:rPr>
                <w:sz w:val="18"/>
                <w:szCs w:val="18"/>
                <w:color w:val="auto"/>
              </w:rPr>
            </w:pPr>
          </w:p>
        </w:tc>
      </w:tr>
      <w:tr>
        <w:trPr>
          <w:trHeight w:val="216"/>
        </w:trPr>
        <w:tc>
          <w:tcPr>
            <w:tcW w:w="5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Well Construction</w:t>
            </w: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721</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2,582</w:t>
            </w: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59</w:t>
            </w: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3,362</w:t>
            </w:r>
          </w:p>
        </w:tc>
        <w:tc>
          <w:tcPr>
            <w:tcW w:w="140" w:type="dxa"/>
            <w:vAlign w:val="bottom"/>
            <w:shd w:val="clear" w:color="auto" w:fill="CFF0FC"/>
          </w:tcPr>
          <w:p>
            <w:pPr>
              <w:spacing w:after="0"/>
              <w:rPr>
                <w:sz w:val="18"/>
                <w:szCs w:val="18"/>
                <w:color w:val="auto"/>
              </w:rPr>
            </w:pPr>
          </w:p>
        </w:tc>
      </w:tr>
      <w:tr>
        <w:trPr>
          <w:trHeight w:val="216"/>
        </w:trPr>
        <w:tc>
          <w:tcPr>
            <w:tcW w:w="5280" w:type="dxa"/>
            <w:vAlign w:val="bottom"/>
          </w:tcPr>
          <w:p>
            <w:pPr>
              <w:ind w:left="20"/>
              <w:spacing w:after="0"/>
              <w:rPr>
                <w:sz w:val="20"/>
                <w:szCs w:val="20"/>
                <w:color w:val="auto"/>
              </w:rPr>
            </w:pPr>
            <w:r>
              <w:rPr>
                <w:rFonts w:ascii="Arial" w:cs="Arial" w:eastAsia="Arial" w:hAnsi="Arial"/>
                <w:sz w:val="16"/>
                <w:szCs w:val="16"/>
                <w:color w:val="auto"/>
              </w:rPr>
              <w:t>Production Systems</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679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1,628</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b w:val="1"/>
                <w:bCs w:val="1"/>
                <w:color w:val="auto"/>
              </w:rPr>
              <w:t>6</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2,313</w:t>
            </w:r>
          </w:p>
        </w:tc>
        <w:tc>
          <w:tcPr>
            <w:tcW w:w="140" w:type="dxa"/>
            <w:vAlign w:val="bottom"/>
          </w:tcPr>
          <w:p>
            <w:pPr>
              <w:spacing w:after="0"/>
              <w:rPr>
                <w:sz w:val="18"/>
                <w:szCs w:val="18"/>
                <w:color w:val="auto"/>
              </w:rPr>
            </w:pPr>
          </w:p>
        </w:tc>
      </w:tr>
      <w:tr>
        <w:trPr>
          <w:trHeight w:val="216"/>
        </w:trPr>
        <w:tc>
          <w:tcPr>
            <w:tcW w:w="5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Eliminations &amp; other</w:t>
            </w:r>
          </w:p>
        </w:tc>
        <w:tc>
          <w:tcPr>
            <w:tcW w:w="1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(18 )</w:t>
            </w:r>
          </w:p>
        </w:tc>
        <w:tc>
          <w:tcPr>
            <w:tcW w:w="1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(137 )</w:t>
            </w:r>
          </w:p>
        </w:tc>
        <w:tc>
          <w:tcPr>
            <w:tcW w:w="92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(11 )</w:t>
            </w:r>
          </w:p>
        </w:tc>
        <w:tc>
          <w:tcPr>
            <w:tcW w:w="2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b w:val="1"/>
                <w:bCs w:val="1"/>
                <w:color w:val="auto"/>
              </w:rPr>
              <w:t>(166 )</w:t>
            </w:r>
          </w:p>
        </w:tc>
      </w:tr>
      <w:tr>
        <w:trPr>
          <w:trHeight w:val="210"/>
        </w:trPr>
        <w:tc>
          <w:tcPr>
            <w:tcW w:w="528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1,746</w:t>
            </w:r>
          </w:p>
        </w:tc>
        <w:tc>
          <w:tcPr>
            <w:tcW w:w="30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6,297</w:t>
            </w:r>
          </w:p>
        </w:tc>
        <w:tc>
          <w:tcPr>
            <w:tcW w:w="300" w:type="dxa"/>
            <w:vAlign w:val="bottom"/>
            <w:tcBorders>
              <w:top w:val="single" w:sz="8" w:color="CFF0FC"/>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w w:val="8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56</w:t>
            </w:r>
          </w:p>
        </w:tc>
        <w:tc>
          <w:tcPr>
            <w:tcW w:w="300" w:type="dxa"/>
            <w:vAlign w:val="bottom"/>
            <w:tcBorders>
              <w:top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8,099</w:t>
            </w:r>
          </w:p>
        </w:tc>
        <w:tc>
          <w:tcPr>
            <w:tcW w:w="140" w:type="dxa"/>
            <w:vAlign w:val="bottom"/>
            <w:tcBorders>
              <w:top w:val="single" w:sz="8" w:color="CFF0FC"/>
            </w:tcBorders>
          </w:tcPr>
          <w:p>
            <w:pPr>
              <w:spacing w:after="0"/>
              <w:rPr>
                <w:sz w:val="18"/>
                <w:szCs w:val="18"/>
                <w:color w:val="auto"/>
              </w:rPr>
            </w:pPr>
          </w:p>
        </w:tc>
      </w:tr>
      <w:tr>
        <w:trPr>
          <w:trHeight w:val="20"/>
        </w:trPr>
        <w:tc>
          <w:tcPr>
            <w:tcW w:w="5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625"/>
        </w:trPr>
        <w:tc>
          <w:tcPr>
            <w:tcW w:w="52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3"/>
          </w:tcPr>
          <w:p>
            <w:pPr>
              <w:jc w:val="right"/>
              <w:ind w:right="219"/>
              <w:spacing w:after="0"/>
              <w:rPr>
                <w:sz w:val="20"/>
                <w:szCs w:val="20"/>
                <w:color w:val="auto"/>
              </w:rPr>
            </w:pPr>
            <w:r>
              <w:rPr>
                <w:rFonts w:ascii="Arial" w:cs="Arial" w:eastAsia="Arial" w:hAnsi="Arial"/>
                <w:sz w:val="16"/>
                <w:szCs w:val="16"/>
                <w:color w:val="auto"/>
              </w:rPr>
              <w:t>Second Quarter 2022</w:t>
            </w:r>
          </w:p>
        </w:tc>
        <w:tc>
          <w:tcPr>
            <w:tcW w:w="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06"/>
        </w:trPr>
        <w:tc>
          <w:tcPr>
            <w:tcW w:w="5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center"/>
              <w:ind w:right="500"/>
              <w:spacing w:after="0"/>
              <w:rPr>
                <w:sz w:val="20"/>
                <w:szCs w:val="20"/>
                <w:color w:val="auto"/>
              </w:rPr>
            </w:pPr>
            <w:r>
              <w:rPr>
                <w:rFonts w:ascii="Arial" w:cs="Arial" w:eastAsia="Arial" w:hAnsi="Arial"/>
                <w:sz w:val="16"/>
                <w:szCs w:val="16"/>
                <w:color w:val="auto"/>
              </w:rPr>
              <w:t>North</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9"/>
        </w:trPr>
        <w:tc>
          <w:tcPr>
            <w:tcW w:w="5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center"/>
              <w:ind w:right="480"/>
              <w:spacing w:after="0"/>
              <w:rPr>
                <w:sz w:val="20"/>
                <w:szCs w:val="20"/>
                <w:color w:val="auto"/>
              </w:rPr>
            </w:pPr>
            <w:r>
              <w:rPr>
                <w:rFonts w:ascii="Arial" w:cs="Arial" w:eastAsia="Arial" w:hAnsi="Arial"/>
                <w:sz w:val="16"/>
                <w:szCs w:val="16"/>
                <w:color w:val="auto"/>
                <w:w w:val="98"/>
              </w:rPr>
              <w:t>America</w:t>
            </w:r>
          </w:p>
        </w:tc>
        <w:tc>
          <w:tcPr>
            <w:tcW w:w="120" w:type="dxa"/>
            <w:vAlign w:val="bottom"/>
          </w:tcPr>
          <w:p>
            <w:pPr>
              <w:spacing w:after="0"/>
              <w:rPr>
                <w:sz w:val="19"/>
                <w:szCs w:val="19"/>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16"/>
                <w:szCs w:val="16"/>
                <w:color w:val="auto"/>
              </w:rPr>
              <w:t>International</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Other</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6"/>
                <w:szCs w:val="16"/>
                <w:color w:val="auto"/>
                <w:w w:val="95"/>
              </w:rPr>
              <w:t>Total</w:t>
            </w:r>
          </w:p>
        </w:tc>
      </w:tr>
      <w:tr>
        <w:trPr>
          <w:trHeight w:val="213"/>
        </w:trPr>
        <w:tc>
          <w:tcPr>
            <w:tcW w:w="5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Digital &amp; Integration</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327</w:t>
            </w:r>
          </w:p>
        </w:tc>
        <w:tc>
          <w:tcPr>
            <w:tcW w:w="3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627</w:t>
            </w:r>
          </w:p>
        </w:tc>
        <w:tc>
          <w:tcPr>
            <w:tcW w:w="300" w:type="dxa"/>
            <w:vAlign w:val="bottom"/>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jc w:val="right"/>
              <w:ind w:right="739"/>
              <w:spacing w:after="0"/>
              <w:rPr>
                <w:sz w:val="20"/>
                <w:szCs w:val="20"/>
                <w:color w:val="auto"/>
              </w:rPr>
            </w:pPr>
            <w:r>
              <w:rPr>
                <w:rFonts w:ascii="Arial" w:cs="Arial" w:eastAsia="Arial" w:hAnsi="Arial"/>
                <w:sz w:val="16"/>
                <w:szCs w:val="16"/>
                <w:color w:val="auto"/>
                <w:w w:val="89"/>
              </w:rPr>
              <w:t>$</w:t>
            </w: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30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101"/>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955</w:t>
            </w:r>
          </w:p>
        </w:tc>
        <w:tc>
          <w:tcPr>
            <w:tcW w:w="140" w:type="dxa"/>
            <w:vAlign w:val="bottom"/>
            <w:shd w:val="clear" w:color="auto" w:fill="CFF0FC"/>
          </w:tcPr>
          <w:p>
            <w:pPr>
              <w:spacing w:after="0"/>
              <w:rPr>
                <w:sz w:val="18"/>
                <w:szCs w:val="18"/>
                <w:color w:val="auto"/>
              </w:rPr>
            </w:pPr>
          </w:p>
        </w:tc>
      </w:tr>
      <w:tr>
        <w:trPr>
          <w:trHeight w:val="213"/>
        </w:trPr>
        <w:tc>
          <w:tcPr>
            <w:tcW w:w="5280" w:type="dxa"/>
            <w:vAlign w:val="bottom"/>
          </w:tcPr>
          <w:p>
            <w:pPr>
              <w:ind w:left="20"/>
              <w:spacing w:after="0"/>
              <w:rPr>
                <w:sz w:val="20"/>
                <w:szCs w:val="20"/>
                <w:color w:val="auto"/>
              </w:rPr>
            </w:pPr>
            <w:r>
              <w:rPr>
                <w:rFonts w:ascii="Arial" w:cs="Arial" w:eastAsia="Arial" w:hAnsi="Arial"/>
                <w:sz w:val="16"/>
                <w:szCs w:val="16"/>
                <w:color w:val="auto"/>
              </w:rPr>
              <w:t>Reservoir Performance</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1,222</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1,333</w:t>
            </w:r>
          </w:p>
        </w:tc>
        <w:tc>
          <w:tcPr>
            <w:tcW w:w="140" w:type="dxa"/>
            <w:vAlign w:val="bottom"/>
          </w:tcPr>
          <w:p>
            <w:pPr>
              <w:spacing w:after="0"/>
              <w:rPr>
                <w:sz w:val="18"/>
                <w:szCs w:val="18"/>
                <w:color w:val="auto"/>
              </w:rPr>
            </w:pPr>
          </w:p>
        </w:tc>
      </w:tr>
      <w:tr>
        <w:trPr>
          <w:trHeight w:val="219"/>
        </w:trPr>
        <w:tc>
          <w:tcPr>
            <w:tcW w:w="5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Well Construction</w:t>
            </w: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553</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2,083</w:t>
            </w: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2,686</w:t>
            </w:r>
          </w:p>
        </w:tc>
        <w:tc>
          <w:tcPr>
            <w:tcW w:w="140" w:type="dxa"/>
            <w:vAlign w:val="bottom"/>
            <w:shd w:val="clear" w:color="auto" w:fill="CFF0FC"/>
          </w:tcPr>
          <w:p>
            <w:pPr>
              <w:spacing w:after="0"/>
              <w:rPr>
                <w:sz w:val="19"/>
                <w:szCs w:val="19"/>
                <w:color w:val="auto"/>
              </w:rPr>
            </w:pPr>
          </w:p>
        </w:tc>
      </w:tr>
      <w:tr>
        <w:trPr>
          <w:trHeight w:val="213"/>
        </w:trPr>
        <w:tc>
          <w:tcPr>
            <w:tcW w:w="5280" w:type="dxa"/>
            <w:vAlign w:val="bottom"/>
          </w:tcPr>
          <w:p>
            <w:pPr>
              <w:ind w:left="20"/>
              <w:spacing w:after="0"/>
              <w:rPr>
                <w:sz w:val="20"/>
                <w:szCs w:val="20"/>
                <w:color w:val="auto"/>
              </w:rPr>
            </w:pPr>
            <w:r>
              <w:rPr>
                <w:rFonts w:ascii="Arial" w:cs="Arial" w:eastAsia="Arial" w:hAnsi="Arial"/>
                <w:sz w:val="16"/>
                <w:szCs w:val="16"/>
                <w:color w:val="auto"/>
              </w:rPr>
              <w:t>Production Systems</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550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1,341</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2</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1,893</w:t>
            </w:r>
          </w:p>
        </w:tc>
        <w:tc>
          <w:tcPr>
            <w:tcW w:w="140" w:type="dxa"/>
            <w:vAlign w:val="bottom"/>
          </w:tcPr>
          <w:p>
            <w:pPr>
              <w:spacing w:after="0"/>
              <w:rPr>
                <w:sz w:val="18"/>
                <w:szCs w:val="18"/>
                <w:color w:val="auto"/>
              </w:rPr>
            </w:pPr>
          </w:p>
        </w:tc>
      </w:tr>
      <w:tr>
        <w:trPr>
          <w:trHeight w:val="219"/>
        </w:trPr>
        <w:tc>
          <w:tcPr>
            <w:tcW w:w="5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Eliminations &amp; other</w:t>
            </w:r>
          </w:p>
        </w:tc>
        <w:tc>
          <w:tcPr>
            <w:tcW w:w="1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(4 )</w:t>
            </w:r>
          </w:p>
        </w:tc>
        <w:tc>
          <w:tcPr>
            <w:tcW w:w="1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(85 )</w:t>
            </w:r>
          </w:p>
        </w:tc>
        <w:tc>
          <w:tcPr>
            <w:tcW w:w="9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(5 )</w:t>
            </w: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(94 )</w:t>
            </w:r>
          </w:p>
        </w:tc>
      </w:tr>
      <w:tr>
        <w:trPr>
          <w:trHeight w:val="206"/>
        </w:trPr>
        <w:tc>
          <w:tcPr>
            <w:tcW w:w="5280" w:type="dxa"/>
            <w:vAlign w:val="bottom"/>
            <w:tcBorders>
              <w:top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1,537</w:t>
            </w:r>
          </w:p>
        </w:tc>
        <w:tc>
          <w:tcPr>
            <w:tcW w:w="300" w:type="dxa"/>
            <w:vAlign w:val="bottom"/>
            <w:tcBorders>
              <w:top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5,188</w:t>
            </w:r>
          </w:p>
        </w:tc>
        <w:tc>
          <w:tcPr>
            <w:tcW w:w="300" w:type="dxa"/>
            <w:vAlign w:val="bottom"/>
            <w:tcBorders>
              <w:top w:val="single" w:sz="8" w:color="CFF0FC"/>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739"/>
              <w:spacing w:after="0"/>
              <w:rPr>
                <w:sz w:val="20"/>
                <w:szCs w:val="20"/>
                <w:color w:val="auto"/>
              </w:rPr>
            </w:pPr>
            <w:r>
              <w:rPr>
                <w:rFonts w:ascii="Arial" w:cs="Arial" w:eastAsia="Arial" w:hAnsi="Arial"/>
                <w:sz w:val="16"/>
                <w:szCs w:val="16"/>
                <w:color w:val="auto"/>
                <w:w w:val="8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300" w:type="dxa"/>
            <w:vAlign w:val="bottom"/>
            <w:tcBorders>
              <w:top w:val="single" w:sz="8" w:color="CFF0FC"/>
            </w:tcBorders>
          </w:tcPr>
          <w:p>
            <w:pPr>
              <w:spacing w:after="0"/>
              <w:rPr>
                <w:sz w:val="17"/>
                <w:szCs w:val="17"/>
                <w:color w:val="auto"/>
              </w:rPr>
            </w:pPr>
          </w:p>
        </w:tc>
        <w:tc>
          <w:tcPr>
            <w:tcW w:w="28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6,773</w:t>
            </w:r>
          </w:p>
        </w:tc>
        <w:tc>
          <w:tcPr>
            <w:tcW w:w="140" w:type="dxa"/>
            <w:vAlign w:val="bottom"/>
            <w:tcBorders>
              <w:top w:val="single" w:sz="8" w:color="CFF0FC"/>
            </w:tcBorders>
          </w:tcPr>
          <w:p>
            <w:pPr>
              <w:spacing w:after="0"/>
              <w:rPr>
                <w:sz w:val="17"/>
                <w:szCs w:val="17"/>
                <w:color w:val="auto"/>
              </w:rPr>
            </w:pPr>
          </w:p>
        </w:tc>
      </w:tr>
      <w:tr>
        <w:trPr>
          <w:trHeight w:val="20"/>
        </w:trPr>
        <w:tc>
          <w:tcPr>
            <w:tcW w:w="5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734"/>
        </w:trPr>
        <w:tc>
          <w:tcPr>
            <w:tcW w:w="5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ind w:right="699"/>
              <w:spacing w:after="0"/>
              <w:rPr>
                <w:sz w:val="20"/>
                <w:szCs w:val="20"/>
                <w:color w:val="auto"/>
              </w:rPr>
            </w:pPr>
            <w:r>
              <w:rPr>
                <w:rFonts w:ascii="Arial" w:cs="Arial" w:eastAsia="Arial" w:hAnsi="Arial"/>
                <w:sz w:val="16"/>
                <w:szCs w:val="16"/>
                <w:color w:val="auto"/>
              </w:rPr>
              <w:t>14</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94"/>
        </w:trPr>
        <w:tc>
          <w:tcPr>
            <w:tcW w:w="52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-2279650</wp:posOffset>
            </wp:positionV>
            <wp:extent cx="85725" cy="44577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5725" cy="44577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-2279650</wp:posOffset>
            </wp:positionV>
            <wp:extent cx="85725" cy="44577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5725" cy="44577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-2279650</wp:posOffset>
            </wp:positionV>
            <wp:extent cx="85725" cy="44577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5725" cy="44577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-2279650</wp:posOffset>
            </wp:positionV>
            <wp:extent cx="85725" cy="87439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5725" cy="87439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-719455</wp:posOffset>
            </wp:positionV>
            <wp:extent cx="85725" cy="1714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-719455</wp:posOffset>
            </wp:positionV>
            <wp:extent cx="85725" cy="1714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-719455</wp:posOffset>
            </wp:positionV>
            <wp:extent cx="85725" cy="1714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-719455</wp:posOffset>
            </wp:positionV>
            <wp:extent cx="85725" cy="1714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11"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21"/>
        </w:trPr>
        <w:tc>
          <w:tcPr>
            <w:tcW w:w="5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3"/>
          </w:tcPr>
          <w:p>
            <w:pPr>
              <w:jc w:val="right"/>
              <w:ind w:right="339"/>
              <w:spacing w:after="0"/>
              <w:rPr>
                <w:sz w:val="20"/>
                <w:szCs w:val="20"/>
                <w:color w:val="auto"/>
              </w:rPr>
            </w:pPr>
            <w:r>
              <w:rPr>
                <w:rFonts w:ascii="Arial" w:cs="Arial" w:eastAsia="Arial" w:hAnsi="Arial"/>
                <w:sz w:val="16"/>
                <w:szCs w:val="16"/>
                <w:b w:val="1"/>
                <w:bCs w:val="1"/>
                <w:color w:val="auto"/>
              </w:rPr>
              <w:t>Six Months 2023</w:t>
            </w:r>
          </w:p>
        </w:tc>
        <w:tc>
          <w:tcPr>
            <w:tcW w:w="3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05"/>
        </w:trPr>
        <w:tc>
          <w:tcPr>
            <w:tcW w:w="5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8"/>
              </w:rPr>
              <w:t>North</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21"/>
        </w:trPr>
        <w:tc>
          <w:tcPr>
            <w:tcW w:w="5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rPr>
              <w:t>America</w:t>
            </w:r>
          </w:p>
        </w:tc>
        <w:tc>
          <w:tcPr>
            <w:tcW w:w="120" w:type="dxa"/>
            <w:vAlign w:val="bottom"/>
          </w:tcPr>
          <w:p>
            <w:pPr>
              <w:spacing w:after="0"/>
              <w:rPr>
                <w:sz w:val="19"/>
                <w:szCs w:val="19"/>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w w:val="99"/>
              </w:rPr>
              <w:t>International</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Other</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Total</w:t>
            </w:r>
          </w:p>
        </w:tc>
      </w:tr>
      <w:tr>
        <w:trPr>
          <w:trHeight w:val="209"/>
        </w:trPr>
        <w:tc>
          <w:tcPr>
            <w:tcW w:w="5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Digital &amp; Integration</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485</w:t>
            </w:r>
          </w:p>
        </w:tc>
        <w:tc>
          <w:tcPr>
            <w:tcW w:w="3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1,354</w:t>
            </w:r>
          </w:p>
        </w:tc>
        <w:tc>
          <w:tcPr>
            <w:tcW w:w="300" w:type="dxa"/>
            <w:vAlign w:val="bottom"/>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ind w:right="719"/>
              <w:spacing w:after="0"/>
              <w:rPr>
                <w:sz w:val="20"/>
                <w:szCs w:val="20"/>
                <w:color w:val="auto"/>
              </w:rPr>
            </w:pPr>
            <w:r>
              <w:rPr>
                <w:rFonts w:ascii="Arial" w:cs="Arial" w:eastAsia="Arial" w:hAnsi="Arial"/>
                <w:sz w:val="16"/>
                <w:szCs w:val="16"/>
                <w:b w:val="1"/>
                <w:bCs w:val="1"/>
                <w:color w:val="auto"/>
                <w:w w:val="89"/>
              </w:rPr>
              <w:t>$</w:t>
            </w: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w:t>
            </w:r>
          </w:p>
        </w:tc>
        <w:tc>
          <w:tcPr>
            <w:tcW w:w="30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1,840</w:t>
            </w:r>
          </w:p>
        </w:tc>
        <w:tc>
          <w:tcPr>
            <w:tcW w:w="140" w:type="dxa"/>
            <w:vAlign w:val="bottom"/>
            <w:shd w:val="clear" w:color="auto" w:fill="CFF0FC"/>
          </w:tcPr>
          <w:p>
            <w:pPr>
              <w:spacing w:after="0"/>
              <w:rPr>
                <w:sz w:val="18"/>
                <w:szCs w:val="18"/>
                <w:color w:val="auto"/>
              </w:rPr>
            </w:pPr>
          </w:p>
        </w:tc>
      </w:tr>
      <w:tr>
        <w:trPr>
          <w:trHeight w:val="216"/>
        </w:trPr>
        <w:tc>
          <w:tcPr>
            <w:tcW w:w="5280" w:type="dxa"/>
            <w:vAlign w:val="bottom"/>
          </w:tcPr>
          <w:p>
            <w:pPr>
              <w:ind w:left="20"/>
              <w:spacing w:after="0"/>
              <w:rPr>
                <w:sz w:val="20"/>
                <w:szCs w:val="20"/>
                <w:color w:val="auto"/>
              </w:rPr>
            </w:pPr>
            <w:r>
              <w:rPr>
                <w:rFonts w:ascii="Arial" w:cs="Arial" w:eastAsia="Arial" w:hAnsi="Arial"/>
                <w:sz w:val="16"/>
                <w:szCs w:val="16"/>
                <w:color w:val="auto"/>
              </w:rPr>
              <w:t>Reservoir Performance</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250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2,892</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rPr>
              <w:t>4</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3,146</w:t>
            </w:r>
          </w:p>
        </w:tc>
        <w:tc>
          <w:tcPr>
            <w:tcW w:w="140" w:type="dxa"/>
            <w:vAlign w:val="bottom"/>
          </w:tcPr>
          <w:p>
            <w:pPr>
              <w:spacing w:after="0"/>
              <w:rPr>
                <w:sz w:val="18"/>
                <w:szCs w:val="18"/>
                <w:color w:val="auto"/>
              </w:rPr>
            </w:pPr>
          </w:p>
        </w:tc>
      </w:tr>
      <w:tr>
        <w:trPr>
          <w:trHeight w:val="216"/>
        </w:trPr>
        <w:tc>
          <w:tcPr>
            <w:tcW w:w="5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Well Construction</w:t>
            </w: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1,432</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5,075</w:t>
            </w:r>
          </w:p>
        </w:tc>
        <w:tc>
          <w:tcPr>
            <w:tcW w:w="3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116</w:t>
            </w: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6,623</w:t>
            </w:r>
          </w:p>
        </w:tc>
        <w:tc>
          <w:tcPr>
            <w:tcW w:w="140" w:type="dxa"/>
            <w:vAlign w:val="bottom"/>
            <w:shd w:val="clear" w:color="auto" w:fill="CFF0FC"/>
          </w:tcPr>
          <w:p>
            <w:pPr>
              <w:spacing w:after="0"/>
              <w:rPr>
                <w:sz w:val="18"/>
                <w:szCs w:val="18"/>
                <w:color w:val="auto"/>
              </w:rPr>
            </w:pPr>
          </w:p>
        </w:tc>
      </w:tr>
      <w:tr>
        <w:trPr>
          <w:trHeight w:val="216"/>
        </w:trPr>
        <w:tc>
          <w:tcPr>
            <w:tcW w:w="5280" w:type="dxa"/>
            <w:vAlign w:val="bottom"/>
          </w:tcPr>
          <w:p>
            <w:pPr>
              <w:ind w:left="20"/>
              <w:spacing w:after="0"/>
              <w:rPr>
                <w:sz w:val="20"/>
                <w:szCs w:val="20"/>
                <w:color w:val="auto"/>
              </w:rPr>
            </w:pPr>
            <w:r>
              <w:rPr>
                <w:rFonts w:ascii="Arial" w:cs="Arial" w:eastAsia="Arial" w:hAnsi="Arial"/>
                <w:sz w:val="16"/>
                <w:szCs w:val="16"/>
                <w:color w:val="auto"/>
              </w:rPr>
              <w:t>Production Systems</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1,305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3,202</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rPr>
              <w:t>13</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4,520</w:t>
            </w:r>
          </w:p>
        </w:tc>
        <w:tc>
          <w:tcPr>
            <w:tcW w:w="140" w:type="dxa"/>
            <w:vAlign w:val="bottom"/>
          </w:tcPr>
          <w:p>
            <w:pPr>
              <w:spacing w:after="0"/>
              <w:rPr>
                <w:sz w:val="18"/>
                <w:szCs w:val="18"/>
                <w:color w:val="auto"/>
              </w:rPr>
            </w:pPr>
          </w:p>
        </w:tc>
      </w:tr>
      <w:tr>
        <w:trPr>
          <w:trHeight w:val="216"/>
        </w:trPr>
        <w:tc>
          <w:tcPr>
            <w:tcW w:w="5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Eliminations &amp; other</w:t>
            </w:r>
          </w:p>
        </w:tc>
        <w:tc>
          <w:tcPr>
            <w:tcW w:w="1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(29 )</w:t>
            </w:r>
          </w:p>
        </w:tc>
        <w:tc>
          <w:tcPr>
            <w:tcW w:w="1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(241 )</w:t>
            </w:r>
          </w:p>
        </w:tc>
        <w:tc>
          <w:tcPr>
            <w:tcW w:w="90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(24 )</w:t>
            </w:r>
          </w:p>
        </w:tc>
        <w:tc>
          <w:tcPr>
            <w:tcW w:w="2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b w:val="1"/>
                <w:bCs w:val="1"/>
                <w:color w:val="auto"/>
              </w:rPr>
              <w:t>(294 )</w:t>
            </w:r>
          </w:p>
        </w:tc>
      </w:tr>
      <w:tr>
        <w:trPr>
          <w:trHeight w:val="209"/>
        </w:trPr>
        <w:tc>
          <w:tcPr>
            <w:tcW w:w="528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3,443</w:t>
            </w:r>
          </w:p>
        </w:tc>
        <w:tc>
          <w:tcPr>
            <w:tcW w:w="30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12,282</w:t>
            </w:r>
          </w:p>
        </w:tc>
        <w:tc>
          <w:tcPr>
            <w:tcW w:w="300" w:type="dxa"/>
            <w:vAlign w:val="bottom"/>
            <w:tcBorders>
              <w:top w:val="single" w:sz="8" w:color="CFF0FC"/>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w w:val="8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110</w:t>
            </w:r>
          </w:p>
        </w:tc>
        <w:tc>
          <w:tcPr>
            <w:tcW w:w="300" w:type="dxa"/>
            <w:vAlign w:val="bottom"/>
            <w:tcBorders>
              <w:top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15,835</w:t>
            </w:r>
          </w:p>
        </w:tc>
        <w:tc>
          <w:tcPr>
            <w:tcW w:w="140" w:type="dxa"/>
            <w:vAlign w:val="bottom"/>
            <w:tcBorders>
              <w:top w:val="single" w:sz="8" w:color="CFF0FC"/>
            </w:tcBorders>
          </w:tcPr>
          <w:p>
            <w:pPr>
              <w:spacing w:after="0"/>
              <w:rPr>
                <w:sz w:val="18"/>
                <w:szCs w:val="18"/>
                <w:color w:val="auto"/>
              </w:rPr>
            </w:pPr>
          </w:p>
        </w:tc>
      </w:tr>
      <w:tr>
        <w:trPr>
          <w:trHeight w:val="20"/>
        </w:trPr>
        <w:tc>
          <w:tcPr>
            <w:tcW w:w="5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626"/>
        </w:trPr>
        <w:tc>
          <w:tcPr>
            <w:tcW w:w="52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3"/>
          </w:tcPr>
          <w:p>
            <w:pPr>
              <w:jc w:val="right"/>
              <w:ind w:right="379"/>
              <w:spacing w:after="0"/>
              <w:rPr>
                <w:sz w:val="20"/>
                <w:szCs w:val="20"/>
                <w:color w:val="auto"/>
              </w:rPr>
            </w:pPr>
            <w:r>
              <w:rPr>
                <w:rFonts w:ascii="Arial" w:cs="Arial" w:eastAsia="Arial" w:hAnsi="Arial"/>
                <w:sz w:val="16"/>
                <w:szCs w:val="16"/>
                <w:color w:val="auto"/>
              </w:rPr>
              <w:t>Six Months 2022</w:t>
            </w:r>
          </w:p>
        </w:tc>
        <w:tc>
          <w:tcPr>
            <w:tcW w:w="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07"/>
        </w:trPr>
        <w:tc>
          <w:tcPr>
            <w:tcW w:w="5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center"/>
              <w:ind w:right="500"/>
              <w:spacing w:after="0"/>
              <w:rPr>
                <w:sz w:val="20"/>
                <w:szCs w:val="20"/>
                <w:color w:val="auto"/>
              </w:rPr>
            </w:pPr>
            <w:r>
              <w:rPr>
                <w:rFonts w:ascii="Arial" w:cs="Arial" w:eastAsia="Arial" w:hAnsi="Arial"/>
                <w:sz w:val="16"/>
                <w:szCs w:val="16"/>
                <w:color w:val="auto"/>
              </w:rPr>
              <w:t>North</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9"/>
        </w:trPr>
        <w:tc>
          <w:tcPr>
            <w:tcW w:w="5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center"/>
              <w:ind w:right="480"/>
              <w:spacing w:after="0"/>
              <w:rPr>
                <w:sz w:val="20"/>
                <w:szCs w:val="20"/>
                <w:color w:val="auto"/>
              </w:rPr>
            </w:pPr>
            <w:r>
              <w:rPr>
                <w:rFonts w:ascii="Arial" w:cs="Arial" w:eastAsia="Arial" w:hAnsi="Arial"/>
                <w:sz w:val="16"/>
                <w:szCs w:val="16"/>
                <w:color w:val="auto"/>
                <w:w w:val="98"/>
              </w:rPr>
              <w:t>America</w:t>
            </w:r>
          </w:p>
        </w:tc>
        <w:tc>
          <w:tcPr>
            <w:tcW w:w="120" w:type="dxa"/>
            <w:vAlign w:val="bottom"/>
          </w:tcPr>
          <w:p>
            <w:pPr>
              <w:spacing w:after="0"/>
              <w:rPr>
                <w:sz w:val="19"/>
                <w:szCs w:val="19"/>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16"/>
                <w:szCs w:val="16"/>
                <w:color w:val="auto"/>
              </w:rPr>
              <w:t>International</w:t>
            </w:r>
          </w:p>
        </w:tc>
        <w:tc>
          <w:tcPr>
            <w:tcW w:w="900" w:type="dxa"/>
            <w:vAlign w:val="bottom"/>
          </w:tcPr>
          <w:p>
            <w:pPr>
              <w:jc w:val="right"/>
              <w:spacing w:after="0"/>
              <w:rPr>
                <w:sz w:val="20"/>
                <w:szCs w:val="20"/>
                <w:color w:val="auto"/>
              </w:rPr>
            </w:pPr>
            <w:r>
              <w:rPr>
                <w:rFonts w:ascii="Arial" w:cs="Arial" w:eastAsia="Arial" w:hAnsi="Arial"/>
                <w:sz w:val="16"/>
                <w:szCs w:val="16"/>
                <w:color w:val="auto"/>
              </w:rPr>
              <w:t>Other</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6"/>
                <w:szCs w:val="16"/>
                <w:color w:val="auto"/>
              </w:rPr>
              <w:t>Total</w:t>
            </w:r>
          </w:p>
        </w:tc>
      </w:tr>
      <w:tr>
        <w:trPr>
          <w:trHeight w:val="212"/>
        </w:trPr>
        <w:tc>
          <w:tcPr>
            <w:tcW w:w="5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Digital &amp; Integration</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552</w:t>
            </w:r>
          </w:p>
        </w:tc>
        <w:tc>
          <w:tcPr>
            <w:tcW w:w="3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1,258</w:t>
            </w:r>
          </w:p>
        </w:tc>
        <w:tc>
          <w:tcPr>
            <w:tcW w:w="300" w:type="dxa"/>
            <w:vAlign w:val="bottom"/>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ind w:right="719"/>
              <w:spacing w:after="0"/>
              <w:rPr>
                <w:sz w:val="20"/>
                <w:szCs w:val="20"/>
                <w:color w:val="auto"/>
              </w:rPr>
            </w:pPr>
            <w:r>
              <w:rPr>
                <w:rFonts w:ascii="Arial" w:cs="Arial" w:eastAsia="Arial" w:hAnsi="Arial"/>
                <w:sz w:val="16"/>
                <w:szCs w:val="16"/>
                <w:color w:val="auto"/>
                <w:w w:val="89"/>
              </w:rPr>
              <w:t>$</w:t>
            </w: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30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1,813</w:t>
            </w:r>
          </w:p>
        </w:tc>
        <w:tc>
          <w:tcPr>
            <w:tcW w:w="140" w:type="dxa"/>
            <w:vAlign w:val="bottom"/>
            <w:shd w:val="clear" w:color="auto" w:fill="CFF0FC"/>
          </w:tcPr>
          <w:p>
            <w:pPr>
              <w:spacing w:after="0"/>
              <w:rPr>
                <w:sz w:val="18"/>
                <w:szCs w:val="18"/>
                <w:color w:val="auto"/>
              </w:rPr>
            </w:pPr>
          </w:p>
        </w:tc>
      </w:tr>
      <w:tr>
        <w:trPr>
          <w:trHeight w:val="213"/>
        </w:trPr>
        <w:tc>
          <w:tcPr>
            <w:tcW w:w="5280" w:type="dxa"/>
            <w:vAlign w:val="bottom"/>
          </w:tcPr>
          <w:p>
            <w:pPr>
              <w:ind w:left="20"/>
              <w:spacing w:after="0"/>
              <w:rPr>
                <w:sz w:val="20"/>
                <w:szCs w:val="20"/>
                <w:color w:val="auto"/>
              </w:rPr>
            </w:pPr>
            <w:r>
              <w:rPr>
                <w:rFonts w:ascii="Arial" w:cs="Arial" w:eastAsia="Arial" w:hAnsi="Arial"/>
                <w:sz w:val="16"/>
                <w:szCs w:val="16"/>
                <w:color w:val="auto"/>
              </w:rPr>
              <w:t>Reservoir Performance</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2,326</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3</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2,543</w:t>
            </w:r>
          </w:p>
        </w:tc>
        <w:tc>
          <w:tcPr>
            <w:tcW w:w="140" w:type="dxa"/>
            <w:vAlign w:val="bottom"/>
          </w:tcPr>
          <w:p>
            <w:pPr>
              <w:spacing w:after="0"/>
              <w:rPr>
                <w:sz w:val="18"/>
                <w:szCs w:val="18"/>
                <w:color w:val="auto"/>
              </w:rPr>
            </w:pPr>
          </w:p>
        </w:tc>
      </w:tr>
      <w:tr>
        <w:trPr>
          <w:trHeight w:val="219"/>
        </w:trPr>
        <w:tc>
          <w:tcPr>
            <w:tcW w:w="5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Well Construction</w:t>
            </w: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1,038</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3,948</w:t>
            </w: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5,083</w:t>
            </w:r>
          </w:p>
        </w:tc>
        <w:tc>
          <w:tcPr>
            <w:tcW w:w="140" w:type="dxa"/>
            <w:vAlign w:val="bottom"/>
            <w:shd w:val="clear" w:color="auto" w:fill="CFF0FC"/>
          </w:tcPr>
          <w:p>
            <w:pPr>
              <w:spacing w:after="0"/>
              <w:rPr>
                <w:sz w:val="19"/>
                <w:szCs w:val="19"/>
                <w:color w:val="auto"/>
              </w:rPr>
            </w:pPr>
          </w:p>
        </w:tc>
      </w:tr>
      <w:tr>
        <w:trPr>
          <w:trHeight w:val="213"/>
        </w:trPr>
        <w:tc>
          <w:tcPr>
            <w:tcW w:w="5280" w:type="dxa"/>
            <w:vAlign w:val="bottom"/>
          </w:tcPr>
          <w:p>
            <w:pPr>
              <w:ind w:left="20"/>
              <w:spacing w:after="0"/>
              <w:rPr>
                <w:sz w:val="20"/>
                <w:szCs w:val="20"/>
                <w:color w:val="auto"/>
              </w:rPr>
            </w:pPr>
            <w:r>
              <w:rPr>
                <w:rFonts w:ascii="Arial" w:cs="Arial" w:eastAsia="Arial" w:hAnsi="Arial"/>
                <w:sz w:val="16"/>
                <w:szCs w:val="16"/>
                <w:color w:val="auto"/>
              </w:rPr>
              <w:t>Production Systems</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1,023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2,468</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6</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3,497</w:t>
            </w:r>
          </w:p>
        </w:tc>
        <w:tc>
          <w:tcPr>
            <w:tcW w:w="140" w:type="dxa"/>
            <w:vAlign w:val="bottom"/>
          </w:tcPr>
          <w:p>
            <w:pPr>
              <w:spacing w:after="0"/>
              <w:rPr>
                <w:sz w:val="18"/>
                <w:szCs w:val="18"/>
                <w:color w:val="auto"/>
              </w:rPr>
            </w:pPr>
          </w:p>
        </w:tc>
      </w:tr>
      <w:tr>
        <w:trPr>
          <w:trHeight w:val="219"/>
        </w:trPr>
        <w:tc>
          <w:tcPr>
            <w:tcW w:w="5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Eliminations &amp; other</w:t>
            </w:r>
          </w:p>
        </w:tc>
        <w:tc>
          <w:tcPr>
            <w:tcW w:w="1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(8 )</w:t>
            </w:r>
          </w:p>
        </w:tc>
        <w:tc>
          <w:tcPr>
            <w:tcW w:w="1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(180 )</w:t>
            </w:r>
          </w:p>
        </w:tc>
        <w:tc>
          <w:tcPr>
            <w:tcW w:w="9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(13 )</w:t>
            </w: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(201 )</w:t>
            </w:r>
          </w:p>
        </w:tc>
      </w:tr>
      <w:tr>
        <w:trPr>
          <w:trHeight w:val="207"/>
        </w:trPr>
        <w:tc>
          <w:tcPr>
            <w:tcW w:w="5280" w:type="dxa"/>
            <w:vAlign w:val="bottom"/>
            <w:tcBorders>
              <w:top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2,819</w:t>
            </w:r>
          </w:p>
        </w:tc>
        <w:tc>
          <w:tcPr>
            <w:tcW w:w="300" w:type="dxa"/>
            <w:vAlign w:val="bottom"/>
            <w:tcBorders>
              <w:top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9,820</w:t>
            </w:r>
          </w:p>
        </w:tc>
        <w:tc>
          <w:tcPr>
            <w:tcW w:w="300" w:type="dxa"/>
            <w:vAlign w:val="bottom"/>
            <w:tcBorders>
              <w:top w:val="single" w:sz="8" w:color="CFF0FC"/>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719"/>
              <w:spacing w:after="0"/>
              <w:rPr>
                <w:sz w:val="20"/>
                <w:szCs w:val="20"/>
                <w:color w:val="auto"/>
              </w:rPr>
            </w:pPr>
            <w:r>
              <w:rPr>
                <w:rFonts w:ascii="Arial" w:cs="Arial" w:eastAsia="Arial" w:hAnsi="Arial"/>
                <w:sz w:val="16"/>
                <w:szCs w:val="16"/>
                <w:color w:val="auto"/>
                <w:w w:val="8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96</w:t>
            </w:r>
          </w:p>
        </w:tc>
        <w:tc>
          <w:tcPr>
            <w:tcW w:w="300" w:type="dxa"/>
            <w:vAlign w:val="bottom"/>
            <w:tcBorders>
              <w:top w:val="single" w:sz="8" w:color="CFF0FC"/>
            </w:tcBorders>
          </w:tcPr>
          <w:p>
            <w:pPr>
              <w:spacing w:after="0"/>
              <w:rPr>
                <w:sz w:val="17"/>
                <w:szCs w:val="17"/>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12,735</w:t>
            </w:r>
          </w:p>
        </w:tc>
        <w:tc>
          <w:tcPr>
            <w:tcW w:w="140" w:type="dxa"/>
            <w:vAlign w:val="bottom"/>
            <w:tcBorders>
              <w:top w:val="single" w:sz="8" w:color="CFF0FC"/>
            </w:tcBorders>
          </w:tcPr>
          <w:p>
            <w:pPr>
              <w:spacing w:after="0"/>
              <w:rPr>
                <w:sz w:val="17"/>
                <w:szCs w:val="17"/>
                <w:color w:val="auto"/>
              </w:rPr>
            </w:pPr>
          </w:p>
        </w:tc>
      </w:tr>
      <w:tr>
        <w:trPr>
          <w:trHeight w:val="20"/>
        </w:trPr>
        <w:tc>
          <w:tcPr>
            <w:tcW w:w="5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-1731010</wp:posOffset>
            </wp:positionV>
            <wp:extent cx="85725" cy="44577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5725" cy="44577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-1731010</wp:posOffset>
            </wp:positionV>
            <wp:extent cx="85725" cy="44577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5725" cy="44577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-1731010</wp:posOffset>
            </wp:positionV>
            <wp:extent cx="85725" cy="44577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5725" cy="44577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-1731010</wp:posOffset>
            </wp:positionV>
            <wp:extent cx="85725" cy="87439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5725" cy="87439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-170815</wp:posOffset>
            </wp:positionV>
            <wp:extent cx="85725" cy="1714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-170815</wp:posOffset>
            </wp:positionV>
            <wp:extent cx="85725" cy="1714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-170815</wp:posOffset>
            </wp:positionV>
            <wp:extent cx="85725" cy="1714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-170815</wp:posOffset>
            </wp:positionV>
            <wp:extent cx="85725" cy="1714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5725" cy="171450"/>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Revenue in excess of billings related to contracts where revenue is recognized over time was $0.3 billion at both June 30, 2023 and December 31, 2022.</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Such amounts are included within </w:t>
      </w:r>
      <w:r>
        <w:rPr>
          <w:rFonts w:ascii="Arial" w:cs="Arial" w:eastAsia="Arial" w:hAnsi="Arial"/>
          <w:sz w:val="16"/>
          <w:szCs w:val="16"/>
          <w:i w:val="1"/>
          <w:iCs w:val="1"/>
          <w:color w:val="auto"/>
        </w:rPr>
        <w:t>Receivables less allowance for doubtful accounts</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w:t>
      </w:r>
    </w:p>
    <w:p>
      <w:pPr>
        <w:spacing w:after="0" w:line="182"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Due to the nature of its business, SLB does not have significant backlog. Total backlog was $3.2 billion at June 30, 2023, of which approximately 55% is expected to be recognized as revenue over the next 12 months.</w:t>
      </w:r>
    </w:p>
    <w:p>
      <w:pPr>
        <w:spacing w:after="0" w:line="144"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 xml:space="preserve">Billings and cash collections in excess of revenue was $1.3 billion at June 30, 2023 and $1.2 billion at December 31, 2022. Such amounts are included within </w:t>
      </w:r>
      <w:r>
        <w:rPr>
          <w:rFonts w:ascii="Arial" w:cs="Arial" w:eastAsia="Arial" w:hAnsi="Arial"/>
          <w:sz w:val="16"/>
          <w:szCs w:val="16"/>
          <w:i w:val="1"/>
          <w:iCs w:val="1"/>
          <w:color w:val="auto"/>
        </w:rPr>
        <w:t>Accounts payable and accrued liabilities</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u w:val="single" w:color="auto"/>
          <w:color w:val="auto"/>
        </w:rPr>
        <w:t>Item 2. Management’s Discussion and Analysis of Financial Condition and Results of Operations.</w:t>
      </w:r>
    </w:p>
    <w:p>
      <w:pPr>
        <w:spacing w:after="0" w:line="12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This section of the Form 10-Q discusses second-quarter 2023 results of operations with comparisons to the first-quarter 2023, as well as the first six months of 2023 results of operations with comparisons to the first six months of 2022. Detailed financial information with respect to first-quarter 2023 can be found in Part I, Item 1, “Financial Statements” of SLB’s Quarterly Report on Form 10-Q for the fiscal quarter ended March 31, 2023.</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Second Quarter 2023 Compared to First Quarter 2023</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4"/>
                <w:szCs w:val="14"/>
                <w:i w:val="1"/>
                <w:iCs w:val="1"/>
                <w:color w:val="auto"/>
              </w:rPr>
              <w:t>(Stated in millions)</w:t>
            </w:r>
          </w:p>
        </w:tc>
      </w:tr>
      <w:tr>
        <w:trPr>
          <w:trHeight w:val="431"/>
        </w:trPr>
        <w:tc>
          <w:tcPr>
            <w:tcW w:w="52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4"/>
          </w:tcPr>
          <w:p>
            <w:pPr>
              <w:jc w:val="right"/>
              <w:ind w:right="499"/>
              <w:spacing w:after="0"/>
              <w:rPr>
                <w:sz w:val="20"/>
                <w:szCs w:val="20"/>
                <w:color w:val="auto"/>
              </w:rPr>
            </w:pPr>
            <w:r>
              <w:rPr>
                <w:rFonts w:ascii="Arial" w:cs="Arial" w:eastAsia="Arial" w:hAnsi="Arial"/>
                <w:sz w:val="16"/>
                <w:szCs w:val="16"/>
                <w:b w:val="1"/>
                <w:bCs w:val="1"/>
                <w:color w:val="auto"/>
              </w:rPr>
              <w:t>Second Quarter 2023</w:t>
            </w:r>
          </w:p>
        </w:tc>
        <w:tc>
          <w:tcPr>
            <w:tcW w:w="3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4"/>
          </w:tcPr>
          <w:p>
            <w:pPr>
              <w:jc w:val="right"/>
              <w:ind w:right="639"/>
              <w:spacing w:after="0"/>
              <w:rPr>
                <w:sz w:val="20"/>
                <w:szCs w:val="20"/>
                <w:color w:val="auto"/>
              </w:rPr>
            </w:pPr>
            <w:r>
              <w:rPr>
                <w:rFonts w:ascii="Arial" w:cs="Arial" w:eastAsia="Arial" w:hAnsi="Arial"/>
                <w:sz w:val="16"/>
                <w:szCs w:val="16"/>
                <w:color w:val="auto"/>
              </w:rPr>
              <w:t>First Quarter 2023</w:t>
            </w:r>
          </w:p>
        </w:tc>
        <w:tc>
          <w:tcPr>
            <w:tcW w:w="140" w:type="dxa"/>
            <w:vAlign w:val="bottom"/>
          </w:tcPr>
          <w:p>
            <w:pPr>
              <w:spacing w:after="0"/>
              <w:rPr>
                <w:sz w:val="24"/>
                <w:szCs w:val="24"/>
                <w:color w:val="auto"/>
              </w:rPr>
            </w:pPr>
          </w:p>
        </w:tc>
      </w:tr>
      <w:tr>
        <w:trPr>
          <w:trHeight w:val="205"/>
        </w:trPr>
        <w:tc>
          <w:tcPr>
            <w:tcW w:w="5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gridSpan w:val="2"/>
          </w:tcPr>
          <w:p>
            <w:pPr>
              <w:jc w:val="right"/>
              <w:spacing w:after="0"/>
              <w:rPr>
                <w:sz w:val="20"/>
                <w:szCs w:val="20"/>
                <w:color w:val="auto"/>
              </w:rPr>
            </w:pPr>
            <w:r>
              <w:rPr>
                <w:rFonts w:ascii="Arial" w:cs="Arial" w:eastAsia="Arial" w:hAnsi="Arial"/>
                <w:sz w:val="16"/>
                <w:szCs w:val="16"/>
                <w:b w:val="1"/>
                <w:bCs w:val="1"/>
                <w:color w:val="auto"/>
              </w:rPr>
              <w:t>Income Before</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gridSpan w:val="3"/>
          </w:tcPr>
          <w:p>
            <w:pPr>
              <w:jc w:val="center"/>
              <w:ind w:right="120"/>
              <w:spacing w:after="0"/>
              <w:rPr>
                <w:sz w:val="20"/>
                <w:szCs w:val="20"/>
                <w:color w:val="auto"/>
              </w:rPr>
            </w:pPr>
            <w:r>
              <w:rPr>
                <w:rFonts w:ascii="Arial" w:cs="Arial" w:eastAsia="Arial" w:hAnsi="Arial"/>
                <w:sz w:val="16"/>
                <w:szCs w:val="16"/>
                <w:color w:val="auto"/>
              </w:rPr>
              <w:t>Income Before</w:t>
            </w:r>
          </w:p>
        </w:tc>
      </w:tr>
      <w:tr>
        <w:trPr>
          <w:trHeight w:val="221"/>
        </w:trPr>
        <w:tc>
          <w:tcPr>
            <w:tcW w:w="5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6"/>
                <w:szCs w:val="16"/>
                <w:b w:val="1"/>
                <w:bCs w:val="1"/>
                <w:color w:val="auto"/>
              </w:rPr>
              <w:t>Revenue</w:t>
            </w:r>
          </w:p>
        </w:tc>
        <w:tc>
          <w:tcPr>
            <w:tcW w:w="260" w:type="dxa"/>
            <w:vAlign w:val="bottom"/>
          </w:tcPr>
          <w:p>
            <w:pPr>
              <w:spacing w:after="0"/>
              <w:rPr>
                <w:sz w:val="19"/>
                <w:szCs w:val="19"/>
                <w:color w:val="auto"/>
              </w:rPr>
            </w:pPr>
          </w:p>
        </w:tc>
        <w:tc>
          <w:tcPr>
            <w:tcW w:w="1280" w:type="dxa"/>
            <w:vAlign w:val="bottom"/>
            <w:gridSpan w:val="2"/>
          </w:tcPr>
          <w:p>
            <w:pPr>
              <w:jc w:val="right"/>
              <w:ind w:right="700"/>
              <w:spacing w:after="0"/>
              <w:rPr>
                <w:sz w:val="20"/>
                <w:szCs w:val="20"/>
                <w:color w:val="auto"/>
              </w:rPr>
            </w:pPr>
            <w:r>
              <w:rPr>
                <w:rFonts w:ascii="Arial" w:cs="Arial" w:eastAsia="Arial" w:hAnsi="Arial"/>
                <w:sz w:val="16"/>
                <w:szCs w:val="16"/>
                <w:b w:val="1"/>
                <w:bCs w:val="1"/>
                <w:color w:val="auto"/>
              </w:rPr>
              <w:t>Taxes</w:t>
            </w:r>
          </w:p>
        </w:tc>
        <w:tc>
          <w:tcPr>
            <w:tcW w:w="200" w:type="dxa"/>
            <w:vAlign w:val="bottom"/>
          </w:tcPr>
          <w:p>
            <w:pPr>
              <w:spacing w:after="0"/>
              <w:rPr>
                <w:sz w:val="19"/>
                <w:szCs w:val="19"/>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6"/>
                <w:szCs w:val="16"/>
                <w:color w:val="auto"/>
              </w:rPr>
              <w:t>Revenue</w:t>
            </w:r>
          </w:p>
        </w:tc>
        <w:tc>
          <w:tcPr>
            <w:tcW w:w="260" w:type="dxa"/>
            <w:vAlign w:val="bottom"/>
          </w:tcPr>
          <w:p>
            <w:pPr>
              <w:spacing w:after="0"/>
              <w:rPr>
                <w:sz w:val="19"/>
                <w:szCs w:val="19"/>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6"/>
                <w:szCs w:val="16"/>
                <w:color w:val="auto"/>
                <w:w w:val="96"/>
              </w:rPr>
              <w:t>Taxes</w:t>
            </w:r>
          </w:p>
        </w:tc>
      </w:tr>
      <w:tr>
        <w:trPr>
          <w:trHeight w:val="209"/>
        </w:trPr>
        <w:tc>
          <w:tcPr>
            <w:tcW w:w="5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Digital &amp; Integration</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947</w:t>
            </w:r>
          </w:p>
        </w:tc>
        <w:tc>
          <w:tcPr>
            <w:tcW w:w="30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322</w:t>
            </w:r>
          </w:p>
        </w:tc>
        <w:tc>
          <w:tcPr>
            <w:tcW w:w="3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894</w:t>
            </w:r>
          </w:p>
        </w:tc>
        <w:tc>
          <w:tcPr>
            <w:tcW w:w="30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81"/>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265</w:t>
            </w:r>
          </w:p>
        </w:tc>
        <w:tc>
          <w:tcPr>
            <w:tcW w:w="140" w:type="dxa"/>
            <w:vAlign w:val="bottom"/>
            <w:shd w:val="clear" w:color="auto" w:fill="CFF0FC"/>
          </w:tcPr>
          <w:p>
            <w:pPr>
              <w:spacing w:after="0"/>
              <w:rPr>
                <w:sz w:val="18"/>
                <w:szCs w:val="18"/>
                <w:color w:val="auto"/>
              </w:rPr>
            </w:pPr>
          </w:p>
        </w:tc>
      </w:tr>
      <w:tr>
        <w:trPr>
          <w:trHeight w:val="216"/>
        </w:trPr>
        <w:tc>
          <w:tcPr>
            <w:tcW w:w="5280" w:type="dxa"/>
            <w:vAlign w:val="bottom"/>
          </w:tcPr>
          <w:p>
            <w:pPr>
              <w:ind w:left="20"/>
              <w:spacing w:after="0"/>
              <w:rPr>
                <w:sz w:val="20"/>
                <w:szCs w:val="20"/>
                <w:color w:val="auto"/>
              </w:rPr>
            </w:pPr>
            <w:r>
              <w:rPr>
                <w:rFonts w:ascii="Arial" w:cs="Arial" w:eastAsia="Arial" w:hAnsi="Arial"/>
                <w:sz w:val="16"/>
                <w:szCs w:val="16"/>
                <w:color w:val="auto"/>
              </w:rPr>
              <w:t>Reservoir Performance</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1,643</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306</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1,503</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242</w:t>
            </w:r>
          </w:p>
        </w:tc>
        <w:tc>
          <w:tcPr>
            <w:tcW w:w="140" w:type="dxa"/>
            <w:vAlign w:val="bottom"/>
          </w:tcPr>
          <w:p>
            <w:pPr>
              <w:spacing w:after="0"/>
              <w:rPr>
                <w:sz w:val="18"/>
                <w:szCs w:val="18"/>
                <w:color w:val="auto"/>
              </w:rPr>
            </w:pPr>
          </w:p>
        </w:tc>
      </w:tr>
      <w:tr>
        <w:trPr>
          <w:trHeight w:val="216"/>
        </w:trPr>
        <w:tc>
          <w:tcPr>
            <w:tcW w:w="5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Well Construction</w:t>
            </w: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3,362</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731</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3,261</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672</w:t>
            </w:r>
          </w:p>
        </w:tc>
        <w:tc>
          <w:tcPr>
            <w:tcW w:w="140" w:type="dxa"/>
            <w:vAlign w:val="bottom"/>
            <w:shd w:val="clear" w:color="auto" w:fill="CFF0FC"/>
          </w:tcPr>
          <w:p>
            <w:pPr>
              <w:spacing w:after="0"/>
              <w:rPr>
                <w:sz w:val="18"/>
                <w:szCs w:val="18"/>
                <w:color w:val="auto"/>
              </w:rPr>
            </w:pPr>
          </w:p>
        </w:tc>
      </w:tr>
      <w:tr>
        <w:trPr>
          <w:trHeight w:val="216"/>
        </w:trPr>
        <w:tc>
          <w:tcPr>
            <w:tcW w:w="5280" w:type="dxa"/>
            <w:vAlign w:val="bottom"/>
          </w:tcPr>
          <w:p>
            <w:pPr>
              <w:ind w:left="20"/>
              <w:spacing w:after="0"/>
              <w:rPr>
                <w:sz w:val="20"/>
                <w:szCs w:val="20"/>
                <w:color w:val="auto"/>
              </w:rPr>
            </w:pPr>
            <w:r>
              <w:rPr>
                <w:rFonts w:ascii="Arial" w:cs="Arial" w:eastAsia="Arial" w:hAnsi="Arial"/>
                <w:sz w:val="16"/>
                <w:szCs w:val="16"/>
                <w:color w:val="auto"/>
              </w:rPr>
              <w:t>Production Systems</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2,313</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278</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2,207</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205</w:t>
            </w:r>
          </w:p>
        </w:tc>
        <w:tc>
          <w:tcPr>
            <w:tcW w:w="140" w:type="dxa"/>
            <w:vAlign w:val="bottom"/>
          </w:tcPr>
          <w:p>
            <w:pPr>
              <w:spacing w:after="0"/>
              <w:rPr>
                <w:sz w:val="18"/>
                <w:szCs w:val="18"/>
                <w:color w:val="auto"/>
              </w:rPr>
            </w:pPr>
          </w:p>
        </w:tc>
      </w:tr>
      <w:tr>
        <w:trPr>
          <w:trHeight w:val="216"/>
        </w:trPr>
        <w:tc>
          <w:tcPr>
            <w:tcW w:w="5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Eliminations &amp; other</w:t>
            </w:r>
          </w:p>
        </w:tc>
        <w:tc>
          <w:tcPr>
            <w:tcW w:w="1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(166 )</w:t>
            </w:r>
          </w:p>
        </w:tc>
        <w:tc>
          <w:tcPr>
            <w:tcW w:w="2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(56 )</w:t>
            </w:r>
          </w:p>
        </w:tc>
        <w:tc>
          <w:tcPr>
            <w:tcW w:w="2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(129 )</w:t>
            </w: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140" w:type="dxa"/>
            <w:vAlign w:val="bottom"/>
            <w:shd w:val="clear" w:color="auto" w:fill="CFF0FC"/>
          </w:tcPr>
          <w:p>
            <w:pPr>
              <w:spacing w:after="0"/>
              <w:rPr>
                <w:sz w:val="18"/>
                <w:szCs w:val="18"/>
                <w:color w:val="auto"/>
              </w:rPr>
            </w:pPr>
          </w:p>
        </w:tc>
      </w:tr>
      <w:tr>
        <w:trPr>
          <w:trHeight w:val="210"/>
        </w:trPr>
        <w:tc>
          <w:tcPr>
            <w:tcW w:w="5280" w:type="dxa"/>
            <w:vAlign w:val="bottom"/>
            <w:tcBorders>
              <w:top w:val="single" w:sz="8" w:color="CFF0FC"/>
            </w:tcBorders>
          </w:tcPr>
          <w:p>
            <w:pPr>
              <w:ind w:left="200"/>
              <w:spacing w:after="0"/>
              <w:rPr>
                <w:sz w:val="20"/>
                <w:szCs w:val="20"/>
                <w:color w:val="auto"/>
              </w:rPr>
            </w:pPr>
            <w:r>
              <w:rPr>
                <w:rFonts w:ascii="Arial" w:cs="Arial" w:eastAsia="Arial" w:hAnsi="Arial"/>
                <w:sz w:val="16"/>
                <w:szCs w:val="16"/>
                <w:color w:val="auto"/>
              </w:rPr>
              <w:t>Pretax segment operating income</w:t>
            </w:r>
          </w:p>
        </w:tc>
        <w:tc>
          <w:tcPr>
            <w:tcW w:w="180" w:type="dxa"/>
            <w:vAlign w:val="bottom"/>
            <w:tcBorders>
              <w:top w:val="single" w:sz="8" w:color="CFF0FC"/>
            </w:tcBorders>
          </w:tcPr>
          <w:p>
            <w:pPr>
              <w:spacing w:after="0"/>
              <w:rPr>
                <w:sz w:val="18"/>
                <w:szCs w:val="18"/>
                <w:color w:val="auto"/>
              </w:rPr>
            </w:pPr>
          </w:p>
        </w:tc>
        <w:tc>
          <w:tcPr>
            <w:tcW w:w="1040" w:type="dxa"/>
            <w:vAlign w:val="bottom"/>
            <w:tcBorders>
              <w:top w:val="single" w:sz="8" w:color="CFF0FC"/>
            </w:tcBorders>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1,581</w:t>
            </w:r>
          </w:p>
        </w:tc>
        <w:tc>
          <w:tcPr>
            <w:tcW w:w="300" w:type="dxa"/>
            <w:vAlign w:val="bottom"/>
            <w:tcBorders>
              <w:top w:val="single" w:sz="8" w:color="CFF0FC"/>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1020" w:type="dxa"/>
            <w:vAlign w:val="bottom"/>
            <w:tcBorders>
              <w:top w:val="single" w:sz="8" w:color="CFF0FC"/>
            </w:tcBorders>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1,391</w:t>
            </w:r>
          </w:p>
        </w:tc>
        <w:tc>
          <w:tcPr>
            <w:tcW w:w="140" w:type="dxa"/>
            <w:vAlign w:val="bottom"/>
            <w:tcBorders>
              <w:top w:val="single" w:sz="8" w:color="CFF0FC"/>
            </w:tcBorders>
          </w:tcPr>
          <w:p>
            <w:pPr>
              <w:spacing w:after="0"/>
              <w:rPr>
                <w:sz w:val="18"/>
                <w:szCs w:val="18"/>
                <w:color w:val="auto"/>
              </w:rPr>
            </w:pPr>
          </w:p>
        </w:tc>
      </w:tr>
      <w:tr>
        <w:trPr>
          <w:trHeight w:val="216"/>
        </w:trPr>
        <w:tc>
          <w:tcPr>
            <w:tcW w:w="5280" w:type="dxa"/>
            <w:vAlign w:val="bottom"/>
            <w:shd w:val="clear" w:color="auto" w:fill="CFF0FC"/>
          </w:tcPr>
          <w:p>
            <w:pPr>
              <w:ind w:left="20"/>
              <w:spacing w:after="0" w:line="216" w:lineRule="exact"/>
              <w:rPr>
                <w:sz w:val="20"/>
                <w:szCs w:val="20"/>
                <w:color w:val="auto"/>
              </w:rPr>
            </w:pPr>
            <w:r>
              <w:rPr>
                <w:rFonts w:ascii="Arial" w:cs="Arial" w:eastAsia="Arial" w:hAnsi="Arial"/>
                <w:sz w:val="16"/>
                <w:szCs w:val="16"/>
                <w:color w:val="auto"/>
              </w:rPr>
              <w:t xml:space="preserve">Corporate &amp; other </w:t>
            </w:r>
            <w:r>
              <w:rPr>
                <w:rFonts w:ascii="Arial" w:cs="Arial" w:eastAsia="Arial" w:hAnsi="Arial"/>
                <w:sz w:val="21"/>
                <w:szCs w:val="21"/>
                <w:color w:val="auto"/>
                <w:vertAlign w:val="superscript"/>
              </w:rPr>
              <w:t>(1)</w:t>
            </w: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(183 )</w:t>
            </w: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(169 )</w:t>
            </w:r>
          </w:p>
        </w:tc>
      </w:tr>
      <w:tr>
        <w:trPr>
          <w:trHeight w:val="216"/>
        </w:trPr>
        <w:tc>
          <w:tcPr>
            <w:tcW w:w="52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Interest income </w:t>
            </w:r>
            <w:r>
              <w:rPr>
                <w:rFonts w:ascii="Arial" w:cs="Arial" w:eastAsia="Arial" w:hAnsi="Arial"/>
                <w:sz w:val="21"/>
                <w:szCs w:val="21"/>
                <w:color w:val="auto"/>
                <w:vertAlign w:val="superscript"/>
              </w:rPr>
              <w:t>(2)</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19</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w:t>
            </w:r>
          </w:p>
        </w:tc>
        <w:tc>
          <w:tcPr>
            <w:tcW w:w="140" w:type="dxa"/>
            <w:vAlign w:val="bottom"/>
          </w:tcPr>
          <w:p>
            <w:pPr>
              <w:spacing w:after="0"/>
              <w:rPr>
                <w:sz w:val="18"/>
                <w:szCs w:val="18"/>
                <w:color w:val="auto"/>
              </w:rPr>
            </w:pPr>
          </w:p>
        </w:tc>
      </w:tr>
      <w:tr>
        <w:trPr>
          <w:trHeight w:val="216"/>
        </w:trPr>
        <w:tc>
          <w:tcPr>
            <w:tcW w:w="5280" w:type="dxa"/>
            <w:vAlign w:val="bottom"/>
            <w:shd w:val="clear" w:color="auto" w:fill="CFF0FC"/>
          </w:tcPr>
          <w:p>
            <w:pPr>
              <w:ind w:left="20"/>
              <w:spacing w:after="0" w:line="216" w:lineRule="exact"/>
              <w:rPr>
                <w:sz w:val="20"/>
                <w:szCs w:val="20"/>
                <w:color w:val="auto"/>
              </w:rPr>
            </w:pPr>
            <w:r>
              <w:rPr>
                <w:rFonts w:ascii="Arial" w:cs="Arial" w:eastAsia="Arial" w:hAnsi="Arial"/>
                <w:sz w:val="16"/>
                <w:szCs w:val="16"/>
                <w:color w:val="auto"/>
              </w:rPr>
              <w:t xml:space="preserve">Interest expense </w:t>
            </w:r>
            <w:r>
              <w:rPr>
                <w:rFonts w:ascii="Arial" w:cs="Arial" w:eastAsia="Arial" w:hAnsi="Arial"/>
                <w:sz w:val="21"/>
                <w:szCs w:val="21"/>
                <w:color w:val="auto"/>
                <w:vertAlign w:val="superscript"/>
              </w:rPr>
              <w:t>(3)</w:t>
            </w: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(124 )</w:t>
            </w: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(114 )</w:t>
            </w:r>
          </w:p>
        </w:tc>
      </w:tr>
      <w:tr>
        <w:trPr>
          <w:trHeight w:val="216"/>
        </w:trPr>
        <w:tc>
          <w:tcPr>
            <w:tcW w:w="52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Charges and credits </w:t>
            </w:r>
            <w:r>
              <w:rPr>
                <w:rFonts w:ascii="Arial" w:cs="Arial" w:eastAsia="Arial" w:hAnsi="Arial"/>
                <w:sz w:val="21"/>
                <w:szCs w:val="21"/>
                <w:color w:val="auto"/>
                <w:vertAlign w:val="superscript"/>
              </w:rPr>
              <w:t>(4)</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40" w:type="dxa"/>
            <w:vAlign w:val="bottom"/>
          </w:tcPr>
          <w:p>
            <w:pPr>
              <w:spacing w:after="0"/>
              <w:rPr>
                <w:sz w:val="18"/>
                <w:szCs w:val="18"/>
                <w:color w:val="auto"/>
              </w:rPr>
            </w:pPr>
          </w:p>
        </w:tc>
      </w:tr>
      <w:tr>
        <w:trPr>
          <w:trHeight w:val="250"/>
        </w:trPr>
        <w:tc>
          <w:tcPr>
            <w:tcW w:w="5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8,099</w:t>
            </w:r>
          </w:p>
        </w:tc>
        <w:tc>
          <w:tcPr>
            <w:tcW w:w="3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1,293</w:t>
            </w:r>
          </w:p>
        </w:tc>
        <w:tc>
          <w:tcPr>
            <w:tcW w:w="3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7,736</w:t>
            </w:r>
          </w:p>
        </w:tc>
        <w:tc>
          <w:tcPr>
            <w:tcW w:w="3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81"/>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1,161</w:t>
            </w:r>
          </w:p>
        </w:tc>
        <w:tc>
          <w:tcPr>
            <w:tcW w:w="14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-864870</wp:posOffset>
            </wp:positionV>
            <wp:extent cx="85725" cy="1460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5725" cy="1460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-864870</wp:posOffset>
            </wp:positionV>
            <wp:extent cx="85725" cy="1460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5725" cy="14605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-24765</wp:posOffset>
            </wp:positionV>
            <wp:extent cx="8572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-7620</wp:posOffset>
            </wp:positionV>
            <wp:extent cx="8572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-24765</wp:posOffset>
            </wp:positionV>
            <wp:extent cx="8572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-7620</wp:posOffset>
            </wp:positionV>
            <wp:extent cx="8572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-24765</wp:posOffset>
            </wp:positionV>
            <wp:extent cx="8572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8572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37" w:lineRule="exact"/>
        <w:rPr>
          <w:sz w:val="20"/>
          <w:szCs w:val="20"/>
          <w:color w:val="auto"/>
        </w:rPr>
      </w:pPr>
    </w:p>
    <w:p>
      <w:pPr>
        <w:ind w:left="380" w:hanging="372"/>
        <w:spacing w:after="0" w:line="217" w:lineRule="auto"/>
        <w:tabs>
          <w:tab w:leader="none" w:pos="380" w:val="left"/>
        </w:tabs>
        <w:numPr>
          <w:ilvl w:val="0"/>
          <w:numId w:val="15"/>
        </w:numPr>
        <w:rPr>
          <w:rFonts w:ascii="Arial" w:cs="Arial" w:eastAsia="Arial" w:hAnsi="Arial"/>
          <w:sz w:val="19"/>
          <w:szCs w:val="19"/>
          <w:color w:val="auto"/>
          <w:vertAlign w:val="superscript"/>
        </w:rPr>
      </w:pPr>
      <w:r>
        <w:rPr>
          <w:rFonts w:ascii="Arial" w:cs="Arial" w:eastAsia="Arial" w:hAnsi="Arial"/>
          <w:sz w:val="14"/>
          <w:szCs w:val="14"/>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52" w:lineRule="exact"/>
        <w:rPr>
          <w:rFonts w:ascii="Arial" w:cs="Arial" w:eastAsia="Arial" w:hAnsi="Arial"/>
          <w:sz w:val="19"/>
          <w:szCs w:val="19"/>
          <w:color w:val="auto"/>
          <w:vertAlign w:val="superscript"/>
        </w:rPr>
      </w:pPr>
    </w:p>
    <w:p>
      <w:pPr>
        <w:ind w:left="380" w:hanging="372"/>
        <w:spacing w:after="0"/>
        <w:tabs>
          <w:tab w:leader="none" w:pos="380" w:val="left"/>
        </w:tabs>
        <w:numPr>
          <w:ilvl w:val="0"/>
          <w:numId w:val="15"/>
        </w:numPr>
        <w:rPr>
          <w:rFonts w:ascii="Arial" w:cs="Arial" w:eastAsia="Arial" w:hAnsi="Arial"/>
          <w:sz w:val="19"/>
          <w:szCs w:val="19"/>
          <w:color w:val="auto"/>
          <w:vertAlign w:val="superscript"/>
        </w:rPr>
      </w:pPr>
      <w:r>
        <w:rPr>
          <w:rFonts w:ascii="Arial" w:cs="Arial" w:eastAsia="Arial" w:hAnsi="Arial"/>
          <w:sz w:val="14"/>
          <w:szCs w:val="14"/>
          <w:color w:val="auto"/>
        </w:rPr>
        <w:t>Interest income excludes amounts that are included in the segments’ income ($- million in Q2 2023; $- million in Q1 2023).</w:t>
      </w:r>
    </w:p>
    <w:p>
      <w:pPr>
        <w:spacing w:after="0" w:line="72" w:lineRule="exact"/>
        <w:rPr>
          <w:rFonts w:ascii="Arial" w:cs="Arial" w:eastAsia="Arial" w:hAnsi="Arial"/>
          <w:sz w:val="19"/>
          <w:szCs w:val="19"/>
          <w:color w:val="auto"/>
          <w:vertAlign w:val="superscript"/>
        </w:rPr>
      </w:pPr>
    </w:p>
    <w:p>
      <w:pPr>
        <w:ind w:left="380" w:hanging="372"/>
        <w:spacing w:after="0" w:line="217" w:lineRule="auto"/>
        <w:tabs>
          <w:tab w:leader="none" w:pos="380" w:val="left"/>
        </w:tabs>
        <w:numPr>
          <w:ilvl w:val="0"/>
          <w:numId w:val="15"/>
        </w:numPr>
        <w:rPr>
          <w:rFonts w:ascii="Arial" w:cs="Arial" w:eastAsia="Arial" w:hAnsi="Arial"/>
          <w:sz w:val="19"/>
          <w:szCs w:val="19"/>
          <w:color w:val="auto"/>
          <w:vertAlign w:val="superscript"/>
        </w:rPr>
      </w:pPr>
      <w:r>
        <w:rPr>
          <w:rFonts w:ascii="Arial" w:cs="Arial" w:eastAsia="Arial" w:hAnsi="Arial"/>
          <w:sz w:val="14"/>
          <w:szCs w:val="14"/>
          <w:color w:val="auto"/>
        </w:rPr>
        <w:t>Interest expense excludes amounts that are included in the segments’ income ($3 million in Q2 2023; $3 million in Q1 2023).</w:t>
      </w:r>
    </w:p>
    <w:p>
      <w:pPr>
        <w:spacing w:after="0" w:line="72" w:lineRule="exact"/>
        <w:rPr>
          <w:rFonts w:ascii="Arial" w:cs="Arial" w:eastAsia="Arial" w:hAnsi="Arial"/>
          <w:sz w:val="19"/>
          <w:szCs w:val="19"/>
          <w:color w:val="auto"/>
          <w:vertAlign w:val="superscript"/>
        </w:rPr>
      </w:pPr>
    </w:p>
    <w:p>
      <w:pPr>
        <w:ind w:left="380" w:hanging="372"/>
        <w:spacing w:after="0" w:line="217" w:lineRule="auto"/>
        <w:tabs>
          <w:tab w:leader="none" w:pos="380" w:val="left"/>
        </w:tabs>
        <w:numPr>
          <w:ilvl w:val="0"/>
          <w:numId w:val="15"/>
        </w:numPr>
        <w:rPr>
          <w:rFonts w:ascii="Arial" w:cs="Arial" w:eastAsia="Arial" w:hAnsi="Arial"/>
          <w:sz w:val="19"/>
          <w:szCs w:val="19"/>
          <w:color w:val="auto"/>
          <w:vertAlign w:val="superscript"/>
        </w:rPr>
      </w:pPr>
      <w:r>
        <w:rPr>
          <w:rFonts w:ascii="Arial" w:cs="Arial" w:eastAsia="Arial" w:hAnsi="Arial"/>
          <w:sz w:val="14"/>
          <w:szCs w:val="14"/>
          <w:color w:val="auto"/>
        </w:rPr>
        <w:t xml:space="preserve">Charges and credits are described in detail in Note 2 to the </w:t>
      </w:r>
      <w:r>
        <w:rPr>
          <w:rFonts w:ascii="Arial" w:cs="Arial" w:eastAsia="Arial" w:hAnsi="Arial"/>
          <w:sz w:val="14"/>
          <w:szCs w:val="14"/>
          <w:i w:val="1"/>
          <w:iCs w:val="1"/>
          <w:color w:val="auto"/>
        </w:rPr>
        <w:t>Consolidated Financial Statements</w:t>
      </w:r>
      <w:r>
        <w:rPr>
          <w:rFonts w:ascii="Arial" w:cs="Arial" w:eastAsia="Arial" w:hAnsi="Arial"/>
          <w:sz w:val="14"/>
          <w:szCs w:val="14"/>
          <w:color w:val="auto"/>
        </w:rPr>
        <w:t>.</w:t>
      </w:r>
    </w:p>
    <w:p>
      <w:pPr>
        <w:spacing w:after="0" w:line="16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second quarter results reflected significant growth in the international markets, which grew 5% sequentially, particularly in the Middle East &amp; Asia, and offshore. North America revenue grew 3% sequentially benefiting from SLB’s agility across the most resilient basins and market segments, although the rig count in the area declined during the quarter. As the upcycle continues to unfold, international- and offshore-led growth is fueling strong margin expansion. SLB is very well positioned in these markets, as international represents nearly 80% of SLB’s global revenue and, offshore constitutes approximately half of that. Internationally, broad revenue growth was experienced across all Divisions and geographic areas with margins expanding.</w:t>
      </w:r>
    </w:p>
    <w:p>
      <w:pPr>
        <w:spacing w:after="0" w:line="16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Sequentially, global revenue grew by 5%, driven mostly by the international markets. This was led by the Middle East &amp; Asia, which increased 10%, propelled by strong double-digit growth in Saudi Arabia, Kuwait, United Arab Emirates, Egypt, India, and China. Similarly, the offshore businesses in the US Gulf of Mexico, Brazil, Angola, Namibia, and the Caspian Sea posted double-digit growth sequentially.</w:t>
      </w:r>
    </w:p>
    <w:p>
      <w:pPr>
        <w:spacing w:after="0" w:line="15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SLB continues to see positive upstream investment momentum in the international and offshore markets. These markets are being driven by resilient long-cycle offshore developments, production capacity expansions, the return of global exploration and appraisal, and the recognition of gas as a critical fuel source for energy security and the energy transition.</w:t>
      </w:r>
    </w:p>
    <w:p>
      <w:pPr>
        <w:spacing w:after="0" w:line="156"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As international spending builds further momentum in the second half of 2023 and North America moderates as anticipated, this cycle continues to align closely with SLB’s strengths.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Digital &amp; Integration</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Digital &amp; Integration revenue of $947 million increased 6% sequentially primarily due to strong growth in digital sales internationally.</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Digital &amp; Integration pretax segment operating margin of 34% expanded 438 bps sequentially due to improved profitability in digital solutions.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Reservoir Performance</w:t>
      </w:r>
    </w:p>
    <w:p>
      <w:pPr>
        <w:spacing w:after="0" w:line="121"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Reservoir Performance revenue of $1.64 billion grew 9% sequentially due primarily to increased activity internationally. More than half of the revenue growth came from the Middle East &amp; Asia.</w:t>
      </w:r>
    </w:p>
    <w:p>
      <w:pPr>
        <w:spacing w:after="0" w:line="144"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Reservoir Performance pretax segment operating margin of 19% expanded 248 bps sequentially. Profitability improved driven mainly by higher activity and improved operating leverage.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color w:val="auto"/>
        </w:rPr>
        <w:t>Well Construction</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Well Construction revenue of $3.36 billion increased 3% sequentially led by Europe &amp; Africa and the Middle East &amp; Asia.</w:t>
      </w:r>
    </w:p>
    <w:p>
      <w:pPr>
        <w:spacing w:after="0" w:line="194"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Well Construction pretax segment operating margin of 22% increased 115 bps sequentially driven by international, while North America margin was essentially flat.</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Production Systems</w:t>
      </w:r>
    </w:p>
    <w:p>
      <w:pPr>
        <w:spacing w:after="0" w:line="12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Production Systems revenue of $2.31 billion increased 5% sequentially. The strong revenue growth was led by the Middle East &amp; Asia, which posted double-digit growth, followed by North America and Latin America. Europe &amp; Africa revenue declined sequentially following the non-repeat of significant midstream production systems project milestones achieved in the previous quarter.</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Six Months 2023 Compared to Six Months 2022</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gridSpan w:val="3"/>
          </w:tcPr>
          <w:p>
            <w:pPr>
              <w:jc w:val="center"/>
              <w:ind w:right="120"/>
              <w:spacing w:after="0"/>
              <w:rPr>
                <w:sz w:val="20"/>
                <w:szCs w:val="20"/>
                <w:color w:val="auto"/>
              </w:rPr>
            </w:pPr>
            <w:r>
              <w:rPr>
                <w:rFonts w:ascii="Arial" w:cs="Arial" w:eastAsia="Arial" w:hAnsi="Arial"/>
                <w:sz w:val="14"/>
                <w:szCs w:val="14"/>
                <w:i w:val="1"/>
                <w:iCs w:val="1"/>
                <w:color w:val="auto"/>
              </w:rPr>
              <w:t>(Stated in millions)</w:t>
            </w:r>
          </w:p>
        </w:tc>
      </w:tr>
      <w:tr>
        <w:trPr>
          <w:trHeight w:val="431"/>
        </w:trPr>
        <w:tc>
          <w:tcPr>
            <w:tcW w:w="53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4"/>
          </w:tcPr>
          <w:p>
            <w:pPr>
              <w:jc w:val="right"/>
              <w:ind w:right="659"/>
              <w:spacing w:after="0"/>
              <w:rPr>
                <w:sz w:val="20"/>
                <w:szCs w:val="20"/>
                <w:color w:val="auto"/>
              </w:rPr>
            </w:pPr>
            <w:r>
              <w:rPr>
                <w:rFonts w:ascii="Arial" w:cs="Arial" w:eastAsia="Arial" w:hAnsi="Arial"/>
                <w:sz w:val="16"/>
                <w:szCs w:val="16"/>
                <w:b w:val="1"/>
                <w:bCs w:val="1"/>
                <w:color w:val="auto"/>
              </w:rPr>
              <w:t>Six Months 2023</w:t>
            </w:r>
          </w:p>
        </w:tc>
        <w:tc>
          <w:tcPr>
            <w:tcW w:w="3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4"/>
          </w:tcPr>
          <w:p>
            <w:pPr>
              <w:jc w:val="right"/>
              <w:ind w:right="679"/>
              <w:spacing w:after="0"/>
              <w:rPr>
                <w:sz w:val="20"/>
                <w:szCs w:val="20"/>
                <w:color w:val="auto"/>
              </w:rPr>
            </w:pPr>
            <w:r>
              <w:rPr>
                <w:rFonts w:ascii="Arial" w:cs="Arial" w:eastAsia="Arial" w:hAnsi="Arial"/>
                <w:sz w:val="16"/>
                <w:szCs w:val="16"/>
                <w:color w:val="auto"/>
              </w:rPr>
              <w:t>Six Months 2022</w:t>
            </w:r>
          </w:p>
        </w:tc>
        <w:tc>
          <w:tcPr>
            <w:tcW w:w="140" w:type="dxa"/>
            <w:vAlign w:val="bottom"/>
          </w:tcPr>
          <w:p>
            <w:pPr>
              <w:spacing w:after="0"/>
              <w:rPr>
                <w:sz w:val="24"/>
                <w:szCs w:val="24"/>
                <w:color w:val="auto"/>
              </w:rPr>
            </w:pPr>
          </w:p>
        </w:tc>
      </w:tr>
      <w:tr>
        <w:trPr>
          <w:trHeight w:val="205"/>
        </w:trPr>
        <w:tc>
          <w:tcPr>
            <w:tcW w:w="5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center"/>
              <w:ind w:right="139"/>
              <w:spacing w:after="0"/>
              <w:rPr>
                <w:sz w:val="20"/>
                <w:szCs w:val="20"/>
                <w:color w:val="auto"/>
              </w:rPr>
            </w:pPr>
            <w:r>
              <w:rPr>
                <w:rFonts w:ascii="Arial" w:cs="Arial" w:eastAsia="Arial" w:hAnsi="Arial"/>
                <w:sz w:val="16"/>
                <w:szCs w:val="16"/>
                <w:b w:val="1"/>
                <w:bCs w:val="1"/>
                <w:color w:val="auto"/>
              </w:rPr>
              <w:t>Income</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6"/>
                <w:szCs w:val="16"/>
                <w:color w:val="auto"/>
              </w:rPr>
              <w:t>Income</w:t>
            </w:r>
          </w:p>
        </w:tc>
      </w:tr>
      <w:tr>
        <w:trPr>
          <w:trHeight w:val="216"/>
        </w:trPr>
        <w:tc>
          <w:tcPr>
            <w:tcW w:w="5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w w:val="98"/>
              </w:rPr>
              <w:t>Before</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6"/>
                <w:szCs w:val="16"/>
                <w:color w:val="auto"/>
              </w:rPr>
              <w:t>Before</w:t>
            </w:r>
          </w:p>
        </w:tc>
      </w:tr>
      <w:tr>
        <w:trPr>
          <w:trHeight w:val="221"/>
        </w:trPr>
        <w:tc>
          <w:tcPr>
            <w:tcW w:w="5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Revenue</w:t>
            </w:r>
          </w:p>
        </w:tc>
        <w:tc>
          <w:tcPr>
            <w:tcW w:w="220" w:type="dxa"/>
            <w:vAlign w:val="bottom"/>
          </w:tcPr>
          <w:p>
            <w:pPr>
              <w:spacing w:after="0"/>
              <w:rPr>
                <w:sz w:val="19"/>
                <w:szCs w:val="19"/>
                <w:color w:val="auto"/>
              </w:rPr>
            </w:pPr>
          </w:p>
        </w:tc>
        <w:tc>
          <w:tcPr>
            <w:tcW w:w="130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rPr>
              <w:t>Taxes</w:t>
            </w:r>
          </w:p>
        </w:tc>
        <w:tc>
          <w:tcPr>
            <w:tcW w:w="180" w:type="dxa"/>
            <w:vAlign w:val="bottom"/>
          </w:tcPr>
          <w:p>
            <w:pPr>
              <w:spacing w:after="0"/>
              <w:rPr>
                <w:sz w:val="19"/>
                <w:szCs w:val="19"/>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6"/>
                <w:szCs w:val="16"/>
                <w:color w:val="auto"/>
              </w:rPr>
              <w:t>Revenue</w:t>
            </w:r>
          </w:p>
        </w:tc>
        <w:tc>
          <w:tcPr>
            <w:tcW w:w="220" w:type="dxa"/>
            <w:vAlign w:val="bottom"/>
          </w:tcPr>
          <w:p>
            <w:pPr>
              <w:spacing w:after="0"/>
              <w:rPr>
                <w:sz w:val="19"/>
                <w:szCs w:val="19"/>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6"/>
                <w:szCs w:val="16"/>
                <w:color w:val="auto"/>
                <w:w w:val="96"/>
              </w:rPr>
              <w:t>Taxes</w:t>
            </w:r>
          </w:p>
        </w:tc>
      </w:tr>
      <w:tr>
        <w:trPr>
          <w:trHeight w:val="210"/>
        </w:trPr>
        <w:tc>
          <w:tcPr>
            <w:tcW w:w="5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Digital &amp; Integration</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1,840</w:t>
            </w:r>
          </w:p>
        </w:tc>
        <w:tc>
          <w:tcPr>
            <w:tcW w:w="30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587</w:t>
            </w:r>
          </w:p>
        </w:tc>
        <w:tc>
          <w:tcPr>
            <w:tcW w:w="3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1,813</w:t>
            </w:r>
          </w:p>
        </w:tc>
        <w:tc>
          <w:tcPr>
            <w:tcW w:w="28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671</w:t>
            </w:r>
          </w:p>
        </w:tc>
        <w:tc>
          <w:tcPr>
            <w:tcW w:w="140" w:type="dxa"/>
            <w:vAlign w:val="bottom"/>
            <w:shd w:val="clear" w:color="auto" w:fill="CFF0FC"/>
          </w:tcPr>
          <w:p>
            <w:pPr>
              <w:spacing w:after="0"/>
              <w:rPr>
                <w:sz w:val="18"/>
                <w:szCs w:val="18"/>
                <w:color w:val="auto"/>
              </w:rPr>
            </w:pPr>
          </w:p>
        </w:tc>
      </w:tr>
      <w:tr>
        <w:trPr>
          <w:trHeight w:val="216"/>
        </w:trPr>
        <w:tc>
          <w:tcPr>
            <w:tcW w:w="5360" w:type="dxa"/>
            <w:vAlign w:val="bottom"/>
          </w:tcPr>
          <w:p>
            <w:pPr>
              <w:ind w:left="20"/>
              <w:spacing w:after="0"/>
              <w:rPr>
                <w:sz w:val="20"/>
                <w:szCs w:val="20"/>
                <w:color w:val="auto"/>
              </w:rPr>
            </w:pPr>
            <w:r>
              <w:rPr>
                <w:rFonts w:ascii="Arial" w:cs="Arial" w:eastAsia="Arial" w:hAnsi="Arial"/>
                <w:sz w:val="16"/>
                <w:szCs w:val="16"/>
                <w:color w:val="auto"/>
              </w:rPr>
              <w:t>Reservoir Performance</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3,146</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548</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2,543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355</w:t>
            </w:r>
          </w:p>
        </w:tc>
        <w:tc>
          <w:tcPr>
            <w:tcW w:w="140" w:type="dxa"/>
            <w:vAlign w:val="bottom"/>
          </w:tcPr>
          <w:p>
            <w:pPr>
              <w:spacing w:after="0"/>
              <w:rPr>
                <w:sz w:val="18"/>
                <w:szCs w:val="18"/>
                <w:color w:val="auto"/>
              </w:rPr>
            </w:pPr>
          </w:p>
        </w:tc>
      </w:tr>
      <w:tr>
        <w:trPr>
          <w:trHeight w:val="216"/>
        </w:trPr>
        <w:tc>
          <w:tcPr>
            <w:tcW w:w="5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Well Construction</w:t>
            </w: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6,623</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1,403</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5,083</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858</w:t>
            </w:r>
          </w:p>
        </w:tc>
        <w:tc>
          <w:tcPr>
            <w:tcW w:w="140" w:type="dxa"/>
            <w:vAlign w:val="bottom"/>
            <w:shd w:val="clear" w:color="auto" w:fill="CFF0FC"/>
          </w:tcPr>
          <w:p>
            <w:pPr>
              <w:spacing w:after="0"/>
              <w:rPr>
                <w:sz w:val="18"/>
                <w:szCs w:val="18"/>
                <w:color w:val="auto"/>
              </w:rPr>
            </w:pPr>
          </w:p>
        </w:tc>
      </w:tr>
      <w:tr>
        <w:trPr>
          <w:trHeight w:val="216"/>
        </w:trPr>
        <w:tc>
          <w:tcPr>
            <w:tcW w:w="5360" w:type="dxa"/>
            <w:vAlign w:val="bottom"/>
          </w:tcPr>
          <w:p>
            <w:pPr>
              <w:ind w:left="20"/>
              <w:spacing w:after="0"/>
              <w:rPr>
                <w:sz w:val="20"/>
                <w:szCs w:val="20"/>
                <w:color w:val="auto"/>
              </w:rPr>
            </w:pPr>
            <w:r>
              <w:rPr>
                <w:rFonts w:ascii="Arial" w:cs="Arial" w:eastAsia="Arial" w:hAnsi="Arial"/>
                <w:sz w:val="16"/>
                <w:szCs w:val="16"/>
                <w:color w:val="auto"/>
              </w:rPr>
              <w:t>Production Systems</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4,520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483</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3,497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285</w:t>
            </w:r>
          </w:p>
        </w:tc>
        <w:tc>
          <w:tcPr>
            <w:tcW w:w="140" w:type="dxa"/>
            <w:vAlign w:val="bottom"/>
          </w:tcPr>
          <w:p>
            <w:pPr>
              <w:spacing w:after="0"/>
              <w:rPr>
                <w:sz w:val="18"/>
                <w:szCs w:val="18"/>
                <w:color w:val="auto"/>
              </w:rPr>
            </w:pPr>
          </w:p>
        </w:tc>
      </w:tr>
      <w:tr>
        <w:trPr>
          <w:trHeight w:val="216"/>
        </w:trPr>
        <w:tc>
          <w:tcPr>
            <w:tcW w:w="5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Eliminations &amp; other</w:t>
            </w: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(294 )</w:t>
            </w:r>
          </w:p>
        </w:tc>
        <w:tc>
          <w:tcPr>
            <w:tcW w:w="2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(49 )</w:t>
            </w: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(201 )</w:t>
            </w:r>
          </w:p>
        </w:tc>
        <w:tc>
          <w:tcPr>
            <w:tcW w:w="2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(115 )</w:t>
            </w:r>
          </w:p>
        </w:tc>
      </w:tr>
      <w:tr>
        <w:trPr>
          <w:trHeight w:val="210"/>
        </w:trPr>
        <w:tc>
          <w:tcPr>
            <w:tcW w:w="5360" w:type="dxa"/>
            <w:vAlign w:val="bottom"/>
            <w:tcBorders>
              <w:top w:val="single" w:sz="8" w:color="CFF0FC"/>
            </w:tcBorders>
          </w:tcPr>
          <w:p>
            <w:pPr>
              <w:ind w:left="200"/>
              <w:spacing w:after="0"/>
              <w:rPr>
                <w:sz w:val="20"/>
                <w:szCs w:val="20"/>
                <w:color w:val="auto"/>
              </w:rPr>
            </w:pPr>
            <w:r>
              <w:rPr>
                <w:rFonts w:ascii="Arial" w:cs="Arial" w:eastAsia="Arial" w:hAnsi="Arial"/>
                <w:sz w:val="16"/>
                <w:szCs w:val="16"/>
                <w:color w:val="auto"/>
              </w:rPr>
              <w:t>Pretax segment operating income</w:t>
            </w:r>
          </w:p>
        </w:tc>
        <w:tc>
          <w:tcPr>
            <w:tcW w:w="180" w:type="dxa"/>
            <w:vAlign w:val="bottom"/>
            <w:tcBorders>
              <w:top w:val="single" w:sz="8" w:color="CFF0FC"/>
            </w:tcBorders>
          </w:tcPr>
          <w:p>
            <w:pPr>
              <w:spacing w:after="0"/>
              <w:rPr>
                <w:sz w:val="18"/>
                <w:szCs w:val="18"/>
                <w:color w:val="auto"/>
              </w:rPr>
            </w:pPr>
          </w:p>
        </w:tc>
        <w:tc>
          <w:tcPr>
            <w:tcW w:w="1020" w:type="dxa"/>
            <w:vAlign w:val="bottom"/>
            <w:tcBorders>
              <w:top w:val="single" w:sz="8" w:color="CFF0FC"/>
            </w:tcBorders>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2,972</w:t>
            </w:r>
          </w:p>
        </w:tc>
        <w:tc>
          <w:tcPr>
            <w:tcW w:w="30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040" w:type="dxa"/>
            <w:vAlign w:val="bottom"/>
            <w:tcBorders>
              <w:top w:val="single" w:sz="8" w:color="CFF0FC"/>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2,054</w:t>
            </w:r>
          </w:p>
        </w:tc>
        <w:tc>
          <w:tcPr>
            <w:tcW w:w="140" w:type="dxa"/>
            <w:vAlign w:val="bottom"/>
            <w:tcBorders>
              <w:top w:val="single" w:sz="8" w:color="CFF0FC"/>
            </w:tcBorders>
          </w:tcPr>
          <w:p>
            <w:pPr>
              <w:spacing w:after="0"/>
              <w:rPr>
                <w:sz w:val="18"/>
                <w:szCs w:val="18"/>
                <w:color w:val="auto"/>
              </w:rPr>
            </w:pPr>
          </w:p>
        </w:tc>
      </w:tr>
      <w:tr>
        <w:trPr>
          <w:trHeight w:val="216"/>
        </w:trPr>
        <w:tc>
          <w:tcPr>
            <w:tcW w:w="5360" w:type="dxa"/>
            <w:vAlign w:val="bottom"/>
            <w:shd w:val="clear" w:color="auto" w:fill="CFF0FC"/>
          </w:tcPr>
          <w:p>
            <w:pPr>
              <w:ind w:left="20"/>
              <w:spacing w:after="0" w:line="216" w:lineRule="exact"/>
              <w:rPr>
                <w:sz w:val="20"/>
                <w:szCs w:val="20"/>
                <w:color w:val="auto"/>
              </w:rPr>
            </w:pPr>
            <w:r>
              <w:rPr>
                <w:rFonts w:ascii="Arial" w:cs="Arial" w:eastAsia="Arial" w:hAnsi="Arial"/>
                <w:sz w:val="16"/>
                <w:szCs w:val="16"/>
                <w:color w:val="auto"/>
              </w:rPr>
              <w:t xml:space="preserve">Corporate &amp; other </w:t>
            </w:r>
            <w:r>
              <w:rPr>
                <w:rFonts w:ascii="Arial" w:cs="Arial" w:eastAsia="Arial" w:hAnsi="Arial"/>
                <w:sz w:val="21"/>
                <w:szCs w:val="21"/>
                <w:color w:val="auto"/>
                <w:vertAlign w:val="superscript"/>
              </w:rPr>
              <w:t>(1)</w:t>
            </w: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(353 )</w:t>
            </w: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(313 )</w:t>
            </w:r>
          </w:p>
        </w:tc>
      </w:tr>
      <w:tr>
        <w:trPr>
          <w:trHeight w:val="216"/>
        </w:trPr>
        <w:tc>
          <w:tcPr>
            <w:tcW w:w="536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Interest income </w:t>
            </w:r>
            <w:r>
              <w:rPr>
                <w:rFonts w:ascii="Arial" w:cs="Arial" w:eastAsia="Arial" w:hAnsi="Arial"/>
                <w:sz w:val="21"/>
                <w:szCs w:val="21"/>
                <w:color w:val="auto"/>
                <w:vertAlign w:val="superscript"/>
              </w:rPr>
              <w:t>(2)</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36</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w:t>
            </w:r>
          </w:p>
        </w:tc>
        <w:tc>
          <w:tcPr>
            <w:tcW w:w="140" w:type="dxa"/>
            <w:vAlign w:val="bottom"/>
          </w:tcPr>
          <w:p>
            <w:pPr>
              <w:spacing w:after="0"/>
              <w:rPr>
                <w:sz w:val="18"/>
                <w:szCs w:val="18"/>
                <w:color w:val="auto"/>
              </w:rPr>
            </w:pPr>
          </w:p>
        </w:tc>
      </w:tr>
      <w:tr>
        <w:trPr>
          <w:trHeight w:val="216"/>
        </w:trPr>
        <w:tc>
          <w:tcPr>
            <w:tcW w:w="5360" w:type="dxa"/>
            <w:vAlign w:val="bottom"/>
            <w:shd w:val="clear" w:color="auto" w:fill="CFF0FC"/>
          </w:tcPr>
          <w:p>
            <w:pPr>
              <w:ind w:left="20"/>
              <w:spacing w:after="0" w:line="216" w:lineRule="exact"/>
              <w:rPr>
                <w:sz w:val="20"/>
                <w:szCs w:val="20"/>
                <w:color w:val="auto"/>
              </w:rPr>
            </w:pPr>
            <w:r>
              <w:rPr>
                <w:rFonts w:ascii="Arial" w:cs="Arial" w:eastAsia="Arial" w:hAnsi="Arial"/>
                <w:sz w:val="16"/>
                <w:szCs w:val="16"/>
                <w:color w:val="auto"/>
              </w:rPr>
              <w:t xml:space="preserve">Interest expense </w:t>
            </w:r>
            <w:r>
              <w:rPr>
                <w:rFonts w:ascii="Arial" w:cs="Arial" w:eastAsia="Arial" w:hAnsi="Arial"/>
                <w:sz w:val="21"/>
                <w:szCs w:val="21"/>
                <w:color w:val="auto"/>
                <w:vertAlign w:val="superscript"/>
              </w:rPr>
              <w:t>(3)</w:t>
            </w: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(237 )</w:t>
            </w: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(241 )</w:t>
            </w:r>
          </w:p>
        </w:tc>
      </w:tr>
      <w:tr>
        <w:trPr>
          <w:trHeight w:val="216"/>
        </w:trPr>
        <w:tc>
          <w:tcPr>
            <w:tcW w:w="536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Charges and credits </w:t>
            </w:r>
            <w:r>
              <w:rPr>
                <w:rFonts w:ascii="Arial" w:cs="Arial" w:eastAsia="Arial" w:hAnsi="Arial"/>
                <w:sz w:val="21"/>
                <w:szCs w:val="21"/>
                <w:color w:val="auto"/>
                <w:vertAlign w:val="superscript"/>
              </w:rPr>
              <w:t>(4)</w:t>
            </w: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w:t>
            </w:r>
          </w:p>
        </w:tc>
        <w:tc>
          <w:tcPr>
            <w:tcW w:w="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w:t>
            </w:r>
          </w:p>
        </w:tc>
        <w:tc>
          <w:tcPr>
            <w:tcW w:w="140" w:type="dxa"/>
            <w:vAlign w:val="bottom"/>
          </w:tcPr>
          <w:p>
            <w:pPr>
              <w:spacing w:after="0"/>
              <w:rPr>
                <w:sz w:val="18"/>
                <w:szCs w:val="18"/>
                <w:color w:val="auto"/>
              </w:rPr>
            </w:pPr>
          </w:p>
        </w:tc>
      </w:tr>
      <w:tr>
        <w:trPr>
          <w:trHeight w:val="250"/>
        </w:trPr>
        <w:tc>
          <w:tcPr>
            <w:tcW w:w="53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15,835</w:t>
            </w:r>
          </w:p>
        </w:tc>
        <w:tc>
          <w:tcPr>
            <w:tcW w:w="3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2,454</w:t>
            </w:r>
          </w:p>
        </w:tc>
        <w:tc>
          <w:tcPr>
            <w:tcW w:w="3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12,735</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1,790</w:t>
            </w:r>
          </w:p>
        </w:tc>
        <w:tc>
          <w:tcPr>
            <w:tcW w:w="14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-865505</wp:posOffset>
            </wp:positionV>
            <wp:extent cx="85725" cy="1460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5725" cy="1460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-865505</wp:posOffset>
            </wp:positionV>
            <wp:extent cx="85725" cy="1460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5725" cy="146050"/>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-24765</wp:posOffset>
            </wp:positionV>
            <wp:extent cx="8572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-8255</wp:posOffset>
            </wp:positionV>
            <wp:extent cx="8572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-24765</wp:posOffset>
            </wp:positionV>
            <wp:extent cx="8572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-8255</wp:posOffset>
            </wp:positionV>
            <wp:extent cx="8572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-24765</wp:posOffset>
            </wp:positionV>
            <wp:extent cx="8572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-8255</wp:posOffset>
            </wp:positionV>
            <wp:extent cx="8572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-8255</wp:posOffset>
            </wp:positionV>
            <wp:extent cx="8572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64" w:lineRule="exact"/>
        <w:rPr>
          <w:sz w:val="20"/>
          <w:szCs w:val="20"/>
          <w:color w:val="auto"/>
        </w:rPr>
      </w:pPr>
    </w:p>
    <w:p>
      <w:pPr>
        <w:ind w:left="380" w:hanging="372"/>
        <w:spacing w:after="0" w:line="217" w:lineRule="auto"/>
        <w:tabs>
          <w:tab w:leader="none" w:pos="380" w:val="left"/>
        </w:tabs>
        <w:numPr>
          <w:ilvl w:val="0"/>
          <w:numId w:val="16"/>
        </w:numPr>
        <w:rPr>
          <w:rFonts w:ascii="Arial" w:cs="Arial" w:eastAsia="Arial" w:hAnsi="Arial"/>
          <w:sz w:val="19"/>
          <w:szCs w:val="19"/>
          <w:color w:val="auto"/>
          <w:vertAlign w:val="superscript"/>
        </w:rPr>
      </w:pPr>
      <w:r>
        <w:rPr>
          <w:rFonts w:ascii="Arial" w:cs="Arial" w:eastAsia="Arial" w:hAnsi="Arial"/>
          <w:sz w:val="14"/>
          <w:szCs w:val="14"/>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52" w:lineRule="exact"/>
        <w:rPr>
          <w:rFonts w:ascii="Arial" w:cs="Arial" w:eastAsia="Arial" w:hAnsi="Arial"/>
          <w:sz w:val="19"/>
          <w:szCs w:val="19"/>
          <w:color w:val="auto"/>
          <w:vertAlign w:val="superscript"/>
        </w:rPr>
      </w:pPr>
    </w:p>
    <w:p>
      <w:pPr>
        <w:ind w:left="380" w:hanging="372"/>
        <w:spacing w:after="0"/>
        <w:tabs>
          <w:tab w:leader="none" w:pos="380" w:val="left"/>
        </w:tabs>
        <w:numPr>
          <w:ilvl w:val="0"/>
          <w:numId w:val="16"/>
        </w:numPr>
        <w:rPr>
          <w:rFonts w:ascii="Arial" w:cs="Arial" w:eastAsia="Arial" w:hAnsi="Arial"/>
          <w:sz w:val="19"/>
          <w:szCs w:val="19"/>
          <w:color w:val="auto"/>
          <w:vertAlign w:val="superscript"/>
        </w:rPr>
      </w:pPr>
      <w:r>
        <w:rPr>
          <w:rFonts w:ascii="Arial" w:cs="Arial" w:eastAsia="Arial" w:hAnsi="Arial"/>
          <w:sz w:val="14"/>
          <w:szCs w:val="14"/>
          <w:color w:val="auto"/>
        </w:rPr>
        <w:t>Interest income excludes amounts that are included in the segments’ income ($- million in 2023; $28 million in 2022).</w:t>
      </w:r>
    </w:p>
    <w:p>
      <w:pPr>
        <w:spacing w:after="0" w:line="72" w:lineRule="exact"/>
        <w:rPr>
          <w:rFonts w:ascii="Arial" w:cs="Arial" w:eastAsia="Arial" w:hAnsi="Arial"/>
          <w:sz w:val="19"/>
          <w:szCs w:val="19"/>
          <w:color w:val="auto"/>
          <w:vertAlign w:val="superscript"/>
        </w:rPr>
      </w:pPr>
    </w:p>
    <w:p>
      <w:pPr>
        <w:ind w:left="380" w:hanging="372"/>
        <w:spacing w:after="0" w:line="217" w:lineRule="auto"/>
        <w:tabs>
          <w:tab w:leader="none" w:pos="380" w:val="left"/>
        </w:tabs>
        <w:numPr>
          <w:ilvl w:val="0"/>
          <w:numId w:val="16"/>
        </w:numPr>
        <w:rPr>
          <w:rFonts w:ascii="Arial" w:cs="Arial" w:eastAsia="Arial" w:hAnsi="Arial"/>
          <w:sz w:val="19"/>
          <w:szCs w:val="19"/>
          <w:color w:val="auto"/>
          <w:vertAlign w:val="superscript"/>
        </w:rPr>
      </w:pPr>
      <w:r>
        <w:rPr>
          <w:rFonts w:ascii="Arial" w:cs="Arial" w:eastAsia="Arial" w:hAnsi="Arial"/>
          <w:sz w:val="14"/>
          <w:szCs w:val="14"/>
          <w:color w:val="auto"/>
        </w:rPr>
        <w:t>Interest expense excludes amounts that are included in the segments’ income ($7 million in 2023; $6 million in 2022).</w:t>
      </w:r>
    </w:p>
    <w:p>
      <w:pPr>
        <w:spacing w:after="0" w:line="72" w:lineRule="exact"/>
        <w:rPr>
          <w:rFonts w:ascii="Arial" w:cs="Arial" w:eastAsia="Arial" w:hAnsi="Arial"/>
          <w:sz w:val="19"/>
          <w:szCs w:val="19"/>
          <w:color w:val="auto"/>
          <w:vertAlign w:val="superscript"/>
        </w:rPr>
      </w:pPr>
    </w:p>
    <w:p>
      <w:pPr>
        <w:ind w:left="380" w:hanging="372"/>
        <w:spacing w:after="0" w:line="217" w:lineRule="auto"/>
        <w:tabs>
          <w:tab w:leader="none" w:pos="380" w:val="left"/>
        </w:tabs>
        <w:numPr>
          <w:ilvl w:val="0"/>
          <w:numId w:val="16"/>
        </w:numPr>
        <w:rPr>
          <w:rFonts w:ascii="Arial" w:cs="Arial" w:eastAsia="Arial" w:hAnsi="Arial"/>
          <w:sz w:val="19"/>
          <w:szCs w:val="19"/>
          <w:color w:val="auto"/>
          <w:vertAlign w:val="superscript"/>
        </w:rPr>
      </w:pPr>
      <w:r>
        <w:rPr>
          <w:rFonts w:ascii="Arial" w:cs="Arial" w:eastAsia="Arial" w:hAnsi="Arial"/>
          <w:sz w:val="14"/>
          <w:szCs w:val="14"/>
          <w:color w:val="auto"/>
        </w:rPr>
        <w:t xml:space="preserve">Charges and credits are described in detail in Note 2 to the </w:t>
      </w:r>
      <w:r>
        <w:rPr>
          <w:rFonts w:ascii="Arial" w:cs="Arial" w:eastAsia="Arial" w:hAnsi="Arial"/>
          <w:sz w:val="14"/>
          <w:szCs w:val="14"/>
          <w:i w:val="1"/>
          <w:iCs w:val="1"/>
          <w:color w:val="auto"/>
        </w:rPr>
        <w:t>Consolidated Financial Statements.</w:t>
      </w:r>
    </w:p>
    <w:p>
      <w:pPr>
        <w:spacing w:after="0" w:line="16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Six-month 2023 revenue of $15.83 billion increased 24% year on year led by Well Construction and Production Systems. On a geographic basis, year-on-year revenue growth was broad based with North America revenue increasing 22% due to strong land and offshore drilling and higher sales of production systems, while international revenue grew 25%. International growth was widespread across all areas, led by Europe &amp; Africa, which grew 29% primarily from higher sales of production systems in Europe and increased activity in offshore Africa. Latin America revenue increased 28% due to robust drilling activity and higher sales of production systems, while revenue in the Middle East &amp; Asia increased 20% due to higher drilling and intervention activity.</w:t>
      </w:r>
    </w:p>
    <w:p>
      <w:pPr>
        <w:spacing w:after="0" w:line="164"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Six-month 2023 pretax segment operating margin of 19% expanded by 264 bps as compared to the same period last year driven by higher activity, improved pricing, and a more favorable activity mix.</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Digital &amp; Integration</w:t>
      </w:r>
    </w:p>
    <w:p>
      <w:pPr>
        <w:spacing w:after="0" w:line="12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Six-month 2023 revenue of $1.84 billion increased 2% year on year, as strong growth in digital sales were largely offset by lower revenue in Asset Performance Solutions (“APS”) projects and decreased exploration data licensing sales. The APS revenue decline resulted primarily from a temporary production interruption in the projects in Ecuador during the first quarter of 2023 due to a pipeline disruption and lower commodity prices that impacted the project in Canada. The lower exploration data licensing sales were driven by the absence of the $95 million of transfer fees recorded in the second quarter of 2022.</w:t>
      </w:r>
    </w:p>
    <w:p>
      <w:pPr>
        <w:spacing w:after="0" w:line="164"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Year on year, pretax segment operating margin fell by 515 bps to 32% primarily due to the lower revenue from exploration data licenses and reduced profitability from APS projects.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Reservoir Performance</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Six-month 2023 revenue of $3.15 billion increased 24% year on year due primarily to increased activity internationally.</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6"/>
          <w:szCs w:val="16"/>
          <w:color w:val="auto"/>
        </w:rPr>
        <w:t>Year on year, pretax segment operating margin expanded by 346 bps to 17% primarily due to improved profitability in stimulation and evaluation activity.</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Well Construction</w:t>
      </w:r>
    </w:p>
    <w:p>
      <w:pPr>
        <w:spacing w:after="0" w:line="121"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color w:val="auto"/>
        </w:rPr>
        <w:t>Six-month 2023 revenue of $6.62 billion increased 30% year on year with double-digit growth across all areas, led by North America and Latin America which each grew more than 30%. Double-digit growth was driven by drilling fluids and measurements—both on higher land and offshore activity—along with improved pricing.</w:t>
      </w:r>
    </w:p>
    <w:p>
      <w:pPr>
        <w:spacing w:after="0" w:line="156" w:lineRule="exact"/>
        <w:rPr>
          <w:sz w:val="20"/>
          <w:szCs w:val="20"/>
          <w:color w:val="auto"/>
        </w:rPr>
      </w:pPr>
    </w:p>
    <w:p>
      <w:pPr>
        <w:jc w:val="both"/>
        <w:ind w:right="20"/>
        <w:spacing w:after="0" w:line="276" w:lineRule="auto"/>
        <w:rPr>
          <w:sz w:val="20"/>
          <w:szCs w:val="20"/>
          <w:color w:val="auto"/>
        </w:rPr>
      </w:pPr>
      <w:r>
        <w:rPr>
          <w:rFonts w:ascii="Arial" w:cs="Arial" w:eastAsia="Arial" w:hAnsi="Arial"/>
          <w:sz w:val="16"/>
          <w:szCs w:val="16"/>
          <w:color w:val="auto"/>
        </w:rPr>
        <w:t>Year on year, pretax segment operating margin expanded 431 bps to 21% with profitability improving across all geographic areas driven by the higher activity and improved pricing.</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Production Systems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Six-month 2023 revenue of $4.52 billion increased 29% driven by strong growth across all areas led by Europe &amp; Africa, North America and Latin America.</w:t>
      </w:r>
    </w:p>
    <w:p>
      <w:pPr>
        <w:spacing w:after="0" w:line="194" w:lineRule="exact"/>
        <w:rPr>
          <w:sz w:val="20"/>
          <w:szCs w:val="20"/>
          <w:color w:val="auto"/>
        </w:rPr>
      </w:pPr>
    </w:p>
    <w:p>
      <w:pPr>
        <w:jc w:val="both"/>
        <w:ind w:right="20"/>
        <w:spacing w:after="0" w:line="276" w:lineRule="auto"/>
        <w:rPr>
          <w:sz w:val="20"/>
          <w:szCs w:val="20"/>
          <w:color w:val="auto"/>
        </w:rPr>
      </w:pPr>
      <w:r>
        <w:rPr>
          <w:rFonts w:ascii="Arial" w:cs="Arial" w:eastAsia="Arial" w:hAnsi="Arial"/>
          <w:sz w:val="16"/>
          <w:szCs w:val="16"/>
          <w:color w:val="auto"/>
        </w:rPr>
        <w:t>Year on year, pretax segment operating margin expanded 254 bps to 11% mainly driven by higher artificial lift, surface production system, and subsea production system sales and the easing of supply chain constraints.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u w:val="single" w:color="auto"/>
          <w:color w:val="auto"/>
        </w:rPr>
        <w:t>Interest and Other Income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Interest &amp; other income </w:t>
      </w:r>
      <w:r>
        <w:rPr>
          <w:rFonts w:ascii="Arial" w:cs="Arial" w:eastAsia="Arial" w:hAnsi="Arial"/>
          <w:sz w:val="16"/>
          <w:szCs w:val="16"/>
          <w:color w:val="auto"/>
        </w:rPr>
        <w:t>consisted of the following:</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i w:val="1"/>
                <w:iCs w:val="1"/>
                <w:color w:val="auto"/>
              </w:rPr>
              <w:t>(Stated in millions)</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9"/>
        </w:trPr>
        <w:tc>
          <w:tcPr>
            <w:tcW w:w="5580" w:type="dxa"/>
            <w:vAlign w:val="bottom"/>
          </w:tcPr>
          <w:p>
            <w:pPr>
              <w:spacing w:after="0"/>
              <w:rPr>
                <w:sz w:val="24"/>
                <w:szCs w:val="24"/>
                <w:color w:val="auto"/>
              </w:rPr>
            </w:pPr>
          </w:p>
        </w:tc>
        <w:tc>
          <w:tcPr>
            <w:tcW w:w="900" w:type="dxa"/>
            <w:vAlign w:val="bottom"/>
          </w:tcPr>
          <w:p>
            <w:pPr>
              <w:jc w:val="center"/>
              <w:ind w:left="121"/>
              <w:spacing w:after="0"/>
              <w:rPr>
                <w:sz w:val="20"/>
                <w:szCs w:val="20"/>
                <w:color w:val="auto"/>
              </w:rPr>
            </w:pPr>
            <w:r>
              <w:rPr>
                <w:rFonts w:ascii="Arial" w:cs="Arial" w:eastAsia="Arial" w:hAnsi="Arial"/>
                <w:sz w:val="16"/>
                <w:szCs w:val="16"/>
                <w:b w:val="1"/>
                <w:bCs w:val="1"/>
                <w:color w:val="auto"/>
              </w:rPr>
              <w:t>Second</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Six Months</w:t>
            </w: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5580" w:type="dxa"/>
            <w:vAlign w:val="bottom"/>
          </w:tcPr>
          <w:p>
            <w:pPr>
              <w:spacing w:after="0"/>
              <w:rPr>
                <w:sz w:val="18"/>
                <w:szCs w:val="18"/>
                <w:color w:val="auto"/>
              </w:rPr>
            </w:pPr>
          </w:p>
        </w:tc>
        <w:tc>
          <w:tcPr>
            <w:tcW w:w="900" w:type="dxa"/>
            <w:vAlign w:val="bottom"/>
          </w:tcPr>
          <w:p>
            <w:pPr>
              <w:jc w:val="center"/>
              <w:ind w:left="161"/>
              <w:spacing w:after="0"/>
              <w:rPr>
                <w:sz w:val="20"/>
                <w:szCs w:val="20"/>
                <w:color w:val="auto"/>
              </w:rPr>
            </w:pPr>
            <w:r>
              <w:rPr>
                <w:rFonts w:ascii="Arial" w:cs="Arial" w:eastAsia="Arial" w:hAnsi="Arial"/>
                <w:sz w:val="16"/>
                <w:szCs w:val="16"/>
                <w:b w:val="1"/>
                <w:bCs w:val="1"/>
                <w:color w:val="auto"/>
              </w:rPr>
              <w:t>Quarter</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6"/>
                <w:szCs w:val="16"/>
                <w:color w:val="auto"/>
              </w:rPr>
              <w:t>First Quarter</w:t>
            </w:r>
          </w:p>
        </w:tc>
        <w:tc>
          <w:tcPr>
            <w:tcW w:w="2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vMerge w:val="continue"/>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80" w:type="dxa"/>
            <w:vAlign w:val="bottom"/>
          </w:tcPr>
          <w:p>
            <w:pPr>
              <w:spacing w:after="0"/>
              <w:rPr>
                <w:sz w:val="18"/>
                <w:szCs w:val="18"/>
                <w:color w:val="auto"/>
              </w:rPr>
            </w:pPr>
          </w:p>
        </w:tc>
        <w:tc>
          <w:tcPr>
            <w:tcW w:w="900" w:type="dxa"/>
            <w:vAlign w:val="bottom"/>
            <w:tcBorders>
              <w:bottom w:val="single" w:sz="8" w:color="auto"/>
            </w:tcBorders>
          </w:tcPr>
          <w:p>
            <w:pPr>
              <w:jc w:val="center"/>
              <w:ind w:left="141"/>
              <w:spacing w:after="0"/>
              <w:rPr>
                <w:sz w:val="20"/>
                <w:szCs w:val="20"/>
                <w:color w:val="auto"/>
              </w:rPr>
            </w:pPr>
            <w:r>
              <w:rPr>
                <w:rFonts w:ascii="Arial" w:cs="Arial" w:eastAsia="Arial" w:hAnsi="Arial"/>
                <w:sz w:val="16"/>
                <w:szCs w:val="16"/>
                <w:b w:val="1"/>
                <w:bCs w:val="1"/>
                <w:color w:val="auto"/>
              </w:rPr>
              <w:t>2023</w:t>
            </w:r>
          </w:p>
        </w:tc>
        <w:tc>
          <w:tcPr>
            <w:tcW w:w="2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2023</w:t>
            </w:r>
          </w:p>
        </w:tc>
        <w:tc>
          <w:tcPr>
            <w:tcW w:w="3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2023</w:t>
            </w:r>
          </w:p>
        </w:tc>
        <w:tc>
          <w:tcPr>
            <w:tcW w:w="3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80" w:type="dxa"/>
            <w:vAlign w:val="bottom"/>
            <w:shd w:val="clear" w:color="auto" w:fill="CFF0FC"/>
          </w:tcPr>
          <w:p>
            <w:pPr>
              <w:ind w:left="20"/>
              <w:spacing w:after="0"/>
              <w:rPr>
                <w:sz w:val="20"/>
                <w:szCs w:val="20"/>
                <w:color w:val="auto"/>
              </w:rPr>
            </w:pPr>
            <w:r>
              <w:rPr>
                <w:rFonts w:ascii="Arial" w:cs="Arial" w:eastAsia="Arial" w:hAnsi="Arial"/>
                <w:sz w:val="16"/>
                <w:szCs w:val="16"/>
                <w:color w:val="auto"/>
              </w:rPr>
              <w:t>Earnings of equity method investments</w:t>
            </w:r>
          </w:p>
        </w:tc>
        <w:tc>
          <w:tcPr>
            <w:tcW w:w="900" w:type="dxa"/>
            <w:vAlign w:val="bottom"/>
            <w:shd w:val="clear" w:color="auto" w:fill="CFF0FC"/>
          </w:tcPr>
          <w:p>
            <w:pPr>
              <w:jc w:val="right"/>
              <w:ind w:right="741"/>
              <w:spacing w:after="0"/>
              <w:rPr>
                <w:sz w:val="20"/>
                <w:szCs w:val="20"/>
                <w:color w:val="auto"/>
              </w:rPr>
            </w:pPr>
            <w:r>
              <w:rPr>
                <w:rFonts w:ascii="Arial" w:cs="Arial" w:eastAsia="Arial" w:hAnsi="Arial"/>
                <w:sz w:val="15"/>
                <w:szCs w:val="15"/>
                <w:b w:val="1"/>
                <w:bCs w:val="1"/>
                <w:color w:val="auto"/>
                <w:w w:val="71"/>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63</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102</w:t>
            </w:r>
          </w:p>
        </w:tc>
        <w:tc>
          <w:tcPr>
            <w:tcW w:w="640" w:type="dxa"/>
            <w:vAlign w:val="bottom"/>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9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19</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36</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FF0FC"/>
          </w:tcPr>
          <w:p>
            <w:pPr>
              <w:ind w:left="20"/>
              <w:spacing w:after="0"/>
              <w:rPr>
                <w:sz w:val="20"/>
                <w:szCs w:val="20"/>
                <w:color w:val="auto"/>
              </w:rPr>
            </w:pPr>
            <w:r>
              <w:rPr>
                <w:rFonts w:ascii="Arial" w:cs="Arial" w:eastAsia="Arial" w:hAnsi="Arial"/>
                <w:sz w:val="16"/>
                <w:szCs w:val="16"/>
                <w:color w:val="auto"/>
              </w:rPr>
              <w:t>Gain on sale of Liberty shares</w:t>
            </w: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36</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242</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Borders>
              <w:bottom w:val="single" w:sz="8" w:color="CFF0FC"/>
            </w:tcBorders>
          </w:tcPr>
          <w:p>
            <w:pPr>
              <w:ind w:left="20"/>
              <w:spacing w:after="0"/>
              <w:rPr>
                <w:sz w:val="20"/>
                <w:szCs w:val="20"/>
                <w:color w:val="auto"/>
              </w:rPr>
            </w:pPr>
            <w:r>
              <w:rPr>
                <w:rFonts w:ascii="Arial" w:cs="Arial" w:eastAsia="Arial" w:hAnsi="Arial"/>
                <w:sz w:val="16"/>
                <w:szCs w:val="16"/>
                <w:color w:val="auto"/>
              </w:rPr>
              <w:t>Gain on sale of real estate</w:t>
            </w:r>
          </w:p>
        </w:tc>
        <w:tc>
          <w:tcPr>
            <w:tcW w:w="9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58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741"/>
              <w:spacing w:after="0"/>
              <w:rPr>
                <w:sz w:val="20"/>
                <w:szCs w:val="20"/>
                <w:color w:val="auto"/>
              </w:rPr>
            </w:pPr>
            <w:r>
              <w:rPr>
                <w:rFonts w:ascii="Arial" w:cs="Arial" w:eastAsia="Arial" w:hAnsi="Arial"/>
                <w:sz w:val="15"/>
                <w:szCs w:val="15"/>
                <w:b w:val="1"/>
                <w:bCs w:val="1"/>
                <w:color w:val="auto"/>
                <w:w w:val="71"/>
              </w:rPr>
              <w:t>$</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82</w:t>
            </w:r>
          </w:p>
        </w:tc>
        <w:tc>
          <w:tcPr>
            <w:tcW w:w="2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92</w:t>
            </w:r>
          </w:p>
        </w:tc>
        <w:tc>
          <w:tcPr>
            <w:tcW w:w="3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174</w:t>
            </w:r>
          </w:p>
        </w:tc>
        <w:tc>
          <w:tcPr>
            <w:tcW w:w="3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361</w:t>
            </w:r>
          </w:p>
        </w:tc>
        <w:tc>
          <w:tcPr>
            <w:tcW w:w="1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-25400</wp:posOffset>
            </wp:positionV>
            <wp:extent cx="8572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-7620</wp:posOffset>
            </wp:positionV>
            <wp:extent cx="8572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-170815</wp:posOffset>
            </wp:positionV>
            <wp:extent cx="8572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-25400</wp:posOffset>
            </wp:positionV>
            <wp:extent cx="8572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-7620</wp:posOffset>
            </wp:positionV>
            <wp:extent cx="8572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-170815</wp:posOffset>
            </wp:positionV>
            <wp:extent cx="8572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-25400</wp:posOffset>
            </wp:positionV>
            <wp:extent cx="8572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-7620</wp:posOffset>
            </wp:positionV>
            <wp:extent cx="8572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-170815</wp:posOffset>
            </wp:positionV>
            <wp:extent cx="8572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-25400</wp:posOffset>
            </wp:positionV>
            <wp:extent cx="8572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-170815</wp:posOffset>
            </wp:positionV>
            <wp:extent cx="8572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59" w:lineRule="exact"/>
        <w:rPr>
          <w:sz w:val="20"/>
          <w:szCs w:val="20"/>
          <w:color w:val="auto"/>
        </w:rPr>
      </w:pPr>
    </w:p>
    <w:p>
      <w:pPr>
        <w:jc w:val="both"/>
        <w:ind w:right="20"/>
        <w:spacing w:after="0" w:line="276" w:lineRule="auto"/>
        <w:rPr>
          <w:sz w:val="20"/>
          <w:szCs w:val="20"/>
          <w:color w:val="auto"/>
        </w:rPr>
      </w:pPr>
      <w:r>
        <w:rPr>
          <w:rFonts w:ascii="Arial" w:cs="Arial" w:eastAsia="Arial" w:hAnsi="Arial"/>
          <w:sz w:val="16"/>
          <w:szCs w:val="16"/>
          <w:color w:val="auto"/>
        </w:rPr>
        <w:t>Earnings of equity method investments for the second quarter of 2023 increased $24 million as compared to the first quarter of 2023 driven primarily by increased profitability in certain of SLB's seismic-related investments.</w:t>
      </w:r>
    </w:p>
    <w:p>
      <w:pPr>
        <w:spacing w:after="0" w:line="144"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color w:val="auto"/>
        </w:rPr>
        <w:t>Earnings of equity method investments for the first six months of 2023 increased $59 million as compared to the same period of 2022 driven primarily due to SLB's share of net income associated with its investment in Liberty and increased profitability of certain seismic-related investments. During the first quarter of 2023, SLB sold all of its remaining approximately 9 million shares of Liberty.</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u w:val="single" w:color="auto"/>
          <w:color w:val="auto"/>
        </w:rPr>
        <w:t>Other</w:t>
      </w:r>
    </w:p>
    <w:p>
      <w:pPr>
        <w:spacing w:after="0" w:line="117"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i w:val="1"/>
          <w:iCs w:val="1"/>
          <w:color w:val="auto"/>
        </w:rPr>
        <w:t xml:space="preserve">Research &amp; engineering </w:t>
      </w:r>
      <w:r>
        <w:rPr>
          <w:rFonts w:ascii="Arial" w:cs="Arial" w:eastAsia="Arial" w:hAnsi="Arial"/>
          <w:sz w:val="16"/>
          <w:szCs w:val="16"/>
          <w:color w:val="auto"/>
        </w:rPr>
        <w:t>and</w:t>
      </w:r>
      <w:r>
        <w:rPr>
          <w:rFonts w:ascii="Arial" w:cs="Arial" w:eastAsia="Arial" w:hAnsi="Arial"/>
          <w:sz w:val="16"/>
          <w:szCs w:val="16"/>
          <w:i w:val="1"/>
          <w:iCs w:val="1"/>
          <w:color w:val="auto"/>
        </w:rPr>
        <w:t xml:space="preserve"> General &amp; administrative </w:t>
      </w:r>
      <w:r>
        <w:rPr>
          <w:rFonts w:ascii="Arial" w:cs="Arial" w:eastAsia="Arial" w:hAnsi="Arial"/>
          <w:sz w:val="16"/>
          <w:szCs w:val="16"/>
          <w:color w:val="auto"/>
        </w:rPr>
        <w:t>expenses, as a percentage of</w:t>
      </w:r>
      <w:r>
        <w:rPr>
          <w:rFonts w:ascii="Arial" w:cs="Arial" w:eastAsia="Arial" w:hAnsi="Arial"/>
          <w:sz w:val="16"/>
          <w:szCs w:val="16"/>
          <w:i w:val="1"/>
          <w:iCs w:val="1"/>
          <w:color w:val="auto"/>
        </w:rPr>
        <w:t xml:space="preserve"> Revenue</w:t>
      </w:r>
      <w:r>
        <w:rPr>
          <w:rFonts w:ascii="Arial" w:cs="Arial" w:eastAsia="Arial" w:hAnsi="Arial"/>
          <w:sz w:val="16"/>
          <w:szCs w:val="16"/>
          <w:color w:val="auto"/>
        </w:rPr>
        <w:t>, for the second quarter and first quarter of 2023 and the first</w:t>
      </w:r>
      <w:r>
        <w:rPr>
          <w:rFonts w:ascii="Arial" w:cs="Arial" w:eastAsia="Arial" w:hAnsi="Arial"/>
          <w:sz w:val="16"/>
          <w:szCs w:val="16"/>
          <w:i w:val="1"/>
          <w:iCs w:val="1"/>
          <w:color w:val="auto"/>
        </w:rPr>
        <w:t xml:space="preserve"> </w:t>
      </w:r>
      <w:r>
        <w:rPr>
          <w:rFonts w:ascii="Arial" w:cs="Arial" w:eastAsia="Arial" w:hAnsi="Arial"/>
          <w:sz w:val="16"/>
          <w:szCs w:val="16"/>
          <w:color w:val="auto"/>
        </w:rPr>
        <w:t>six months of 2023 and 2022 were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460" w:type="dxa"/>
            <w:vAlign w:val="bottom"/>
          </w:tcPr>
          <w:p>
            <w:pPr>
              <w:spacing w:after="0"/>
              <w:rPr>
                <w:sz w:val="19"/>
                <w:szCs w:val="19"/>
                <w:color w:val="auto"/>
              </w:rPr>
            </w:pPr>
          </w:p>
        </w:tc>
        <w:tc>
          <w:tcPr>
            <w:tcW w:w="960" w:type="dxa"/>
            <w:vAlign w:val="bottom"/>
          </w:tcPr>
          <w:p>
            <w:pPr>
              <w:jc w:val="center"/>
              <w:ind w:left="199"/>
              <w:spacing w:after="0"/>
              <w:rPr>
                <w:sz w:val="20"/>
                <w:szCs w:val="20"/>
                <w:color w:val="auto"/>
              </w:rPr>
            </w:pPr>
            <w:r>
              <w:rPr>
                <w:rFonts w:ascii="Arial" w:cs="Arial" w:eastAsia="Arial" w:hAnsi="Arial"/>
                <w:sz w:val="16"/>
                <w:szCs w:val="16"/>
                <w:b w:val="1"/>
                <w:bCs w:val="1"/>
                <w:color w:val="auto"/>
              </w:rPr>
              <w:t>Second</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6"/>
                <w:szCs w:val="16"/>
                <w:color w:val="auto"/>
              </w:rPr>
              <w:t>First</w:t>
            </w:r>
          </w:p>
        </w:tc>
        <w:tc>
          <w:tcPr>
            <w:tcW w:w="1780" w:type="dxa"/>
            <w:vAlign w:val="bottom"/>
            <w:gridSpan w:val="3"/>
            <w:vMerge w:val="restart"/>
          </w:tcPr>
          <w:p>
            <w:pPr>
              <w:ind w:left="880"/>
              <w:spacing w:after="0"/>
              <w:rPr>
                <w:sz w:val="20"/>
                <w:szCs w:val="20"/>
                <w:color w:val="auto"/>
              </w:rPr>
            </w:pPr>
            <w:r>
              <w:rPr>
                <w:rFonts w:ascii="Arial" w:cs="Arial" w:eastAsia="Arial" w:hAnsi="Arial"/>
                <w:sz w:val="16"/>
                <w:szCs w:val="16"/>
                <w:b w:val="1"/>
                <w:bCs w:val="1"/>
                <w:color w:val="auto"/>
              </w:rPr>
              <w:t>Six Months</w:t>
            </w: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460" w:type="dxa"/>
            <w:vAlign w:val="bottom"/>
          </w:tcPr>
          <w:p>
            <w:pPr>
              <w:spacing w:after="0"/>
              <w:rPr>
                <w:sz w:val="18"/>
                <w:szCs w:val="18"/>
                <w:color w:val="auto"/>
              </w:rPr>
            </w:pPr>
          </w:p>
        </w:tc>
        <w:tc>
          <w:tcPr>
            <w:tcW w:w="960" w:type="dxa"/>
            <w:vAlign w:val="bottom"/>
          </w:tcPr>
          <w:p>
            <w:pPr>
              <w:jc w:val="center"/>
              <w:ind w:left="199"/>
              <w:spacing w:after="0"/>
              <w:rPr>
                <w:sz w:val="20"/>
                <w:szCs w:val="20"/>
                <w:color w:val="auto"/>
              </w:rPr>
            </w:pPr>
            <w:r>
              <w:rPr>
                <w:rFonts w:ascii="Arial" w:cs="Arial" w:eastAsia="Arial" w:hAnsi="Arial"/>
                <w:sz w:val="16"/>
                <w:szCs w:val="16"/>
                <w:b w:val="1"/>
                <w:bCs w:val="1"/>
                <w:color w:val="auto"/>
              </w:rPr>
              <w:t>Quarter</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6"/>
                <w:szCs w:val="16"/>
                <w:color w:val="auto"/>
              </w:rPr>
              <w:t>Quarter</w:t>
            </w:r>
          </w:p>
        </w:tc>
        <w:tc>
          <w:tcPr>
            <w:tcW w:w="1780" w:type="dxa"/>
            <w:vAlign w:val="bottom"/>
            <w:tcBorders>
              <w:bottom w:val="single" w:sz="8" w:color="auto"/>
            </w:tcBorders>
            <w:gridSpan w:val="3"/>
            <w:vMerge w:val="continue"/>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60" w:type="dxa"/>
            <w:vAlign w:val="bottom"/>
          </w:tcPr>
          <w:p>
            <w:pPr>
              <w:spacing w:after="0"/>
              <w:rPr>
                <w:sz w:val="18"/>
                <w:szCs w:val="18"/>
                <w:color w:val="auto"/>
              </w:rPr>
            </w:pPr>
          </w:p>
        </w:tc>
        <w:tc>
          <w:tcPr>
            <w:tcW w:w="960" w:type="dxa"/>
            <w:vAlign w:val="bottom"/>
            <w:tcBorders>
              <w:bottom w:val="single" w:sz="8" w:color="auto"/>
            </w:tcBorders>
          </w:tcPr>
          <w:p>
            <w:pPr>
              <w:jc w:val="center"/>
              <w:ind w:left="199"/>
              <w:spacing w:after="0"/>
              <w:rPr>
                <w:sz w:val="20"/>
                <w:szCs w:val="20"/>
                <w:color w:val="auto"/>
              </w:rPr>
            </w:pPr>
            <w:r>
              <w:rPr>
                <w:rFonts w:ascii="Arial" w:cs="Arial" w:eastAsia="Arial" w:hAnsi="Arial"/>
                <w:sz w:val="16"/>
                <w:szCs w:val="16"/>
                <w:b w:val="1"/>
                <w:bCs w:val="1"/>
                <w:color w:val="auto"/>
              </w:rPr>
              <w:t>2023</w:t>
            </w:r>
          </w:p>
        </w:tc>
        <w:tc>
          <w:tcPr>
            <w:tcW w:w="2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2023</w:t>
            </w:r>
          </w:p>
        </w:tc>
        <w:tc>
          <w:tcPr>
            <w:tcW w:w="280" w:type="dxa"/>
            <w:vAlign w:val="bottom"/>
          </w:tcPr>
          <w:p>
            <w:pPr>
              <w:spacing w:after="0"/>
              <w:rPr>
                <w:sz w:val="18"/>
                <w:szCs w:val="18"/>
                <w:color w:val="auto"/>
              </w:rPr>
            </w:pPr>
          </w:p>
        </w:tc>
        <w:tc>
          <w:tcPr>
            <w:tcW w:w="11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2023</w:t>
            </w:r>
          </w:p>
        </w:tc>
        <w:tc>
          <w:tcPr>
            <w:tcW w:w="2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2022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2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Research &amp; engineering</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2.0</w:t>
            </w:r>
          </w:p>
        </w:tc>
        <w:tc>
          <w:tcPr>
            <w:tcW w:w="260" w:type="dxa"/>
            <w:vAlign w:val="bottom"/>
            <w:shd w:val="clear" w:color="auto" w:fill="CFF0FC"/>
          </w:tcPr>
          <w:p>
            <w:pPr>
              <w:jc w:val="right"/>
              <w:ind w:right="19"/>
              <w:spacing w:after="0"/>
              <w:rPr>
                <w:sz w:val="20"/>
                <w:szCs w:val="20"/>
                <w:color w:val="auto"/>
              </w:rPr>
            </w:pPr>
            <w:r>
              <w:rPr>
                <w:rFonts w:ascii="Arial" w:cs="Arial" w:eastAsia="Arial" w:hAnsi="Arial"/>
                <w:sz w:val="16"/>
                <w:szCs w:val="16"/>
                <w:b w:val="1"/>
                <w:bCs w:val="1"/>
                <w:color w:val="auto"/>
                <w:w w:val="98"/>
              </w:rPr>
              <w:t>%</w:t>
            </w:r>
          </w:p>
        </w:tc>
        <w:tc>
          <w:tcPr>
            <w:tcW w:w="15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2.3 %</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2.1</w:t>
            </w:r>
          </w:p>
        </w:tc>
        <w:tc>
          <w:tcPr>
            <w:tcW w:w="260" w:type="dxa"/>
            <w:vAlign w:val="bottom"/>
            <w:shd w:val="clear" w:color="auto" w:fill="CFF0FC"/>
          </w:tcPr>
          <w:p>
            <w:pPr>
              <w:jc w:val="right"/>
              <w:ind w:right="19"/>
              <w:spacing w:after="0"/>
              <w:rPr>
                <w:sz w:val="20"/>
                <w:szCs w:val="20"/>
                <w:color w:val="auto"/>
              </w:rPr>
            </w:pPr>
            <w:r>
              <w:rPr>
                <w:rFonts w:ascii="Arial" w:cs="Arial" w:eastAsia="Arial" w:hAnsi="Arial"/>
                <w:sz w:val="16"/>
                <w:szCs w:val="16"/>
                <w:b w:val="1"/>
                <w:bCs w:val="1"/>
                <w:color w:val="auto"/>
                <w:w w:val="98"/>
              </w:rPr>
              <w:t>%</w:t>
            </w:r>
          </w:p>
        </w:tc>
        <w:tc>
          <w:tcPr>
            <w:tcW w:w="4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ind w:left="600"/>
              <w:spacing w:after="0"/>
              <w:rPr>
                <w:sz w:val="20"/>
                <w:szCs w:val="20"/>
                <w:color w:val="auto"/>
              </w:rPr>
            </w:pPr>
            <w:r>
              <w:rPr>
                <w:rFonts w:ascii="Arial" w:cs="Arial" w:eastAsia="Arial" w:hAnsi="Arial"/>
                <w:sz w:val="16"/>
                <w:szCs w:val="16"/>
                <w:color w:val="auto"/>
                <w:w w:val="87"/>
              </w:rPr>
              <w:t>2.3 %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420" w:type="dxa"/>
            <w:vAlign w:val="bottom"/>
            <w:gridSpan w:val="2"/>
          </w:tcPr>
          <w:p>
            <w:pPr>
              <w:ind w:left="20"/>
              <w:spacing w:after="0"/>
              <w:rPr>
                <w:sz w:val="20"/>
                <w:szCs w:val="20"/>
                <w:color w:val="auto"/>
              </w:rPr>
            </w:pPr>
            <w:r>
              <w:rPr>
                <w:rFonts w:ascii="Arial" w:cs="Arial" w:eastAsia="Arial" w:hAnsi="Arial"/>
                <w:sz w:val="16"/>
                <w:szCs w:val="16"/>
                <w:color w:val="auto"/>
              </w:rPr>
              <w:t>General &amp; administrative</w:t>
            </w:r>
          </w:p>
        </w:tc>
        <w:tc>
          <w:tcPr>
            <w:tcW w:w="54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1.2 %</w:t>
            </w:r>
          </w:p>
        </w:tc>
        <w:tc>
          <w:tcPr>
            <w:tcW w:w="1520" w:type="dxa"/>
            <w:vAlign w:val="bottom"/>
            <w:gridSpan w:val="2"/>
          </w:tcPr>
          <w:p>
            <w:pPr>
              <w:jc w:val="right"/>
              <w:ind w:right="120"/>
              <w:spacing w:after="0"/>
              <w:rPr>
                <w:sz w:val="20"/>
                <w:szCs w:val="20"/>
                <w:color w:val="auto"/>
              </w:rPr>
            </w:pPr>
            <w:r>
              <w:rPr>
                <w:rFonts w:ascii="Arial" w:cs="Arial" w:eastAsia="Arial" w:hAnsi="Arial"/>
                <w:sz w:val="16"/>
                <w:szCs w:val="16"/>
                <w:color w:val="auto"/>
              </w:rPr>
              <w:t>1.2 %</w:t>
            </w:r>
          </w:p>
        </w:tc>
        <w:tc>
          <w:tcPr>
            <w:tcW w:w="138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1.2 %</w:t>
            </w:r>
          </w:p>
        </w:tc>
        <w:tc>
          <w:tcPr>
            <w:tcW w:w="400" w:type="dxa"/>
            <w:vAlign w:val="bottom"/>
          </w:tcPr>
          <w:p>
            <w:pPr>
              <w:spacing w:after="0"/>
              <w:rPr>
                <w:sz w:val="19"/>
                <w:szCs w:val="19"/>
                <w:color w:val="auto"/>
              </w:rPr>
            </w:pPr>
          </w:p>
        </w:tc>
        <w:tc>
          <w:tcPr>
            <w:tcW w:w="1000" w:type="dxa"/>
            <w:vAlign w:val="bottom"/>
            <w:gridSpan w:val="3"/>
          </w:tcPr>
          <w:p>
            <w:pPr>
              <w:ind w:left="600"/>
              <w:spacing w:after="0"/>
              <w:rPr>
                <w:sz w:val="20"/>
                <w:szCs w:val="20"/>
                <w:color w:val="auto"/>
              </w:rPr>
            </w:pPr>
            <w:r>
              <w:rPr>
                <w:rFonts w:ascii="Arial" w:cs="Arial" w:eastAsia="Arial" w:hAnsi="Arial"/>
                <w:sz w:val="16"/>
                <w:szCs w:val="16"/>
                <w:color w:val="auto"/>
                <w:w w:val="92"/>
              </w:rPr>
              <w:t>1.4 %</w:t>
            </w:r>
          </w:p>
        </w:tc>
        <w:tc>
          <w:tcPr>
            <w:tcW w:w="0" w:type="dxa"/>
            <w:vAlign w:val="bottom"/>
          </w:tcPr>
          <w:p>
            <w:pPr>
              <w:spacing w:after="0"/>
              <w:rPr>
                <w:sz w:val="1"/>
                <w:szCs w:val="1"/>
                <w:color w:val="auto"/>
              </w:rPr>
            </w:pPr>
          </w:p>
        </w:tc>
      </w:tr>
    </w:tbl>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The effective tax rate for the second quarter of 2023 was 19.0%, compared to 18.7% for the first quarter of 2023.</w:t>
      </w:r>
    </w:p>
    <w:p>
      <w:pPr>
        <w:spacing w:after="0" w:line="194"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color w:val="auto"/>
        </w:rPr>
        <w:t xml:space="preserve">The effective tax rate for the first six months of 2023 was 18.9%, as compared to 16.8% for the same period of 2022. The increase in the effective tax rate was primarily due to the credits described in Note 2 to the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 These credits reduced the effective tax rate during the first six months of 2022 by two percentage points.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u w:val="single" w:color="auto"/>
          <w:color w:val="auto"/>
        </w:rPr>
        <w:t>Charges and Credits</w:t>
      </w:r>
    </w:p>
    <w:p>
      <w:pPr>
        <w:spacing w:after="0" w:line="121" w:lineRule="exact"/>
        <w:rPr>
          <w:sz w:val="20"/>
          <w:szCs w:val="20"/>
          <w:color w:val="auto"/>
        </w:rPr>
      </w:pPr>
    </w:p>
    <w:p>
      <w:pPr>
        <w:jc w:val="both"/>
        <w:ind w:right="20"/>
        <w:spacing w:after="0" w:line="256" w:lineRule="auto"/>
        <w:rPr>
          <w:sz w:val="20"/>
          <w:szCs w:val="20"/>
          <w:color w:val="auto"/>
        </w:rPr>
      </w:pPr>
      <w:r>
        <w:rPr>
          <w:rFonts w:ascii="Arial" w:cs="Arial" w:eastAsia="Arial" w:hAnsi="Arial"/>
          <w:sz w:val="16"/>
          <w:szCs w:val="16"/>
          <w:color w:val="auto"/>
        </w:rPr>
        <w:t xml:space="preserve">On December 31, 2020, SLB contributed its onshore hydraulic fracturing business in the United States and Canada, including its pressure pumping, pumpdown perforating and Permian frac sand business to Liberty in exchange for an equity interest in Liberty. During the first quarter of 2023, SLB sold all of its remaining approximately 9 million shares of Liberty and received net proceeds of $137 million. As a result, SLB recognized a gain of $36 million, which is classified in </w:t>
      </w:r>
      <w:r>
        <w:rPr>
          <w:rFonts w:ascii="Arial" w:cs="Arial" w:eastAsia="Arial" w:hAnsi="Arial"/>
          <w:sz w:val="16"/>
          <w:szCs w:val="16"/>
          <w:i w:val="1"/>
          <w:iCs w:val="1"/>
          <w:color w:val="auto"/>
        </w:rPr>
        <w:t>Interest &amp; other income</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SLB did not record any charges or credits during the second quarter of 2023.</w:t>
      </w: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18" w:name="page19"/>
    <w:bookmarkEnd w:id="18"/>
    <w:p>
      <w:pPr>
        <w:spacing w:after="0" w:line="281" w:lineRule="auto"/>
        <w:rPr>
          <w:sz w:val="20"/>
          <w:szCs w:val="20"/>
          <w:color w:val="auto"/>
        </w:rPr>
      </w:pPr>
      <w:r>
        <w:rPr>
          <w:rFonts w:ascii="Arial" w:cs="Arial" w:eastAsia="Arial" w:hAnsi="Arial"/>
          <w:sz w:val="16"/>
          <w:szCs w:val="16"/>
          <w:color w:val="auto"/>
        </w:rPr>
        <w:t xml:space="preserve">SLB recorded the following credits during the first six months of 2022, all of which are classified in </w:t>
      </w:r>
      <w:r>
        <w:rPr>
          <w:rFonts w:ascii="Arial" w:cs="Arial" w:eastAsia="Arial" w:hAnsi="Arial"/>
          <w:sz w:val="16"/>
          <w:szCs w:val="16"/>
          <w:i w:val="1"/>
          <w:iCs w:val="1"/>
          <w:color w:val="auto"/>
        </w:rPr>
        <w:t>Interest &amp; other income</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w:t>
      </w:r>
      <w:r>
        <w:rPr>
          <w:rFonts w:ascii="Arial" w:cs="Arial" w:eastAsia="Arial" w:hAnsi="Arial"/>
          <w:sz w:val="16"/>
          <w:szCs w:val="16"/>
          <w:color w:val="auto"/>
        </w:rPr>
        <w:t xml:space="preserve"> </w:t>
      </w:r>
      <w:r>
        <w:rPr>
          <w:rFonts w:ascii="Arial" w:cs="Arial" w:eastAsia="Arial" w:hAnsi="Arial"/>
          <w:sz w:val="16"/>
          <w:szCs w:val="16"/>
          <w:i w:val="1"/>
          <w:iCs w:val="1"/>
          <w:color w:val="auto"/>
        </w:rPr>
        <w:t>Income</w:t>
      </w:r>
      <w:r>
        <w:rPr>
          <w:rFonts w:ascii="Arial" w:cs="Arial" w:eastAsia="Arial" w:hAnsi="Arial"/>
          <w:sz w:val="16"/>
          <w:szCs w:val="16"/>
          <w:color w:val="auto"/>
        </w:rPr>
        <w:t>.</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4"/>
                <w:szCs w:val="14"/>
                <w:i w:val="1"/>
                <w:iCs w:val="1"/>
                <w:color w:val="auto"/>
              </w:rPr>
              <w:t>(Stated in millions)</w:t>
            </w:r>
          </w:p>
        </w:tc>
      </w:tr>
      <w:tr>
        <w:trPr>
          <w:trHeight w:val="441"/>
        </w:trPr>
        <w:tc>
          <w:tcPr>
            <w:tcW w:w="6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tcPr>
          <w:p>
            <w:pPr>
              <w:jc w:val="right"/>
              <w:ind w:right="520"/>
              <w:spacing w:after="0"/>
              <w:rPr>
                <w:sz w:val="20"/>
                <w:szCs w:val="20"/>
                <w:color w:val="auto"/>
              </w:rPr>
            </w:pPr>
            <w:r>
              <w:rPr>
                <w:rFonts w:ascii="Arial" w:cs="Arial" w:eastAsia="Arial" w:hAnsi="Arial"/>
                <w:sz w:val="16"/>
                <w:szCs w:val="16"/>
                <w:color w:val="auto"/>
              </w:rPr>
              <w:t>Pretax Credit</w:t>
            </w:r>
          </w:p>
        </w:tc>
        <w:tc>
          <w:tcPr>
            <w:tcW w:w="160" w:type="dxa"/>
            <w:vAlign w:val="bottom"/>
          </w:tcPr>
          <w:p>
            <w:pPr>
              <w:spacing w:after="0"/>
              <w:rPr>
                <w:sz w:val="24"/>
                <w:szCs w:val="24"/>
                <w:color w:val="auto"/>
              </w:rPr>
            </w:pPr>
          </w:p>
        </w:tc>
        <w:tc>
          <w:tcPr>
            <w:tcW w:w="1520" w:type="dxa"/>
            <w:vAlign w:val="bottom"/>
            <w:gridSpan w:val="2"/>
          </w:tcPr>
          <w:p>
            <w:pPr>
              <w:jc w:val="right"/>
              <w:ind w:right="540"/>
              <w:spacing w:after="0"/>
              <w:rPr>
                <w:sz w:val="20"/>
                <w:szCs w:val="20"/>
                <w:color w:val="auto"/>
              </w:rPr>
            </w:pPr>
            <w:r>
              <w:rPr>
                <w:rFonts w:ascii="Arial" w:cs="Arial" w:eastAsia="Arial" w:hAnsi="Arial"/>
                <w:sz w:val="16"/>
                <w:szCs w:val="16"/>
                <w:color w:val="auto"/>
              </w:rPr>
              <w:t>Tax Expense</w:t>
            </w:r>
          </w:p>
        </w:tc>
        <w:tc>
          <w:tcPr>
            <w:tcW w:w="120" w:type="dxa"/>
            <w:vAlign w:val="bottom"/>
          </w:tcPr>
          <w:p>
            <w:pPr>
              <w:spacing w:after="0"/>
              <w:rPr>
                <w:sz w:val="24"/>
                <w:szCs w:val="24"/>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6"/>
                <w:szCs w:val="16"/>
                <w:color w:val="auto"/>
              </w:rPr>
              <w:t>Net</w:t>
            </w:r>
          </w:p>
        </w:tc>
      </w:tr>
      <w:tr>
        <w:trPr>
          <w:trHeight w:val="212"/>
        </w:trPr>
        <w:tc>
          <w:tcPr>
            <w:tcW w:w="640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First quarter:</w:t>
            </w:r>
          </w:p>
        </w:tc>
        <w:tc>
          <w:tcPr>
            <w:tcW w:w="1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3"/>
        </w:trPr>
        <w:tc>
          <w:tcPr>
            <w:tcW w:w="6400" w:type="dxa"/>
            <w:vAlign w:val="bottom"/>
          </w:tcPr>
          <w:p>
            <w:pPr>
              <w:ind w:left="200"/>
              <w:spacing w:after="0"/>
              <w:rPr>
                <w:sz w:val="20"/>
                <w:szCs w:val="20"/>
                <w:color w:val="auto"/>
              </w:rPr>
            </w:pPr>
            <w:r>
              <w:rPr>
                <w:rFonts w:ascii="Arial" w:cs="Arial" w:eastAsia="Arial" w:hAnsi="Arial"/>
                <w:sz w:val="16"/>
                <w:szCs w:val="16"/>
                <w:color w:val="auto"/>
              </w:rPr>
              <w:t>Gain on sale of Liberty shares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gridSpan w:val="2"/>
          </w:tcPr>
          <w:p>
            <w:pPr>
              <w:jc w:val="right"/>
              <w:ind w:right="240"/>
              <w:spacing w:after="0"/>
              <w:rPr>
                <w:sz w:val="20"/>
                <w:szCs w:val="20"/>
                <w:color w:val="auto"/>
              </w:rPr>
            </w:pPr>
            <w:r>
              <w:rPr>
                <w:rFonts w:ascii="Arial" w:cs="Arial" w:eastAsia="Arial" w:hAnsi="Arial"/>
                <w:sz w:val="16"/>
                <w:szCs w:val="16"/>
                <w:color w:val="auto"/>
              </w:rPr>
              <w:t>(26 )</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gridSpan w:val="2"/>
          </w:tcPr>
          <w:p>
            <w:pPr>
              <w:jc w:val="right"/>
              <w:ind w:right="260"/>
              <w:spacing w:after="0"/>
              <w:rPr>
                <w:sz w:val="20"/>
                <w:szCs w:val="20"/>
                <w:color w:val="auto"/>
              </w:rPr>
            </w:pPr>
            <w:r>
              <w:rPr>
                <w:rFonts w:ascii="Arial" w:cs="Arial" w:eastAsia="Arial" w:hAnsi="Arial"/>
                <w:sz w:val="16"/>
                <w:szCs w:val="16"/>
                <w:color w:val="auto"/>
              </w:rPr>
              <w:t>(4 )</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(22 )</w:t>
            </w:r>
          </w:p>
        </w:tc>
      </w:tr>
      <w:tr>
        <w:trPr>
          <w:trHeight w:val="219"/>
        </w:trPr>
        <w:tc>
          <w:tcPr>
            <w:tcW w:w="640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Second quarter:</w:t>
            </w: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13"/>
        </w:trPr>
        <w:tc>
          <w:tcPr>
            <w:tcW w:w="6400" w:type="dxa"/>
            <w:vAlign w:val="bottom"/>
          </w:tcPr>
          <w:p>
            <w:pPr>
              <w:ind w:left="200"/>
              <w:spacing w:after="0"/>
              <w:rPr>
                <w:sz w:val="20"/>
                <w:szCs w:val="20"/>
                <w:color w:val="auto"/>
              </w:rPr>
            </w:pPr>
            <w:r>
              <w:rPr>
                <w:rFonts w:ascii="Arial" w:cs="Arial" w:eastAsia="Arial" w:hAnsi="Arial"/>
                <w:sz w:val="16"/>
                <w:szCs w:val="16"/>
                <w:color w:val="auto"/>
              </w:rPr>
              <w:t>Gain on sale of Liberty shares</w:t>
            </w:r>
          </w:p>
        </w:tc>
        <w:tc>
          <w:tcPr>
            <w:tcW w:w="16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6"/>
                <w:szCs w:val="16"/>
                <w:color w:val="auto"/>
              </w:rPr>
              <w:t>(216 )</w:t>
            </w:r>
          </w:p>
        </w:tc>
        <w:tc>
          <w:tcPr>
            <w:tcW w:w="160" w:type="dxa"/>
            <w:vAlign w:val="bottom"/>
          </w:tcPr>
          <w:p>
            <w:pPr>
              <w:spacing w:after="0"/>
              <w:rPr>
                <w:sz w:val="18"/>
                <w:szCs w:val="18"/>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6"/>
                <w:szCs w:val="16"/>
                <w:color w:val="auto"/>
              </w:rPr>
              <w:t>(13 )</w:t>
            </w:r>
          </w:p>
        </w:tc>
        <w:tc>
          <w:tcPr>
            <w:tcW w:w="12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(203 )</w:t>
            </w:r>
          </w:p>
        </w:tc>
      </w:tr>
      <w:tr>
        <w:trPr>
          <w:trHeight w:val="216"/>
        </w:trPr>
        <w:tc>
          <w:tcPr>
            <w:tcW w:w="64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Gain on sale of real estate</w:t>
            </w:r>
          </w:p>
        </w:tc>
        <w:tc>
          <w:tcPr>
            <w:tcW w:w="1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(43 )</w:t>
            </w:r>
          </w:p>
        </w:tc>
        <w:tc>
          <w:tcPr>
            <w:tcW w:w="1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(2 )</w:t>
            </w:r>
          </w:p>
        </w:tc>
        <w:tc>
          <w:tcPr>
            <w:tcW w:w="1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(41 )</w:t>
            </w:r>
          </w:p>
        </w:tc>
      </w:tr>
      <w:tr>
        <w:trPr>
          <w:trHeight w:val="20"/>
        </w:trPr>
        <w:tc>
          <w:tcPr>
            <w:tcW w:w="6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64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gridSpan w:val="2"/>
          </w:tcPr>
          <w:p>
            <w:pPr>
              <w:jc w:val="right"/>
              <w:ind w:right="240"/>
              <w:spacing w:after="0"/>
              <w:rPr>
                <w:sz w:val="20"/>
                <w:szCs w:val="20"/>
                <w:color w:val="auto"/>
              </w:rPr>
            </w:pPr>
            <w:r>
              <w:rPr>
                <w:rFonts w:ascii="Arial" w:cs="Arial" w:eastAsia="Arial" w:hAnsi="Arial"/>
                <w:sz w:val="16"/>
                <w:szCs w:val="16"/>
                <w:color w:val="auto"/>
              </w:rPr>
              <w:t>(285 )</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gridSpan w:val="2"/>
          </w:tcPr>
          <w:p>
            <w:pPr>
              <w:jc w:val="right"/>
              <w:ind w:right="260"/>
              <w:spacing w:after="0"/>
              <w:rPr>
                <w:sz w:val="20"/>
                <w:szCs w:val="20"/>
                <w:color w:val="auto"/>
              </w:rPr>
            </w:pPr>
            <w:r>
              <w:rPr>
                <w:rFonts w:ascii="Arial" w:cs="Arial" w:eastAsia="Arial" w:hAnsi="Arial"/>
                <w:sz w:val="16"/>
                <w:szCs w:val="16"/>
                <w:color w:val="auto"/>
              </w:rPr>
              <w:t>(19 )</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(266 )</w:t>
            </w:r>
          </w:p>
        </w:tc>
      </w:tr>
      <w:tr>
        <w:trPr>
          <w:trHeight w:val="20"/>
        </w:trPr>
        <w:tc>
          <w:tcPr>
            <w:tcW w:w="6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u w:val="single" w:color="auto"/>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Details of the components of liquidity as well as changes in liquidity are as follows:</w:t>
      </w:r>
    </w:p>
    <w:p>
      <w:pPr>
        <w:spacing w:after="0" w:line="262" w:lineRule="exact"/>
        <w:rPr>
          <w:sz w:val="20"/>
          <w:szCs w:val="20"/>
          <w:color w:val="auto"/>
        </w:rPr>
      </w:pPr>
    </w:p>
    <w:p>
      <w:pPr>
        <w:ind w:left="9900"/>
        <w:spacing w:after="0"/>
        <w:rPr>
          <w:sz w:val="20"/>
          <w:szCs w:val="20"/>
          <w:color w:val="auto"/>
        </w:rPr>
      </w:pPr>
      <w:r>
        <w:rPr>
          <w:rFonts w:ascii="Arial" w:cs="Arial" w:eastAsia="Arial" w:hAnsi="Arial"/>
          <w:sz w:val="14"/>
          <w:szCs w:val="14"/>
          <w:i w:val="1"/>
          <w:iCs w:val="1"/>
          <w:color w:val="auto"/>
        </w:rPr>
        <w:t>(Stated in millions)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6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Components of Liquidity:</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Cash</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6"/>
          <w:szCs w:val="16"/>
          <w:color w:val="auto"/>
        </w:rPr>
        <w:t>Short-term investments</w:t>
      </w:r>
    </w:p>
    <w:p>
      <w:pPr>
        <w:spacing w:after="0" w:line="32" w:lineRule="exact"/>
        <w:rPr>
          <w:sz w:val="20"/>
          <w:szCs w:val="20"/>
          <w:color w:val="auto"/>
        </w:rPr>
      </w:pPr>
    </w:p>
    <w:p>
      <w:pPr>
        <w:ind w:left="20" w:right="1380"/>
        <w:spacing w:after="0" w:line="298" w:lineRule="auto"/>
        <w:rPr>
          <w:sz w:val="20"/>
          <w:szCs w:val="20"/>
          <w:color w:val="auto"/>
        </w:rPr>
      </w:pPr>
      <w:r>
        <w:rPr>
          <w:rFonts w:ascii="Arial" w:cs="Arial" w:eastAsia="Arial" w:hAnsi="Arial"/>
          <w:sz w:val="16"/>
          <w:szCs w:val="16"/>
          <w:color w:val="auto"/>
        </w:rPr>
        <w:t>Short-term borrowings and current portion of long-term debt Long-term debt</w:t>
      </w:r>
    </w:p>
    <w:p>
      <w:pPr>
        <w:ind w:left="20"/>
        <w:spacing w:after="0"/>
        <w:rPr>
          <w:sz w:val="20"/>
          <w:szCs w:val="20"/>
          <w:color w:val="auto"/>
        </w:rPr>
      </w:pPr>
      <w:r>
        <w:rPr>
          <w:rFonts w:ascii="Arial" w:cs="Arial" w:eastAsia="Arial" w:hAnsi="Arial"/>
          <w:sz w:val="16"/>
          <w:szCs w:val="16"/>
          <w:color w:val="auto"/>
        </w:rPr>
        <w:t xml:space="preserve">Net debt </w:t>
      </w:r>
      <w:r>
        <w:rPr>
          <w:rFonts w:ascii="Arial" w:cs="Arial" w:eastAsia="Arial" w:hAnsi="Arial"/>
          <w:sz w:val="21"/>
          <w:szCs w:val="21"/>
          <w:color w:val="auto"/>
          <w:vertAlign w:val="superscript"/>
        </w:rPr>
        <w:t>(1)</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1440" w:type="dxa"/>
            <w:vAlign w:val="bottom"/>
            <w:gridSpan w:val="2"/>
          </w:tcPr>
          <w:p>
            <w:pPr>
              <w:jc w:val="right"/>
              <w:ind w:right="619"/>
              <w:spacing w:after="0"/>
              <w:rPr>
                <w:sz w:val="20"/>
                <w:szCs w:val="20"/>
                <w:color w:val="auto"/>
              </w:rPr>
            </w:pPr>
            <w:r>
              <w:rPr>
                <w:rFonts w:ascii="Arial" w:cs="Arial" w:eastAsia="Arial" w:hAnsi="Arial"/>
                <w:sz w:val="16"/>
                <w:szCs w:val="16"/>
                <w:b w:val="1"/>
                <w:bCs w:val="1"/>
                <w:color w:val="auto"/>
              </w:rPr>
              <w:t>Jun. 30,</w:t>
            </w:r>
          </w:p>
        </w:tc>
        <w:tc>
          <w:tcPr>
            <w:tcW w:w="240" w:type="dxa"/>
            <w:vAlign w:val="bottom"/>
          </w:tcPr>
          <w:p>
            <w:pPr>
              <w:spacing w:after="0"/>
              <w:rPr>
                <w:sz w:val="18"/>
                <w:szCs w:val="18"/>
                <w:color w:val="auto"/>
              </w:rPr>
            </w:pPr>
          </w:p>
        </w:tc>
        <w:tc>
          <w:tcPr>
            <w:tcW w:w="1440" w:type="dxa"/>
            <w:vAlign w:val="bottom"/>
            <w:gridSpan w:val="2"/>
          </w:tcPr>
          <w:p>
            <w:pPr>
              <w:jc w:val="right"/>
              <w:ind w:right="720"/>
              <w:spacing w:after="0"/>
              <w:rPr>
                <w:sz w:val="20"/>
                <w:szCs w:val="20"/>
                <w:color w:val="auto"/>
              </w:rPr>
            </w:pPr>
            <w:r>
              <w:rPr>
                <w:rFonts w:ascii="Arial" w:cs="Arial" w:eastAsia="Arial" w:hAnsi="Arial"/>
                <w:sz w:val="16"/>
                <w:szCs w:val="16"/>
                <w:color w:val="auto"/>
              </w:rPr>
              <w:t>Jun. 30,</w:t>
            </w:r>
          </w:p>
        </w:tc>
        <w:tc>
          <w:tcPr>
            <w:tcW w:w="22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6"/>
                <w:szCs w:val="16"/>
                <w:color w:val="auto"/>
              </w:rPr>
              <w:t>Dec. 31,</w:t>
            </w:r>
          </w:p>
        </w:tc>
        <w:tc>
          <w:tcPr>
            <w:tcW w:w="0" w:type="dxa"/>
            <w:vAlign w:val="bottom"/>
          </w:tcPr>
          <w:p>
            <w:pPr>
              <w:spacing w:after="0"/>
              <w:rPr>
                <w:sz w:val="1"/>
                <w:szCs w:val="1"/>
                <w:color w:val="auto"/>
              </w:rPr>
            </w:pPr>
          </w:p>
        </w:tc>
      </w:tr>
      <w:tr>
        <w:trPr>
          <w:trHeight w:val="221"/>
        </w:trPr>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w:t>
            </w:r>
          </w:p>
        </w:tc>
        <w:tc>
          <w:tcPr>
            <w:tcW w:w="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2022</w:t>
            </w:r>
          </w:p>
        </w:tc>
        <w:tc>
          <w:tcPr>
            <w:tcW w:w="3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2022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1,930</w:t>
            </w:r>
          </w:p>
        </w:tc>
        <w:tc>
          <w:tcPr>
            <w:tcW w:w="32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1,893</w:t>
            </w:r>
          </w:p>
        </w:tc>
        <w:tc>
          <w:tcPr>
            <w:tcW w:w="32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1,655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1,264</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923</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440" w:type="dxa"/>
            <w:vAlign w:val="bottom"/>
            <w:gridSpan w:val="2"/>
          </w:tcPr>
          <w:p>
            <w:pPr>
              <w:jc w:val="right"/>
              <w:ind w:right="159"/>
              <w:spacing w:after="0"/>
              <w:rPr>
                <w:sz w:val="20"/>
                <w:szCs w:val="20"/>
                <w:color w:val="auto"/>
              </w:rPr>
            </w:pPr>
            <w:r>
              <w:rPr>
                <w:rFonts w:ascii="Arial" w:cs="Arial" w:eastAsia="Arial" w:hAnsi="Arial"/>
                <w:sz w:val="16"/>
                <w:szCs w:val="16"/>
                <w:b w:val="1"/>
                <w:bCs w:val="1"/>
                <w:color w:val="auto"/>
              </w:rPr>
              <w:t>(1,993 )</w:t>
            </w:r>
          </w:p>
        </w:tc>
        <w:tc>
          <w:tcPr>
            <w:tcW w:w="24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6"/>
                <w:szCs w:val="16"/>
                <w:color w:val="auto"/>
              </w:rPr>
              <w:t>(901 )</w:t>
            </w:r>
          </w:p>
        </w:tc>
        <w:tc>
          <w:tcPr>
            <w:tcW w:w="2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(1,632 )</w:t>
            </w:r>
          </w:p>
        </w:tc>
        <w:tc>
          <w:tcPr>
            <w:tcW w:w="0" w:type="dxa"/>
            <w:vAlign w:val="bottom"/>
          </w:tcPr>
          <w:p>
            <w:pPr>
              <w:spacing w:after="0"/>
              <w:rPr>
                <w:sz w:val="1"/>
                <w:szCs w:val="1"/>
                <w:color w:val="auto"/>
              </w:rPr>
            </w:pPr>
          </w:p>
        </w:tc>
      </w:tr>
      <w:tr>
        <w:trPr>
          <w:trHeight w:val="221"/>
        </w:trPr>
        <w:tc>
          <w:tcPr>
            <w:tcW w:w="240" w:type="dxa"/>
            <w:vAlign w:val="bottom"/>
          </w:tcPr>
          <w:p>
            <w:pPr>
              <w:spacing w:after="0"/>
              <w:rPr>
                <w:sz w:val="19"/>
                <w:szCs w:val="19"/>
                <w:color w:val="auto"/>
              </w:rPr>
            </w:pPr>
          </w:p>
        </w:tc>
        <w:tc>
          <w:tcPr>
            <w:tcW w:w="1440" w:type="dxa"/>
            <w:vAlign w:val="bottom"/>
            <w:gridSpan w:val="2"/>
          </w:tcPr>
          <w:p>
            <w:pPr>
              <w:jc w:val="right"/>
              <w:ind w:right="159"/>
              <w:spacing w:after="0"/>
              <w:rPr>
                <w:sz w:val="20"/>
                <w:szCs w:val="20"/>
                <w:color w:val="auto"/>
              </w:rPr>
            </w:pPr>
            <w:r>
              <w:rPr>
                <w:rFonts w:ascii="Arial" w:cs="Arial" w:eastAsia="Arial" w:hAnsi="Arial"/>
                <w:sz w:val="16"/>
                <w:szCs w:val="16"/>
                <w:b w:val="1"/>
                <w:bCs w:val="1"/>
                <w:color w:val="auto"/>
              </w:rPr>
              <w:t>(11,342 )</w:t>
            </w:r>
          </w:p>
        </w:tc>
        <w:tc>
          <w:tcPr>
            <w:tcW w:w="240" w:type="dxa"/>
            <w:vAlign w:val="bottom"/>
          </w:tcPr>
          <w:p>
            <w:pPr>
              <w:spacing w:after="0"/>
              <w:rPr>
                <w:sz w:val="19"/>
                <w:szCs w:val="19"/>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6"/>
                <w:szCs w:val="16"/>
                <w:color w:val="auto"/>
              </w:rPr>
              <w:t>(12,946 )</w:t>
            </w:r>
          </w:p>
        </w:tc>
        <w:tc>
          <w:tcPr>
            <w:tcW w:w="22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(10,594 )</w:t>
            </w: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(10,141</w:t>
            </w:r>
          </w:p>
        </w:tc>
        <w:tc>
          <w:tcPr>
            <w:tcW w:w="320" w:type="dxa"/>
            <w:vAlign w:val="bottom"/>
            <w:vMerge w:val="continue"/>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gridSpan w:val="2"/>
          </w:tcPr>
          <w:p>
            <w:pPr>
              <w:jc w:val="right"/>
              <w:ind w:right="260"/>
              <w:spacing w:after="0"/>
              <w:rPr>
                <w:sz w:val="20"/>
                <w:szCs w:val="20"/>
                <w:color w:val="auto"/>
              </w:rPr>
            </w:pPr>
            <w:r>
              <w:rPr>
                <w:rFonts w:ascii="Arial" w:cs="Arial" w:eastAsia="Arial" w:hAnsi="Arial"/>
                <w:sz w:val="16"/>
                <w:szCs w:val="16"/>
                <w:color w:val="auto"/>
              </w:rPr>
              <w:t>(11,031 )</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(9,332 )</w:t>
            </w:r>
          </w:p>
        </w:tc>
        <w:tc>
          <w:tcPr>
            <w:tcW w:w="0" w:type="dxa"/>
            <w:vAlign w:val="bottom"/>
          </w:tcPr>
          <w:p>
            <w:pPr>
              <w:spacing w:after="0"/>
              <w:rPr>
                <w:sz w:val="1"/>
                <w:szCs w:val="1"/>
                <w:color w:val="auto"/>
              </w:rPr>
            </w:pP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-4058285</wp:posOffset>
            </wp:positionH>
            <wp:positionV relativeFrom="paragraph">
              <wp:posOffset>-719455</wp:posOffset>
            </wp:positionV>
            <wp:extent cx="7132320" cy="13716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-445135</wp:posOffset>
            </wp:positionV>
            <wp:extent cx="7132320" cy="13716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-161925</wp:posOffset>
            </wp:positionV>
            <wp:extent cx="7132320" cy="16256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80" w:space="720"/>
            <w:col w:w="4840"/>
          </w:cols>
          <w:pgMar w:left="320" w:top="125" w:right="339" w:bottom="1440" w:gutter="0" w:footer="0" w:header="0"/>
          <w:type w:val="continuous"/>
        </w:sectPr>
      </w:pP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320" w:type="dxa"/>
            <w:vAlign w:val="bottom"/>
            <w:gridSpan w:val="5"/>
          </w:tcPr>
          <w:p>
            <w:pPr>
              <w:jc w:val="right"/>
              <w:ind w:right="880"/>
              <w:spacing w:after="0"/>
              <w:rPr>
                <w:sz w:val="20"/>
                <w:szCs w:val="20"/>
                <w:color w:val="auto"/>
              </w:rPr>
            </w:pPr>
            <w:r>
              <w:rPr>
                <w:rFonts w:ascii="Arial" w:cs="Arial" w:eastAsia="Arial" w:hAnsi="Arial"/>
                <w:sz w:val="16"/>
                <w:szCs w:val="16"/>
                <w:b w:val="1"/>
                <w:bCs w:val="1"/>
                <w:color w:val="auto"/>
              </w:rPr>
              <w:t>Six Months Ended Jun. 30,</w:t>
            </w:r>
          </w:p>
        </w:tc>
      </w:tr>
      <w:tr>
        <w:trPr>
          <w:trHeight w:val="209"/>
        </w:trPr>
        <w:tc>
          <w:tcPr>
            <w:tcW w:w="7560" w:type="dxa"/>
            <w:vAlign w:val="bottom"/>
          </w:tcPr>
          <w:p>
            <w:pPr>
              <w:ind w:left="20"/>
              <w:spacing w:after="0"/>
              <w:rPr>
                <w:sz w:val="20"/>
                <w:szCs w:val="20"/>
                <w:color w:val="auto"/>
              </w:rPr>
            </w:pPr>
            <w:r>
              <w:rPr>
                <w:rFonts w:ascii="Arial" w:cs="Arial" w:eastAsia="Arial" w:hAnsi="Arial"/>
                <w:sz w:val="16"/>
                <w:szCs w:val="16"/>
                <w:b w:val="1"/>
                <w:bCs w:val="1"/>
                <w:color w:val="auto"/>
              </w:rPr>
              <w:t>Changes in Liquidity:</w:t>
            </w: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2023</w:t>
            </w:r>
          </w:p>
        </w:tc>
        <w:tc>
          <w:tcPr>
            <w:tcW w:w="36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color w:val="auto"/>
              </w:rPr>
              <w:t>2022</w:t>
            </w:r>
          </w:p>
        </w:tc>
        <w:tc>
          <w:tcPr>
            <w:tcW w:w="140" w:type="dxa"/>
            <w:vAlign w:val="bottom"/>
          </w:tcPr>
          <w:p>
            <w:pPr>
              <w:spacing w:after="0"/>
              <w:rPr>
                <w:sz w:val="18"/>
                <w:szCs w:val="18"/>
                <w:color w:val="auto"/>
              </w:rPr>
            </w:pPr>
          </w:p>
        </w:tc>
      </w:tr>
      <w:tr>
        <w:trPr>
          <w:trHeight w:val="210"/>
        </w:trPr>
        <w:tc>
          <w:tcPr>
            <w:tcW w:w="75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income</w:t>
            </w:r>
          </w:p>
        </w:tc>
        <w:tc>
          <w:tcPr>
            <w:tcW w:w="360" w:type="dxa"/>
            <w:vAlign w:val="bottom"/>
            <w:shd w:val="clear" w:color="auto" w:fill="CFF0FC"/>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1,990</w:t>
            </w:r>
          </w:p>
        </w:tc>
        <w:tc>
          <w:tcPr>
            <w:tcW w:w="36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1,490</w:t>
            </w:r>
          </w:p>
        </w:tc>
        <w:tc>
          <w:tcPr>
            <w:tcW w:w="140" w:type="dxa"/>
            <w:vAlign w:val="bottom"/>
            <w:shd w:val="clear" w:color="auto" w:fill="CFF0FC"/>
          </w:tcPr>
          <w:p>
            <w:pPr>
              <w:spacing w:after="0"/>
              <w:rPr>
                <w:sz w:val="18"/>
                <w:szCs w:val="18"/>
                <w:color w:val="auto"/>
              </w:rPr>
            </w:pPr>
          </w:p>
        </w:tc>
      </w:tr>
      <w:tr>
        <w:trPr>
          <w:trHeight w:val="216"/>
        </w:trPr>
        <w:tc>
          <w:tcPr>
            <w:tcW w:w="7560" w:type="dxa"/>
            <w:vAlign w:val="bottom"/>
          </w:tcPr>
          <w:p>
            <w:pPr>
              <w:ind w:left="20"/>
              <w:spacing w:after="0"/>
              <w:rPr>
                <w:sz w:val="20"/>
                <w:szCs w:val="20"/>
                <w:color w:val="auto"/>
              </w:rPr>
            </w:pPr>
            <w:r>
              <w:rPr>
                <w:rFonts w:ascii="Arial" w:cs="Arial" w:eastAsia="Arial" w:hAnsi="Arial"/>
                <w:sz w:val="16"/>
                <w:szCs w:val="16"/>
                <w:color w:val="auto"/>
              </w:rPr>
              <w:t>Gain on sale of Liberty shares</w:t>
            </w:r>
          </w:p>
        </w:tc>
        <w:tc>
          <w:tcPr>
            <w:tcW w:w="360" w:type="dxa"/>
            <w:vAlign w:val="bottom"/>
          </w:tcPr>
          <w:p>
            <w:pPr>
              <w:spacing w:after="0"/>
              <w:rPr>
                <w:sz w:val="18"/>
                <w:szCs w:val="18"/>
                <w:color w:val="auto"/>
              </w:rPr>
            </w:pPr>
          </w:p>
        </w:tc>
        <w:tc>
          <w:tcPr>
            <w:tcW w:w="1580" w:type="dxa"/>
            <w:vAlign w:val="bottom"/>
            <w:gridSpan w:val="2"/>
          </w:tcPr>
          <w:p>
            <w:pPr>
              <w:jc w:val="right"/>
              <w:ind w:right="199"/>
              <w:spacing w:after="0"/>
              <w:rPr>
                <w:sz w:val="20"/>
                <w:szCs w:val="20"/>
                <w:color w:val="auto"/>
              </w:rPr>
            </w:pPr>
            <w:r>
              <w:rPr>
                <w:rFonts w:ascii="Arial" w:cs="Arial" w:eastAsia="Arial" w:hAnsi="Arial"/>
                <w:sz w:val="16"/>
                <w:szCs w:val="16"/>
                <w:b w:val="1"/>
                <w:bCs w:val="1"/>
                <w:color w:val="auto"/>
              </w:rPr>
              <w:t>(36 )</w:t>
            </w:r>
          </w:p>
        </w:tc>
        <w:tc>
          <w:tcPr>
            <w:tcW w:w="36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6"/>
                <w:szCs w:val="16"/>
                <w:color w:val="auto"/>
              </w:rPr>
              <w:t>(242 )</w:t>
            </w:r>
          </w:p>
        </w:tc>
      </w:tr>
      <w:tr>
        <w:trPr>
          <w:trHeight w:val="216"/>
        </w:trPr>
        <w:tc>
          <w:tcPr>
            <w:tcW w:w="7560" w:type="dxa"/>
            <w:vAlign w:val="bottom"/>
            <w:shd w:val="clear" w:color="auto" w:fill="CFF0FC"/>
          </w:tcPr>
          <w:p>
            <w:pPr>
              <w:ind w:left="20"/>
              <w:spacing w:after="0"/>
              <w:rPr>
                <w:sz w:val="20"/>
                <w:szCs w:val="20"/>
                <w:color w:val="auto"/>
              </w:rPr>
            </w:pPr>
            <w:r>
              <w:rPr>
                <w:rFonts w:ascii="Arial" w:cs="Arial" w:eastAsia="Arial" w:hAnsi="Arial"/>
                <w:sz w:val="16"/>
                <w:szCs w:val="16"/>
                <w:color w:val="auto"/>
              </w:rPr>
              <w:t>Gain on sale of real estate</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3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(43 )</w:t>
            </w:r>
          </w:p>
        </w:tc>
      </w:tr>
      <w:tr>
        <w:trPr>
          <w:trHeight w:val="216"/>
        </w:trPr>
        <w:tc>
          <w:tcPr>
            <w:tcW w:w="756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Depreciation and amortization </w:t>
            </w:r>
            <w:r>
              <w:rPr>
                <w:rFonts w:ascii="Arial" w:cs="Arial" w:eastAsia="Arial" w:hAnsi="Arial"/>
                <w:sz w:val="21"/>
                <w:szCs w:val="21"/>
                <w:color w:val="auto"/>
                <w:vertAlign w:val="superscript"/>
              </w:rPr>
              <w:t>(2)</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1,124</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1,065</w:t>
            </w:r>
          </w:p>
        </w:tc>
        <w:tc>
          <w:tcPr>
            <w:tcW w:w="140" w:type="dxa"/>
            <w:vAlign w:val="bottom"/>
          </w:tcPr>
          <w:p>
            <w:pPr>
              <w:spacing w:after="0"/>
              <w:rPr>
                <w:sz w:val="18"/>
                <w:szCs w:val="18"/>
                <w:color w:val="auto"/>
              </w:rPr>
            </w:pPr>
          </w:p>
        </w:tc>
      </w:tr>
      <w:tr>
        <w:trPr>
          <w:trHeight w:val="216"/>
        </w:trPr>
        <w:tc>
          <w:tcPr>
            <w:tcW w:w="7560" w:type="dxa"/>
            <w:vAlign w:val="bottom"/>
            <w:shd w:val="clear" w:color="auto" w:fill="CFF0FC"/>
          </w:tcPr>
          <w:p>
            <w:pPr>
              <w:ind w:left="20"/>
              <w:spacing w:after="0"/>
              <w:rPr>
                <w:sz w:val="20"/>
                <w:szCs w:val="20"/>
                <w:color w:val="auto"/>
              </w:rPr>
            </w:pPr>
            <w:r>
              <w:rPr>
                <w:rFonts w:ascii="Arial" w:cs="Arial" w:eastAsia="Arial" w:hAnsi="Arial"/>
                <w:sz w:val="16"/>
                <w:szCs w:val="16"/>
                <w:color w:val="auto"/>
              </w:rPr>
              <w:t>Earnings of equity method investments, less dividends received</w:t>
            </w:r>
          </w:p>
        </w:tc>
        <w:tc>
          <w:tcPr>
            <w:tcW w:w="36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199"/>
              <w:spacing w:after="0"/>
              <w:rPr>
                <w:sz w:val="20"/>
                <w:szCs w:val="20"/>
                <w:color w:val="auto"/>
              </w:rPr>
            </w:pPr>
            <w:r>
              <w:rPr>
                <w:rFonts w:ascii="Arial" w:cs="Arial" w:eastAsia="Arial" w:hAnsi="Arial"/>
                <w:sz w:val="16"/>
                <w:szCs w:val="16"/>
                <w:b w:val="1"/>
                <w:bCs w:val="1"/>
                <w:color w:val="auto"/>
              </w:rPr>
              <w:t>(79 )</w:t>
            </w: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(22 )</w:t>
            </w:r>
          </w:p>
        </w:tc>
      </w:tr>
      <w:tr>
        <w:trPr>
          <w:trHeight w:val="216"/>
        </w:trPr>
        <w:tc>
          <w:tcPr>
            <w:tcW w:w="7560" w:type="dxa"/>
            <w:vAlign w:val="bottom"/>
          </w:tcPr>
          <w:p>
            <w:pPr>
              <w:ind w:left="20"/>
              <w:spacing w:after="0"/>
              <w:rPr>
                <w:sz w:val="20"/>
                <w:szCs w:val="20"/>
                <w:color w:val="auto"/>
              </w:rPr>
            </w:pPr>
            <w:r>
              <w:rPr>
                <w:rFonts w:ascii="Arial" w:cs="Arial" w:eastAsia="Arial" w:hAnsi="Arial"/>
                <w:sz w:val="16"/>
                <w:szCs w:val="16"/>
                <w:color w:val="auto"/>
              </w:rPr>
              <w:t>Deferred taxes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118</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w:t>
            </w:r>
          </w:p>
        </w:tc>
        <w:tc>
          <w:tcPr>
            <w:tcW w:w="140" w:type="dxa"/>
            <w:vAlign w:val="bottom"/>
          </w:tcPr>
          <w:p>
            <w:pPr>
              <w:spacing w:after="0"/>
              <w:rPr>
                <w:sz w:val="18"/>
                <w:szCs w:val="18"/>
                <w:color w:val="auto"/>
              </w:rPr>
            </w:pPr>
          </w:p>
        </w:tc>
      </w:tr>
      <w:tr>
        <w:trPr>
          <w:trHeight w:val="216"/>
        </w:trPr>
        <w:tc>
          <w:tcPr>
            <w:tcW w:w="7560" w:type="dxa"/>
            <w:vAlign w:val="bottom"/>
            <w:shd w:val="clear" w:color="auto" w:fill="CFF0FC"/>
          </w:tcPr>
          <w:p>
            <w:pPr>
              <w:ind w:left="20"/>
              <w:spacing w:after="0"/>
              <w:rPr>
                <w:sz w:val="20"/>
                <w:szCs w:val="20"/>
                <w:color w:val="auto"/>
              </w:rPr>
            </w:pPr>
            <w:r>
              <w:rPr>
                <w:rFonts w:ascii="Arial" w:cs="Arial" w:eastAsia="Arial" w:hAnsi="Arial"/>
                <w:sz w:val="16"/>
                <w:szCs w:val="16"/>
                <w:color w:val="auto"/>
              </w:rPr>
              <w:t>Stock-based compensation expense</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160</w:t>
            </w:r>
          </w:p>
        </w:tc>
        <w:tc>
          <w:tcPr>
            <w:tcW w:w="3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160</w:t>
            </w:r>
          </w:p>
        </w:tc>
        <w:tc>
          <w:tcPr>
            <w:tcW w:w="140" w:type="dxa"/>
            <w:vAlign w:val="bottom"/>
            <w:shd w:val="clear" w:color="auto" w:fill="CFF0FC"/>
          </w:tcPr>
          <w:p>
            <w:pPr>
              <w:spacing w:after="0"/>
              <w:rPr>
                <w:sz w:val="18"/>
                <w:szCs w:val="18"/>
                <w:color w:val="auto"/>
              </w:rPr>
            </w:pPr>
          </w:p>
        </w:tc>
      </w:tr>
      <w:tr>
        <w:trPr>
          <w:trHeight w:val="216"/>
        </w:trPr>
        <w:tc>
          <w:tcPr>
            <w:tcW w:w="7560" w:type="dxa"/>
            <w:vAlign w:val="bottom"/>
          </w:tcPr>
          <w:p>
            <w:pPr>
              <w:ind w:left="20"/>
              <w:spacing w:after="0"/>
              <w:rPr>
                <w:sz w:val="20"/>
                <w:szCs w:val="20"/>
                <w:color w:val="auto"/>
              </w:rPr>
            </w:pPr>
            <w:r>
              <w:rPr>
                <w:rFonts w:ascii="Arial" w:cs="Arial" w:eastAsia="Arial" w:hAnsi="Arial"/>
                <w:sz w:val="16"/>
                <w:szCs w:val="16"/>
                <w:color w:val="auto"/>
              </w:rPr>
              <w:t>Increase in working capital</w:t>
            </w:r>
          </w:p>
        </w:tc>
        <w:tc>
          <w:tcPr>
            <w:tcW w:w="360" w:type="dxa"/>
            <w:vAlign w:val="bottom"/>
          </w:tcPr>
          <w:p>
            <w:pPr>
              <w:spacing w:after="0"/>
              <w:rPr>
                <w:sz w:val="18"/>
                <w:szCs w:val="18"/>
                <w:color w:val="auto"/>
              </w:rPr>
            </w:pPr>
          </w:p>
        </w:tc>
        <w:tc>
          <w:tcPr>
            <w:tcW w:w="1580" w:type="dxa"/>
            <w:vAlign w:val="bottom"/>
            <w:gridSpan w:val="2"/>
          </w:tcPr>
          <w:p>
            <w:pPr>
              <w:jc w:val="right"/>
              <w:ind w:right="199"/>
              <w:spacing w:after="0"/>
              <w:rPr>
                <w:sz w:val="20"/>
                <w:szCs w:val="20"/>
                <w:color w:val="auto"/>
              </w:rPr>
            </w:pPr>
            <w:r>
              <w:rPr>
                <w:rFonts w:ascii="Arial" w:cs="Arial" w:eastAsia="Arial" w:hAnsi="Arial"/>
                <w:sz w:val="16"/>
                <w:szCs w:val="16"/>
                <w:b w:val="1"/>
                <w:bCs w:val="1"/>
                <w:color w:val="auto"/>
              </w:rPr>
              <w:t>(1,286 )</w:t>
            </w:r>
          </w:p>
        </w:tc>
        <w:tc>
          <w:tcPr>
            <w:tcW w:w="36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6"/>
                <w:szCs w:val="16"/>
                <w:color w:val="auto"/>
              </w:rPr>
              <w:t>(1,884 )</w:t>
            </w:r>
          </w:p>
        </w:tc>
      </w:tr>
      <w:tr>
        <w:trPr>
          <w:trHeight w:val="216"/>
        </w:trPr>
        <w:tc>
          <w:tcPr>
            <w:tcW w:w="756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w:t>
            </w:r>
          </w:p>
        </w:tc>
        <w:tc>
          <w:tcPr>
            <w:tcW w:w="36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199"/>
              <w:spacing w:after="0"/>
              <w:rPr>
                <w:sz w:val="20"/>
                <w:szCs w:val="20"/>
                <w:color w:val="auto"/>
              </w:rPr>
            </w:pPr>
            <w:r>
              <w:rPr>
                <w:rFonts w:ascii="Arial" w:cs="Arial" w:eastAsia="Arial" w:hAnsi="Arial"/>
                <w:sz w:val="16"/>
                <w:szCs w:val="16"/>
                <w:b w:val="1"/>
                <w:bCs w:val="1"/>
                <w:color w:val="auto"/>
              </w:rPr>
              <w:t>(53 )</w:t>
            </w: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140" w:type="dxa"/>
            <w:vAlign w:val="bottom"/>
            <w:shd w:val="clear" w:color="auto" w:fill="CFF0FC"/>
          </w:tcPr>
          <w:p>
            <w:pPr>
              <w:spacing w:after="0"/>
              <w:rPr>
                <w:sz w:val="18"/>
                <w:szCs w:val="18"/>
                <w:color w:val="auto"/>
              </w:rPr>
            </w:pPr>
          </w:p>
        </w:tc>
      </w:tr>
      <w:tr>
        <w:trPr>
          <w:trHeight w:val="210"/>
        </w:trPr>
        <w:tc>
          <w:tcPr>
            <w:tcW w:w="7560" w:type="dxa"/>
            <w:vAlign w:val="bottom"/>
            <w:tcBorders>
              <w:top w:val="single" w:sz="8" w:color="CFF0FC"/>
            </w:tcBorders>
          </w:tcPr>
          <w:p>
            <w:pPr>
              <w:ind w:left="20"/>
              <w:spacing w:after="0"/>
              <w:rPr>
                <w:sz w:val="20"/>
                <w:szCs w:val="20"/>
                <w:color w:val="auto"/>
              </w:rPr>
            </w:pPr>
            <w:r>
              <w:rPr>
                <w:rFonts w:ascii="Arial" w:cs="Arial" w:eastAsia="Arial" w:hAnsi="Arial"/>
                <w:sz w:val="16"/>
                <w:szCs w:val="16"/>
                <w:b w:val="1"/>
                <w:bCs w:val="1"/>
                <w:color w:val="auto"/>
              </w:rPr>
              <w:t>Cash flow from operations</w:t>
            </w: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1,938</w:t>
            </w:r>
          </w:p>
        </w:tc>
        <w:tc>
          <w:tcPr>
            <w:tcW w:w="36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539</w:t>
            </w:r>
          </w:p>
        </w:tc>
        <w:tc>
          <w:tcPr>
            <w:tcW w:w="140" w:type="dxa"/>
            <w:vAlign w:val="bottom"/>
            <w:tcBorders>
              <w:top w:val="single" w:sz="8" w:color="CFF0FC"/>
            </w:tcBorders>
          </w:tcPr>
          <w:p>
            <w:pPr>
              <w:spacing w:after="0"/>
              <w:rPr>
                <w:sz w:val="18"/>
                <w:szCs w:val="18"/>
                <w:color w:val="auto"/>
              </w:rPr>
            </w:pPr>
          </w:p>
        </w:tc>
      </w:tr>
      <w:tr>
        <w:trPr>
          <w:trHeight w:val="210"/>
        </w:trPr>
        <w:tc>
          <w:tcPr>
            <w:tcW w:w="75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Capital expenditures</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(881</w:t>
            </w:r>
          </w:p>
        </w:tc>
        <w:tc>
          <w:tcPr>
            <w:tcW w:w="360" w:type="dxa"/>
            <w:vAlign w:val="bottom"/>
            <w:shd w:val="clear" w:color="auto" w:fill="CFF0FC"/>
          </w:tcPr>
          <w:p>
            <w:pPr>
              <w:jc w:val="right"/>
              <w:ind w:right="199"/>
              <w:spacing w:after="0"/>
              <w:rPr>
                <w:sz w:val="20"/>
                <w:szCs w:val="20"/>
                <w:color w:val="auto"/>
              </w:rPr>
            </w:pPr>
            <w:r>
              <w:rPr>
                <w:rFonts w:ascii="Arial" w:cs="Arial" w:eastAsia="Arial" w:hAnsi="Arial"/>
                <w:sz w:val="16"/>
                <w:szCs w:val="16"/>
                <w:b w:val="1"/>
                <w:bCs w:val="1"/>
                <w:color w:val="auto"/>
              </w:rPr>
              <w:t>)</w:t>
            </w: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(664 )</w:t>
            </w:r>
          </w:p>
        </w:tc>
      </w:tr>
      <w:tr>
        <w:trPr>
          <w:trHeight w:val="216"/>
        </w:trPr>
        <w:tc>
          <w:tcPr>
            <w:tcW w:w="7560" w:type="dxa"/>
            <w:vAlign w:val="bottom"/>
          </w:tcPr>
          <w:p>
            <w:pPr>
              <w:ind w:left="20"/>
              <w:spacing w:after="0"/>
              <w:rPr>
                <w:sz w:val="20"/>
                <w:szCs w:val="20"/>
                <w:color w:val="auto"/>
              </w:rPr>
            </w:pPr>
            <w:r>
              <w:rPr>
                <w:rFonts w:ascii="Arial" w:cs="Arial" w:eastAsia="Arial" w:hAnsi="Arial"/>
                <w:sz w:val="16"/>
                <w:szCs w:val="16"/>
                <w:color w:val="auto"/>
              </w:rPr>
              <w:t>APS investments</w:t>
            </w:r>
          </w:p>
        </w:tc>
        <w:tc>
          <w:tcPr>
            <w:tcW w:w="360" w:type="dxa"/>
            <w:vAlign w:val="bottom"/>
          </w:tcPr>
          <w:p>
            <w:pPr>
              <w:spacing w:after="0"/>
              <w:rPr>
                <w:sz w:val="18"/>
                <w:szCs w:val="18"/>
                <w:color w:val="auto"/>
              </w:rPr>
            </w:pPr>
          </w:p>
        </w:tc>
        <w:tc>
          <w:tcPr>
            <w:tcW w:w="1580" w:type="dxa"/>
            <w:vAlign w:val="bottom"/>
            <w:gridSpan w:val="2"/>
          </w:tcPr>
          <w:p>
            <w:pPr>
              <w:jc w:val="right"/>
              <w:ind w:right="199"/>
              <w:spacing w:after="0"/>
              <w:rPr>
                <w:sz w:val="20"/>
                <w:szCs w:val="20"/>
                <w:color w:val="auto"/>
              </w:rPr>
            </w:pPr>
            <w:r>
              <w:rPr>
                <w:rFonts w:ascii="Arial" w:cs="Arial" w:eastAsia="Arial" w:hAnsi="Arial"/>
                <w:sz w:val="16"/>
                <w:szCs w:val="16"/>
                <w:b w:val="1"/>
                <w:bCs w:val="1"/>
                <w:color w:val="auto"/>
              </w:rPr>
              <w:t>(253 )</w:t>
            </w:r>
          </w:p>
        </w:tc>
        <w:tc>
          <w:tcPr>
            <w:tcW w:w="36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6"/>
                <w:szCs w:val="16"/>
                <w:color w:val="auto"/>
              </w:rPr>
              <w:t>(311 )</w:t>
            </w:r>
          </w:p>
        </w:tc>
      </w:tr>
      <w:tr>
        <w:trPr>
          <w:trHeight w:val="216"/>
        </w:trPr>
        <w:tc>
          <w:tcPr>
            <w:tcW w:w="7560" w:type="dxa"/>
            <w:vAlign w:val="bottom"/>
            <w:shd w:val="clear" w:color="auto" w:fill="CFF0FC"/>
          </w:tcPr>
          <w:p>
            <w:pPr>
              <w:ind w:left="20"/>
              <w:spacing w:after="0"/>
              <w:rPr>
                <w:sz w:val="20"/>
                <w:szCs w:val="20"/>
                <w:color w:val="auto"/>
              </w:rPr>
            </w:pPr>
            <w:r>
              <w:rPr>
                <w:rFonts w:ascii="Arial" w:cs="Arial" w:eastAsia="Arial" w:hAnsi="Arial"/>
                <w:sz w:val="16"/>
                <w:szCs w:val="16"/>
                <w:color w:val="auto"/>
              </w:rPr>
              <w:t>Exploration data costs capitalized</w:t>
            </w:r>
          </w:p>
        </w:tc>
        <w:tc>
          <w:tcPr>
            <w:tcW w:w="36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199"/>
              <w:spacing w:after="0"/>
              <w:rPr>
                <w:sz w:val="20"/>
                <w:szCs w:val="20"/>
                <w:color w:val="auto"/>
              </w:rPr>
            </w:pPr>
            <w:r>
              <w:rPr>
                <w:rFonts w:ascii="Arial" w:cs="Arial" w:eastAsia="Arial" w:hAnsi="Arial"/>
                <w:sz w:val="16"/>
                <w:szCs w:val="16"/>
                <w:b w:val="1"/>
                <w:bCs w:val="1"/>
                <w:color w:val="auto"/>
              </w:rPr>
              <w:t>(83 )</w:t>
            </w: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(64 )</w:t>
            </w:r>
          </w:p>
        </w:tc>
      </w:tr>
      <w:tr>
        <w:trPr>
          <w:trHeight w:val="20"/>
        </w:trPr>
        <w:tc>
          <w:tcPr>
            <w:tcW w:w="75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210"/>
        </w:trPr>
        <w:tc>
          <w:tcPr>
            <w:tcW w:w="7560" w:type="dxa"/>
            <w:vAlign w:val="bottom"/>
          </w:tcPr>
          <w:p>
            <w:pPr>
              <w:ind w:left="20"/>
              <w:spacing w:after="0" w:line="210" w:lineRule="exact"/>
              <w:rPr>
                <w:sz w:val="20"/>
                <w:szCs w:val="20"/>
                <w:color w:val="auto"/>
              </w:rPr>
            </w:pPr>
            <w:r>
              <w:rPr>
                <w:rFonts w:ascii="Arial" w:cs="Arial" w:eastAsia="Arial" w:hAnsi="Arial"/>
                <w:sz w:val="16"/>
                <w:szCs w:val="16"/>
                <w:b w:val="1"/>
                <w:bCs w:val="1"/>
                <w:color w:val="auto"/>
              </w:rPr>
              <w:t xml:space="preserve">Free cash flow </w:t>
            </w:r>
            <w:r>
              <w:rPr>
                <w:rFonts w:ascii="Arial" w:cs="Arial" w:eastAsia="Arial" w:hAnsi="Arial"/>
                <w:sz w:val="21"/>
                <w:szCs w:val="21"/>
                <w:b w:val="1"/>
                <w:bCs w:val="1"/>
                <w:color w:val="auto"/>
                <w:vertAlign w:val="superscript"/>
              </w:rPr>
              <w:t>(3)</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721</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6"/>
                <w:szCs w:val="16"/>
                <w:color w:val="auto"/>
              </w:rPr>
              <w:t>(500 )</w:t>
            </w:r>
          </w:p>
        </w:tc>
      </w:tr>
      <w:tr>
        <w:trPr>
          <w:trHeight w:val="20"/>
        </w:trPr>
        <w:tc>
          <w:tcPr>
            <w:tcW w:w="75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7560" w:type="dxa"/>
            <w:vAlign w:val="bottom"/>
            <w:shd w:val="clear" w:color="auto" w:fill="CFF0FC"/>
          </w:tcPr>
          <w:p>
            <w:pPr>
              <w:ind w:left="20"/>
              <w:spacing w:after="0"/>
              <w:rPr>
                <w:sz w:val="20"/>
                <w:szCs w:val="20"/>
                <w:color w:val="auto"/>
              </w:rPr>
            </w:pPr>
            <w:r>
              <w:rPr>
                <w:rFonts w:ascii="Arial" w:cs="Arial" w:eastAsia="Arial" w:hAnsi="Arial"/>
                <w:sz w:val="16"/>
                <w:szCs w:val="16"/>
                <w:color w:val="auto"/>
              </w:rPr>
              <w:t>Dividends paid</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(605</w:t>
            </w:r>
          </w:p>
        </w:tc>
        <w:tc>
          <w:tcPr>
            <w:tcW w:w="360" w:type="dxa"/>
            <w:vAlign w:val="bottom"/>
            <w:shd w:val="clear" w:color="auto" w:fill="CFF0FC"/>
          </w:tcPr>
          <w:p>
            <w:pPr>
              <w:jc w:val="right"/>
              <w:ind w:right="199"/>
              <w:spacing w:after="0"/>
              <w:rPr>
                <w:sz w:val="20"/>
                <w:szCs w:val="20"/>
                <w:color w:val="auto"/>
              </w:rPr>
            </w:pPr>
            <w:r>
              <w:rPr>
                <w:rFonts w:ascii="Arial" w:cs="Arial" w:eastAsia="Arial" w:hAnsi="Arial"/>
                <w:sz w:val="16"/>
                <w:szCs w:val="16"/>
                <w:b w:val="1"/>
                <w:bCs w:val="1"/>
                <w:color w:val="auto"/>
              </w:rPr>
              <w:t>)</w:t>
            </w: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(352 )</w:t>
            </w:r>
          </w:p>
        </w:tc>
      </w:tr>
      <w:tr>
        <w:trPr>
          <w:trHeight w:val="216"/>
        </w:trPr>
        <w:tc>
          <w:tcPr>
            <w:tcW w:w="7560" w:type="dxa"/>
            <w:vAlign w:val="bottom"/>
          </w:tcPr>
          <w:p>
            <w:pPr>
              <w:ind w:left="20"/>
              <w:spacing w:after="0"/>
              <w:rPr>
                <w:sz w:val="20"/>
                <w:szCs w:val="20"/>
                <w:color w:val="auto"/>
              </w:rPr>
            </w:pPr>
            <w:r>
              <w:rPr>
                <w:rFonts w:ascii="Arial" w:cs="Arial" w:eastAsia="Arial" w:hAnsi="Arial"/>
                <w:sz w:val="16"/>
                <w:szCs w:val="16"/>
                <w:color w:val="auto"/>
              </w:rPr>
              <w:t>Stock repurchase program</w:t>
            </w:r>
          </w:p>
        </w:tc>
        <w:tc>
          <w:tcPr>
            <w:tcW w:w="360" w:type="dxa"/>
            <w:vAlign w:val="bottom"/>
          </w:tcPr>
          <w:p>
            <w:pPr>
              <w:spacing w:after="0"/>
              <w:rPr>
                <w:sz w:val="18"/>
                <w:szCs w:val="18"/>
                <w:color w:val="auto"/>
              </w:rPr>
            </w:pPr>
          </w:p>
        </w:tc>
        <w:tc>
          <w:tcPr>
            <w:tcW w:w="1580" w:type="dxa"/>
            <w:vAlign w:val="bottom"/>
            <w:gridSpan w:val="2"/>
          </w:tcPr>
          <w:p>
            <w:pPr>
              <w:jc w:val="right"/>
              <w:ind w:right="199"/>
              <w:spacing w:after="0"/>
              <w:rPr>
                <w:sz w:val="20"/>
                <w:szCs w:val="20"/>
                <w:color w:val="auto"/>
              </w:rPr>
            </w:pPr>
            <w:r>
              <w:rPr>
                <w:rFonts w:ascii="Arial" w:cs="Arial" w:eastAsia="Arial" w:hAnsi="Arial"/>
                <w:sz w:val="16"/>
                <w:szCs w:val="16"/>
                <w:b w:val="1"/>
                <w:bCs w:val="1"/>
                <w:color w:val="auto"/>
              </w:rPr>
              <w:t>(443 )</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r>
      <w:tr>
        <w:trPr>
          <w:trHeight w:val="216"/>
        </w:trPr>
        <w:tc>
          <w:tcPr>
            <w:tcW w:w="756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Proceeds from employee stock plans</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124</w:t>
            </w:r>
          </w:p>
        </w:tc>
        <w:tc>
          <w:tcPr>
            <w:tcW w:w="3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w:t>
            </w:r>
          </w:p>
        </w:tc>
        <w:tc>
          <w:tcPr>
            <w:tcW w:w="140" w:type="dxa"/>
            <w:vAlign w:val="bottom"/>
            <w:shd w:val="clear" w:color="auto" w:fill="CFF0FC"/>
          </w:tcPr>
          <w:p>
            <w:pPr>
              <w:spacing w:after="0"/>
              <w:rPr>
                <w:sz w:val="18"/>
                <w:szCs w:val="18"/>
                <w:color w:val="auto"/>
              </w:rPr>
            </w:pPr>
          </w:p>
        </w:tc>
      </w:tr>
      <w:tr>
        <w:trPr>
          <w:trHeight w:val="216"/>
        </w:trPr>
        <w:tc>
          <w:tcPr>
            <w:tcW w:w="7560" w:type="dxa"/>
            <w:vAlign w:val="bottom"/>
          </w:tcPr>
          <w:p>
            <w:pPr>
              <w:ind w:left="20"/>
              <w:spacing w:after="0"/>
              <w:rPr>
                <w:sz w:val="20"/>
                <w:szCs w:val="20"/>
                <w:color w:val="auto"/>
              </w:rPr>
            </w:pPr>
            <w:r>
              <w:rPr>
                <w:rFonts w:ascii="Arial" w:cs="Arial" w:eastAsia="Arial" w:hAnsi="Arial"/>
                <w:sz w:val="16"/>
                <w:szCs w:val="16"/>
                <w:color w:val="auto"/>
              </w:rPr>
              <w:t>Taxes paid on net settled stock-based compensation awards</w:t>
            </w:r>
          </w:p>
        </w:tc>
        <w:tc>
          <w:tcPr>
            <w:tcW w:w="360" w:type="dxa"/>
            <w:vAlign w:val="bottom"/>
          </w:tcPr>
          <w:p>
            <w:pPr>
              <w:spacing w:after="0"/>
              <w:rPr>
                <w:sz w:val="18"/>
                <w:szCs w:val="18"/>
                <w:color w:val="auto"/>
              </w:rPr>
            </w:pPr>
          </w:p>
        </w:tc>
        <w:tc>
          <w:tcPr>
            <w:tcW w:w="1580" w:type="dxa"/>
            <w:vAlign w:val="bottom"/>
            <w:gridSpan w:val="2"/>
          </w:tcPr>
          <w:p>
            <w:pPr>
              <w:jc w:val="right"/>
              <w:ind w:right="199"/>
              <w:spacing w:after="0"/>
              <w:rPr>
                <w:sz w:val="20"/>
                <w:szCs w:val="20"/>
                <w:color w:val="auto"/>
              </w:rPr>
            </w:pPr>
            <w:r>
              <w:rPr>
                <w:rFonts w:ascii="Arial" w:cs="Arial" w:eastAsia="Arial" w:hAnsi="Arial"/>
                <w:sz w:val="16"/>
                <w:szCs w:val="16"/>
                <w:b w:val="1"/>
                <w:bCs w:val="1"/>
                <w:color w:val="auto"/>
              </w:rPr>
              <w:t>(144 )</w:t>
            </w:r>
          </w:p>
        </w:tc>
        <w:tc>
          <w:tcPr>
            <w:tcW w:w="36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6"/>
                <w:szCs w:val="16"/>
                <w:color w:val="auto"/>
              </w:rPr>
              <w:t>(85 )</w:t>
            </w:r>
          </w:p>
        </w:tc>
      </w:tr>
      <w:tr>
        <w:trPr>
          <w:trHeight w:val="216"/>
        </w:trPr>
        <w:tc>
          <w:tcPr>
            <w:tcW w:w="7560" w:type="dxa"/>
            <w:vAlign w:val="bottom"/>
            <w:shd w:val="clear" w:color="auto" w:fill="CFF0FC"/>
          </w:tcPr>
          <w:p>
            <w:pPr>
              <w:ind w:left="20"/>
              <w:spacing w:after="0"/>
              <w:rPr>
                <w:sz w:val="20"/>
                <w:szCs w:val="20"/>
                <w:color w:val="auto"/>
              </w:rPr>
            </w:pPr>
            <w:r>
              <w:rPr>
                <w:rFonts w:ascii="Arial" w:cs="Arial" w:eastAsia="Arial" w:hAnsi="Arial"/>
                <w:sz w:val="16"/>
                <w:szCs w:val="16"/>
                <w:color w:val="auto"/>
              </w:rPr>
              <w:t>Business acquisitions and investments, net of cash acquired plus debt assumed</w:t>
            </w:r>
          </w:p>
        </w:tc>
        <w:tc>
          <w:tcPr>
            <w:tcW w:w="36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199"/>
              <w:spacing w:after="0"/>
              <w:rPr>
                <w:sz w:val="20"/>
                <w:szCs w:val="20"/>
                <w:color w:val="auto"/>
              </w:rPr>
            </w:pPr>
            <w:r>
              <w:rPr>
                <w:rFonts w:ascii="Arial" w:cs="Arial" w:eastAsia="Arial" w:hAnsi="Arial"/>
                <w:sz w:val="16"/>
                <w:szCs w:val="16"/>
                <w:b w:val="1"/>
                <w:bCs w:val="1"/>
                <w:color w:val="auto"/>
              </w:rPr>
              <w:t>(262 )</w:t>
            </w: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(8 )</w:t>
            </w:r>
          </w:p>
        </w:tc>
      </w:tr>
      <w:tr>
        <w:trPr>
          <w:trHeight w:val="216"/>
        </w:trPr>
        <w:tc>
          <w:tcPr>
            <w:tcW w:w="7560" w:type="dxa"/>
            <w:vAlign w:val="bottom"/>
          </w:tcPr>
          <w:p>
            <w:pPr>
              <w:ind w:left="20"/>
              <w:spacing w:after="0"/>
              <w:rPr>
                <w:sz w:val="20"/>
                <w:szCs w:val="20"/>
                <w:color w:val="auto"/>
              </w:rPr>
            </w:pPr>
            <w:r>
              <w:rPr>
                <w:rFonts w:ascii="Arial" w:cs="Arial" w:eastAsia="Arial" w:hAnsi="Arial"/>
                <w:sz w:val="16"/>
                <w:szCs w:val="16"/>
                <w:color w:val="auto"/>
              </w:rPr>
              <w:t>Proceeds from sale of Liberty shares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137</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513</w:t>
            </w:r>
          </w:p>
        </w:tc>
        <w:tc>
          <w:tcPr>
            <w:tcW w:w="140" w:type="dxa"/>
            <w:vAlign w:val="bottom"/>
          </w:tcPr>
          <w:p>
            <w:pPr>
              <w:spacing w:after="0"/>
              <w:rPr>
                <w:sz w:val="18"/>
                <w:szCs w:val="18"/>
                <w:color w:val="auto"/>
              </w:rPr>
            </w:pPr>
          </w:p>
        </w:tc>
      </w:tr>
      <w:tr>
        <w:trPr>
          <w:trHeight w:val="216"/>
        </w:trPr>
        <w:tc>
          <w:tcPr>
            <w:tcW w:w="756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Proceeds from sale of real estate</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3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w:t>
            </w:r>
          </w:p>
        </w:tc>
        <w:tc>
          <w:tcPr>
            <w:tcW w:w="140" w:type="dxa"/>
            <w:vAlign w:val="bottom"/>
            <w:shd w:val="clear" w:color="auto" w:fill="CFF0FC"/>
          </w:tcPr>
          <w:p>
            <w:pPr>
              <w:spacing w:after="0"/>
              <w:rPr>
                <w:sz w:val="18"/>
                <w:szCs w:val="18"/>
                <w:color w:val="auto"/>
              </w:rPr>
            </w:pPr>
          </w:p>
        </w:tc>
      </w:tr>
      <w:tr>
        <w:trPr>
          <w:trHeight w:val="216"/>
        </w:trPr>
        <w:tc>
          <w:tcPr>
            <w:tcW w:w="7560" w:type="dxa"/>
            <w:vAlign w:val="bottom"/>
          </w:tcPr>
          <w:p>
            <w:pPr>
              <w:ind w:left="20"/>
              <w:spacing w:after="0"/>
              <w:rPr>
                <w:sz w:val="20"/>
                <w:szCs w:val="20"/>
                <w:color w:val="auto"/>
              </w:rPr>
            </w:pPr>
            <w:r>
              <w:rPr>
                <w:rFonts w:ascii="Arial" w:cs="Arial" w:eastAsia="Arial" w:hAnsi="Arial"/>
                <w:sz w:val="16"/>
                <w:szCs w:val="16"/>
                <w:color w:val="auto"/>
              </w:rPr>
              <w:t>Other</w:t>
            </w:r>
          </w:p>
        </w:tc>
        <w:tc>
          <w:tcPr>
            <w:tcW w:w="360" w:type="dxa"/>
            <w:vAlign w:val="bottom"/>
          </w:tcPr>
          <w:p>
            <w:pPr>
              <w:spacing w:after="0"/>
              <w:rPr>
                <w:sz w:val="18"/>
                <w:szCs w:val="18"/>
                <w:color w:val="auto"/>
              </w:rPr>
            </w:pPr>
          </w:p>
        </w:tc>
        <w:tc>
          <w:tcPr>
            <w:tcW w:w="1580" w:type="dxa"/>
            <w:vAlign w:val="bottom"/>
            <w:gridSpan w:val="2"/>
          </w:tcPr>
          <w:p>
            <w:pPr>
              <w:jc w:val="right"/>
              <w:ind w:right="199"/>
              <w:spacing w:after="0"/>
              <w:rPr>
                <w:sz w:val="20"/>
                <w:szCs w:val="20"/>
                <w:color w:val="auto"/>
              </w:rPr>
            </w:pPr>
            <w:r>
              <w:rPr>
                <w:rFonts w:ascii="Arial" w:cs="Arial" w:eastAsia="Arial" w:hAnsi="Arial"/>
                <w:sz w:val="16"/>
                <w:szCs w:val="16"/>
                <w:b w:val="1"/>
                <w:bCs w:val="1"/>
                <w:color w:val="auto"/>
              </w:rPr>
              <w:t>(167 )</w:t>
            </w:r>
          </w:p>
        </w:tc>
        <w:tc>
          <w:tcPr>
            <w:tcW w:w="36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6"/>
                <w:szCs w:val="16"/>
                <w:color w:val="auto"/>
              </w:rPr>
              <w:t>(86 )</w:t>
            </w:r>
          </w:p>
        </w:tc>
      </w:tr>
      <w:tr>
        <w:trPr>
          <w:trHeight w:val="20"/>
        </w:trPr>
        <w:tc>
          <w:tcPr>
            <w:tcW w:w="75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75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Increase in net debt before impact of changes in foreign exchange rates</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(639</w:t>
            </w:r>
          </w:p>
        </w:tc>
        <w:tc>
          <w:tcPr>
            <w:tcW w:w="360" w:type="dxa"/>
            <w:vAlign w:val="bottom"/>
            <w:shd w:val="clear" w:color="auto" w:fill="CFF0FC"/>
          </w:tcPr>
          <w:p>
            <w:pPr>
              <w:jc w:val="right"/>
              <w:ind w:right="199"/>
              <w:spacing w:after="0"/>
              <w:rPr>
                <w:sz w:val="20"/>
                <w:szCs w:val="20"/>
                <w:color w:val="auto"/>
              </w:rPr>
            </w:pPr>
            <w:r>
              <w:rPr>
                <w:rFonts w:ascii="Arial" w:cs="Arial" w:eastAsia="Arial" w:hAnsi="Arial"/>
                <w:sz w:val="16"/>
                <w:szCs w:val="16"/>
                <w:b w:val="1"/>
                <w:bCs w:val="1"/>
                <w:color w:val="auto"/>
              </w:rPr>
              <w:t>)</w:t>
            </w: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(305 )</w:t>
            </w:r>
          </w:p>
        </w:tc>
      </w:tr>
      <w:tr>
        <w:trPr>
          <w:trHeight w:val="216"/>
        </w:trPr>
        <w:tc>
          <w:tcPr>
            <w:tcW w:w="7560" w:type="dxa"/>
            <w:vAlign w:val="bottom"/>
          </w:tcPr>
          <w:p>
            <w:pPr>
              <w:ind w:left="20"/>
              <w:spacing w:after="0"/>
              <w:rPr>
                <w:sz w:val="20"/>
                <w:szCs w:val="20"/>
                <w:color w:val="auto"/>
              </w:rPr>
            </w:pPr>
            <w:r>
              <w:rPr>
                <w:rFonts w:ascii="Arial" w:cs="Arial" w:eastAsia="Arial" w:hAnsi="Arial"/>
                <w:sz w:val="16"/>
                <w:szCs w:val="16"/>
                <w:color w:val="auto"/>
              </w:rPr>
              <w:t>Impact of changes in foreign exchange rates on net debt</w:t>
            </w:r>
          </w:p>
        </w:tc>
        <w:tc>
          <w:tcPr>
            <w:tcW w:w="360" w:type="dxa"/>
            <w:vAlign w:val="bottom"/>
          </w:tcPr>
          <w:p>
            <w:pPr>
              <w:spacing w:after="0"/>
              <w:rPr>
                <w:sz w:val="18"/>
                <w:szCs w:val="18"/>
                <w:color w:val="auto"/>
              </w:rPr>
            </w:pPr>
          </w:p>
        </w:tc>
        <w:tc>
          <w:tcPr>
            <w:tcW w:w="1580" w:type="dxa"/>
            <w:vAlign w:val="bottom"/>
            <w:gridSpan w:val="2"/>
          </w:tcPr>
          <w:p>
            <w:pPr>
              <w:jc w:val="right"/>
              <w:ind w:right="199"/>
              <w:spacing w:after="0"/>
              <w:rPr>
                <w:sz w:val="20"/>
                <w:szCs w:val="20"/>
                <w:color w:val="auto"/>
              </w:rPr>
            </w:pPr>
            <w:r>
              <w:rPr>
                <w:rFonts w:ascii="Arial" w:cs="Arial" w:eastAsia="Arial" w:hAnsi="Arial"/>
                <w:sz w:val="16"/>
                <w:szCs w:val="16"/>
                <w:b w:val="1"/>
                <w:bCs w:val="1"/>
                <w:color w:val="auto"/>
              </w:rPr>
              <w:t>(170 )</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330</w:t>
            </w:r>
          </w:p>
        </w:tc>
        <w:tc>
          <w:tcPr>
            <w:tcW w:w="140" w:type="dxa"/>
            <w:vAlign w:val="bottom"/>
          </w:tcPr>
          <w:p>
            <w:pPr>
              <w:spacing w:after="0"/>
              <w:rPr>
                <w:sz w:val="18"/>
                <w:szCs w:val="18"/>
                <w:color w:val="auto"/>
              </w:rPr>
            </w:pPr>
          </w:p>
        </w:tc>
      </w:tr>
      <w:tr>
        <w:trPr>
          <w:trHeight w:val="209"/>
        </w:trPr>
        <w:tc>
          <w:tcPr>
            <w:tcW w:w="75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(Increase) decrease in net debt</w:t>
            </w:r>
          </w:p>
        </w:tc>
        <w:tc>
          <w:tcPr>
            <w:tcW w:w="36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(809</w:t>
            </w:r>
          </w:p>
        </w:tc>
        <w:tc>
          <w:tcPr>
            <w:tcW w:w="360" w:type="dxa"/>
            <w:vAlign w:val="bottom"/>
            <w:shd w:val="clear" w:color="auto" w:fill="CFF0FC"/>
          </w:tcPr>
          <w:p>
            <w:pPr>
              <w:jc w:val="right"/>
              <w:ind w:right="199"/>
              <w:spacing w:after="0"/>
              <w:rPr>
                <w:sz w:val="20"/>
                <w:szCs w:val="20"/>
                <w:color w:val="auto"/>
              </w:rPr>
            </w:pPr>
            <w:r>
              <w:rPr>
                <w:rFonts w:ascii="Arial" w:cs="Arial" w:eastAsia="Arial" w:hAnsi="Arial"/>
                <w:sz w:val="16"/>
                <w:szCs w:val="16"/>
                <w:b w:val="1"/>
                <w:bCs w:val="1"/>
                <w:color w:val="auto"/>
              </w:rPr>
              <w:t>)</w:t>
            </w:r>
          </w:p>
        </w:tc>
        <w:tc>
          <w:tcPr>
            <w:tcW w:w="36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140" w:type="dxa"/>
            <w:vAlign w:val="bottom"/>
            <w:shd w:val="clear" w:color="auto" w:fill="CFF0FC"/>
          </w:tcPr>
          <w:p>
            <w:pPr>
              <w:spacing w:after="0"/>
              <w:rPr>
                <w:sz w:val="18"/>
                <w:szCs w:val="18"/>
                <w:color w:val="auto"/>
              </w:rPr>
            </w:pPr>
          </w:p>
        </w:tc>
      </w:tr>
      <w:tr>
        <w:trPr>
          <w:trHeight w:val="216"/>
        </w:trPr>
        <w:tc>
          <w:tcPr>
            <w:tcW w:w="756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Net debt, beginning of period </w:t>
            </w:r>
            <w:r>
              <w:rPr>
                <w:rFonts w:ascii="Arial" w:cs="Arial" w:eastAsia="Arial" w:hAnsi="Arial"/>
                <w:sz w:val="21"/>
                <w:szCs w:val="21"/>
                <w:color w:val="auto"/>
                <w:vertAlign w:val="superscript"/>
              </w:rPr>
              <w:t>(1)</w:t>
            </w:r>
          </w:p>
        </w:tc>
        <w:tc>
          <w:tcPr>
            <w:tcW w:w="360" w:type="dxa"/>
            <w:vAlign w:val="bottom"/>
          </w:tcPr>
          <w:p>
            <w:pPr>
              <w:spacing w:after="0"/>
              <w:rPr>
                <w:sz w:val="18"/>
                <w:szCs w:val="18"/>
                <w:color w:val="auto"/>
              </w:rPr>
            </w:pPr>
          </w:p>
        </w:tc>
        <w:tc>
          <w:tcPr>
            <w:tcW w:w="1580" w:type="dxa"/>
            <w:vAlign w:val="bottom"/>
            <w:gridSpan w:val="2"/>
          </w:tcPr>
          <w:p>
            <w:pPr>
              <w:jc w:val="right"/>
              <w:ind w:right="199"/>
              <w:spacing w:after="0"/>
              <w:rPr>
                <w:sz w:val="20"/>
                <w:szCs w:val="20"/>
                <w:color w:val="auto"/>
              </w:rPr>
            </w:pPr>
            <w:r>
              <w:rPr>
                <w:rFonts w:ascii="Arial" w:cs="Arial" w:eastAsia="Arial" w:hAnsi="Arial"/>
                <w:sz w:val="16"/>
                <w:szCs w:val="16"/>
                <w:b w:val="1"/>
                <w:bCs w:val="1"/>
                <w:color w:val="auto"/>
              </w:rPr>
              <w:t>(9,332 )</w:t>
            </w:r>
          </w:p>
        </w:tc>
        <w:tc>
          <w:tcPr>
            <w:tcW w:w="36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6"/>
                <w:szCs w:val="16"/>
                <w:color w:val="auto"/>
              </w:rPr>
              <w:t>(11,056 )</w:t>
            </w:r>
          </w:p>
        </w:tc>
      </w:tr>
      <w:tr>
        <w:trPr>
          <w:trHeight w:val="20"/>
        </w:trPr>
        <w:tc>
          <w:tcPr>
            <w:tcW w:w="75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9"/>
        </w:trPr>
        <w:tc>
          <w:tcPr>
            <w:tcW w:w="7560" w:type="dxa"/>
            <w:vAlign w:val="bottom"/>
            <w:shd w:val="clear" w:color="auto" w:fill="CFF0FC"/>
          </w:tcPr>
          <w:p>
            <w:pPr>
              <w:ind w:left="20"/>
              <w:spacing w:after="0" w:line="210" w:lineRule="exact"/>
              <w:rPr>
                <w:sz w:val="20"/>
                <w:szCs w:val="20"/>
                <w:color w:val="auto"/>
              </w:rPr>
            </w:pPr>
            <w:r>
              <w:rPr>
                <w:rFonts w:ascii="Arial" w:cs="Arial" w:eastAsia="Arial" w:hAnsi="Arial"/>
                <w:sz w:val="16"/>
                <w:szCs w:val="16"/>
                <w:b w:val="1"/>
                <w:bCs w:val="1"/>
                <w:color w:val="auto"/>
              </w:rPr>
              <w:t xml:space="preserve">Net debt, end of period </w:t>
            </w:r>
            <w:r>
              <w:rPr>
                <w:rFonts w:ascii="Arial" w:cs="Arial" w:eastAsia="Arial" w:hAnsi="Arial"/>
                <w:sz w:val="21"/>
                <w:szCs w:val="21"/>
                <w:b w:val="1"/>
                <w:bCs w:val="1"/>
                <w:color w:val="auto"/>
                <w:vertAlign w:val="superscript"/>
              </w:rPr>
              <w:t>(1)</w:t>
            </w:r>
          </w:p>
        </w:tc>
        <w:tc>
          <w:tcPr>
            <w:tcW w:w="360" w:type="dxa"/>
            <w:vAlign w:val="bottom"/>
            <w:shd w:val="clear" w:color="auto" w:fill="CFF0FC"/>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(10,141</w:t>
            </w:r>
          </w:p>
        </w:tc>
        <w:tc>
          <w:tcPr>
            <w:tcW w:w="360" w:type="dxa"/>
            <w:vAlign w:val="bottom"/>
            <w:shd w:val="clear" w:color="auto" w:fill="CFF0FC"/>
          </w:tcPr>
          <w:p>
            <w:pPr>
              <w:jc w:val="right"/>
              <w:ind w:right="199"/>
              <w:spacing w:after="0"/>
              <w:rPr>
                <w:sz w:val="20"/>
                <w:szCs w:val="20"/>
                <w:color w:val="auto"/>
              </w:rPr>
            </w:pPr>
            <w:r>
              <w:rPr>
                <w:rFonts w:ascii="Arial" w:cs="Arial" w:eastAsia="Arial" w:hAnsi="Arial"/>
                <w:sz w:val="16"/>
                <w:szCs w:val="16"/>
                <w:b w:val="1"/>
                <w:bCs w:val="1"/>
                <w:color w:val="auto"/>
              </w:rPr>
              <w:t>)</w:t>
            </w:r>
          </w:p>
        </w:tc>
        <w:tc>
          <w:tcPr>
            <w:tcW w:w="3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3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(11,031 )</w:t>
            </w:r>
          </w:p>
        </w:tc>
      </w:tr>
      <w:tr>
        <w:trPr>
          <w:trHeight w:val="20"/>
        </w:trPr>
        <w:tc>
          <w:tcPr>
            <w:tcW w:w="756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-2553970</wp:posOffset>
            </wp:positionV>
            <wp:extent cx="85725" cy="1543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-2553970</wp:posOffset>
            </wp:positionV>
            <wp:extent cx="85725" cy="15430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-1988185</wp:posOffset>
            </wp:positionV>
            <wp:extent cx="85725" cy="15430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-1988185</wp:posOffset>
            </wp:positionV>
            <wp:extent cx="85725" cy="15430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-25400</wp:posOffset>
            </wp:positionV>
            <wp:extent cx="8572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-8255</wp:posOffset>
            </wp:positionV>
            <wp:extent cx="8572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-25400</wp:posOffset>
            </wp:positionV>
            <wp:extent cx="8572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-8255</wp:posOffset>
            </wp:positionV>
            <wp:extent cx="8572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64" w:lineRule="exact"/>
        <w:rPr>
          <w:sz w:val="20"/>
          <w:szCs w:val="20"/>
          <w:color w:val="auto"/>
        </w:rPr>
      </w:pPr>
    </w:p>
    <w:p>
      <w:pPr>
        <w:jc w:val="both"/>
        <w:ind w:left="380" w:hanging="372"/>
        <w:spacing w:after="0" w:line="224" w:lineRule="auto"/>
        <w:tabs>
          <w:tab w:leader="none" w:pos="380" w:val="left"/>
        </w:tabs>
        <w:numPr>
          <w:ilvl w:val="0"/>
          <w:numId w:val="17"/>
        </w:numPr>
        <w:rPr>
          <w:rFonts w:ascii="Arial" w:cs="Arial" w:eastAsia="Arial" w:hAnsi="Arial"/>
          <w:sz w:val="19"/>
          <w:szCs w:val="19"/>
          <w:color w:val="auto"/>
          <w:vertAlign w:val="superscript"/>
        </w:rPr>
      </w:pPr>
      <w:r>
        <w:rPr>
          <w:rFonts w:ascii="Arial" w:cs="Arial" w:eastAsia="Arial" w:hAnsi="Arial"/>
          <w:sz w:val="14"/>
          <w:szCs w:val="14"/>
          <w:color w:val="auto"/>
        </w:rPr>
        <w:t>“Net debt” represents gross debt less cash and short-term investments. Management believes that Net debt provides useful information regarding the level of SLB’s indebtedness by reflecting cash and investments that could be used to repay debt. Net debt is a non-GAAP financial measure that should be considered in addition to, not as a substitute for or superior to, total debt.</w:t>
      </w:r>
    </w:p>
    <w:p>
      <w:pPr>
        <w:spacing w:after="0" w:line="84" w:lineRule="exact"/>
        <w:rPr>
          <w:rFonts w:ascii="Arial" w:cs="Arial" w:eastAsia="Arial" w:hAnsi="Arial"/>
          <w:sz w:val="19"/>
          <w:szCs w:val="19"/>
          <w:color w:val="auto"/>
          <w:vertAlign w:val="superscript"/>
        </w:rPr>
      </w:pPr>
    </w:p>
    <w:p>
      <w:pPr>
        <w:ind w:left="380" w:hanging="372"/>
        <w:spacing w:after="0"/>
        <w:tabs>
          <w:tab w:leader="none" w:pos="380" w:val="left"/>
        </w:tabs>
        <w:numPr>
          <w:ilvl w:val="0"/>
          <w:numId w:val="17"/>
        </w:numPr>
        <w:rPr>
          <w:rFonts w:ascii="Arial" w:cs="Arial" w:eastAsia="Arial" w:hAnsi="Arial"/>
          <w:sz w:val="19"/>
          <w:szCs w:val="19"/>
          <w:color w:val="auto"/>
          <w:vertAlign w:val="superscript"/>
        </w:rPr>
      </w:pPr>
      <w:r>
        <w:rPr>
          <w:rFonts w:ascii="Arial" w:cs="Arial" w:eastAsia="Arial" w:hAnsi="Arial"/>
          <w:sz w:val="14"/>
          <w:szCs w:val="14"/>
          <w:color w:val="auto"/>
        </w:rPr>
        <w:t>Includes depreciation of fixed assets and amortization of intangible assets, exploration data costs, and APS investments.</w:t>
      </w:r>
    </w:p>
    <w:p>
      <w:pPr>
        <w:spacing w:after="0" w:line="83" w:lineRule="exact"/>
        <w:rPr>
          <w:rFonts w:ascii="Arial" w:cs="Arial" w:eastAsia="Arial" w:hAnsi="Arial"/>
          <w:sz w:val="19"/>
          <w:szCs w:val="19"/>
          <w:color w:val="auto"/>
          <w:vertAlign w:val="superscript"/>
        </w:rPr>
      </w:pPr>
    </w:p>
    <w:p>
      <w:pPr>
        <w:jc w:val="both"/>
        <w:ind w:left="380" w:hanging="372"/>
        <w:spacing w:after="0" w:line="224" w:lineRule="auto"/>
        <w:tabs>
          <w:tab w:leader="none" w:pos="380" w:val="left"/>
        </w:tabs>
        <w:numPr>
          <w:ilvl w:val="0"/>
          <w:numId w:val="17"/>
        </w:numPr>
        <w:rPr>
          <w:rFonts w:ascii="Arial" w:cs="Arial" w:eastAsia="Arial" w:hAnsi="Arial"/>
          <w:sz w:val="19"/>
          <w:szCs w:val="19"/>
          <w:color w:val="auto"/>
          <w:vertAlign w:val="superscript"/>
        </w:rPr>
      </w:pPr>
      <w:r>
        <w:rPr>
          <w:rFonts w:ascii="Arial" w:cs="Arial" w:eastAsia="Arial" w:hAnsi="Arial"/>
          <w:sz w:val="14"/>
          <w:szCs w:val="14"/>
          <w:color w:val="auto"/>
        </w:rPr>
        <w:t>“Free cash flow” represents cash flow from operations less capital expenditures, APS investments and exploration data costs capitalized. Management believes that free cash flow is an important liquidity measure for the company and that it is useful to investors and management as a measure of our ability to generate cash. Once business needs and obligations are met, this cash can be used to reinvest in the company for future</w:t>
      </w:r>
    </w:p>
    <w:p>
      <w:pPr>
        <w:sectPr>
          <w:pgSz w:w="11900" w:h="16838" w:orient="portrait"/>
          <w:cols w:equalWidth="0" w:num="1">
            <w:col w:w="11240"/>
          </w:cols>
          <w:pgMar w:left="320" w:top="125" w:right="339" w:bottom="1440" w:gutter="0" w:footer="0" w:header="0"/>
          <w:type w:val="continuous"/>
        </w:sectPr>
      </w:pP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9" w:name="page20"/>
    <w:bookmarkEnd w:id="19"/>
    <w:p>
      <w:pPr>
        <w:ind w:left="380"/>
        <w:spacing w:after="0" w:line="273" w:lineRule="auto"/>
        <w:rPr>
          <w:sz w:val="20"/>
          <w:szCs w:val="20"/>
          <w:color w:val="auto"/>
        </w:rPr>
      </w:pPr>
      <w:r>
        <w:rPr>
          <w:rFonts w:ascii="Arial" w:cs="Arial" w:eastAsia="Arial" w:hAnsi="Arial"/>
          <w:sz w:val="14"/>
          <w:szCs w:val="14"/>
          <w:color w:val="auto"/>
        </w:rPr>
        <w:t>growth or to return to shareholders through dividend payments or share repurchases. Free cash flow does not represent the residual cash flow available for discretionary expenditures. Free cash flow is a non-GAAP financial measure that should be considered in addition to, not as a substitute for or superior to, cash flow from operations.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Key liquidity events during the first six months of 2023 and 2022 included:</w:t>
      </w:r>
    </w:p>
    <w:p>
      <w:pPr>
        <w:spacing w:after="0" w:line="113" w:lineRule="exact"/>
        <w:rPr>
          <w:sz w:val="20"/>
          <w:szCs w:val="20"/>
          <w:color w:val="auto"/>
        </w:rPr>
      </w:pPr>
    </w:p>
    <w:p>
      <w:pPr>
        <w:jc w:val="both"/>
        <w:ind w:left="380" w:hanging="372"/>
        <w:spacing w:after="0" w:line="261" w:lineRule="auto"/>
        <w:tabs>
          <w:tab w:leader="none" w:pos="3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Capital investments (consisting of capital expenditures, APS investments and exploration data capitalized) were $1.2 billion during the first six months of 2023 compared to $1.0 billion during the first six months of 2022. Capital investments for the full year 2023 are expected to be approximately $2.5 to $2.6 billion as compared to $2.3 billion for the full year 2022.</w:t>
      </w:r>
    </w:p>
    <w:p>
      <w:pPr>
        <w:spacing w:after="0" w:line="74" w:lineRule="exact"/>
        <w:rPr>
          <w:rFonts w:ascii="Arial" w:cs="Arial" w:eastAsia="Arial" w:hAnsi="Arial"/>
          <w:sz w:val="16"/>
          <w:szCs w:val="16"/>
          <w:color w:val="auto"/>
        </w:rPr>
      </w:pPr>
    </w:p>
    <w:p>
      <w:pPr>
        <w:ind w:left="380" w:hanging="372"/>
        <w:spacing w:after="0"/>
        <w:tabs>
          <w:tab w:leader="none" w:pos="3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During the second quarter of 2023, SLB issued $500 million of 4.50% Senior Notes due 2028 and $500 million of 4.85% Senior Notes due 2033.</w:t>
      </w:r>
    </w:p>
    <w:p>
      <w:pPr>
        <w:spacing w:after="0" w:line="126" w:lineRule="exact"/>
        <w:rPr>
          <w:rFonts w:ascii="Arial" w:cs="Arial" w:eastAsia="Arial" w:hAnsi="Arial"/>
          <w:sz w:val="16"/>
          <w:szCs w:val="16"/>
          <w:color w:val="auto"/>
        </w:rPr>
      </w:pPr>
    </w:p>
    <w:p>
      <w:pPr>
        <w:ind w:left="380" w:hanging="372"/>
        <w:spacing w:after="0"/>
        <w:tabs>
          <w:tab w:leader="none" w:pos="3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During the first quarter of 2023, SLB sold all of its remaining approximately 9 million shares in Liberty and received proceeds of $137 million.</w:t>
      </w:r>
    </w:p>
    <w:p>
      <w:pPr>
        <w:spacing w:after="0" w:line="126" w:lineRule="exact"/>
        <w:rPr>
          <w:rFonts w:ascii="Arial" w:cs="Arial" w:eastAsia="Arial" w:hAnsi="Arial"/>
          <w:sz w:val="16"/>
          <w:szCs w:val="16"/>
          <w:color w:val="auto"/>
        </w:rPr>
      </w:pPr>
    </w:p>
    <w:p>
      <w:pPr>
        <w:jc w:val="both"/>
        <w:ind w:left="380" w:hanging="372"/>
        <w:spacing w:after="0" w:line="261" w:lineRule="auto"/>
        <w:tabs>
          <w:tab w:leader="none" w:pos="3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As of June 30, 2023, SLB had repurchased $1.5 billion of SLB common stock under its $10 billion share repurchase program. SLB repurchased approximately 4.5 million shares of its common stock under this program during the second quarter of 2023 for a total purchase price of $213 million. SLB did not repurchase any of its common stock during the first six months of 2022.</w:t>
      </w:r>
    </w:p>
    <w:p>
      <w:pPr>
        <w:spacing w:after="0" w:line="12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As of June 30, 2023, SLB had $3.19 billion of cash and short-term investments on hand and committed debt facility agreements with commercial banks aggregating $6.57 billion, all of which was available and unused. SLB believes these amounts are sufficient to meet future business requirements for at least the next 12 months and beyond.</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There were no borrowings under SLB's commercial paper programs at June 30, 2023.</w:t>
      </w:r>
    </w:p>
    <w:p>
      <w:pPr>
        <w:spacing w:after="0" w:line="167"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SLB has a global footprint in more than 100 countries. As of June 30, 2023, only four of those countries individually accounted for greater than 5% of SLB’s net receivable balance. Two of these countries, the United States and Mexico, each represented greater than 10% of such receivables.</w:t>
      </w:r>
    </w:p>
    <w:p>
      <w:pPr>
        <w:spacing w:after="0" w:line="113"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 xml:space="preserve">Included in </w:t>
      </w:r>
      <w:r>
        <w:rPr>
          <w:rFonts w:ascii="Arial" w:cs="Arial" w:eastAsia="Arial" w:hAnsi="Arial"/>
          <w:sz w:val="16"/>
          <w:szCs w:val="16"/>
          <w:i w:val="1"/>
          <w:iCs w:val="1"/>
          <w:color w:val="auto"/>
        </w:rPr>
        <w:t>Receivables, less allowance for doubtful accounts</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xml:space="preserve"> as of June 30, 2023 was approximately $1.0 billion of receivables relating to Mexico. SLB’s receivables from its primary customer in Mexico are not in dispute and SLB has not historically had any material write-offs due to uncollectible accounts receivable relating to this customer.</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u w:val="single" w:color="auto"/>
          <w:color w:val="auto"/>
        </w:rPr>
        <w:t>Additional Information</w:t>
      </w:r>
    </w:p>
    <w:p>
      <w:pPr>
        <w:spacing w:after="0" w:line="121"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In March 2022, SLB decided to immediately suspend new investment and technology deployment to its Russia operations. In July 2023, SLB announced that it was halting shipments of products and technology into Russia from all SLB facilities worldwide in response to the continued expansion of international sanctions. This follows SLB’s previous ban on shipments from SLB facilities in the United States, United Kingdom, the European Union and Canada into Russia. Russia represented approximately 5% of SLB’s worldwide revenue during the first six months of 2023. The carrying value of SLB’s net assets in Russia was approximately $0.7 billion as of June 30, 2023. This consisted of $0.3 billion of receivables, $0.3 billion of fixed assets, $0.5 billion of other assets and $0.4 billion of current liabilities.</w:t>
      </w:r>
    </w:p>
    <w:p>
      <w:pPr>
        <w:spacing w:after="0" w:line="164"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SLB continues to actively monitor the dynamic situation in Ukraine and applicable laws, sanctions, and trade control restrictions resulting from the conflict. The extent to which SLB’s operations and financial results may be affected by the ongoing conflict in Ukraine will depend on various factors, including the extent and duration of the conflict; the effects of the conflict on regional and global economic and geopolitical conditions; the effect of further laws, sanctions, and trade control restrictions on SLB’s business, the global economy and global supply chains; and the impact of fluctuations in the exchange rate of the ruble. Continuation or escalation of the conflict may also aggravate the risk factors that SLB identified in its Annual Report on Form 10-K for the year ended December 31, 2022, including cybersecurity, regulatory, and reputational risks.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12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This second-quarter 2023 Form 10-Q, as well as other statements we make, contains “forward-looking statements” within the meaning of the federal securities laws, which include any statements that are not historical facts. Such statements often contain words such as “expect,” “may,” “can,” “believe,” “predict,” “plan,” “potential,” “projected,” “projections,” “precursor,” “forecast,” “outlook,” “expectations,” “estimate,” “intend,” “anticipate,” “ambition,” “goal,” “target,” “scheduled,” “think,” “should,” “could,” “would,” “will,” “see,” “likely,” and other similar words. Forward-looking statements address matters that are, to varying degrees, uncertain, such as statements about SLB’s financial and performance targets and other forecasts or expectations regarding, or dependent on, its business outlook; growth for SLB as a whole and for each of its Divisions (and for specified business lines, geographic areas or technologies within each Division); oil and natural gas demand and production growth; oil and natural gas prices; forecasts or expectations regarding energy transition and global climate change; improvements in operating procedures and technology; capital expenditures by SLB and the oil and gas industry; the business strategies of SLB, including digital and “fit for basin,” as well as the strategies of SLB’s customers; SLB’s APS projects, joint ventures, and other alliances; SLB’s response to the COVID-19 pandemic and its preparedness for other widespread health emergencies; the impact of the ongoing conflict in Ukraine on global energy supply; access to raw materials; future global economic and geopolitical conditions; future liquidity, including free cash flow; and future results of operations, such as margin levels. These statements are subject to risks and uncertainties, including, but not limited to, changing global economic and geopolitical conditions; changes in exploration and production spending by SLB’s customers and changes in the level of oil and natural gas exploration and development; the results of operations and financial condition of SLB’s customers and suppliers; SLB’s inability to achieve its financial and performance targets and other forecasts and expectations; SLB’s inability to achieve net-zero carbon emissions goals or interim emissions reduction goals; general</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20" w:name="page21"/>
    <w:bookmarkEnd w:id="20"/>
    <w:p>
      <w:pPr>
        <w:jc w:val="both"/>
        <w:spacing w:after="0" w:line="248" w:lineRule="auto"/>
        <w:rPr>
          <w:sz w:val="20"/>
          <w:szCs w:val="20"/>
          <w:color w:val="auto"/>
        </w:rPr>
      </w:pPr>
      <w:r>
        <w:rPr>
          <w:rFonts w:ascii="Arial" w:cs="Arial" w:eastAsia="Arial" w:hAnsi="Arial"/>
          <w:sz w:val="16"/>
          <w:szCs w:val="16"/>
          <w:color w:val="auto"/>
        </w:rPr>
        <w:t>economic, geopolitical and business conditions in key regions of the world; the ongoing conflict in Ukraine; foreign currency risk; inflation; changes in monetary policy by governments; pricing pressure; weather and seasonal factors; unfavorable effects of health pandemics; availability and cost of raw materials; operational modifications, delays or cancellations; challenges in SLB’s supply chain; production declines; the extent of future charges; SLB’s inability to recognize efficiencies and other intended benefits from its business strategies and initiatives, such as digital or new energy, as well as its cost reduction strategies; changes in government regulations and regulatory requirements, including those related to offshore oil and gas exploration, radioactive sources, explosives, chemicals and climate-related initiatives; the inability of technology to meet new challenges in exploration; the competitiveness of alternative energy sources or product substitutes; and other risks and uncertainties detailed in this Form 10-Q and our most recent Form 10-K and Forms 8-K filed with or furnished to the SEC. If one or more of these or other risks or uncertainties materialize (or the consequences of any such development changes), or should our underlying assumptions prove incorrect, actual results or outcomes may vary materially from those reflected in our forward-looking statements. Forward-looking and other statements in this Form 10-Q regarding our environmental, social, and other sustainability plans and goals are not an indication that these statements are necessarily material to investors or required to be disclosed in our filings with the SEC. In addition, historical, current, and forward-looking environmental, social, and sustainability-related statements may be based on standards for measuring progress that are still developing, internal controls and processes that continue to evolve, and assumptions that are subject to change in the future. Statements in this Form 10-Q are made as of July 26, 2023, and SLB disclaims any intention or obligation to update publicly or revise such statements, whether as a result of new information, future events or otherwise.</w:t>
      </w:r>
    </w:p>
    <w:p>
      <w:pPr>
        <w:spacing w:after="0" w:line="38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3. Quantitative and Qualitative Disclosures about Market Risk.</w:t>
      </w:r>
    </w:p>
    <w:p>
      <w:pPr>
        <w:spacing w:after="0" w:line="12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For quantitative and qualitative disclosures about market risk affecting SLB, see Item 7A, “Quantitative and Qualitative Disclosures about Market Risk,” of the SLB Annual Report on Form 10-K for the fiscal year ended December 31, 2022. SLB’s exposure to market risk has not changed materially since December 31, 2022.</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4. Controls and Procedures.</w:t>
      </w:r>
    </w:p>
    <w:p>
      <w:pPr>
        <w:spacing w:after="0" w:line="12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SLB has carried out an evaluation under the supervision and with the participation of SLB’s management, including the Chief Executive Officer (“CEO”) and the Chief Financial Officer (“CFO”), of the effectiveness of SLB’s “disclosure controls and procedures” (as such term is defined in Rules 13a-15(e) and 15d-15(e) under the Securities Exchange Act of 1934 (the “Exchange Act”)) as of the end of the period covered by this report. Based on this evaluation, the CEO and the CFO have concluded that, as of the end of the period covered by this report, SLB’s disclosure controls and procedures were effective to provide reasonable assurance that information required to be disclosed in the reports that SLB files or submits under the Exchange Act is recorded, processed, summarized and reported within the time periods specified in the Securities and Exchange Commission’s rules and forms. SLB’s disclosure controls and procedures include controls and procedures designed to ensure that information required to be disclosed in reports filed or submitted under the Exchange Act is accumulated and communicated to its management, including the CEO and the CFO, as appropriate, to allow timely decisions regarding required disclosure. There was no change in SLB’s internal control over financial reporting during the quarter to which this report relates that has materially affected, or is reasonably likely to materially affect, SLB’s internal control over financial reporting.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7"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u w:val="single" w:color="auto"/>
          <w:color w:val="auto"/>
        </w:rPr>
        <w:t>PART II. OTHER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with respect to this Item 1 is set forth under Note 9—Contingencies, in the accompanying Consolidated Financial Statements.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1A. Risk Factors.</w:t>
      </w:r>
    </w:p>
    <w:p>
      <w:pPr>
        <w:spacing w:after="0" w:line="121"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As of the date of this filing, there have been no material changes from the risk factors disclosed in Part 1, Item 1A, of SLB’s Annual Report on Form 10-K for the fiscal year ended December 31, 2022.</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Unregistered Sales of Equity Securities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Issuer Repurchases of Equity Securities</w:t>
      </w:r>
    </w:p>
    <w:p>
      <w:pPr>
        <w:spacing w:after="0" w:line="113"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On January 21, 2016, the SLB Board of Directors approved a $10 billion share repurchase program for SLB common stock. As of June 30, 2023, SLB had repurchased $1.5 billion of SLB common stock under this program.</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SLB's common stock repurchase activity for the three months ended June 30, 2023 was as follows: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140" w:type="dxa"/>
            <w:vAlign w:val="bottom"/>
            <w:gridSpan w:val="5"/>
          </w:tcPr>
          <w:p>
            <w:pPr>
              <w:jc w:val="right"/>
              <w:spacing w:after="0"/>
              <w:rPr>
                <w:sz w:val="20"/>
                <w:szCs w:val="20"/>
                <w:color w:val="auto"/>
              </w:rPr>
            </w:pPr>
            <w:r>
              <w:rPr>
                <w:rFonts w:ascii="Arial" w:cs="Arial" w:eastAsia="Arial" w:hAnsi="Arial"/>
                <w:sz w:val="14"/>
                <w:szCs w:val="14"/>
                <w:i w:val="1"/>
                <w:iCs w:val="1"/>
                <w:color w:val="auto"/>
              </w:rPr>
              <w:t>(Stated in thousands, except per share amounts)</w:t>
            </w:r>
          </w:p>
        </w:tc>
        <w:tc>
          <w:tcPr>
            <w:tcW w:w="140" w:type="dxa"/>
            <w:vAlign w:val="bottom"/>
          </w:tcPr>
          <w:p>
            <w:pPr>
              <w:spacing w:after="0"/>
              <w:rPr>
                <w:sz w:val="16"/>
                <w:szCs w:val="16"/>
                <w:color w:val="auto"/>
              </w:rPr>
            </w:pPr>
          </w:p>
        </w:tc>
      </w:tr>
      <w:tr>
        <w:trPr>
          <w:trHeight w:val="407"/>
        </w:trPr>
        <w:tc>
          <w:tcPr>
            <w:tcW w:w="5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w w:val="99"/>
              </w:rPr>
              <w:t>Total number</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89"/>
        </w:trPr>
        <w:tc>
          <w:tcPr>
            <w:tcW w:w="5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rPr>
              <w:t>of shares</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center"/>
              <w:ind w:right="79"/>
              <w:spacing w:after="0"/>
              <w:rPr>
                <w:sz w:val="20"/>
                <w:szCs w:val="20"/>
                <w:color w:val="auto"/>
              </w:rPr>
            </w:pPr>
            <w:r>
              <w:rPr>
                <w:rFonts w:ascii="Arial" w:cs="Arial" w:eastAsia="Arial" w:hAnsi="Arial"/>
                <w:sz w:val="16"/>
                <w:szCs w:val="16"/>
                <w:color w:val="auto"/>
              </w:rPr>
              <w:t>Maximum</w:t>
            </w:r>
          </w:p>
        </w:tc>
        <w:tc>
          <w:tcPr>
            <w:tcW w:w="140" w:type="dxa"/>
            <w:vAlign w:val="bottom"/>
          </w:tcPr>
          <w:p>
            <w:pPr>
              <w:spacing w:after="0"/>
              <w:rPr>
                <w:sz w:val="16"/>
                <w:szCs w:val="16"/>
                <w:color w:val="auto"/>
              </w:rPr>
            </w:pPr>
          </w:p>
        </w:tc>
      </w:tr>
      <w:tr>
        <w:trPr>
          <w:trHeight w:val="189"/>
        </w:trPr>
        <w:tc>
          <w:tcPr>
            <w:tcW w:w="5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w w:val="99"/>
              </w:rPr>
              <w:t>purchased as</w:t>
            </w:r>
          </w:p>
        </w:tc>
        <w:tc>
          <w:tcPr>
            <w:tcW w:w="300" w:type="dxa"/>
            <w:vAlign w:val="bottom"/>
          </w:tcPr>
          <w:p>
            <w:pPr>
              <w:spacing w:after="0"/>
              <w:rPr>
                <w:sz w:val="16"/>
                <w:szCs w:val="16"/>
                <w:color w:val="auto"/>
              </w:rPr>
            </w:pPr>
          </w:p>
        </w:tc>
        <w:tc>
          <w:tcPr>
            <w:tcW w:w="1260" w:type="dxa"/>
            <w:vAlign w:val="bottom"/>
            <w:gridSpan w:val="2"/>
          </w:tcPr>
          <w:p>
            <w:pPr>
              <w:jc w:val="center"/>
              <w:spacing w:after="0"/>
              <w:rPr>
                <w:sz w:val="20"/>
                <w:szCs w:val="20"/>
                <w:color w:val="auto"/>
              </w:rPr>
            </w:pPr>
            <w:r>
              <w:rPr>
                <w:rFonts w:ascii="Arial" w:cs="Arial" w:eastAsia="Arial" w:hAnsi="Arial"/>
                <w:sz w:val="16"/>
                <w:szCs w:val="16"/>
                <w:color w:val="auto"/>
              </w:rPr>
              <w:t>value of shares</w:t>
            </w:r>
          </w:p>
        </w:tc>
        <w:tc>
          <w:tcPr>
            <w:tcW w:w="140" w:type="dxa"/>
            <w:vAlign w:val="bottom"/>
          </w:tcPr>
          <w:p>
            <w:pPr>
              <w:spacing w:after="0"/>
              <w:rPr>
                <w:sz w:val="16"/>
                <w:szCs w:val="16"/>
                <w:color w:val="auto"/>
              </w:rPr>
            </w:pPr>
          </w:p>
        </w:tc>
      </w:tr>
      <w:tr>
        <w:trPr>
          <w:trHeight w:val="189"/>
        </w:trPr>
        <w:tc>
          <w:tcPr>
            <w:tcW w:w="5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rPr>
              <w:t>part of publicly</w:t>
            </w:r>
          </w:p>
        </w:tc>
        <w:tc>
          <w:tcPr>
            <w:tcW w:w="300" w:type="dxa"/>
            <w:vAlign w:val="bottom"/>
          </w:tcPr>
          <w:p>
            <w:pPr>
              <w:spacing w:after="0"/>
              <w:rPr>
                <w:sz w:val="16"/>
                <w:szCs w:val="16"/>
                <w:color w:val="auto"/>
              </w:rPr>
            </w:pPr>
          </w:p>
        </w:tc>
        <w:tc>
          <w:tcPr>
            <w:tcW w:w="1260" w:type="dxa"/>
            <w:vAlign w:val="bottom"/>
            <w:gridSpan w:val="2"/>
          </w:tcPr>
          <w:p>
            <w:pPr>
              <w:jc w:val="center"/>
              <w:spacing w:after="0"/>
              <w:rPr>
                <w:sz w:val="20"/>
                <w:szCs w:val="20"/>
                <w:color w:val="auto"/>
              </w:rPr>
            </w:pPr>
            <w:r>
              <w:rPr>
                <w:rFonts w:ascii="Arial" w:cs="Arial" w:eastAsia="Arial" w:hAnsi="Arial"/>
                <w:sz w:val="16"/>
                <w:szCs w:val="16"/>
                <w:color w:val="auto"/>
              </w:rPr>
              <w:t>that may yet be</w:t>
            </w:r>
          </w:p>
        </w:tc>
        <w:tc>
          <w:tcPr>
            <w:tcW w:w="140" w:type="dxa"/>
            <w:vAlign w:val="bottom"/>
          </w:tcPr>
          <w:p>
            <w:pPr>
              <w:spacing w:after="0"/>
              <w:rPr>
                <w:sz w:val="16"/>
                <w:szCs w:val="16"/>
                <w:color w:val="auto"/>
              </w:rPr>
            </w:pPr>
          </w:p>
        </w:tc>
      </w:tr>
      <w:tr>
        <w:trPr>
          <w:trHeight w:val="189"/>
        </w:trPr>
        <w:tc>
          <w:tcPr>
            <w:tcW w:w="51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w w:val="99"/>
              </w:rPr>
              <w:t>Total number</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announced plans</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center"/>
              <w:ind w:right="59"/>
              <w:spacing w:after="0"/>
              <w:rPr>
                <w:sz w:val="20"/>
                <w:szCs w:val="20"/>
                <w:color w:val="auto"/>
              </w:rPr>
            </w:pPr>
            <w:r>
              <w:rPr>
                <w:rFonts w:ascii="Arial" w:cs="Arial" w:eastAsia="Arial" w:hAnsi="Arial"/>
                <w:sz w:val="16"/>
                <w:szCs w:val="16"/>
                <w:color w:val="auto"/>
              </w:rPr>
              <w:t>purchased</w:t>
            </w:r>
          </w:p>
        </w:tc>
        <w:tc>
          <w:tcPr>
            <w:tcW w:w="140" w:type="dxa"/>
            <w:vAlign w:val="bottom"/>
          </w:tcPr>
          <w:p>
            <w:pPr>
              <w:spacing w:after="0"/>
              <w:rPr>
                <w:sz w:val="16"/>
                <w:szCs w:val="16"/>
                <w:color w:val="auto"/>
              </w:rPr>
            </w:pPr>
          </w:p>
        </w:tc>
      </w:tr>
      <w:tr>
        <w:trPr>
          <w:trHeight w:val="189"/>
        </w:trPr>
        <w:tc>
          <w:tcPr>
            <w:tcW w:w="51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rPr>
              <w:t>of shares</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Average price</w:t>
            </w:r>
          </w:p>
        </w:tc>
        <w:tc>
          <w:tcPr>
            <w:tcW w:w="260" w:type="dxa"/>
            <w:vAlign w:val="bottom"/>
          </w:tcPr>
          <w:p>
            <w:pPr>
              <w:spacing w:after="0"/>
              <w:rPr>
                <w:sz w:val="16"/>
                <w:szCs w:val="16"/>
                <w:color w:val="auto"/>
              </w:rPr>
            </w:pPr>
          </w:p>
        </w:tc>
        <w:tc>
          <w:tcPr>
            <w:tcW w:w="1320" w:type="dxa"/>
            <w:vAlign w:val="bottom"/>
          </w:tcPr>
          <w:p>
            <w:pPr>
              <w:jc w:val="right"/>
              <w:ind w:right="519"/>
              <w:spacing w:after="0"/>
              <w:rPr>
                <w:sz w:val="20"/>
                <w:szCs w:val="20"/>
                <w:color w:val="auto"/>
              </w:rPr>
            </w:pPr>
            <w:r>
              <w:rPr>
                <w:rFonts w:ascii="Arial" w:cs="Arial" w:eastAsia="Arial" w:hAnsi="Arial"/>
                <w:sz w:val="16"/>
                <w:szCs w:val="16"/>
                <w:color w:val="auto"/>
              </w:rPr>
              <w:t>or</w:t>
            </w:r>
          </w:p>
        </w:tc>
        <w:tc>
          <w:tcPr>
            <w:tcW w:w="300" w:type="dxa"/>
            <w:vAlign w:val="bottom"/>
          </w:tcPr>
          <w:p>
            <w:pPr>
              <w:spacing w:after="0"/>
              <w:rPr>
                <w:sz w:val="16"/>
                <w:szCs w:val="16"/>
                <w:color w:val="auto"/>
              </w:rPr>
            </w:pPr>
          </w:p>
        </w:tc>
        <w:tc>
          <w:tcPr>
            <w:tcW w:w="1260" w:type="dxa"/>
            <w:vAlign w:val="bottom"/>
            <w:gridSpan w:val="2"/>
          </w:tcPr>
          <w:p>
            <w:pPr>
              <w:jc w:val="center"/>
              <w:spacing w:after="0"/>
              <w:rPr>
                <w:sz w:val="20"/>
                <w:szCs w:val="20"/>
                <w:color w:val="auto"/>
              </w:rPr>
            </w:pPr>
            <w:r>
              <w:rPr>
                <w:rFonts w:ascii="Arial" w:cs="Arial" w:eastAsia="Arial" w:hAnsi="Arial"/>
                <w:sz w:val="16"/>
                <w:szCs w:val="16"/>
                <w:color w:val="auto"/>
              </w:rPr>
              <w:t>under the plans</w:t>
            </w:r>
          </w:p>
        </w:tc>
        <w:tc>
          <w:tcPr>
            <w:tcW w:w="140" w:type="dxa"/>
            <w:vAlign w:val="bottom"/>
          </w:tcPr>
          <w:p>
            <w:pPr>
              <w:spacing w:after="0"/>
              <w:rPr>
                <w:sz w:val="16"/>
                <w:szCs w:val="16"/>
                <w:color w:val="auto"/>
              </w:rPr>
            </w:pPr>
          </w:p>
        </w:tc>
      </w:tr>
      <w:tr>
        <w:trPr>
          <w:trHeight w:val="210"/>
        </w:trPr>
        <w:tc>
          <w:tcPr>
            <w:tcW w:w="5100" w:type="dxa"/>
            <w:vAlign w:val="bottom"/>
          </w:tcPr>
          <w:p>
            <w:pPr>
              <w:spacing w:after="0"/>
              <w:rPr>
                <w:sz w:val="18"/>
                <w:szCs w:val="18"/>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purchased</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99"/>
              </w:rPr>
              <w:t>paid per share</w:t>
            </w:r>
          </w:p>
        </w:tc>
        <w:tc>
          <w:tcPr>
            <w:tcW w:w="260" w:type="dxa"/>
            <w:vAlign w:val="bottom"/>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programs</w:t>
            </w:r>
          </w:p>
        </w:tc>
        <w:tc>
          <w:tcPr>
            <w:tcW w:w="3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color w:val="auto"/>
              </w:rPr>
              <w:t>or programs</w:t>
            </w:r>
          </w:p>
        </w:tc>
        <w:tc>
          <w:tcPr>
            <w:tcW w:w="140" w:type="dxa"/>
            <w:vAlign w:val="bottom"/>
          </w:tcPr>
          <w:p>
            <w:pPr>
              <w:spacing w:after="0"/>
              <w:rPr>
                <w:sz w:val="18"/>
                <w:szCs w:val="18"/>
                <w:color w:val="auto"/>
              </w:rPr>
            </w:pPr>
          </w:p>
        </w:tc>
      </w:tr>
      <w:tr>
        <w:trPr>
          <w:trHeight w:val="213"/>
        </w:trPr>
        <w:tc>
          <w:tcPr>
            <w:tcW w:w="5100" w:type="dxa"/>
            <w:vAlign w:val="bottom"/>
            <w:shd w:val="clear" w:color="auto" w:fill="CFF0FC"/>
          </w:tcPr>
          <w:p>
            <w:pPr>
              <w:ind w:left="20"/>
              <w:spacing w:after="0"/>
              <w:rPr>
                <w:sz w:val="20"/>
                <w:szCs w:val="20"/>
                <w:color w:val="auto"/>
              </w:rPr>
            </w:pPr>
            <w:r>
              <w:rPr>
                <w:rFonts w:ascii="Arial" w:cs="Arial" w:eastAsia="Arial" w:hAnsi="Arial"/>
                <w:sz w:val="16"/>
                <w:szCs w:val="16"/>
                <w:color w:val="auto"/>
              </w:rPr>
              <w:t>April 2023</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1,439.2</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50.76</w:t>
            </w:r>
          </w:p>
        </w:tc>
        <w:tc>
          <w:tcPr>
            <w:tcW w:w="15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1,439.2</w:t>
            </w: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8,669,119</w:t>
            </w:r>
          </w:p>
        </w:tc>
        <w:tc>
          <w:tcPr>
            <w:tcW w:w="140" w:type="dxa"/>
            <w:vAlign w:val="bottom"/>
            <w:shd w:val="clear" w:color="auto" w:fill="CFF0FC"/>
          </w:tcPr>
          <w:p>
            <w:pPr>
              <w:spacing w:after="0"/>
              <w:rPr>
                <w:sz w:val="18"/>
                <w:szCs w:val="18"/>
                <w:color w:val="auto"/>
              </w:rPr>
            </w:pPr>
          </w:p>
        </w:tc>
      </w:tr>
      <w:tr>
        <w:trPr>
          <w:trHeight w:val="213"/>
        </w:trPr>
        <w:tc>
          <w:tcPr>
            <w:tcW w:w="5100" w:type="dxa"/>
            <w:vAlign w:val="bottom"/>
          </w:tcPr>
          <w:p>
            <w:pPr>
              <w:ind w:left="20"/>
              <w:spacing w:after="0"/>
              <w:rPr>
                <w:sz w:val="20"/>
                <w:szCs w:val="20"/>
                <w:color w:val="auto"/>
              </w:rPr>
            </w:pPr>
            <w:r>
              <w:rPr>
                <w:rFonts w:ascii="Arial" w:cs="Arial" w:eastAsia="Arial" w:hAnsi="Arial"/>
                <w:sz w:val="16"/>
                <w:szCs w:val="16"/>
                <w:color w:val="auto"/>
              </w:rPr>
              <w:t>May 2023</w:t>
            </w:r>
          </w:p>
        </w:tc>
        <w:tc>
          <w:tcPr>
            <w:tcW w:w="1300" w:type="dxa"/>
            <w:vAlign w:val="bottom"/>
          </w:tcPr>
          <w:p>
            <w:pPr>
              <w:jc w:val="right"/>
              <w:spacing w:after="0"/>
              <w:rPr>
                <w:sz w:val="20"/>
                <w:szCs w:val="20"/>
                <w:color w:val="auto"/>
              </w:rPr>
            </w:pPr>
            <w:r>
              <w:rPr>
                <w:rFonts w:ascii="Arial" w:cs="Arial" w:eastAsia="Arial" w:hAnsi="Arial"/>
                <w:sz w:val="16"/>
                <w:szCs w:val="16"/>
                <w:color w:val="auto"/>
              </w:rPr>
              <w:t>1,781.0</w:t>
            </w:r>
          </w:p>
        </w:tc>
        <w:tc>
          <w:tcPr>
            <w:tcW w:w="4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45.36</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1,781.0</w:t>
            </w: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8,588,333</w:t>
            </w:r>
          </w:p>
        </w:tc>
        <w:tc>
          <w:tcPr>
            <w:tcW w:w="140" w:type="dxa"/>
            <w:vAlign w:val="bottom"/>
          </w:tcPr>
          <w:p>
            <w:pPr>
              <w:spacing w:after="0"/>
              <w:rPr>
                <w:sz w:val="18"/>
                <w:szCs w:val="18"/>
                <w:color w:val="auto"/>
              </w:rPr>
            </w:pPr>
          </w:p>
        </w:tc>
      </w:tr>
      <w:tr>
        <w:trPr>
          <w:trHeight w:val="219"/>
        </w:trPr>
        <w:tc>
          <w:tcPr>
            <w:tcW w:w="5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June 2023</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1,285.0</w:t>
            </w:r>
          </w:p>
        </w:tc>
        <w:tc>
          <w:tcPr>
            <w:tcW w:w="3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46.22</w:t>
            </w:r>
          </w:p>
        </w:tc>
        <w:tc>
          <w:tcPr>
            <w:tcW w:w="260" w:type="dxa"/>
            <w:vAlign w:val="bottom"/>
            <w:tcBorders>
              <w:bottom w:val="single" w:sz="8" w:color="CFF0FC"/>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1,285.0</w:t>
            </w:r>
          </w:p>
        </w:tc>
        <w:tc>
          <w:tcPr>
            <w:tcW w:w="4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8,528,945</w:t>
            </w:r>
          </w:p>
        </w:tc>
        <w:tc>
          <w:tcPr>
            <w:tcW w:w="140" w:type="dxa"/>
            <w:vAlign w:val="bottom"/>
            <w:tcBorders>
              <w:bottom w:val="single" w:sz="8" w:color="CFF0FC"/>
            </w:tcBorders>
            <w:shd w:val="clear" w:color="auto" w:fill="CFF0FC"/>
          </w:tcPr>
          <w:p>
            <w:pPr>
              <w:spacing w:after="0"/>
              <w:rPr>
                <w:sz w:val="19"/>
                <w:szCs w:val="19"/>
                <w:color w:val="auto"/>
              </w:rPr>
            </w:pPr>
          </w:p>
        </w:tc>
      </w:tr>
      <w:tr>
        <w:trPr>
          <w:trHeight w:val="207"/>
        </w:trPr>
        <w:tc>
          <w:tcPr>
            <w:tcW w:w="5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4,505.2</w:t>
            </w:r>
          </w:p>
        </w:tc>
        <w:tc>
          <w:tcPr>
            <w:tcW w:w="4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47.33</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4,505.2</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
        </w:trPr>
        <w:tc>
          <w:tcPr>
            <w:tcW w:w="5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-170815</wp:posOffset>
            </wp:positionV>
            <wp:extent cx="85725" cy="1714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-170815</wp:posOffset>
            </wp:positionV>
            <wp:extent cx="85725" cy="1714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-170815</wp:posOffset>
            </wp:positionV>
            <wp:extent cx="85725" cy="1714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5725" cy="17145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3. Defaults Upon Senior Securities.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None</w:t>
      </w:r>
      <w:r>
        <w:rPr>
          <w:rFonts w:ascii="Arial" w:cs="Arial" w:eastAsia="Arial" w:hAnsi="Arial"/>
          <w:sz w:val="16"/>
          <w:szCs w:val="16"/>
          <w:b w:val="1"/>
          <w:bCs w:val="1"/>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4. Mine Safety Disclosures.</w:t>
      </w:r>
    </w:p>
    <w:p>
      <w:pPr>
        <w:spacing w:after="0" w:line="12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Our mining operations are subject to regulation by the federal Mine Safety and Health Administration under the Federal Mine Safety and Health Act of 1977. Information concerning mine safety violations or other regulatory matters required by section 1503(a) of the Dodd-Frank Wall Street Reform and Consumer Protection Act and Item 104 of Regulation S-K is included in Exhibit 95 to this report.</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5. Other Information.</w:t>
      </w:r>
    </w:p>
    <w:p>
      <w:pPr>
        <w:spacing w:after="0" w:line="121"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In 2013, SLB completed the wind down of its service operations in Iran. Prior to this, certain non-US subsidiaries provided oilfield services to the National Iranian Oil Company and certain of its affiliates (“NIOC”).</w:t>
      </w:r>
    </w:p>
    <w:p>
      <w:pPr>
        <w:spacing w:after="0" w:line="144"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SLB’s residual transactions or dealings with the government of Iran during the second quarter of 2023 consisted of payments of taxes and other typical governmental charges. Certain non-US subsidiaries of SLB maintain depository accounts at the Dubai branch of Bank Saderat Iran (“Saderat”), and at Bank Tejarat (“Tejarat”) in Tehran and in Kish for the deposit by NIOC of amounts owed to non-US subsidiaries of SLB for prior services rendered in Iran and for the maintenance of such amounts previously received. One non-US subsidiary also maintained an account at Tejarat for payment of local expenses such as taxes. SLB anticipates that it will discontinue dealings with Saderat and Tejarat following the receipt of all amounts owed to SLB for prior services rendered in Iran.</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u w:val="single" w:color="auto"/>
          <w:color w:val="auto"/>
        </w:rPr>
        <w:t>Item 6. Exhibits.</w:t>
      </w:r>
    </w:p>
    <w:p>
      <w:pPr>
        <w:spacing w:after="0" w:line="243" w:lineRule="exact"/>
        <w:rPr>
          <w:sz w:val="20"/>
          <w:szCs w:val="20"/>
          <w:color w:val="auto"/>
        </w:rPr>
      </w:pPr>
    </w:p>
    <w:p>
      <w:pPr>
        <w:jc w:val="both"/>
        <w:ind w:left="460"/>
        <w:spacing w:after="0" w:line="276" w:lineRule="auto"/>
        <w:rPr>
          <w:rFonts w:ascii="Arial" w:cs="Arial" w:eastAsia="Arial" w:hAnsi="Arial"/>
          <w:sz w:val="16"/>
          <w:szCs w:val="16"/>
          <w:u w:val="single" w:color="auto"/>
          <w:color w:val="0000FF"/>
        </w:rPr>
      </w:pPr>
      <w:hyperlink r:id="rId247">
        <w:r>
          <w:rPr>
            <w:rFonts w:ascii="Arial" w:cs="Arial" w:eastAsia="Arial" w:hAnsi="Arial"/>
            <w:sz w:val="16"/>
            <w:szCs w:val="16"/>
            <w:color w:val="auto"/>
          </w:rPr>
          <w:t xml:space="preserve">Exhibit 3.1— </w:t>
        </w:r>
        <w:r>
          <w:rPr>
            <w:rFonts w:ascii="Arial" w:cs="Arial" w:eastAsia="Arial" w:hAnsi="Arial"/>
            <w:sz w:val="16"/>
            <w:szCs w:val="16"/>
            <w:u w:val="single" w:color="auto"/>
            <w:color w:val="0000FF"/>
          </w:rPr>
          <w:t>Articles of Incorporation of Schlumberger Limited (Schlumberger N.V.) (incorporated by reference to Exhibit 3.1 to SLB’s Current Report</w:t>
        </w:r>
      </w:hyperlink>
      <w:r>
        <w:rPr>
          <w:rFonts w:ascii="Arial" w:cs="Arial" w:eastAsia="Arial" w:hAnsi="Arial"/>
          <w:sz w:val="16"/>
          <w:szCs w:val="16"/>
          <w:color w:val="auto"/>
        </w:rPr>
        <w:t xml:space="preserve"> </w:t>
      </w:r>
      <w:hyperlink r:id="rId247">
        <w:r>
          <w:rPr>
            <w:rFonts w:ascii="Arial" w:cs="Arial" w:eastAsia="Arial" w:hAnsi="Arial"/>
            <w:sz w:val="16"/>
            <w:szCs w:val="16"/>
            <w:u w:val="single" w:color="auto"/>
            <w:color w:val="0000FF"/>
          </w:rPr>
          <w:t>on Form 8-K filed on April 6,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882015</wp:posOffset>
            </wp:positionH>
            <wp:positionV relativeFrom="paragraph">
              <wp:posOffset>-158750</wp:posOffset>
            </wp:positionV>
            <wp:extent cx="627507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6275070" cy="8255"/>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-38735</wp:posOffset>
            </wp:positionV>
            <wp:extent cx="156654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1566545" cy="8255"/>
                    </a:xfrm>
                    <a:prstGeom prst="rect">
                      <a:avLst/>
                    </a:prstGeom>
                    <a:noFill/>
                  </pic:spPr>
                </pic:pic>
              </a:graphicData>
            </a:graphic>
          </wp:anchor>
        </w:drawing>
      </w:r>
    </w:p>
    <w:p>
      <w:pPr>
        <w:spacing w:after="0" w:line="178" w:lineRule="exact"/>
        <w:rPr>
          <w:sz w:val="20"/>
          <w:szCs w:val="20"/>
          <w:color w:val="auto"/>
        </w:rPr>
      </w:pPr>
    </w:p>
    <w:p>
      <w:pPr>
        <w:jc w:val="both"/>
        <w:ind w:left="460"/>
        <w:spacing w:after="0" w:line="276" w:lineRule="auto"/>
        <w:rPr>
          <w:rFonts w:ascii="Arial" w:cs="Arial" w:eastAsia="Arial" w:hAnsi="Arial"/>
          <w:sz w:val="16"/>
          <w:szCs w:val="16"/>
          <w:u w:val="single" w:color="auto"/>
          <w:color w:val="0000FF"/>
        </w:rPr>
      </w:pPr>
      <w:hyperlink r:id="rId250">
        <w:r>
          <w:rPr>
            <w:rFonts w:ascii="Arial" w:cs="Arial" w:eastAsia="Arial" w:hAnsi="Arial"/>
            <w:sz w:val="16"/>
            <w:szCs w:val="16"/>
            <w:color w:val="auto"/>
          </w:rPr>
          <w:t>Exhibit 3.2—</w:t>
        </w:r>
        <w:r>
          <w:rPr>
            <w:rFonts w:ascii="Arial" w:cs="Arial" w:eastAsia="Arial" w:hAnsi="Arial"/>
            <w:sz w:val="16"/>
            <w:szCs w:val="16"/>
            <w:u w:val="single" w:color="auto"/>
            <w:color w:val="0000FF"/>
          </w:rPr>
          <w:t>Amended and Restated By-Laws of Schlumberger Limited (Schlumberger N.V.) (incorporated by reference to Exhibit 3 to SLB’s Current</w:t>
        </w:r>
      </w:hyperlink>
      <w:r>
        <w:rPr>
          <w:rFonts w:ascii="Arial" w:cs="Arial" w:eastAsia="Arial" w:hAnsi="Arial"/>
          <w:sz w:val="16"/>
          <w:szCs w:val="16"/>
          <w:color w:val="auto"/>
        </w:rPr>
        <w:t xml:space="preserve"> </w:t>
      </w:r>
      <w:hyperlink r:id="rId250">
        <w:r>
          <w:rPr>
            <w:rFonts w:ascii="Arial" w:cs="Arial" w:eastAsia="Arial" w:hAnsi="Arial"/>
            <w:sz w:val="16"/>
            <w:szCs w:val="16"/>
            <w:u w:val="single" w:color="auto"/>
            <w:color w:val="0000FF"/>
          </w:rPr>
          <w:t>Report on Form 8-K filed on April 21,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882015</wp:posOffset>
            </wp:positionH>
            <wp:positionV relativeFrom="paragraph">
              <wp:posOffset>-158750</wp:posOffset>
            </wp:positionV>
            <wp:extent cx="627570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1">
                      <a:extLst>
                        <a:ext uri="{28A0092B-C50C-407E-A947-70E740481C1C}"/>
                      </a:extLst>
                    </a:blip>
                    <a:srcRect/>
                    <a:stretch>
                      <a:fillRect/>
                    </a:stretch>
                  </pic:blipFill>
                  <pic:spPr bwMode="auto">
                    <a:xfrm>
                      <a:off x="0" y="0"/>
                      <a:ext cx="6275705" cy="8890"/>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-38735</wp:posOffset>
            </wp:positionV>
            <wp:extent cx="199009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2">
                      <a:extLst>
                        <a:ext uri="{28A0092B-C50C-407E-A947-70E740481C1C}"/>
                      </a:extLst>
                    </a:blip>
                    <a:srcRect/>
                    <a:stretch>
                      <a:fillRect/>
                    </a:stretch>
                  </pic:blipFill>
                  <pic:spPr bwMode="auto">
                    <a:xfrm>
                      <a:off x="0" y="0"/>
                      <a:ext cx="1990090" cy="8255"/>
                    </a:xfrm>
                    <a:prstGeom prst="rect">
                      <a:avLst/>
                    </a:prstGeom>
                    <a:noFill/>
                  </pic:spPr>
                </pic:pic>
              </a:graphicData>
            </a:graphic>
          </wp:anchor>
        </w:drawing>
      </w:r>
    </w:p>
    <w:p>
      <w:pPr>
        <w:spacing w:after="0" w:line="178" w:lineRule="exact"/>
        <w:rPr>
          <w:sz w:val="20"/>
          <w:szCs w:val="20"/>
          <w:color w:val="auto"/>
        </w:rPr>
      </w:pPr>
    </w:p>
    <w:p>
      <w:pPr>
        <w:jc w:val="both"/>
        <w:ind w:left="460"/>
        <w:spacing w:after="0" w:line="261" w:lineRule="auto"/>
        <w:rPr>
          <w:rFonts w:ascii="Arial" w:cs="Arial" w:eastAsia="Arial" w:hAnsi="Arial"/>
          <w:sz w:val="16"/>
          <w:szCs w:val="16"/>
          <w:u w:val="single" w:color="auto"/>
          <w:color w:val="0000FF"/>
        </w:rPr>
      </w:pPr>
      <w:hyperlink r:id="rId253">
        <w:r>
          <w:rPr>
            <w:rFonts w:ascii="Arial" w:cs="Arial" w:eastAsia="Arial" w:hAnsi="Arial"/>
            <w:sz w:val="16"/>
            <w:szCs w:val="16"/>
            <w:color w:val="auto"/>
          </w:rPr>
          <w:t>Exhibit 4.1—</w:t>
        </w:r>
        <w:r>
          <w:rPr>
            <w:rFonts w:ascii="Arial" w:cs="Arial" w:eastAsia="Arial" w:hAnsi="Arial"/>
            <w:sz w:val="16"/>
            <w:szCs w:val="16"/>
            <w:u w:val="single" w:color="auto"/>
            <w:color w:val="0000FF"/>
          </w:rPr>
          <w:t>Indenture dated as of December 3, 2013, by and among Schlumberger Investment S.A., as issuer, Schlumberger Limited (Schlumberger</w:t>
        </w:r>
      </w:hyperlink>
      <w:r>
        <w:rPr>
          <w:rFonts w:ascii="Arial" w:cs="Arial" w:eastAsia="Arial" w:hAnsi="Arial"/>
          <w:sz w:val="16"/>
          <w:szCs w:val="16"/>
          <w:color w:val="auto"/>
        </w:rPr>
        <w:t xml:space="preserve"> </w:t>
      </w:r>
      <w:hyperlink r:id="rId253">
        <w:r>
          <w:rPr>
            <w:rFonts w:ascii="Arial" w:cs="Arial" w:eastAsia="Arial" w:hAnsi="Arial"/>
            <w:sz w:val="16"/>
            <w:szCs w:val="16"/>
            <w:u w:val="single" w:color="auto"/>
            <w:color w:val="0000FF"/>
          </w:rPr>
          <w:t>N.V.), as guarantor, and The Bank of New York Mellon, as trustee (incorporated by reference to Exhibit 4.1 to SLB’s Current Report on Form 8-K filed</w:t>
        </w:r>
      </w:hyperlink>
      <w:r>
        <w:rPr>
          <w:rFonts w:ascii="Arial" w:cs="Arial" w:eastAsia="Arial" w:hAnsi="Arial"/>
          <w:sz w:val="16"/>
          <w:szCs w:val="16"/>
          <w:u w:val="single" w:color="auto"/>
          <w:color w:val="0000FF"/>
        </w:rPr>
        <w:t xml:space="preserve"> </w:t>
      </w:r>
      <w:hyperlink r:id="rId253">
        <w:r>
          <w:rPr>
            <w:rFonts w:ascii="Arial" w:cs="Arial" w:eastAsia="Arial" w:hAnsi="Arial"/>
            <w:sz w:val="16"/>
            <w:szCs w:val="16"/>
            <w:u w:val="single" w:color="auto"/>
            <w:color w:val="0000FF"/>
          </w:rPr>
          <w:t>on December 3, 2013).</w:t>
        </w:r>
      </w:hyperlink>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879475</wp:posOffset>
            </wp:positionH>
            <wp:positionV relativeFrom="paragraph">
              <wp:posOffset>-271145</wp:posOffset>
            </wp:positionV>
            <wp:extent cx="627761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4">
                      <a:extLst>
                        <a:ext uri="{28A0092B-C50C-407E-A947-70E740481C1C}"/>
                      </a:extLst>
                    </a:blip>
                    <a:srcRect/>
                    <a:stretch>
                      <a:fillRect/>
                    </a:stretch>
                  </pic:blipFill>
                  <pic:spPr bwMode="auto">
                    <a:xfrm>
                      <a:off x="0" y="0"/>
                      <a:ext cx="6277610" cy="8890"/>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-151130</wp:posOffset>
            </wp:positionV>
            <wp:extent cx="686371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5">
                      <a:extLst>
                        <a:ext uri="{28A0092B-C50C-407E-A947-70E740481C1C}"/>
                      </a:extLst>
                    </a:blip>
                    <a:srcRect/>
                    <a:stretch>
                      <a:fillRect/>
                    </a:stretch>
                  </pic:blipFill>
                  <pic:spPr bwMode="auto">
                    <a:xfrm>
                      <a:off x="0" y="0"/>
                      <a:ext cx="6863715" cy="8255"/>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-31115</wp:posOffset>
            </wp:positionV>
            <wp:extent cx="105219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6">
                      <a:extLst>
                        <a:ext uri="{28A0092B-C50C-407E-A947-70E740481C1C}"/>
                      </a:extLst>
                    </a:blip>
                    <a:srcRect/>
                    <a:stretch>
                      <a:fillRect/>
                    </a:stretch>
                  </pic:blipFill>
                  <pic:spPr bwMode="auto">
                    <a:xfrm>
                      <a:off x="0" y="0"/>
                      <a:ext cx="1052195" cy="8255"/>
                    </a:xfrm>
                    <a:prstGeom prst="rect">
                      <a:avLst/>
                    </a:prstGeom>
                    <a:noFill/>
                  </pic:spPr>
                </pic:pic>
              </a:graphicData>
            </a:graphic>
          </wp:anchor>
        </w:drawing>
      </w:r>
    </w:p>
    <w:p>
      <w:pPr>
        <w:spacing w:after="0" w:line="136" w:lineRule="exact"/>
        <w:rPr>
          <w:rFonts w:ascii="Arial" w:cs="Arial" w:eastAsia="Arial" w:hAnsi="Arial"/>
          <w:sz w:val="16"/>
          <w:szCs w:val="16"/>
          <w:color w:val="auto"/>
        </w:rPr>
      </w:pPr>
    </w:p>
    <w:p>
      <w:pPr>
        <w:jc w:val="both"/>
        <w:ind w:left="460"/>
        <w:spacing w:after="0" w:line="261" w:lineRule="auto"/>
        <w:rPr>
          <w:rFonts w:ascii="Arial" w:cs="Arial" w:eastAsia="Arial" w:hAnsi="Arial"/>
          <w:sz w:val="16"/>
          <w:szCs w:val="16"/>
          <w:u w:val="single" w:color="auto"/>
          <w:color w:val="0000FF"/>
        </w:rPr>
      </w:pPr>
      <w:hyperlink r:id="rId257">
        <w:r>
          <w:rPr>
            <w:rFonts w:ascii="Arial" w:cs="Arial" w:eastAsia="Arial" w:hAnsi="Arial"/>
            <w:sz w:val="16"/>
            <w:szCs w:val="16"/>
            <w:color w:val="auto"/>
          </w:rPr>
          <w:t>Exhibit 4.2—</w:t>
        </w:r>
        <w:r>
          <w:rPr>
            <w:rFonts w:ascii="Arial" w:cs="Arial" w:eastAsia="Arial" w:hAnsi="Arial"/>
            <w:sz w:val="16"/>
            <w:szCs w:val="16"/>
            <w:u w:val="single" w:color="auto"/>
            <w:color w:val="0000FF"/>
          </w:rPr>
          <w:t>Second Supplemental Indenture dated as of June 26, 2020, by and among Schlumberger Investment S.A., as issuer, Schlumberger</w:t>
        </w:r>
      </w:hyperlink>
      <w:r>
        <w:rPr>
          <w:rFonts w:ascii="Arial" w:cs="Arial" w:eastAsia="Arial" w:hAnsi="Arial"/>
          <w:sz w:val="16"/>
          <w:szCs w:val="16"/>
          <w:color w:val="auto"/>
        </w:rPr>
        <w:t xml:space="preserve"> </w:t>
      </w:r>
      <w:hyperlink r:id="rId257">
        <w:r>
          <w:rPr>
            <w:rFonts w:ascii="Arial" w:cs="Arial" w:eastAsia="Arial" w:hAnsi="Arial"/>
            <w:sz w:val="16"/>
            <w:szCs w:val="16"/>
            <w:u w:val="single" w:color="auto"/>
            <w:color w:val="0000FF"/>
          </w:rPr>
          <w:t>Limited (Schlumberger N.V.), as guarantor, and The Bank of New York Mellon, as trustee (incorporated by reference to Exhibit 4.1 to SLB’s Current</w:t>
        </w:r>
      </w:hyperlink>
      <w:r>
        <w:rPr>
          <w:rFonts w:ascii="Arial" w:cs="Arial" w:eastAsia="Arial" w:hAnsi="Arial"/>
          <w:sz w:val="16"/>
          <w:szCs w:val="16"/>
          <w:u w:val="single" w:color="auto"/>
          <w:color w:val="0000FF"/>
        </w:rPr>
        <w:t xml:space="preserve"> </w:t>
      </w:r>
      <w:hyperlink r:id="rId257">
        <w:r>
          <w:rPr>
            <w:rFonts w:ascii="Arial" w:cs="Arial" w:eastAsia="Arial" w:hAnsi="Arial"/>
            <w:sz w:val="16"/>
            <w:szCs w:val="16"/>
            <w:u w:val="single" w:color="auto"/>
            <w:color w:val="0000FF"/>
          </w:rPr>
          <w:t>Report on Form 8-K filed on June 26, 2020).</w:t>
        </w:r>
      </w:hyperlink>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892175</wp:posOffset>
            </wp:positionH>
            <wp:positionV relativeFrom="paragraph">
              <wp:posOffset>-271145</wp:posOffset>
            </wp:positionV>
            <wp:extent cx="626554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8">
                      <a:extLst>
                        <a:ext uri="{28A0092B-C50C-407E-A947-70E740481C1C}"/>
                      </a:extLst>
                    </a:blip>
                    <a:srcRect/>
                    <a:stretch>
                      <a:fillRect/>
                    </a:stretch>
                  </pic:blipFill>
                  <pic:spPr bwMode="auto">
                    <a:xfrm>
                      <a:off x="0" y="0"/>
                      <a:ext cx="6265545" cy="8255"/>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-151130</wp:posOffset>
            </wp:positionV>
            <wp:extent cx="686371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9">
                      <a:extLst>
                        <a:ext uri="{28A0092B-C50C-407E-A947-70E740481C1C}"/>
                      </a:extLst>
                    </a:blip>
                    <a:srcRect/>
                    <a:stretch>
                      <a:fillRect/>
                    </a:stretch>
                  </pic:blipFill>
                  <pic:spPr bwMode="auto">
                    <a:xfrm>
                      <a:off x="0" y="0"/>
                      <a:ext cx="6863715" cy="8890"/>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-31115</wp:posOffset>
            </wp:positionV>
            <wp:extent cx="201295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0">
                      <a:extLst>
                        <a:ext uri="{28A0092B-C50C-407E-A947-70E740481C1C}"/>
                      </a:extLst>
                    </a:blip>
                    <a:srcRect/>
                    <a:stretch>
                      <a:fillRect/>
                    </a:stretch>
                  </pic:blipFill>
                  <pic:spPr bwMode="auto">
                    <a:xfrm>
                      <a:off x="0" y="0"/>
                      <a:ext cx="2012950" cy="8255"/>
                    </a:xfrm>
                    <a:prstGeom prst="rect">
                      <a:avLst/>
                    </a:prstGeom>
                    <a:noFill/>
                  </pic:spPr>
                </pic:pic>
              </a:graphicData>
            </a:graphic>
          </wp:anchor>
        </w:drawing>
      </w:r>
    </w:p>
    <w:p>
      <w:pPr>
        <w:spacing w:after="0" w:line="136" w:lineRule="exact"/>
        <w:rPr>
          <w:rFonts w:ascii="Arial" w:cs="Arial" w:eastAsia="Arial" w:hAnsi="Arial"/>
          <w:sz w:val="16"/>
          <w:szCs w:val="16"/>
          <w:color w:val="auto"/>
        </w:rPr>
      </w:pPr>
    </w:p>
    <w:p>
      <w:pPr>
        <w:ind w:left="460" w:right="80"/>
        <w:spacing w:after="0" w:line="256" w:lineRule="auto"/>
        <w:rPr>
          <w:rFonts w:ascii="Arial" w:cs="Arial" w:eastAsia="Arial" w:hAnsi="Arial"/>
          <w:sz w:val="16"/>
          <w:szCs w:val="16"/>
          <w:u w:val="single" w:color="auto"/>
          <w:color w:val="0000FF"/>
        </w:rPr>
      </w:pPr>
      <w:hyperlink r:id="rId261">
        <w:r>
          <w:rPr>
            <w:rFonts w:ascii="Arial" w:cs="Arial" w:eastAsia="Arial" w:hAnsi="Arial"/>
            <w:sz w:val="16"/>
            <w:szCs w:val="16"/>
            <w:color w:val="auto"/>
          </w:rPr>
          <w:t>Exhibit 4.3—</w:t>
        </w:r>
        <w:r>
          <w:rPr>
            <w:rFonts w:ascii="Arial" w:cs="Arial" w:eastAsia="Arial" w:hAnsi="Arial"/>
            <w:sz w:val="16"/>
            <w:szCs w:val="16"/>
            <w:u w:val="single" w:color="auto"/>
            <w:color w:val="0000FF"/>
          </w:rPr>
          <w:t>Third Supplemental Indenture dated as of May 15, 2023, among Schlumberger Investment S.A., as issuer, Schlumberger Limited</w:t>
        </w:r>
      </w:hyperlink>
      <w:r>
        <w:rPr>
          <w:rFonts w:ascii="Arial" w:cs="Arial" w:eastAsia="Arial" w:hAnsi="Arial"/>
          <w:sz w:val="16"/>
          <w:szCs w:val="16"/>
          <w:color w:val="auto"/>
        </w:rPr>
        <w:t xml:space="preserve"> </w:t>
      </w:r>
      <w:hyperlink r:id="rId261">
        <w:r>
          <w:rPr>
            <w:rFonts w:ascii="Arial" w:cs="Arial" w:eastAsia="Arial" w:hAnsi="Arial"/>
            <w:sz w:val="16"/>
            <w:szCs w:val="16"/>
            <w:u w:val="single" w:color="auto"/>
            <w:color w:val="0000FF"/>
          </w:rPr>
          <w:t>(Schlumberger N.V.), as guarantor, and The Bank of New York Mellon, as trustee (including form of global notes representing 4.500% Senior Notes</w:t>
        </w:r>
      </w:hyperlink>
      <w:r>
        <w:rPr>
          <w:rFonts w:ascii="Arial" w:cs="Arial" w:eastAsia="Arial" w:hAnsi="Arial"/>
          <w:sz w:val="16"/>
          <w:szCs w:val="16"/>
          <w:u w:val="single" w:color="auto"/>
          <w:color w:val="0000FF"/>
        </w:rPr>
        <w:t xml:space="preserve"> </w:t>
      </w:r>
      <w:hyperlink r:id="rId261">
        <w:r>
          <w:rPr>
            <w:rFonts w:ascii="Arial" w:cs="Arial" w:eastAsia="Arial" w:hAnsi="Arial"/>
            <w:sz w:val="16"/>
            <w:szCs w:val="16"/>
            <w:u w:val="single" w:color="auto"/>
            <w:color w:val="0000FF"/>
          </w:rPr>
          <w:t>due 2028 and form of global notes representing 4.850% Senior Notes due 2033) (incorporated by reference to Exhibit 4.1 to SLB’s Current Report on</w:t>
        </w:r>
      </w:hyperlink>
      <w:r>
        <w:rPr>
          <w:rFonts w:ascii="Arial" w:cs="Arial" w:eastAsia="Arial" w:hAnsi="Arial"/>
          <w:sz w:val="16"/>
          <w:szCs w:val="16"/>
          <w:u w:val="single" w:color="auto"/>
          <w:color w:val="0000FF"/>
        </w:rPr>
        <w:t xml:space="preserve"> </w:t>
      </w:r>
      <w:hyperlink r:id="rId261">
        <w:r>
          <w:rPr>
            <w:rFonts w:ascii="Arial" w:cs="Arial" w:eastAsia="Arial" w:hAnsi="Arial"/>
            <w:sz w:val="16"/>
            <w:szCs w:val="16"/>
            <w:u w:val="single" w:color="auto"/>
            <w:color w:val="0000FF"/>
          </w:rPr>
          <w:t>Form 8-K filed on May 15, 2023).</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876935</wp:posOffset>
            </wp:positionH>
            <wp:positionV relativeFrom="paragraph">
              <wp:posOffset>-388620</wp:posOffset>
            </wp:positionV>
            <wp:extent cx="588962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2">
                      <a:extLst>
                        <a:ext uri="{28A0092B-C50C-407E-A947-70E740481C1C}"/>
                      </a:extLst>
                    </a:blip>
                    <a:srcRect/>
                    <a:stretch>
                      <a:fillRect/>
                    </a:stretch>
                  </pic:blipFill>
                  <pic:spPr bwMode="auto">
                    <a:xfrm>
                      <a:off x="0" y="0"/>
                      <a:ext cx="5889625" cy="8255"/>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-268605</wp:posOffset>
            </wp:positionV>
            <wp:extent cx="670179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3">
                      <a:extLst>
                        <a:ext uri="{28A0092B-C50C-407E-A947-70E740481C1C}"/>
                      </a:extLst>
                    </a:blip>
                    <a:srcRect/>
                    <a:stretch>
                      <a:fillRect/>
                    </a:stretch>
                  </pic:blipFill>
                  <pic:spPr bwMode="auto">
                    <a:xfrm>
                      <a:off x="0" y="0"/>
                      <a:ext cx="6701790" cy="8255"/>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-148590</wp:posOffset>
            </wp:positionV>
            <wp:extent cx="680339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4">
                      <a:extLst>
                        <a:ext uri="{28A0092B-C50C-407E-A947-70E740481C1C}"/>
                      </a:extLst>
                    </a:blip>
                    <a:srcRect/>
                    <a:stretch>
                      <a:fillRect/>
                    </a:stretch>
                  </pic:blipFill>
                  <pic:spPr bwMode="auto">
                    <a:xfrm>
                      <a:off x="0" y="0"/>
                      <a:ext cx="6803390" cy="8890"/>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-28575</wp:posOffset>
            </wp:positionV>
            <wp:extent cx="15036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5">
                      <a:extLst>
                        <a:ext uri="{28A0092B-C50C-407E-A947-70E740481C1C}"/>
                      </a:extLst>
                    </a:blip>
                    <a:srcRect/>
                    <a:stretch>
                      <a:fillRect/>
                    </a:stretch>
                  </pic:blipFill>
                  <pic:spPr bwMode="auto">
                    <a:xfrm>
                      <a:off x="0" y="0"/>
                      <a:ext cx="1503680" cy="8255"/>
                    </a:xfrm>
                    <a:prstGeom prst="rect">
                      <a:avLst/>
                    </a:prstGeom>
                    <a:noFill/>
                  </pic:spPr>
                </pic:pic>
              </a:graphicData>
            </a:graphic>
          </wp:anchor>
        </w:drawing>
      </w:r>
    </w:p>
    <w:p>
      <w:pPr>
        <w:spacing w:after="0" w:line="194" w:lineRule="exact"/>
        <w:rPr>
          <w:rFonts w:ascii="Arial" w:cs="Arial" w:eastAsia="Arial" w:hAnsi="Arial"/>
          <w:sz w:val="16"/>
          <w:szCs w:val="16"/>
          <w:u w:val="single" w:color="auto"/>
          <w:color w:val="0000FF"/>
        </w:rPr>
      </w:pPr>
    </w:p>
    <w:p>
      <w:pPr>
        <w:ind w:left="580" w:hanging="118"/>
        <w:spacing w:after="0"/>
        <w:tabs>
          <w:tab w:leader="none" w:pos="5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Exhibit 22—</w:t>
      </w:r>
      <w:r>
        <w:rPr>
          <w:rFonts w:ascii="Arial" w:cs="Arial" w:eastAsia="Arial" w:hAnsi="Arial"/>
          <w:sz w:val="16"/>
          <w:szCs w:val="16"/>
          <w:u w:val="single" w:color="auto"/>
          <w:color w:val="0000FF"/>
        </w:rPr>
        <w:t>Issuers of Registered Guaranteed Debt Securities</w:t>
      </w:r>
    </w:p>
    <w:p>
      <w:pPr>
        <w:spacing w:after="0" w:line="248" w:lineRule="exact"/>
        <w:rPr>
          <w:rFonts w:ascii="Arial" w:cs="Arial" w:eastAsia="Arial" w:hAnsi="Arial"/>
          <w:sz w:val="16"/>
          <w:szCs w:val="16"/>
          <w:color w:val="auto"/>
        </w:rPr>
      </w:pPr>
    </w:p>
    <w:p>
      <w:pPr>
        <w:ind w:left="460" w:firstLine="2"/>
        <w:spacing w:after="0" w:line="276" w:lineRule="auto"/>
        <w:tabs>
          <w:tab w:leader="none" w:pos="579" w:val="left"/>
        </w:tabs>
        <w:numPr>
          <w:ilvl w:val="0"/>
          <w:numId w:val="19"/>
        </w:numPr>
        <w:rPr>
          <w:rFonts w:ascii="Arial" w:cs="Arial" w:eastAsia="Arial" w:hAnsi="Arial"/>
          <w:sz w:val="16"/>
          <w:szCs w:val="16"/>
          <w:color w:val="auto"/>
        </w:rPr>
      </w:pPr>
      <w:r>
        <w:rPr>
          <w:rFonts w:ascii="Arial" w:cs="Arial" w:eastAsia="Arial" w:hAnsi="Arial"/>
          <w:sz w:val="16"/>
          <w:szCs w:val="16"/>
          <w:color w:val="auto"/>
        </w:rPr>
        <w:t>Exhibit 31.1—</w:t>
      </w:r>
      <w:r>
        <w:rPr>
          <w:rFonts w:ascii="Arial" w:cs="Arial" w:eastAsia="Arial" w:hAnsi="Arial"/>
          <w:sz w:val="16"/>
          <w:szCs w:val="16"/>
          <w:u w:val="single" w:color="auto"/>
          <w:color w:val="0000FF"/>
        </w:rPr>
        <w:t>Certification of Chief Executive Officer pursuant to Rule 13a-14(a) of the Securities Exchange Act of 1934, as amended, as adopted</w:t>
      </w:r>
      <w:r>
        <w:rPr>
          <w:rFonts w:ascii="Arial" w:cs="Arial" w:eastAsia="Arial" w:hAnsi="Arial"/>
          <w:sz w:val="16"/>
          <w:szCs w:val="16"/>
          <w:color w:val="auto"/>
        </w:rPr>
        <w:t xml:space="preserve"> </w:t>
      </w:r>
      <w:r>
        <w:rPr>
          <w:rFonts w:ascii="Arial" w:cs="Arial" w:eastAsia="Arial" w:hAnsi="Arial"/>
          <w:sz w:val="16"/>
          <w:szCs w:val="16"/>
          <w:u w:val="single" w:color="auto"/>
          <w:color w:val="0000FF"/>
        </w:rPr>
        <w:t>pursuant to Section 302 of the Sarbanes-Oxley Act of 2002</w:t>
      </w:r>
    </w:p>
    <w:p>
      <w:pPr>
        <w:spacing w:after="0" w:line="197" w:lineRule="exact"/>
        <w:rPr>
          <w:rFonts w:ascii="Arial" w:cs="Arial" w:eastAsia="Arial" w:hAnsi="Arial"/>
          <w:sz w:val="16"/>
          <w:szCs w:val="16"/>
          <w:color w:val="auto"/>
        </w:rPr>
      </w:pPr>
    </w:p>
    <w:p>
      <w:pPr>
        <w:ind w:left="460" w:firstLine="2"/>
        <w:spacing w:after="0" w:line="276" w:lineRule="auto"/>
        <w:tabs>
          <w:tab w:leader="none" w:pos="582" w:val="left"/>
        </w:tabs>
        <w:numPr>
          <w:ilvl w:val="0"/>
          <w:numId w:val="19"/>
        </w:numPr>
        <w:rPr>
          <w:rFonts w:ascii="Arial" w:cs="Arial" w:eastAsia="Arial" w:hAnsi="Arial"/>
          <w:sz w:val="16"/>
          <w:szCs w:val="16"/>
          <w:color w:val="auto"/>
        </w:rPr>
      </w:pPr>
      <w:r>
        <w:rPr>
          <w:rFonts w:ascii="Arial" w:cs="Arial" w:eastAsia="Arial" w:hAnsi="Arial"/>
          <w:sz w:val="16"/>
          <w:szCs w:val="16"/>
          <w:color w:val="auto"/>
        </w:rPr>
        <w:t>Exhibit 31.2—</w:t>
      </w:r>
      <w:r>
        <w:rPr>
          <w:rFonts w:ascii="Arial" w:cs="Arial" w:eastAsia="Arial" w:hAnsi="Arial"/>
          <w:sz w:val="16"/>
          <w:szCs w:val="16"/>
          <w:u w:val="single" w:color="auto"/>
          <w:color w:val="0000FF"/>
        </w:rPr>
        <w:t>Certification of Chief Financial Officer pursuant to Rule 13a-14(a) of the Securities Exchange Act of 1934, as amended, as adopted</w:t>
      </w:r>
      <w:r>
        <w:rPr>
          <w:rFonts w:ascii="Arial" w:cs="Arial" w:eastAsia="Arial" w:hAnsi="Arial"/>
          <w:sz w:val="16"/>
          <w:szCs w:val="16"/>
          <w:color w:val="auto"/>
        </w:rPr>
        <w:t xml:space="preserve"> </w:t>
      </w:r>
      <w:r>
        <w:rPr>
          <w:rFonts w:ascii="Arial" w:cs="Arial" w:eastAsia="Arial" w:hAnsi="Arial"/>
          <w:sz w:val="16"/>
          <w:szCs w:val="16"/>
          <w:u w:val="single" w:color="auto"/>
          <w:color w:val="0000FF"/>
        </w:rPr>
        <w:t>pursuant to Section 302 of the Sarbanes-Oxley Act of 2002</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916940</wp:posOffset>
            </wp:positionH>
            <wp:positionV relativeFrom="paragraph">
              <wp:posOffset>-827405</wp:posOffset>
            </wp:positionV>
            <wp:extent cx="227012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6">
                      <a:extLst>
                        <a:ext uri="{28A0092B-C50C-407E-A947-70E740481C1C}"/>
                      </a:extLst>
                    </a:blip>
                    <a:srcRect/>
                    <a:stretch>
                      <a:fillRect/>
                    </a:stretch>
                  </pic:blipFill>
                  <pic:spPr bwMode="auto">
                    <a:xfrm>
                      <a:off x="0" y="0"/>
                      <a:ext cx="2270125" cy="8255"/>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-553085</wp:posOffset>
            </wp:positionV>
            <wp:extent cx="614045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7">
                      <a:extLst>
                        <a:ext uri="{28A0092B-C50C-407E-A947-70E740481C1C}"/>
                      </a:extLst>
                    </a:blip>
                    <a:srcRect/>
                    <a:stretch>
                      <a:fillRect/>
                    </a:stretch>
                  </pic:blipFill>
                  <pic:spPr bwMode="auto">
                    <a:xfrm>
                      <a:off x="0" y="0"/>
                      <a:ext cx="6140450" cy="8255"/>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-433070</wp:posOffset>
            </wp:positionV>
            <wp:extent cx="268224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8">
                      <a:extLst>
                        <a:ext uri="{28A0092B-C50C-407E-A947-70E740481C1C}"/>
                      </a:extLst>
                    </a:blip>
                    <a:srcRect/>
                    <a:stretch>
                      <a:fillRect/>
                    </a:stretch>
                  </pic:blipFill>
                  <pic:spPr bwMode="auto">
                    <a:xfrm>
                      <a:off x="0" y="0"/>
                      <a:ext cx="2682240" cy="8255"/>
                    </a:xfrm>
                    <a:prstGeom prst="rect">
                      <a:avLst/>
                    </a:prstGeom>
                    <a:noFill/>
                  </pic:spPr>
                </pic:pic>
              </a:graphicData>
            </a:graphic>
          </wp:anchor>
        </w:drawing>
        <w:drawing>
          <wp:anchor simplePos="0" relativeHeight="251657728" behindDoc="1" locked="0" layoutInCell="0" allowOverlap="1">
            <wp:simplePos x="0" y="0"/>
            <wp:positionH relativeFrom="column">
              <wp:posOffset>1020445</wp:posOffset>
            </wp:positionH>
            <wp:positionV relativeFrom="paragraph">
              <wp:posOffset>-158750</wp:posOffset>
            </wp:positionV>
            <wp:extent cx="613727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9">
                      <a:extLst>
                        <a:ext uri="{28A0092B-C50C-407E-A947-70E740481C1C}"/>
                      </a:extLst>
                    </a:blip>
                    <a:srcRect/>
                    <a:stretch>
                      <a:fillRect/>
                    </a:stretch>
                  </pic:blipFill>
                  <pic:spPr bwMode="auto">
                    <a:xfrm>
                      <a:off x="0" y="0"/>
                      <a:ext cx="6137275" cy="8255"/>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-38735</wp:posOffset>
            </wp:positionV>
            <wp:extent cx="271081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0">
                      <a:extLst>
                        <a:ext uri="{28A0092B-C50C-407E-A947-70E740481C1C}"/>
                      </a:extLst>
                    </a:blip>
                    <a:srcRect/>
                    <a:stretch>
                      <a:fillRect/>
                    </a:stretch>
                  </pic:blipFill>
                  <pic:spPr bwMode="auto">
                    <a:xfrm>
                      <a:off x="0" y="0"/>
                      <a:ext cx="2710815" cy="8255"/>
                    </a:xfrm>
                    <a:prstGeom prst="rect">
                      <a:avLst/>
                    </a:prstGeom>
                    <a:noFill/>
                  </pic:spPr>
                </pic:pic>
              </a:graphicData>
            </a:graphic>
          </wp:anchor>
        </w:drawing>
      </w:r>
    </w:p>
    <w:p>
      <w:pPr>
        <w:spacing w:after="0" w:line="178" w:lineRule="exact"/>
        <w:rPr>
          <w:rFonts w:ascii="Arial" w:cs="Arial" w:eastAsia="Arial" w:hAnsi="Arial"/>
          <w:sz w:val="16"/>
          <w:szCs w:val="16"/>
          <w:u w:val="single" w:color="auto"/>
          <w:color w:val="0000FF"/>
        </w:rPr>
      </w:pPr>
    </w:p>
    <w:p>
      <w:pPr>
        <w:ind w:left="460" w:firstLine="2"/>
        <w:spacing w:after="0" w:line="276" w:lineRule="auto"/>
        <w:tabs>
          <w:tab w:leader="none" w:pos="6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Exhibit 32.1—</w:t>
      </w:r>
      <w:r>
        <w:rPr>
          <w:rFonts w:ascii="Arial" w:cs="Arial" w:eastAsia="Arial" w:hAnsi="Arial"/>
          <w:sz w:val="16"/>
          <w:szCs w:val="16"/>
          <w:u w:val="single" w:color="auto"/>
          <w:color w:val="0000FF"/>
        </w:rPr>
        <w:t>Certification of Chief Executive Officer pursuant to 18 U.S.C. Section 1350, as adopted pursuant to Section 906 of the Sarbanes-Oxley Act of 2002</w:t>
      </w:r>
    </w:p>
    <w:p>
      <w:pPr>
        <w:spacing w:after="0" w:line="197" w:lineRule="exact"/>
        <w:rPr>
          <w:rFonts w:ascii="Arial" w:cs="Arial" w:eastAsia="Arial" w:hAnsi="Arial"/>
          <w:sz w:val="16"/>
          <w:szCs w:val="16"/>
          <w:color w:val="auto"/>
        </w:rPr>
      </w:pPr>
    </w:p>
    <w:p>
      <w:pPr>
        <w:ind w:left="460" w:firstLine="2"/>
        <w:spacing w:after="0" w:line="276" w:lineRule="auto"/>
        <w:tabs>
          <w:tab w:leader="none" w:pos="632" w:val="left"/>
        </w:tabs>
        <w:numPr>
          <w:ilvl w:val="0"/>
          <w:numId w:val="20"/>
        </w:numPr>
        <w:rPr>
          <w:rFonts w:ascii="Arial" w:cs="Arial" w:eastAsia="Arial" w:hAnsi="Arial"/>
          <w:sz w:val="16"/>
          <w:szCs w:val="16"/>
          <w:color w:val="auto"/>
        </w:rPr>
      </w:pPr>
      <w:r>
        <w:rPr>
          <w:rFonts w:ascii="Arial" w:cs="Arial" w:eastAsia="Arial" w:hAnsi="Arial"/>
          <w:sz w:val="16"/>
          <w:szCs w:val="16"/>
          <w:color w:val="auto"/>
        </w:rPr>
        <w:t>Exhibit 32.2—</w:t>
      </w:r>
      <w:r>
        <w:rPr>
          <w:rFonts w:ascii="Arial" w:cs="Arial" w:eastAsia="Arial" w:hAnsi="Arial"/>
          <w:sz w:val="16"/>
          <w:szCs w:val="16"/>
          <w:u w:val="single" w:color="auto"/>
          <w:color w:val="0000FF"/>
        </w:rPr>
        <w:t>Certification of Chief Financial Officer pursuant to 18 U.S.C. Section 1350, as adopted pursuant to Section 906 of the Sarbanes-Oxley</w:t>
      </w:r>
      <w:r>
        <w:rPr>
          <w:rFonts w:ascii="Arial" w:cs="Arial" w:eastAsia="Arial" w:hAnsi="Arial"/>
          <w:sz w:val="16"/>
          <w:szCs w:val="16"/>
          <w:color w:val="auto"/>
        </w:rPr>
        <w:t xml:space="preserve"> </w:t>
      </w:r>
      <w:r>
        <w:rPr>
          <w:rFonts w:ascii="Arial" w:cs="Arial" w:eastAsia="Arial" w:hAnsi="Arial"/>
          <w:sz w:val="16"/>
          <w:szCs w:val="16"/>
          <w:u w:val="single" w:color="auto"/>
          <w:color w:val="0000FF"/>
        </w:rPr>
        <w:t>Act of 2002</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1065530</wp:posOffset>
            </wp:positionH>
            <wp:positionV relativeFrom="paragraph">
              <wp:posOffset>-553085</wp:posOffset>
            </wp:positionV>
            <wp:extent cx="606361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1">
                      <a:extLst>
                        <a:ext uri="{28A0092B-C50C-407E-A947-70E740481C1C}"/>
                      </a:extLst>
                    </a:blip>
                    <a:srcRect/>
                    <a:stretch>
                      <a:fillRect/>
                    </a:stretch>
                  </pic:blipFill>
                  <pic:spPr bwMode="auto">
                    <a:xfrm>
                      <a:off x="0" y="0"/>
                      <a:ext cx="6063615" cy="8890"/>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-433070</wp:posOffset>
            </wp:positionV>
            <wp:extent cx="80645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2">
                      <a:extLst>
                        <a:ext uri="{28A0092B-C50C-407E-A947-70E740481C1C}"/>
                      </a:extLst>
                    </a:blip>
                    <a:srcRect/>
                    <a:stretch>
                      <a:fillRect/>
                    </a:stretch>
                  </pic:blipFill>
                  <pic:spPr bwMode="auto">
                    <a:xfrm>
                      <a:off x="0" y="0"/>
                      <a:ext cx="806450" cy="8255"/>
                    </a:xfrm>
                    <a:prstGeom prst="rect">
                      <a:avLst/>
                    </a:prstGeom>
                    <a:noFill/>
                  </pic:spPr>
                </pic:pic>
              </a:graphicData>
            </a:graphic>
          </wp:anchor>
        </w:drawing>
        <w:drawing>
          <wp:anchor simplePos="0" relativeHeight="251657728" behindDoc="1" locked="0" layoutInCell="0" allowOverlap="1">
            <wp:simplePos x="0" y="0"/>
            <wp:positionH relativeFrom="column">
              <wp:posOffset>1043940</wp:posOffset>
            </wp:positionH>
            <wp:positionV relativeFrom="paragraph">
              <wp:posOffset>-158750</wp:posOffset>
            </wp:positionV>
            <wp:extent cx="610806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3">
                      <a:extLst>
                        <a:ext uri="{28A0092B-C50C-407E-A947-70E740481C1C}"/>
                      </a:extLst>
                    </a:blip>
                    <a:srcRect/>
                    <a:stretch>
                      <a:fillRect/>
                    </a:stretch>
                  </pic:blipFill>
                  <pic:spPr bwMode="auto">
                    <a:xfrm>
                      <a:off x="0" y="0"/>
                      <a:ext cx="6108065" cy="8255"/>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-38735</wp:posOffset>
            </wp:positionV>
            <wp:extent cx="52070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4">
                      <a:extLst>
                        <a:ext uri="{28A0092B-C50C-407E-A947-70E740481C1C}"/>
                      </a:extLst>
                    </a:blip>
                    <a:srcRect/>
                    <a:stretch>
                      <a:fillRect/>
                    </a:stretch>
                  </pic:blipFill>
                  <pic:spPr bwMode="auto">
                    <a:xfrm>
                      <a:off x="0" y="0"/>
                      <a:ext cx="520700" cy="8255"/>
                    </a:xfrm>
                    <a:prstGeom prst="rect">
                      <a:avLst/>
                    </a:prstGeom>
                    <a:noFill/>
                  </pic:spPr>
                </pic:pic>
              </a:graphicData>
            </a:graphic>
          </wp:anchor>
        </w:drawing>
      </w:r>
    </w:p>
    <w:p>
      <w:pPr>
        <w:spacing w:after="0" w:line="178" w:lineRule="exact"/>
        <w:rPr>
          <w:rFonts w:ascii="Arial" w:cs="Arial" w:eastAsia="Arial" w:hAnsi="Arial"/>
          <w:sz w:val="16"/>
          <w:szCs w:val="16"/>
          <w:u w:val="single" w:color="auto"/>
          <w:color w:val="0000FF"/>
        </w:rPr>
      </w:pPr>
    </w:p>
    <w:p>
      <w:pPr>
        <w:ind w:left="580" w:hanging="118"/>
        <w:spacing w:after="0"/>
        <w:tabs>
          <w:tab w:leader="none" w:pos="58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Exhibit 95—</w:t>
      </w:r>
      <w:r>
        <w:rPr>
          <w:rFonts w:ascii="Arial" w:cs="Arial" w:eastAsia="Arial" w:hAnsi="Arial"/>
          <w:sz w:val="16"/>
          <w:szCs w:val="16"/>
          <w:u w:val="single" w:color="auto"/>
          <w:color w:val="0000FF"/>
        </w:rPr>
        <w:t>Mine Safety Disclosures</w:t>
      </w:r>
    </w:p>
    <w:p>
      <w:pPr>
        <w:spacing w:after="0" w:line="248" w:lineRule="exact"/>
        <w:rPr>
          <w:rFonts w:ascii="Arial" w:cs="Arial" w:eastAsia="Arial" w:hAnsi="Arial"/>
          <w:sz w:val="16"/>
          <w:szCs w:val="16"/>
          <w:color w:val="auto"/>
        </w:rPr>
      </w:pPr>
    </w:p>
    <w:p>
      <w:pPr>
        <w:ind w:left="460" w:firstLine="2"/>
        <w:spacing w:after="0" w:line="276" w:lineRule="auto"/>
        <w:tabs>
          <w:tab w:leader="none" w:pos="586" w:val="left"/>
        </w:tabs>
        <w:numPr>
          <w:ilvl w:val="1"/>
          <w:numId w:val="21"/>
        </w:numPr>
        <w:rPr>
          <w:rFonts w:ascii="Arial" w:cs="Arial" w:eastAsia="Arial" w:hAnsi="Arial"/>
          <w:sz w:val="16"/>
          <w:szCs w:val="16"/>
          <w:color w:val="auto"/>
        </w:rPr>
      </w:pPr>
      <w:r>
        <w:rPr>
          <w:rFonts w:ascii="Arial" w:cs="Arial" w:eastAsia="Arial" w:hAnsi="Arial"/>
          <w:sz w:val="16"/>
          <w:szCs w:val="16"/>
          <w:color w:val="auto"/>
        </w:rPr>
        <w:t>Exhibit 101.INS—Inline XBRL Instance Document – the instance document does not appear in the Interactive Data File because XBRL tags are embedded within the Inline XBRL document</w:t>
      </w:r>
    </w:p>
    <w:p>
      <w:pPr>
        <w:spacing w:after="0" w:line="197" w:lineRule="exact"/>
        <w:rPr>
          <w:rFonts w:ascii="Arial" w:cs="Arial" w:eastAsia="Arial" w:hAnsi="Arial"/>
          <w:sz w:val="16"/>
          <w:szCs w:val="16"/>
          <w:color w:val="auto"/>
        </w:rPr>
      </w:pPr>
    </w:p>
    <w:p>
      <w:pPr>
        <w:ind w:left="580" w:hanging="118"/>
        <w:spacing w:after="0"/>
        <w:tabs>
          <w:tab w:leader="none" w:pos="58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Exhibit 101.SCH—Inline XBRL Taxonomy Extension Schema Document</w:t>
      </w:r>
    </w:p>
    <w:p>
      <w:pPr>
        <w:spacing w:after="0" w:line="248" w:lineRule="exact"/>
        <w:rPr>
          <w:rFonts w:ascii="Arial" w:cs="Arial" w:eastAsia="Arial" w:hAnsi="Arial"/>
          <w:sz w:val="16"/>
          <w:szCs w:val="16"/>
          <w:color w:val="auto"/>
        </w:rPr>
      </w:pPr>
    </w:p>
    <w:p>
      <w:pPr>
        <w:ind w:left="580" w:hanging="118"/>
        <w:spacing w:after="0"/>
        <w:tabs>
          <w:tab w:leader="none" w:pos="58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Exhibit 101.CAL—Inline XBRL Taxonomy Extension Calculation Linkbase Document</w:t>
      </w:r>
    </w:p>
    <w:p>
      <w:pPr>
        <w:spacing w:after="0" w:line="248" w:lineRule="exact"/>
        <w:rPr>
          <w:rFonts w:ascii="Arial" w:cs="Arial" w:eastAsia="Arial" w:hAnsi="Arial"/>
          <w:sz w:val="16"/>
          <w:szCs w:val="16"/>
          <w:color w:val="auto"/>
        </w:rPr>
      </w:pPr>
    </w:p>
    <w:p>
      <w:pPr>
        <w:ind w:left="580" w:hanging="118"/>
        <w:spacing w:after="0"/>
        <w:tabs>
          <w:tab w:leader="none" w:pos="58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Exhibit 101.DEF—Inline XBRL Taxonomy Extension Definition Linkbase Document</w:t>
      </w:r>
    </w:p>
    <w:p>
      <w:pPr>
        <w:spacing w:after="0" w:line="248" w:lineRule="exact"/>
        <w:rPr>
          <w:rFonts w:ascii="Arial" w:cs="Arial" w:eastAsia="Arial" w:hAnsi="Arial"/>
          <w:sz w:val="16"/>
          <w:szCs w:val="16"/>
          <w:color w:val="auto"/>
        </w:rPr>
      </w:pPr>
    </w:p>
    <w:p>
      <w:pPr>
        <w:ind w:left="580" w:hanging="118"/>
        <w:spacing w:after="0"/>
        <w:tabs>
          <w:tab w:leader="none" w:pos="58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Exhibit 101.LAB—Inline XBRL Taxonomy Extension Label Linkbase Document</w:t>
      </w:r>
    </w:p>
    <w:p>
      <w:pPr>
        <w:spacing w:after="0" w:line="248" w:lineRule="exact"/>
        <w:rPr>
          <w:rFonts w:ascii="Arial" w:cs="Arial" w:eastAsia="Arial" w:hAnsi="Arial"/>
          <w:sz w:val="16"/>
          <w:szCs w:val="16"/>
          <w:color w:val="auto"/>
        </w:rPr>
      </w:pPr>
    </w:p>
    <w:p>
      <w:pPr>
        <w:ind w:left="580" w:hanging="118"/>
        <w:spacing w:after="0"/>
        <w:tabs>
          <w:tab w:leader="none" w:pos="58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Exhibit 101.PRE—Inline XBRL Taxonomy Extension Presentation Linkbase Document</w:t>
      </w:r>
    </w:p>
    <w:p>
      <w:pPr>
        <w:spacing w:after="0" w:line="248" w:lineRule="exact"/>
        <w:rPr>
          <w:rFonts w:ascii="Arial" w:cs="Arial" w:eastAsia="Arial" w:hAnsi="Arial"/>
          <w:sz w:val="16"/>
          <w:szCs w:val="16"/>
          <w:color w:val="auto"/>
        </w:rPr>
      </w:pPr>
    </w:p>
    <w:p>
      <w:pPr>
        <w:ind w:right="4040" w:firstLine="462"/>
        <w:spacing w:after="0" w:line="449" w:lineRule="auto"/>
        <w:tabs>
          <w:tab w:leader="none" w:pos="562" w:val="left"/>
        </w:tabs>
        <w:numPr>
          <w:ilvl w:val="1"/>
          <w:numId w:val="21"/>
        </w:numPr>
        <w:rPr>
          <w:rFonts w:ascii="Arial" w:cs="Arial" w:eastAsia="Arial" w:hAnsi="Arial"/>
          <w:sz w:val="16"/>
          <w:szCs w:val="16"/>
          <w:color w:val="auto"/>
        </w:rPr>
      </w:pPr>
      <w:r>
        <w:rPr>
          <w:rFonts w:ascii="Arial" w:cs="Arial" w:eastAsia="Arial" w:hAnsi="Arial"/>
          <w:sz w:val="16"/>
          <w:szCs w:val="16"/>
          <w:color w:val="auto"/>
        </w:rPr>
        <w:t>Exhibit 104—Cover Page Interactive Data File (embedded within the Inline XBRL document) * Filed with this Form 10-Q.</w:t>
      </w:r>
    </w:p>
    <w:p>
      <w:pPr>
        <w:ind w:left="180" w:hanging="172"/>
        <w:spacing w:after="0"/>
        <w:tabs>
          <w:tab w:leader="none" w:pos="1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Furnished with this Form 10-Q.</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916940</wp:posOffset>
            </wp:positionH>
            <wp:positionV relativeFrom="paragraph">
              <wp:posOffset>-2484120</wp:posOffset>
            </wp:positionV>
            <wp:extent cx="110363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5">
                      <a:extLst>
                        <a:ext uri="{28A0092B-C50C-407E-A947-70E740481C1C}"/>
                      </a:extLst>
                    </a:blip>
                    <a:srcRect/>
                    <a:stretch>
                      <a:fillRect/>
                    </a:stretch>
                  </pic:blipFill>
                  <pic:spPr bwMode="auto">
                    <a:xfrm>
                      <a:off x="0" y="0"/>
                      <a:ext cx="1103630" cy="8890"/>
                    </a:xfrm>
                    <a:prstGeom prst="rect">
                      <a:avLst/>
                    </a:prstGeom>
                    <a:noFill/>
                  </pic:spPr>
                </pic:pic>
              </a:graphicData>
            </a:graphic>
          </wp:anchor>
        </w:drawing>
      </w:r>
    </w:p>
    <w:p>
      <w:pPr>
        <w:spacing w:after="0" w:line="93" w:lineRule="exact"/>
        <w:rPr>
          <w:rFonts w:ascii="Arial" w:cs="Arial" w:eastAsia="Arial" w:hAnsi="Arial"/>
          <w:sz w:val="16"/>
          <w:szCs w:val="16"/>
          <w:u w:val="single" w:color="auto"/>
          <w:color w:val="0000FF"/>
        </w:rPr>
      </w:pPr>
    </w:p>
    <w:p>
      <w:pPr>
        <w:spacing w:after="0"/>
        <w:rPr>
          <w:sz w:val="20"/>
          <w:szCs w:val="20"/>
          <w:color w:val="auto"/>
        </w:rPr>
      </w:pPr>
      <w:r>
        <w:rPr>
          <w:rFonts w:ascii="Arial" w:cs="Arial" w:eastAsia="Arial" w:hAnsi="Arial"/>
          <w:sz w:val="16"/>
          <w:szCs w:val="16"/>
          <w:color w:val="auto"/>
        </w:rPr>
        <w:t>(+) Management contracts or compensatory plans or arrangements.</w:t>
      </w:r>
    </w:p>
    <w:p>
      <w:pPr>
        <w:spacing w:after="0" w:line="200" w:lineRule="exact"/>
        <w:rPr>
          <w:rFonts w:ascii="Arial" w:cs="Arial" w:eastAsia="Arial" w:hAnsi="Arial"/>
          <w:sz w:val="16"/>
          <w:szCs w:val="16"/>
          <w:u w:val="single" w:color="auto"/>
          <w:color w:val="0000FF"/>
        </w:rPr>
      </w:pPr>
    </w:p>
    <w:p>
      <w:pPr>
        <w:spacing w:after="0" w:line="237" w:lineRule="exact"/>
        <w:rPr>
          <w:rFonts w:ascii="Arial" w:cs="Arial" w:eastAsia="Arial" w:hAnsi="Arial"/>
          <w:sz w:val="16"/>
          <w:szCs w:val="16"/>
          <w:u w:val="single" w:color="auto"/>
          <w:color w:val="0000FF"/>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jc w:val="center"/>
        <w:spacing w:after="0"/>
        <w:rPr>
          <w:sz w:val="20"/>
          <w:szCs w:val="20"/>
          <w:color w:val="auto"/>
        </w:rPr>
      </w:pPr>
      <w:r>
        <w:rPr>
          <w:rFonts w:ascii="Arial" w:cs="Arial" w:eastAsia="Arial" w:hAnsi="Arial"/>
          <w:sz w:val="16"/>
          <w:szCs w:val="16"/>
          <w:color w:val="auto"/>
        </w:rPr>
        <w:t>SIGNATURE</w:t>
      </w:r>
    </w:p>
    <w:p>
      <w:pPr>
        <w:spacing w:after="0" w:line="221"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SCHLUMBERGER LIMITED</w:t>
      </w:r>
    </w:p>
    <w:p>
      <w:pPr>
        <w:spacing w:after="0" w:line="235" w:lineRule="exact"/>
        <w:rPr>
          <w:sz w:val="20"/>
          <w:szCs w:val="20"/>
          <w:color w:val="auto"/>
        </w:rPr>
      </w:pPr>
    </w:p>
    <w:p>
      <w:pPr>
        <w:ind w:left="20"/>
        <w:spacing w:after="0"/>
        <w:tabs>
          <w:tab w:leader="none" w:pos="580" w:val="left"/>
          <w:tab w:leader="none" w:pos="5760" w:val="left"/>
        </w:tabs>
        <w:rPr>
          <w:sz w:val="20"/>
          <w:szCs w:val="20"/>
          <w:color w:val="auto"/>
        </w:rPr>
      </w:pPr>
      <w:r>
        <w:rPr>
          <w:rFonts w:ascii="Arial" w:cs="Arial" w:eastAsia="Arial" w:hAnsi="Arial"/>
          <w:sz w:val="16"/>
          <w:szCs w:val="16"/>
          <w:color w:val="auto"/>
        </w:rPr>
        <w:t>Date:</w:t>
        <w:tab/>
        <w:t>July 26, 2023</w:t>
      </w:r>
      <w:r>
        <w:rPr>
          <w:sz w:val="20"/>
          <w:szCs w:val="20"/>
          <w:color w:val="auto"/>
        </w:rPr>
        <w:tab/>
      </w:r>
      <w:r>
        <w:rPr>
          <w:rFonts w:ascii="Arial" w:cs="Arial" w:eastAsia="Arial" w:hAnsi="Arial"/>
          <w:sz w:val="16"/>
          <w:szCs w:val="16"/>
          <w:color w:val="auto"/>
        </w:rPr>
        <w:t>/s/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18415</wp:posOffset>
            </wp:positionV>
            <wp:extent cx="348043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7">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18" w:lineRule="exact"/>
        <w:rPr>
          <w:sz w:val="20"/>
          <w:szCs w:val="20"/>
          <w:color w:val="auto"/>
        </w:rPr>
      </w:pPr>
    </w:p>
    <w:p>
      <w:pPr>
        <w:ind w:left="5780"/>
        <w:spacing w:after="0"/>
        <w:rPr>
          <w:sz w:val="20"/>
          <w:szCs w:val="20"/>
          <w:color w:val="auto"/>
        </w:rPr>
      </w:pPr>
      <w:r>
        <w:rPr>
          <w:rFonts w:ascii="Arial" w:cs="Arial" w:eastAsia="Arial" w:hAnsi="Arial"/>
          <w:sz w:val="16"/>
          <w:szCs w:val="16"/>
          <w:b w:val="1"/>
          <w:bCs w:val="1"/>
          <w:color w:val="auto"/>
        </w:rPr>
        <w:t>Howard Guild</w:t>
      </w:r>
    </w:p>
    <w:p>
      <w:pPr>
        <w:spacing w:after="0" w:line="43" w:lineRule="exact"/>
        <w:rPr>
          <w:sz w:val="20"/>
          <w:szCs w:val="20"/>
          <w:color w:val="auto"/>
        </w:rPr>
      </w:pPr>
    </w:p>
    <w:p>
      <w:pPr>
        <w:ind w:left="5780"/>
        <w:spacing w:after="0"/>
        <w:rPr>
          <w:sz w:val="20"/>
          <w:szCs w:val="20"/>
          <w:color w:val="auto"/>
        </w:rPr>
      </w:pPr>
      <w:r>
        <w:rPr>
          <w:rFonts w:ascii="Arial" w:cs="Arial" w:eastAsia="Arial" w:hAnsi="Arial"/>
          <w:sz w:val="16"/>
          <w:szCs w:val="16"/>
          <w:b w:val="1"/>
          <w:bCs w:val="1"/>
          <w:color w:val="auto"/>
        </w:rPr>
        <w:t>Chief Accounting Officer and Duly Authorized Signatory</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24" w:name="page25"/>
    <w:bookmarkEnd w:id="2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5" w:name="page26"/>
    <w:bookmarkEnd w:id="25"/>
    <w:p>
      <w:pPr>
        <w:jc w:val="right"/>
        <w:spacing w:after="0"/>
        <w:rPr>
          <w:sz w:val="20"/>
          <w:szCs w:val="20"/>
          <w:color w:val="auto"/>
        </w:rPr>
      </w:pPr>
      <w:r>
        <w:rPr>
          <w:rFonts w:ascii="Arial" w:cs="Arial" w:eastAsia="Arial" w:hAnsi="Arial"/>
          <w:sz w:val="16"/>
          <w:szCs w:val="16"/>
          <w:b w:val="1"/>
          <w:bCs w:val="1"/>
          <w:u w:val="single" w:color="auto"/>
          <w:color w:val="auto"/>
        </w:rPr>
        <w:t>Exhibit 22</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6"/>
          <w:szCs w:val="16"/>
          <w:b w:val="1"/>
          <w:bCs w:val="1"/>
          <w:u w:val="single" w:color="auto"/>
          <w:color w:val="auto"/>
        </w:rPr>
        <w:t>Issuers of Registered Guaranteed Debt Securities</w:t>
      </w:r>
    </w:p>
    <w:p>
      <w:pPr>
        <w:spacing w:after="0" w:line="20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Schlumberger Investment S.A., a société anonyme incorporated under the laws of the Grand Duchy of Luxembourg (“SISA”), and Schlumberger Finance Canada Ltd., a corporation incorporated under the laws of the Province of Alberta, Canada (“SFCL”), are both indirect wholly-owned subsidiaries of Schlumberger Limited (the “Guarantor”).</w:t>
      </w:r>
    </w:p>
    <w:p>
      <w:pPr>
        <w:spacing w:after="0" w:line="15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As of June 30, 2023, (i) SISA was the issuer of its 3.650% Senior Notes due 2023, 4.500% Senior Notes due 2028, 2.650% Senior Notes due 2030, and 4.850% Senior Notes due 2033 (together, the “SISA Notes”), and (ii) SFCL was the issuer of its 1.400% Senior Notes due 2025 (the “SFCL Notes”). The Guarantor fully and unconditionally guarantees the SISA Notes and the SFCL Notes on a senior unsecured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6" w:name="page27"/>
    <w:bookmarkEnd w:id="2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7" w:name="page28"/>
    <w:bookmarkEnd w:id="27"/>
    <w:p>
      <w:pPr>
        <w:ind w:left="10300"/>
        <w:spacing w:after="0"/>
        <w:rPr>
          <w:sz w:val="20"/>
          <w:szCs w:val="20"/>
          <w:color w:val="auto"/>
        </w:rPr>
      </w:pPr>
      <w:r>
        <w:rPr>
          <w:rFonts w:ascii="Arial" w:cs="Arial" w:eastAsia="Arial" w:hAnsi="Arial"/>
          <w:sz w:val="16"/>
          <w:szCs w:val="16"/>
          <w:b w:val="1"/>
          <w:bCs w:val="1"/>
          <w:u w:val="single" w:color="auto"/>
          <w:color w:val="auto"/>
        </w:rPr>
        <w:t>Exhibit 31.1</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u w:val="single" w:color="auto"/>
          <w:color w:val="auto"/>
        </w:rPr>
        <w:t>CERTIFICATION OF CHIEF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I, Olivier Le Peuch, certify that:</w:t>
      </w:r>
    </w:p>
    <w:p>
      <w:pPr>
        <w:spacing w:after="0" w:line="113" w:lineRule="exact"/>
        <w:rPr>
          <w:sz w:val="20"/>
          <w:szCs w:val="20"/>
          <w:color w:val="auto"/>
        </w:rPr>
      </w:pPr>
    </w:p>
    <w:p>
      <w:pPr>
        <w:ind w:left="560" w:hanging="178"/>
        <w:spacing w:after="0"/>
        <w:tabs>
          <w:tab w:leader="none" w:pos="5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Schlumberger N.V. (Schlumberger Limited);</w:t>
      </w:r>
    </w:p>
    <w:p>
      <w:pPr>
        <w:spacing w:after="0" w:line="113" w:lineRule="exact"/>
        <w:rPr>
          <w:rFonts w:ascii="Arial" w:cs="Arial" w:eastAsia="Arial" w:hAnsi="Arial"/>
          <w:sz w:val="16"/>
          <w:szCs w:val="16"/>
          <w:color w:val="auto"/>
        </w:rPr>
      </w:pPr>
    </w:p>
    <w:p>
      <w:pPr>
        <w:ind w:firstLine="382"/>
        <w:spacing w:after="0" w:line="276" w:lineRule="auto"/>
        <w:tabs>
          <w:tab w:leader="none" w:pos="562"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6"/>
          <w:szCs w:val="16"/>
          <w:color w:val="auto"/>
        </w:rPr>
      </w:pPr>
    </w:p>
    <w:p>
      <w:pPr>
        <w:ind w:firstLine="382"/>
        <w:spacing w:after="0" w:line="276" w:lineRule="auto"/>
        <w:tabs>
          <w:tab w:leader="none" w:pos="569"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6"/>
          <w:szCs w:val="16"/>
          <w:color w:val="auto"/>
        </w:rPr>
      </w:pPr>
    </w:p>
    <w:p>
      <w:pPr>
        <w:jc w:val="both"/>
        <w:ind w:firstLine="382"/>
        <w:spacing w:after="0" w:line="261" w:lineRule="auto"/>
        <w:tabs>
          <w:tab w:leader="none" w:pos="577"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16"/>
          <w:szCs w:val="16"/>
          <w:color w:val="auto"/>
        </w:rPr>
      </w:pPr>
    </w:p>
    <w:p>
      <w:pPr>
        <w:jc w:val="both"/>
        <w:ind w:left="1120" w:hanging="513"/>
        <w:spacing w:after="0" w:line="261" w:lineRule="auto"/>
        <w:tabs>
          <w:tab w:leader="none" w:pos="1170" w:val="left"/>
        </w:tabs>
        <w:numPr>
          <w:ilvl w:val="1"/>
          <w:numId w:val="2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6"/>
          <w:szCs w:val="16"/>
          <w:color w:val="auto"/>
        </w:rPr>
      </w:pPr>
    </w:p>
    <w:p>
      <w:pPr>
        <w:jc w:val="both"/>
        <w:ind w:left="1120" w:hanging="513"/>
        <w:spacing w:after="0" w:line="261" w:lineRule="auto"/>
        <w:tabs>
          <w:tab w:leader="none" w:pos="1142" w:val="left"/>
        </w:tabs>
        <w:numPr>
          <w:ilvl w:val="1"/>
          <w:numId w:val="2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6"/>
          <w:szCs w:val="16"/>
          <w:color w:val="auto"/>
        </w:rPr>
      </w:pPr>
    </w:p>
    <w:p>
      <w:pPr>
        <w:ind w:left="1120" w:hanging="513"/>
        <w:spacing w:after="0" w:line="276" w:lineRule="auto"/>
        <w:tabs>
          <w:tab w:leader="none" w:pos="1141"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6"/>
          <w:szCs w:val="16"/>
          <w:color w:val="auto"/>
        </w:rPr>
      </w:pPr>
    </w:p>
    <w:p>
      <w:pPr>
        <w:jc w:val="both"/>
        <w:ind w:left="1120" w:hanging="513"/>
        <w:spacing w:after="0" w:line="261" w:lineRule="auto"/>
        <w:tabs>
          <w:tab w:leader="none" w:pos="1123" w:val="left"/>
        </w:tabs>
        <w:numPr>
          <w:ilvl w:val="1"/>
          <w:numId w:val="2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4" w:lineRule="exact"/>
        <w:rPr>
          <w:rFonts w:ascii="Arial" w:cs="Arial" w:eastAsia="Arial" w:hAnsi="Arial"/>
          <w:sz w:val="16"/>
          <w:szCs w:val="16"/>
          <w:color w:val="auto"/>
        </w:rPr>
      </w:pPr>
    </w:p>
    <w:p>
      <w:pPr>
        <w:ind w:firstLine="382"/>
        <w:spacing w:after="0" w:line="276" w:lineRule="auto"/>
        <w:tabs>
          <w:tab w:leader="none" w:pos="563"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6"/>
          <w:szCs w:val="16"/>
          <w:color w:val="auto"/>
        </w:rPr>
      </w:pPr>
    </w:p>
    <w:p>
      <w:pPr>
        <w:ind w:left="1120" w:hanging="513"/>
        <w:spacing w:after="0" w:line="276" w:lineRule="auto"/>
        <w:tabs>
          <w:tab w:leader="none" w:pos="1164" w:val="left"/>
        </w:tabs>
        <w:numPr>
          <w:ilvl w:val="1"/>
          <w:numId w:val="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6"/>
          <w:szCs w:val="16"/>
          <w:color w:val="auto"/>
        </w:rPr>
      </w:pPr>
    </w:p>
    <w:p>
      <w:pPr>
        <w:ind w:left="1120" w:hanging="513"/>
        <w:spacing w:after="0" w:line="276" w:lineRule="auto"/>
        <w:tabs>
          <w:tab w:leader="none" w:pos="1142" w:val="left"/>
        </w:tabs>
        <w:numPr>
          <w:ilvl w:val="1"/>
          <w:numId w:val="2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20"/>
        <w:spacing w:after="0"/>
        <w:tabs>
          <w:tab w:leader="none" w:pos="6720" w:val="left"/>
        </w:tabs>
        <w:rPr>
          <w:sz w:val="20"/>
          <w:szCs w:val="20"/>
          <w:color w:val="auto"/>
        </w:rPr>
      </w:pPr>
      <w:r>
        <w:rPr>
          <w:rFonts w:ascii="Arial" w:cs="Arial" w:eastAsia="Arial" w:hAnsi="Arial"/>
          <w:sz w:val="16"/>
          <w:szCs w:val="16"/>
          <w:color w:val="auto"/>
        </w:rPr>
        <w:t>Date: July 26, 2023</w:t>
      </w:r>
      <w:r>
        <w:rPr>
          <w:sz w:val="20"/>
          <w:szCs w:val="20"/>
          <w:color w:val="auto"/>
        </w:rPr>
        <w:tab/>
      </w:r>
      <w:r>
        <w:rPr>
          <w:rFonts w:ascii="Arial" w:cs="Arial" w:eastAsia="Arial" w:hAnsi="Arial"/>
          <w:sz w:val="16"/>
          <w:szCs w:val="16"/>
          <w:color w:val="auto"/>
        </w:rPr>
        <w:t>/s/ Olivier Le Peuch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18415</wp:posOffset>
            </wp:positionV>
            <wp:extent cx="286321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0">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26" w:lineRule="exact"/>
        <w:rPr>
          <w:sz w:val="20"/>
          <w:szCs w:val="20"/>
          <w:color w:val="auto"/>
        </w:rPr>
      </w:pPr>
    </w:p>
    <w:p>
      <w:pPr>
        <w:ind w:left="6740"/>
        <w:spacing w:after="0"/>
        <w:rPr>
          <w:sz w:val="20"/>
          <w:szCs w:val="20"/>
          <w:color w:val="auto"/>
        </w:rPr>
      </w:pPr>
      <w:r>
        <w:rPr>
          <w:rFonts w:ascii="Arial" w:cs="Arial" w:eastAsia="Arial" w:hAnsi="Arial"/>
          <w:sz w:val="16"/>
          <w:szCs w:val="16"/>
          <w:color w:val="auto"/>
        </w:rPr>
        <w:t>Olivier Le Peuch</w:t>
      </w:r>
    </w:p>
    <w:p>
      <w:pPr>
        <w:spacing w:after="0" w:line="32" w:lineRule="exact"/>
        <w:rPr>
          <w:sz w:val="20"/>
          <w:szCs w:val="20"/>
          <w:color w:val="auto"/>
        </w:rPr>
      </w:pPr>
    </w:p>
    <w:p>
      <w:pPr>
        <w:ind w:left="6740"/>
        <w:spacing w:after="0"/>
        <w:rPr>
          <w:sz w:val="20"/>
          <w:szCs w:val="20"/>
          <w:color w:val="auto"/>
        </w:rPr>
      </w:pP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622935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8" w:name="page29"/>
    <w:bookmarkEnd w:id="2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9" w:name="page30"/>
    <w:bookmarkEnd w:id="29"/>
    <w:p>
      <w:pPr>
        <w:ind w:left="10300"/>
        <w:spacing w:after="0"/>
        <w:rPr>
          <w:sz w:val="20"/>
          <w:szCs w:val="20"/>
          <w:color w:val="auto"/>
        </w:rPr>
      </w:pPr>
      <w:r>
        <w:rPr>
          <w:rFonts w:ascii="Arial" w:cs="Arial" w:eastAsia="Arial" w:hAnsi="Arial"/>
          <w:sz w:val="16"/>
          <w:szCs w:val="16"/>
          <w:b w:val="1"/>
          <w:bCs w:val="1"/>
          <w:u w:val="single" w:color="auto"/>
          <w:color w:val="auto"/>
        </w:rPr>
        <w:t>Exhibit 31.2</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u w:val="single" w:color="auto"/>
          <w:color w:val="auto"/>
        </w:rPr>
        <w:t>CERTIFICATION OF CHIEF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I, Stephane Biguet, certify that:</w:t>
      </w:r>
    </w:p>
    <w:p>
      <w:pPr>
        <w:spacing w:after="0" w:line="113" w:lineRule="exact"/>
        <w:rPr>
          <w:sz w:val="20"/>
          <w:szCs w:val="20"/>
          <w:color w:val="auto"/>
        </w:rPr>
      </w:pPr>
    </w:p>
    <w:p>
      <w:pPr>
        <w:ind w:left="560" w:hanging="178"/>
        <w:spacing w:after="0"/>
        <w:tabs>
          <w:tab w:leader="none" w:pos="5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Schlumberger N.V. (Schlumberger Limited);</w:t>
      </w:r>
    </w:p>
    <w:p>
      <w:pPr>
        <w:spacing w:after="0" w:line="113" w:lineRule="exact"/>
        <w:rPr>
          <w:rFonts w:ascii="Arial" w:cs="Arial" w:eastAsia="Arial" w:hAnsi="Arial"/>
          <w:sz w:val="16"/>
          <w:szCs w:val="16"/>
          <w:color w:val="auto"/>
        </w:rPr>
      </w:pPr>
    </w:p>
    <w:p>
      <w:pPr>
        <w:ind w:firstLine="382"/>
        <w:spacing w:after="0" w:line="276" w:lineRule="auto"/>
        <w:tabs>
          <w:tab w:leader="none" w:pos="562"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6"/>
          <w:szCs w:val="16"/>
          <w:color w:val="auto"/>
        </w:rPr>
      </w:pPr>
    </w:p>
    <w:p>
      <w:pPr>
        <w:ind w:firstLine="382"/>
        <w:spacing w:after="0" w:line="276" w:lineRule="auto"/>
        <w:tabs>
          <w:tab w:leader="none" w:pos="569"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6"/>
          <w:szCs w:val="16"/>
          <w:color w:val="auto"/>
        </w:rPr>
      </w:pPr>
    </w:p>
    <w:p>
      <w:pPr>
        <w:jc w:val="both"/>
        <w:ind w:firstLine="382"/>
        <w:spacing w:after="0" w:line="261" w:lineRule="auto"/>
        <w:tabs>
          <w:tab w:leader="none" w:pos="577"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16"/>
          <w:szCs w:val="16"/>
          <w:color w:val="auto"/>
        </w:rPr>
      </w:pPr>
    </w:p>
    <w:p>
      <w:pPr>
        <w:jc w:val="both"/>
        <w:ind w:left="1120" w:hanging="513"/>
        <w:spacing w:after="0" w:line="261" w:lineRule="auto"/>
        <w:tabs>
          <w:tab w:leader="none" w:pos="1170" w:val="left"/>
        </w:tabs>
        <w:numPr>
          <w:ilvl w:val="1"/>
          <w:numId w:val="2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6"/>
          <w:szCs w:val="16"/>
          <w:color w:val="auto"/>
        </w:rPr>
      </w:pPr>
    </w:p>
    <w:p>
      <w:pPr>
        <w:jc w:val="both"/>
        <w:ind w:left="1120" w:hanging="513"/>
        <w:spacing w:after="0" w:line="261" w:lineRule="auto"/>
        <w:tabs>
          <w:tab w:leader="none" w:pos="1142" w:val="left"/>
        </w:tabs>
        <w:numPr>
          <w:ilvl w:val="1"/>
          <w:numId w:val="2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6"/>
          <w:szCs w:val="16"/>
          <w:color w:val="auto"/>
        </w:rPr>
      </w:pPr>
    </w:p>
    <w:p>
      <w:pPr>
        <w:ind w:left="1120" w:hanging="513"/>
        <w:spacing w:after="0" w:line="276" w:lineRule="auto"/>
        <w:tabs>
          <w:tab w:leader="none" w:pos="1484"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6"/>
          <w:szCs w:val="16"/>
          <w:color w:val="auto"/>
        </w:rPr>
      </w:pPr>
    </w:p>
    <w:p>
      <w:pPr>
        <w:jc w:val="both"/>
        <w:ind w:left="1120" w:hanging="513"/>
        <w:spacing w:after="0" w:line="261" w:lineRule="auto"/>
        <w:tabs>
          <w:tab w:leader="none" w:pos="1498" w:val="left"/>
        </w:tabs>
        <w:numPr>
          <w:ilvl w:val="1"/>
          <w:numId w:val="2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4" w:lineRule="exact"/>
        <w:rPr>
          <w:rFonts w:ascii="Arial" w:cs="Arial" w:eastAsia="Arial" w:hAnsi="Arial"/>
          <w:sz w:val="16"/>
          <w:szCs w:val="16"/>
          <w:color w:val="auto"/>
        </w:rPr>
      </w:pPr>
    </w:p>
    <w:p>
      <w:pPr>
        <w:ind w:firstLine="382"/>
        <w:spacing w:after="0" w:line="276" w:lineRule="auto"/>
        <w:tabs>
          <w:tab w:leader="none" w:pos="563"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6"/>
          <w:szCs w:val="16"/>
          <w:color w:val="auto"/>
        </w:rPr>
      </w:pPr>
    </w:p>
    <w:p>
      <w:pPr>
        <w:ind w:left="1120" w:hanging="513"/>
        <w:spacing w:after="0" w:line="276" w:lineRule="auto"/>
        <w:tabs>
          <w:tab w:leader="none" w:pos="1527" w:val="left"/>
        </w:tabs>
        <w:numPr>
          <w:ilvl w:val="1"/>
          <w:numId w:val="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6"/>
          <w:szCs w:val="16"/>
          <w:color w:val="auto"/>
        </w:rPr>
      </w:pPr>
    </w:p>
    <w:p>
      <w:pPr>
        <w:ind w:left="1120" w:hanging="513"/>
        <w:spacing w:after="0" w:line="276" w:lineRule="auto"/>
        <w:tabs>
          <w:tab w:leader="none" w:pos="1490" w:val="left"/>
        </w:tabs>
        <w:numPr>
          <w:ilvl w:val="1"/>
          <w:numId w:val="2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20"/>
        <w:spacing w:after="0"/>
        <w:tabs>
          <w:tab w:leader="none" w:pos="6740" w:val="left"/>
        </w:tabs>
        <w:rPr>
          <w:sz w:val="20"/>
          <w:szCs w:val="20"/>
          <w:color w:val="auto"/>
        </w:rPr>
      </w:pPr>
      <w:r>
        <w:rPr>
          <w:rFonts w:ascii="Arial" w:cs="Arial" w:eastAsia="Arial" w:hAnsi="Arial"/>
          <w:sz w:val="16"/>
          <w:szCs w:val="16"/>
          <w:color w:val="auto"/>
        </w:rPr>
        <w:t>Date: July 26, 2023</w:t>
      </w:r>
      <w:r>
        <w:rPr>
          <w:sz w:val="20"/>
          <w:szCs w:val="20"/>
          <w:color w:val="auto"/>
        </w:rPr>
        <w:tab/>
      </w:r>
      <w:r>
        <w:rPr>
          <w:rFonts w:ascii="Arial" w:cs="Arial" w:eastAsia="Arial" w:hAnsi="Arial"/>
          <w:sz w:val="16"/>
          <w:szCs w:val="16"/>
          <w:color w:val="auto"/>
        </w:rPr>
        <w:t>/s/ Stephane Biguet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18415</wp:posOffset>
            </wp:positionV>
            <wp:extent cx="285496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2">
                      <a:extLst>
                        <a:ext uri="{28A0092B-C50C-407E-A947-70E740481C1C}"/>
                      </a:extLst>
                    </a:blip>
                    <a:srcRect/>
                    <a:stretch>
                      <a:fillRect/>
                    </a:stretch>
                  </pic:blipFill>
                  <pic:spPr bwMode="auto">
                    <a:xfrm>
                      <a:off x="0" y="0"/>
                      <a:ext cx="2854960" cy="8255"/>
                    </a:xfrm>
                    <a:prstGeom prst="rect">
                      <a:avLst/>
                    </a:prstGeom>
                    <a:noFill/>
                  </pic:spPr>
                </pic:pic>
              </a:graphicData>
            </a:graphic>
          </wp:anchor>
        </w:drawing>
      </w:r>
    </w:p>
    <w:p>
      <w:pPr>
        <w:spacing w:after="0" w:line="26"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Stephane Biguet</w:t>
      </w:r>
    </w:p>
    <w:p>
      <w:pPr>
        <w:spacing w:after="0" w:line="32"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502920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0" w:name="page31"/>
    <w:bookmarkEnd w:id="3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1" w:name="page32"/>
    <w:bookmarkEnd w:id="31"/>
    <w:p>
      <w:pPr>
        <w:ind w:left="10300"/>
        <w:spacing w:after="0"/>
        <w:rPr>
          <w:sz w:val="20"/>
          <w:szCs w:val="20"/>
          <w:color w:val="auto"/>
        </w:rPr>
      </w:pPr>
      <w:r>
        <w:rPr>
          <w:rFonts w:ascii="Arial" w:cs="Arial" w:eastAsia="Arial" w:hAnsi="Arial"/>
          <w:sz w:val="16"/>
          <w:szCs w:val="16"/>
          <w:b w:val="1"/>
          <w:bCs w:val="1"/>
          <w:u w:val="single" w:color="auto"/>
          <w:color w:val="auto"/>
        </w:rPr>
        <w:t>Exhibit 32.1</w:t>
      </w:r>
    </w:p>
    <w:p>
      <w:pPr>
        <w:spacing w:after="0" w:line="12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CERTIFICATION OF CHIEF EXECUTIVE OFFICER</w:t>
      </w:r>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PURSUANT TO</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18 U.S.C. SECTION 1350</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AS ADOPTED PURSUANT TO</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SECTION 906 OF THE SARBANES-OXLEY ACT OF 2002</w:t>
      </w:r>
    </w:p>
    <w:p>
      <w:pPr>
        <w:spacing w:after="0" w:line="20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connection with the Quarterly Report on Form 10-Q of Schlumberger N.V. (Schlumberger Limited) (the “Company”) for the quarterly period ended June 30, 2023 as filed with the Securities and Exchange Commission on the date hereof (the “Report”), I, Olivier Le Peuch, Chief Executive Officer of the Company, certify, pursuant to 18 U.S.C. § 1350, as adopted pursuant to § 906 of the Sarbanes-Oxley Act of 2002, that:</w:t>
      </w:r>
    </w:p>
    <w:p>
      <w:pPr>
        <w:spacing w:after="0" w:line="75" w:lineRule="exact"/>
        <w:rPr>
          <w:sz w:val="20"/>
          <w:szCs w:val="20"/>
          <w:color w:val="auto"/>
        </w:rPr>
      </w:pPr>
    </w:p>
    <w:p>
      <w:pPr>
        <w:ind w:left="1020" w:hanging="479"/>
        <w:spacing w:after="0" w:line="276" w:lineRule="auto"/>
        <w:tabs>
          <w:tab w:leader="none" w:pos="1404"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(the “Exchange Act”), and</w:t>
      </w:r>
    </w:p>
    <w:p>
      <w:pPr>
        <w:spacing w:after="0" w:line="62" w:lineRule="exact"/>
        <w:rPr>
          <w:rFonts w:ascii="Arial" w:cs="Arial" w:eastAsia="Arial" w:hAnsi="Arial"/>
          <w:sz w:val="16"/>
          <w:szCs w:val="16"/>
          <w:color w:val="auto"/>
        </w:rPr>
      </w:pPr>
    </w:p>
    <w:p>
      <w:pPr>
        <w:ind w:left="1020" w:hanging="479"/>
        <w:spacing w:after="0" w:line="276" w:lineRule="auto"/>
        <w:tabs>
          <w:tab w:leader="none" w:pos="1396"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400" w:lineRule="exact"/>
        <w:rPr>
          <w:sz w:val="20"/>
          <w:szCs w:val="20"/>
          <w:color w:val="auto"/>
        </w:rPr>
      </w:pPr>
    </w:p>
    <w:p>
      <w:pPr>
        <w:ind w:left="20"/>
        <w:spacing w:after="0"/>
        <w:tabs>
          <w:tab w:leader="none" w:pos="5360" w:val="left"/>
        </w:tabs>
        <w:rPr>
          <w:sz w:val="20"/>
          <w:szCs w:val="20"/>
          <w:color w:val="auto"/>
        </w:rPr>
      </w:pPr>
      <w:r>
        <w:rPr>
          <w:rFonts w:ascii="Arial" w:cs="Arial" w:eastAsia="Arial" w:hAnsi="Arial"/>
          <w:sz w:val="16"/>
          <w:szCs w:val="16"/>
          <w:color w:val="auto"/>
        </w:rPr>
        <w:t>Date: July 26, 2023</w:t>
      </w:r>
      <w:r>
        <w:rPr>
          <w:sz w:val="20"/>
          <w:szCs w:val="20"/>
          <w:color w:val="auto"/>
        </w:rPr>
        <w:tab/>
      </w:r>
      <w:r>
        <w:rPr>
          <w:rFonts w:ascii="Arial" w:cs="Arial" w:eastAsia="Arial" w:hAnsi="Arial"/>
          <w:sz w:val="16"/>
          <w:szCs w:val="16"/>
          <w:color w:val="auto"/>
        </w:rPr>
        <w:t>/s/ Olivier Le Peuch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18415</wp:posOffset>
            </wp:positionV>
            <wp:extent cx="309499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4">
                      <a:extLst>
                        <a:ext uri="{28A0092B-C50C-407E-A947-70E740481C1C}"/>
                      </a:extLst>
                    </a:blip>
                    <a:srcRect/>
                    <a:stretch>
                      <a:fillRect/>
                    </a:stretch>
                  </pic:blipFill>
                  <pic:spPr bwMode="auto">
                    <a:xfrm>
                      <a:off x="0" y="0"/>
                      <a:ext cx="3094990" cy="8255"/>
                    </a:xfrm>
                    <a:prstGeom prst="rect">
                      <a:avLst/>
                    </a:prstGeom>
                    <a:noFill/>
                  </pic:spPr>
                </pic:pic>
              </a:graphicData>
            </a:graphic>
          </wp:anchor>
        </w:drawing>
      </w:r>
    </w:p>
    <w:p>
      <w:pPr>
        <w:spacing w:after="0" w:line="26" w:lineRule="exact"/>
        <w:rPr>
          <w:sz w:val="20"/>
          <w:szCs w:val="20"/>
          <w:color w:val="auto"/>
        </w:rPr>
      </w:pPr>
    </w:p>
    <w:p>
      <w:pPr>
        <w:ind w:left="5380"/>
        <w:spacing w:after="0"/>
        <w:rPr>
          <w:sz w:val="20"/>
          <w:szCs w:val="20"/>
          <w:color w:val="auto"/>
        </w:rPr>
      </w:pPr>
      <w:r>
        <w:rPr>
          <w:rFonts w:ascii="Arial" w:cs="Arial" w:eastAsia="Arial" w:hAnsi="Arial"/>
          <w:sz w:val="16"/>
          <w:szCs w:val="16"/>
          <w:color w:val="auto"/>
        </w:rPr>
        <w:t>Olivier Le Peuch</w:t>
      </w:r>
    </w:p>
    <w:p>
      <w:pPr>
        <w:spacing w:after="0" w:line="32" w:lineRule="exact"/>
        <w:rPr>
          <w:sz w:val="20"/>
          <w:szCs w:val="20"/>
          <w:color w:val="auto"/>
        </w:rPr>
      </w:pPr>
    </w:p>
    <w:p>
      <w:pPr>
        <w:ind w:left="5380"/>
        <w:spacing w:after="0"/>
        <w:rPr>
          <w:sz w:val="20"/>
          <w:szCs w:val="20"/>
          <w:color w:val="auto"/>
        </w:rPr>
      </w:pPr>
      <w:r>
        <w:rPr>
          <w:rFonts w:ascii="Arial" w:cs="Arial" w:eastAsia="Arial" w:hAnsi="Arial"/>
          <w:sz w:val="16"/>
          <w:szCs w:val="16"/>
          <w:color w:val="auto"/>
        </w:rPr>
        <w:t>Chief Executive Officer</w:t>
      </w:r>
    </w:p>
    <w:p>
      <w:pPr>
        <w:spacing w:after="0" w:line="248"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71"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be deemed filed by the Company for purposes of Section 18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325120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2" w:name="page33"/>
    <w:bookmarkEnd w:id="3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3" w:name="page34"/>
    <w:bookmarkEnd w:id="33"/>
    <w:p>
      <w:pPr>
        <w:ind w:left="10300"/>
        <w:spacing w:after="0"/>
        <w:rPr>
          <w:sz w:val="20"/>
          <w:szCs w:val="20"/>
          <w:color w:val="auto"/>
        </w:rPr>
      </w:pPr>
      <w:r>
        <w:rPr>
          <w:rFonts w:ascii="Arial" w:cs="Arial" w:eastAsia="Arial" w:hAnsi="Arial"/>
          <w:sz w:val="16"/>
          <w:szCs w:val="16"/>
          <w:b w:val="1"/>
          <w:bCs w:val="1"/>
          <w:u w:val="single" w:color="auto"/>
          <w:color w:val="auto"/>
        </w:rPr>
        <w:t>Exhibit 32.2</w:t>
      </w:r>
    </w:p>
    <w:p>
      <w:pPr>
        <w:spacing w:after="0" w:line="12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CERTIFICATION OF CHIEF FINANCIAL OFFICER</w:t>
      </w:r>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PURSUANT TO</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18 U.S.C. SECTION 1350</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AS ADOPTED PURSUANT TO</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SECTION 906 OF THE SARBANES-OXLEY ACT OF 2002</w:t>
      </w:r>
    </w:p>
    <w:p>
      <w:pPr>
        <w:spacing w:after="0" w:line="20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connection with the Quarterly Report on Form 10-Q of Schlumberger N.V. (Schlumberger Limited) (the “Company”) for the quarterly period ended June 30, 2023 as filed with the Securities and Exchange Commission on the date hereof (the “Report”), I, Stephane Biguet, Executive Vice President and Chief Financial Officer of the Company, certify, pursuant to 18 U.S.C. § 1350, as adopted pursuant to § 906 of the Sarbanes-Oxley Act of 2002, that:</w:t>
      </w:r>
    </w:p>
    <w:p>
      <w:pPr>
        <w:spacing w:after="0" w:line="75" w:lineRule="exact"/>
        <w:rPr>
          <w:sz w:val="20"/>
          <w:szCs w:val="20"/>
          <w:color w:val="auto"/>
        </w:rPr>
      </w:pPr>
    </w:p>
    <w:p>
      <w:pPr>
        <w:ind w:left="1020" w:hanging="479"/>
        <w:spacing w:after="0" w:line="276" w:lineRule="auto"/>
        <w:tabs>
          <w:tab w:leader="none" w:pos="1404"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(the “Exchange Act”), and</w:t>
      </w:r>
    </w:p>
    <w:p>
      <w:pPr>
        <w:spacing w:after="0" w:line="62" w:lineRule="exact"/>
        <w:rPr>
          <w:rFonts w:ascii="Arial" w:cs="Arial" w:eastAsia="Arial" w:hAnsi="Arial"/>
          <w:sz w:val="16"/>
          <w:szCs w:val="16"/>
          <w:color w:val="auto"/>
        </w:rPr>
      </w:pPr>
    </w:p>
    <w:p>
      <w:pPr>
        <w:ind w:left="1020" w:hanging="479"/>
        <w:spacing w:after="0" w:line="276" w:lineRule="auto"/>
        <w:tabs>
          <w:tab w:leader="none" w:pos="1396"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400" w:lineRule="exact"/>
        <w:rPr>
          <w:sz w:val="20"/>
          <w:szCs w:val="20"/>
          <w:color w:val="auto"/>
        </w:rPr>
      </w:pPr>
    </w:p>
    <w:p>
      <w:pPr>
        <w:ind w:left="20"/>
        <w:spacing w:after="0"/>
        <w:tabs>
          <w:tab w:leader="none" w:pos="5340" w:val="left"/>
        </w:tabs>
        <w:rPr>
          <w:sz w:val="20"/>
          <w:szCs w:val="20"/>
          <w:color w:val="auto"/>
        </w:rPr>
      </w:pPr>
      <w:r>
        <w:rPr>
          <w:rFonts w:ascii="Arial" w:cs="Arial" w:eastAsia="Arial" w:hAnsi="Arial"/>
          <w:sz w:val="16"/>
          <w:szCs w:val="16"/>
          <w:color w:val="auto"/>
        </w:rPr>
        <w:t>Date: July 26, 2023</w:t>
      </w:r>
      <w:r>
        <w:rPr>
          <w:sz w:val="20"/>
          <w:szCs w:val="20"/>
          <w:color w:val="auto"/>
        </w:rPr>
        <w:tab/>
      </w:r>
      <w:r>
        <w:rPr>
          <w:rFonts w:ascii="Arial" w:cs="Arial" w:eastAsia="Arial" w:hAnsi="Arial"/>
          <w:sz w:val="16"/>
          <w:szCs w:val="16"/>
          <w:color w:val="auto"/>
        </w:rPr>
        <w:t>/s/ Stephane Biguet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18415</wp:posOffset>
            </wp:positionV>
            <wp:extent cx="309499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6">
                      <a:extLst>
                        <a:ext uri="{28A0092B-C50C-407E-A947-70E740481C1C}"/>
                      </a:extLst>
                    </a:blip>
                    <a:srcRect/>
                    <a:stretch>
                      <a:fillRect/>
                    </a:stretch>
                  </pic:blipFill>
                  <pic:spPr bwMode="auto">
                    <a:xfrm>
                      <a:off x="0" y="0"/>
                      <a:ext cx="3094990" cy="8255"/>
                    </a:xfrm>
                    <a:prstGeom prst="rect">
                      <a:avLst/>
                    </a:prstGeom>
                    <a:noFill/>
                  </pic:spPr>
                </pic:pic>
              </a:graphicData>
            </a:graphic>
          </wp:anchor>
        </w:drawing>
      </w:r>
    </w:p>
    <w:p>
      <w:pPr>
        <w:spacing w:after="0" w:line="26" w:lineRule="exact"/>
        <w:rPr>
          <w:sz w:val="20"/>
          <w:szCs w:val="20"/>
          <w:color w:val="auto"/>
        </w:rPr>
      </w:pPr>
    </w:p>
    <w:p>
      <w:pPr>
        <w:ind w:left="5360"/>
        <w:spacing w:after="0"/>
        <w:rPr>
          <w:sz w:val="20"/>
          <w:szCs w:val="20"/>
          <w:color w:val="auto"/>
        </w:rPr>
      </w:pPr>
      <w:r>
        <w:rPr>
          <w:rFonts w:ascii="Arial" w:cs="Arial" w:eastAsia="Arial" w:hAnsi="Arial"/>
          <w:sz w:val="16"/>
          <w:szCs w:val="16"/>
          <w:color w:val="auto"/>
        </w:rPr>
        <w:t>Stephane Biguet</w:t>
      </w:r>
    </w:p>
    <w:p>
      <w:pPr>
        <w:spacing w:after="0" w:line="32" w:lineRule="exact"/>
        <w:rPr>
          <w:sz w:val="20"/>
          <w:szCs w:val="20"/>
          <w:color w:val="auto"/>
        </w:rPr>
      </w:pPr>
    </w:p>
    <w:p>
      <w:pPr>
        <w:ind w:left="5360"/>
        <w:spacing w:after="0"/>
        <w:rPr>
          <w:sz w:val="20"/>
          <w:szCs w:val="20"/>
          <w:color w:val="auto"/>
        </w:rPr>
      </w:pPr>
      <w:r>
        <w:rPr>
          <w:rFonts w:ascii="Arial" w:cs="Arial" w:eastAsia="Arial" w:hAnsi="Arial"/>
          <w:sz w:val="16"/>
          <w:szCs w:val="16"/>
          <w:color w:val="auto"/>
        </w:rPr>
        <w:t>Executive Vice President and Chief Financial Officer</w:t>
      </w:r>
    </w:p>
    <w:p>
      <w:pPr>
        <w:spacing w:after="0" w:line="235"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71"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be deemed filed by the Company for purposes of Section 18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325120</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4" w:name="page35"/>
    <w:bookmarkEnd w:id="3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5" w:name="page36"/>
    <w:bookmarkEnd w:id="35"/>
    <w:p>
      <w:pPr>
        <w:ind w:left="10420"/>
        <w:spacing w:after="0"/>
        <w:rPr>
          <w:sz w:val="20"/>
          <w:szCs w:val="20"/>
          <w:color w:val="auto"/>
        </w:rPr>
      </w:pPr>
      <w:r>
        <w:rPr>
          <w:rFonts w:ascii="Arial" w:cs="Arial" w:eastAsia="Arial" w:hAnsi="Arial"/>
          <w:sz w:val="16"/>
          <w:szCs w:val="16"/>
          <w:b w:val="1"/>
          <w:bCs w:val="1"/>
          <w:u w:val="single" w:color="auto"/>
          <w:color w:val="auto"/>
        </w:rPr>
        <w:t>Exhibit 95</w:t>
      </w:r>
    </w:p>
    <w:p>
      <w:pPr>
        <w:spacing w:after="0" w:line="11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Mine Safety Disclosure</w:t>
      </w:r>
    </w:p>
    <w:p>
      <w:pPr>
        <w:spacing w:after="0" w:line="20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following disclosure is provided pursuant to Section 1503(a) of the Dodd-Frank Wall Street Reform and Consumer Protection Act, which requires certain disclosures by companies required to file periodic reports under the Securities Exchange Act of 1934, as amended, that operate mines regulated under the Federal Mine Safety and Health Act of 1977.</w:t>
      </w:r>
    </w:p>
    <w:p>
      <w:pPr>
        <w:spacing w:after="0" w:line="15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table that follows reflects citations, orders, violations and proposed assessments issued by the Mine Safety and Health Administration (the “MSHA”) to indirect subsidiaries of Schlumberger. The disclosure is with respect to the three months ended June 30, 2023. Due to timing and other factors, the data may not agree with the mine data retrieval system maintained by the MSHA at www.MSHA.gov.</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Three Months Ended June 30, 2023</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whole dollars</w:t>
      </w:r>
      <w:r>
        <w:rPr>
          <w:rFonts w:ascii="Arial" w:cs="Arial" w:eastAsia="Arial" w:hAnsi="Arial"/>
          <w:sz w:val="16"/>
          <w:szCs w:val="16"/>
          <w:color w:val="auto"/>
        </w:rPr>
        <w:t>)</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Received</w:t>
            </w: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2"/>
        </w:trPr>
        <w:tc>
          <w:tcPr>
            <w:tcW w:w="2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rPr>
              <w:t>Received</w:t>
            </w:r>
          </w:p>
        </w:tc>
        <w:tc>
          <w:tcPr>
            <w:tcW w:w="840" w:type="dxa"/>
            <w:vAlign w:val="bottom"/>
          </w:tcPr>
          <w:p>
            <w:pPr>
              <w:jc w:val="center"/>
              <w:spacing w:after="0"/>
              <w:rPr>
                <w:sz w:val="20"/>
                <w:szCs w:val="20"/>
                <w:color w:val="auto"/>
              </w:rPr>
            </w:pPr>
            <w:r>
              <w:rPr>
                <w:rFonts w:ascii="Arial" w:cs="Arial" w:eastAsia="Arial" w:hAnsi="Arial"/>
                <w:sz w:val="14"/>
                <w:szCs w:val="14"/>
                <w:color w:val="auto"/>
              </w:rPr>
              <w:t>Notice of</w:t>
            </w: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2"/>
        </w:trPr>
        <w:tc>
          <w:tcPr>
            <w:tcW w:w="2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rPr>
              <w:t>Notice of</w:t>
            </w:r>
          </w:p>
        </w:tc>
        <w:tc>
          <w:tcPr>
            <w:tcW w:w="840" w:type="dxa"/>
            <w:vAlign w:val="bottom"/>
          </w:tcPr>
          <w:p>
            <w:pPr>
              <w:jc w:val="center"/>
              <w:spacing w:after="0"/>
              <w:rPr>
                <w:sz w:val="20"/>
                <w:szCs w:val="20"/>
                <w:color w:val="auto"/>
              </w:rPr>
            </w:pPr>
            <w:r>
              <w:rPr>
                <w:rFonts w:ascii="Arial" w:cs="Arial" w:eastAsia="Arial" w:hAnsi="Arial"/>
                <w:sz w:val="14"/>
                <w:szCs w:val="14"/>
                <w:color w:val="auto"/>
              </w:rPr>
              <w:t>Potential to</w:t>
            </w: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2"/>
        </w:trPr>
        <w:tc>
          <w:tcPr>
            <w:tcW w:w="2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rPr>
              <w:t>Pattern of</w:t>
            </w:r>
          </w:p>
        </w:tc>
        <w:tc>
          <w:tcPr>
            <w:tcW w:w="840" w:type="dxa"/>
            <w:vAlign w:val="bottom"/>
          </w:tcPr>
          <w:p>
            <w:pPr>
              <w:jc w:val="center"/>
              <w:spacing w:after="0"/>
              <w:rPr>
                <w:sz w:val="20"/>
                <w:szCs w:val="20"/>
                <w:color w:val="auto"/>
              </w:rPr>
            </w:pPr>
            <w:r>
              <w:rPr>
                <w:rFonts w:ascii="Arial" w:cs="Arial" w:eastAsia="Arial" w:hAnsi="Arial"/>
                <w:sz w:val="14"/>
                <w:szCs w:val="14"/>
                <w:color w:val="auto"/>
              </w:rPr>
              <w:t>Have</w:t>
            </w: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w w:val="99"/>
              </w:rPr>
              <w:t>Legal</w:t>
            </w:r>
          </w:p>
        </w:tc>
      </w:tr>
      <w:tr>
        <w:trPr>
          <w:trHeight w:val="162"/>
        </w:trPr>
        <w:tc>
          <w:tcPr>
            <w:tcW w:w="2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Section</w:t>
            </w: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96"/>
              </w:rPr>
              <w:t>Total</w:t>
            </w:r>
          </w:p>
        </w:tc>
        <w:tc>
          <w:tcPr>
            <w:tcW w:w="780" w:type="dxa"/>
            <w:vAlign w:val="bottom"/>
          </w:tcPr>
          <w:p>
            <w:pPr>
              <w:jc w:val="center"/>
              <w:spacing w:after="0"/>
              <w:rPr>
                <w:sz w:val="20"/>
                <w:szCs w:val="20"/>
                <w:color w:val="auto"/>
              </w:rPr>
            </w:pPr>
            <w:r>
              <w:rPr>
                <w:rFonts w:ascii="Arial" w:cs="Arial" w:eastAsia="Arial" w:hAnsi="Arial"/>
                <w:sz w:val="14"/>
                <w:szCs w:val="14"/>
                <w:color w:val="auto"/>
              </w:rPr>
              <w:t>Violations</w:t>
            </w:r>
          </w:p>
        </w:tc>
        <w:tc>
          <w:tcPr>
            <w:tcW w:w="840" w:type="dxa"/>
            <w:vAlign w:val="bottom"/>
          </w:tcPr>
          <w:p>
            <w:pPr>
              <w:jc w:val="center"/>
              <w:spacing w:after="0"/>
              <w:rPr>
                <w:sz w:val="20"/>
                <w:szCs w:val="20"/>
                <w:color w:val="auto"/>
              </w:rPr>
            </w:pPr>
            <w:r>
              <w:rPr>
                <w:rFonts w:ascii="Arial" w:cs="Arial" w:eastAsia="Arial" w:hAnsi="Arial"/>
                <w:sz w:val="14"/>
                <w:szCs w:val="14"/>
                <w:color w:val="auto"/>
              </w:rPr>
              <w:t>Pattern</w:t>
            </w:r>
          </w:p>
        </w:tc>
        <w:tc>
          <w:tcPr>
            <w:tcW w:w="840" w:type="dxa"/>
            <w:vAlign w:val="bottom"/>
          </w:tcPr>
          <w:p>
            <w:pPr>
              <w:jc w:val="center"/>
              <w:spacing w:after="0"/>
              <w:rPr>
                <w:sz w:val="20"/>
                <w:szCs w:val="20"/>
                <w:color w:val="auto"/>
              </w:rPr>
            </w:pPr>
            <w:r>
              <w:rPr>
                <w:rFonts w:ascii="Arial" w:cs="Arial" w:eastAsia="Arial" w:hAnsi="Arial"/>
                <w:sz w:val="14"/>
                <w:szCs w:val="14"/>
                <w:color w:val="auto"/>
                <w:w w:val="99"/>
              </w:rPr>
              <w:t>Legal</w:t>
            </w:r>
          </w:p>
        </w:tc>
        <w:tc>
          <w:tcPr>
            <w:tcW w:w="660" w:type="dxa"/>
            <w:vAlign w:val="bottom"/>
          </w:tcPr>
          <w:p>
            <w:pPr>
              <w:jc w:val="center"/>
              <w:spacing w:after="0"/>
              <w:rPr>
                <w:sz w:val="20"/>
                <w:szCs w:val="20"/>
                <w:color w:val="auto"/>
              </w:rPr>
            </w:pPr>
            <w:r>
              <w:rPr>
                <w:rFonts w:ascii="Arial" w:cs="Arial" w:eastAsia="Arial" w:hAnsi="Arial"/>
                <w:sz w:val="14"/>
                <w:szCs w:val="14"/>
                <w:color w:val="auto"/>
              </w:rPr>
              <w:t>Legal</w:t>
            </w:r>
          </w:p>
        </w:tc>
        <w:tc>
          <w:tcPr>
            <w:tcW w:w="620" w:type="dxa"/>
            <w:vAlign w:val="bottom"/>
          </w:tcPr>
          <w:p>
            <w:pPr>
              <w:jc w:val="center"/>
              <w:spacing w:after="0"/>
              <w:rPr>
                <w:sz w:val="20"/>
                <w:szCs w:val="20"/>
                <w:color w:val="auto"/>
              </w:rPr>
            </w:pPr>
            <w:r>
              <w:rPr>
                <w:rFonts w:ascii="Arial" w:cs="Arial" w:eastAsia="Arial" w:hAnsi="Arial"/>
                <w:sz w:val="14"/>
                <w:szCs w:val="14"/>
                <w:color w:val="auto"/>
              </w:rPr>
              <w:t>Actions</w:t>
            </w:r>
          </w:p>
        </w:tc>
      </w:tr>
      <w:tr>
        <w:trPr>
          <w:trHeight w:val="162"/>
        </w:trPr>
        <w:tc>
          <w:tcPr>
            <w:tcW w:w="2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104(d)</w:t>
            </w: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rPr>
              <w:t>Total Dollar</w:t>
            </w:r>
          </w:p>
        </w:tc>
        <w:tc>
          <w:tcPr>
            <w:tcW w:w="720" w:type="dxa"/>
            <w:vAlign w:val="bottom"/>
          </w:tcPr>
          <w:p>
            <w:pPr>
              <w:jc w:val="center"/>
              <w:spacing w:after="0"/>
              <w:rPr>
                <w:sz w:val="20"/>
                <w:szCs w:val="20"/>
                <w:color w:val="auto"/>
              </w:rPr>
            </w:pPr>
            <w:r>
              <w:rPr>
                <w:rFonts w:ascii="Arial" w:cs="Arial" w:eastAsia="Arial" w:hAnsi="Arial"/>
                <w:sz w:val="14"/>
                <w:szCs w:val="14"/>
                <w:color w:val="auto"/>
              </w:rPr>
              <w:t>Number</w:t>
            </w:r>
          </w:p>
        </w:tc>
        <w:tc>
          <w:tcPr>
            <w:tcW w:w="780" w:type="dxa"/>
            <w:vAlign w:val="bottom"/>
          </w:tcPr>
          <w:p>
            <w:pPr>
              <w:jc w:val="center"/>
              <w:spacing w:after="0"/>
              <w:rPr>
                <w:sz w:val="20"/>
                <w:szCs w:val="20"/>
                <w:color w:val="auto"/>
              </w:rPr>
            </w:pPr>
            <w:r>
              <w:rPr>
                <w:rFonts w:ascii="Arial" w:cs="Arial" w:eastAsia="Arial" w:hAnsi="Arial"/>
                <w:sz w:val="14"/>
                <w:szCs w:val="14"/>
                <w:color w:val="auto"/>
                <w:w w:val="99"/>
              </w:rPr>
              <w:t>Under</w:t>
            </w:r>
          </w:p>
        </w:tc>
        <w:tc>
          <w:tcPr>
            <w:tcW w:w="840" w:type="dxa"/>
            <w:vAlign w:val="bottom"/>
          </w:tcPr>
          <w:p>
            <w:pPr>
              <w:jc w:val="center"/>
              <w:spacing w:after="0"/>
              <w:rPr>
                <w:sz w:val="20"/>
                <w:szCs w:val="20"/>
                <w:color w:val="auto"/>
              </w:rPr>
            </w:pPr>
            <w:r>
              <w:rPr>
                <w:rFonts w:ascii="Arial" w:cs="Arial" w:eastAsia="Arial" w:hAnsi="Arial"/>
                <w:sz w:val="14"/>
                <w:szCs w:val="14"/>
                <w:color w:val="auto"/>
                <w:w w:val="99"/>
              </w:rPr>
              <w:t>Under</w:t>
            </w:r>
          </w:p>
        </w:tc>
        <w:tc>
          <w:tcPr>
            <w:tcW w:w="840" w:type="dxa"/>
            <w:vAlign w:val="bottom"/>
          </w:tcPr>
          <w:p>
            <w:pPr>
              <w:jc w:val="center"/>
              <w:spacing w:after="0"/>
              <w:rPr>
                <w:sz w:val="20"/>
                <w:szCs w:val="20"/>
                <w:color w:val="auto"/>
              </w:rPr>
            </w:pPr>
            <w:r>
              <w:rPr>
                <w:rFonts w:ascii="Arial" w:cs="Arial" w:eastAsia="Arial" w:hAnsi="Arial"/>
                <w:sz w:val="14"/>
                <w:szCs w:val="14"/>
                <w:color w:val="auto"/>
              </w:rPr>
              <w:t>Actions</w:t>
            </w:r>
          </w:p>
        </w:tc>
        <w:tc>
          <w:tcPr>
            <w:tcW w:w="660" w:type="dxa"/>
            <w:vAlign w:val="bottom"/>
          </w:tcPr>
          <w:p>
            <w:pPr>
              <w:jc w:val="center"/>
              <w:spacing w:after="0"/>
              <w:rPr>
                <w:sz w:val="20"/>
                <w:szCs w:val="20"/>
                <w:color w:val="auto"/>
              </w:rPr>
            </w:pPr>
            <w:r>
              <w:rPr>
                <w:rFonts w:ascii="Arial" w:cs="Arial" w:eastAsia="Arial" w:hAnsi="Arial"/>
                <w:sz w:val="14"/>
                <w:szCs w:val="14"/>
                <w:color w:val="auto"/>
              </w:rPr>
              <w:t>Actions</w:t>
            </w:r>
          </w:p>
        </w:tc>
        <w:tc>
          <w:tcPr>
            <w:tcW w:w="620" w:type="dxa"/>
            <w:vAlign w:val="bottom"/>
          </w:tcPr>
          <w:p>
            <w:pPr>
              <w:jc w:val="center"/>
              <w:spacing w:after="0"/>
              <w:rPr>
                <w:sz w:val="20"/>
                <w:szCs w:val="20"/>
                <w:color w:val="auto"/>
              </w:rPr>
            </w:pPr>
            <w:r>
              <w:rPr>
                <w:rFonts w:ascii="Arial" w:cs="Arial" w:eastAsia="Arial" w:hAnsi="Arial"/>
                <w:sz w:val="14"/>
                <w:szCs w:val="14"/>
                <w:color w:val="auto"/>
              </w:rPr>
              <w:t>Resolve</w:t>
            </w:r>
          </w:p>
        </w:tc>
      </w:tr>
      <w:tr>
        <w:trPr>
          <w:trHeight w:val="162"/>
        </w:trPr>
        <w:tc>
          <w:tcPr>
            <w:tcW w:w="20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Section 104</w:t>
            </w:r>
          </w:p>
        </w:tc>
        <w:tc>
          <w:tcPr>
            <w:tcW w:w="640" w:type="dxa"/>
            <w:vAlign w:val="bottom"/>
          </w:tcPr>
          <w:p>
            <w:pPr>
              <w:ind w:left="80"/>
              <w:spacing w:after="0"/>
              <w:rPr>
                <w:sz w:val="20"/>
                <w:szCs w:val="20"/>
                <w:color w:val="auto"/>
              </w:rPr>
            </w:pPr>
            <w:r>
              <w:rPr>
                <w:rFonts w:ascii="Arial" w:cs="Arial" w:eastAsia="Arial" w:hAnsi="Arial"/>
                <w:sz w:val="14"/>
                <w:szCs w:val="14"/>
                <w:color w:val="auto"/>
              </w:rPr>
              <w:t>Section</w:t>
            </w:r>
          </w:p>
        </w:tc>
        <w:tc>
          <w:tcPr>
            <w:tcW w:w="740" w:type="dxa"/>
            <w:vAlign w:val="bottom"/>
          </w:tcPr>
          <w:p>
            <w:pPr>
              <w:jc w:val="center"/>
              <w:spacing w:after="0"/>
              <w:rPr>
                <w:sz w:val="20"/>
                <w:szCs w:val="20"/>
                <w:color w:val="auto"/>
              </w:rPr>
            </w:pPr>
            <w:r>
              <w:rPr>
                <w:rFonts w:ascii="Arial" w:cs="Arial" w:eastAsia="Arial" w:hAnsi="Arial"/>
                <w:sz w:val="14"/>
                <w:szCs w:val="14"/>
                <w:color w:val="auto"/>
              </w:rPr>
              <w:t>Citations</w:t>
            </w:r>
          </w:p>
        </w:tc>
        <w:tc>
          <w:tcPr>
            <w:tcW w:w="780" w:type="dxa"/>
            <w:vAlign w:val="bottom"/>
          </w:tcPr>
          <w:p>
            <w:pPr>
              <w:jc w:val="center"/>
              <w:spacing w:after="0"/>
              <w:rPr>
                <w:sz w:val="20"/>
                <w:szCs w:val="20"/>
                <w:color w:val="auto"/>
              </w:rPr>
            </w:pPr>
            <w:r>
              <w:rPr>
                <w:rFonts w:ascii="Arial" w:cs="Arial" w:eastAsia="Arial" w:hAnsi="Arial"/>
                <w:sz w:val="14"/>
                <w:szCs w:val="14"/>
                <w:color w:val="auto"/>
              </w:rPr>
              <w:t>Section</w:t>
            </w:r>
          </w:p>
        </w:tc>
        <w:tc>
          <w:tcPr>
            <w:tcW w:w="620" w:type="dxa"/>
            <w:vAlign w:val="bottom"/>
          </w:tcPr>
          <w:p>
            <w:pPr>
              <w:ind w:left="80"/>
              <w:spacing w:after="0"/>
              <w:rPr>
                <w:sz w:val="20"/>
                <w:szCs w:val="20"/>
                <w:color w:val="auto"/>
              </w:rPr>
            </w:pPr>
            <w:r>
              <w:rPr>
                <w:rFonts w:ascii="Arial" w:cs="Arial" w:eastAsia="Arial" w:hAnsi="Arial"/>
                <w:sz w:val="14"/>
                <w:szCs w:val="14"/>
                <w:color w:val="auto"/>
              </w:rPr>
              <w:t>Section</w:t>
            </w:r>
          </w:p>
        </w:tc>
        <w:tc>
          <w:tcPr>
            <w:tcW w:w="1060" w:type="dxa"/>
            <w:vAlign w:val="bottom"/>
          </w:tcPr>
          <w:p>
            <w:pPr>
              <w:jc w:val="center"/>
              <w:spacing w:after="0"/>
              <w:rPr>
                <w:sz w:val="20"/>
                <w:szCs w:val="20"/>
                <w:color w:val="auto"/>
              </w:rPr>
            </w:pPr>
            <w:r>
              <w:rPr>
                <w:rFonts w:ascii="Arial" w:cs="Arial" w:eastAsia="Arial" w:hAnsi="Arial"/>
                <w:sz w:val="14"/>
                <w:szCs w:val="14"/>
                <w:color w:val="auto"/>
              </w:rPr>
              <w:t>Value of MSHA</w:t>
            </w:r>
          </w:p>
        </w:tc>
        <w:tc>
          <w:tcPr>
            <w:tcW w:w="720" w:type="dxa"/>
            <w:vAlign w:val="bottom"/>
          </w:tcPr>
          <w:p>
            <w:pPr>
              <w:jc w:val="center"/>
              <w:spacing w:after="0"/>
              <w:rPr>
                <w:sz w:val="20"/>
                <w:szCs w:val="20"/>
                <w:color w:val="auto"/>
              </w:rPr>
            </w:pPr>
            <w:r>
              <w:rPr>
                <w:rFonts w:ascii="Arial" w:cs="Arial" w:eastAsia="Arial" w:hAnsi="Arial"/>
                <w:sz w:val="14"/>
                <w:szCs w:val="14"/>
                <w:color w:val="auto"/>
              </w:rPr>
              <w:t>of Mining</w:t>
            </w:r>
          </w:p>
        </w:tc>
        <w:tc>
          <w:tcPr>
            <w:tcW w:w="780" w:type="dxa"/>
            <w:vAlign w:val="bottom"/>
          </w:tcPr>
          <w:p>
            <w:pPr>
              <w:jc w:val="center"/>
              <w:spacing w:after="0"/>
              <w:rPr>
                <w:sz w:val="20"/>
                <w:szCs w:val="20"/>
                <w:color w:val="auto"/>
              </w:rPr>
            </w:pPr>
            <w:r>
              <w:rPr>
                <w:rFonts w:ascii="Arial" w:cs="Arial" w:eastAsia="Arial" w:hAnsi="Arial"/>
                <w:sz w:val="14"/>
                <w:szCs w:val="14"/>
                <w:color w:val="auto"/>
              </w:rPr>
              <w:t>Section</w:t>
            </w:r>
          </w:p>
        </w:tc>
        <w:tc>
          <w:tcPr>
            <w:tcW w:w="840" w:type="dxa"/>
            <w:vAlign w:val="bottom"/>
          </w:tcPr>
          <w:p>
            <w:pPr>
              <w:jc w:val="center"/>
              <w:spacing w:after="0"/>
              <w:rPr>
                <w:sz w:val="20"/>
                <w:szCs w:val="20"/>
                <w:color w:val="auto"/>
              </w:rPr>
            </w:pPr>
            <w:r>
              <w:rPr>
                <w:rFonts w:ascii="Arial" w:cs="Arial" w:eastAsia="Arial" w:hAnsi="Arial"/>
                <w:sz w:val="14"/>
                <w:szCs w:val="14"/>
                <w:color w:val="auto"/>
              </w:rPr>
              <w:t>Section</w:t>
            </w:r>
          </w:p>
        </w:tc>
        <w:tc>
          <w:tcPr>
            <w:tcW w:w="840" w:type="dxa"/>
            <w:vAlign w:val="bottom"/>
          </w:tcPr>
          <w:p>
            <w:pPr>
              <w:jc w:val="center"/>
              <w:spacing w:after="0"/>
              <w:rPr>
                <w:sz w:val="20"/>
                <w:szCs w:val="20"/>
                <w:color w:val="auto"/>
              </w:rPr>
            </w:pPr>
            <w:r>
              <w:rPr>
                <w:rFonts w:ascii="Arial" w:cs="Arial" w:eastAsia="Arial" w:hAnsi="Arial"/>
                <w:sz w:val="14"/>
                <w:szCs w:val="14"/>
                <w:color w:val="auto"/>
              </w:rPr>
              <w:t>Pending as</w:t>
            </w:r>
          </w:p>
        </w:tc>
        <w:tc>
          <w:tcPr>
            <w:tcW w:w="660" w:type="dxa"/>
            <w:vAlign w:val="bottom"/>
          </w:tcPr>
          <w:p>
            <w:pPr>
              <w:jc w:val="center"/>
              <w:spacing w:after="0"/>
              <w:rPr>
                <w:sz w:val="20"/>
                <w:szCs w:val="20"/>
                <w:color w:val="auto"/>
              </w:rPr>
            </w:pPr>
            <w:r>
              <w:rPr>
                <w:rFonts w:ascii="Arial" w:cs="Arial" w:eastAsia="Arial" w:hAnsi="Arial"/>
                <w:sz w:val="14"/>
                <w:szCs w:val="14"/>
                <w:color w:val="auto"/>
              </w:rPr>
              <w:t>Initiated</w:t>
            </w:r>
          </w:p>
        </w:tc>
        <w:tc>
          <w:tcPr>
            <w:tcW w:w="620" w:type="dxa"/>
            <w:vAlign w:val="bottom"/>
          </w:tcPr>
          <w:p>
            <w:pPr>
              <w:jc w:val="center"/>
              <w:spacing w:after="0"/>
              <w:rPr>
                <w:sz w:val="20"/>
                <w:szCs w:val="20"/>
                <w:color w:val="auto"/>
              </w:rPr>
            </w:pPr>
            <w:r>
              <w:rPr>
                <w:rFonts w:ascii="Arial" w:cs="Arial" w:eastAsia="Arial" w:hAnsi="Arial"/>
                <w:sz w:val="14"/>
                <w:szCs w:val="14"/>
                <w:color w:val="auto"/>
              </w:rPr>
              <w:t>d</w:t>
            </w:r>
          </w:p>
        </w:tc>
      </w:tr>
      <w:tr>
        <w:trPr>
          <w:trHeight w:val="142"/>
        </w:trPr>
        <w:tc>
          <w:tcPr>
            <w:tcW w:w="2040" w:type="dxa"/>
            <w:vAlign w:val="bottom"/>
          </w:tcPr>
          <w:p>
            <w:pPr>
              <w:ind w:left="220"/>
              <w:spacing w:after="0" w:line="141" w:lineRule="exact"/>
              <w:rPr>
                <w:sz w:val="20"/>
                <w:szCs w:val="20"/>
                <w:color w:val="auto"/>
              </w:rPr>
            </w:pPr>
            <w:r>
              <w:rPr>
                <w:rFonts w:ascii="Arial" w:cs="Arial" w:eastAsia="Arial" w:hAnsi="Arial"/>
                <w:sz w:val="14"/>
                <w:szCs w:val="14"/>
                <w:color w:val="auto"/>
              </w:rPr>
              <w:t>Mine or Operating Name/</w:t>
            </w:r>
          </w:p>
        </w:tc>
        <w:tc>
          <w:tcPr>
            <w:tcW w:w="900" w:type="dxa"/>
            <w:vAlign w:val="bottom"/>
          </w:tcPr>
          <w:p>
            <w:pPr>
              <w:jc w:val="center"/>
              <w:spacing w:after="0" w:line="141" w:lineRule="exact"/>
              <w:rPr>
                <w:sz w:val="20"/>
                <w:szCs w:val="20"/>
                <w:color w:val="auto"/>
              </w:rPr>
            </w:pPr>
            <w:r>
              <w:rPr>
                <w:rFonts w:ascii="Arial" w:cs="Arial" w:eastAsia="Arial" w:hAnsi="Arial"/>
                <w:sz w:val="14"/>
                <w:szCs w:val="14"/>
                <w:color w:val="auto"/>
              </w:rPr>
              <w:t>S&amp;S</w:t>
            </w:r>
          </w:p>
        </w:tc>
        <w:tc>
          <w:tcPr>
            <w:tcW w:w="640" w:type="dxa"/>
            <w:vAlign w:val="bottom"/>
          </w:tcPr>
          <w:p>
            <w:pPr>
              <w:jc w:val="center"/>
              <w:spacing w:after="0" w:line="141" w:lineRule="exact"/>
              <w:rPr>
                <w:sz w:val="20"/>
                <w:szCs w:val="20"/>
                <w:color w:val="auto"/>
              </w:rPr>
            </w:pPr>
            <w:r>
              <w:rPr>
                <w:rFonts w:ascii="Arial" w:cs="Arial" w:eastAsia="Arial" w:hAnsi="Arial"/>
                <w:sz w:val="14"/>
                <w:szCs w:val="14"/>
                <w:color w:val="auto"/>
              </w:rPr>
              <w:t>104(b)</w:t>
            </w:r>
          </w:p>
        </w:tc>
        <w:tc>
          <w:tcPr>
            <w:tcW w:w="740" w:type="dxa"/>
            <w:vAlign w:val="bottom"/>
          </w:tcPr>
          <w:p>
            <w:pPr>
              <w:jc w:val="center"/>
              <w:spacing w:after="0" w:line="141" w:lineRule="exact"/>
              <w:rPr>
                <w:sz w:val="20"/>
                <w:szCs w:val="20"/>
                <w:color w:val="auto"/>
              </w:rPr>
            </w:pPr>
            <w:r>
              <w:rPr>
                <w:rFonts w:ascii="Arial" w:cs="Arial" w:eastAsia="Arial" w:hAnsi="Arial"/>
                <w:sz w:val="14"/>
                <w:szCs w:val="14"/>
                <w:color w:val="auto"/>
              </w:rPr>
              <w:t>and</w:t>
            </w:r>
          </w:p>
        </w:tc>
        <w:tc>
          <w:tcPr>
            <w:tcW w:w="780" w:type="dxa"/>
            <w:vAlign w:val="bottom"/>
          </w:tcPr>
          <w:p>
            <w:pPr>
              <w:jc w:val="center"/>
              <w:spacing w:after="0" w:line="141" w:lineRule="exact"/>
              <w:rPr>
                <w:sz w:val="20"/>
                <w:szCs w:val="20"/>
                <w:color w:val="auto"/>
              </w:rPr>
            </w:pPr>
            <w:r>
              <w:rPr>
                <w:rFonts w:ascii="Arial" w:cs="Arial" w:eastAsia="Arial" w:hAnsi="Arial"/>
                <w:sz w:val="14"/>
                <w:szCs w:val="14"/>
                <w:color w:val="auto"/>
              </w:rPr>
              <w:t>110(b)(2)</w:t>
            </w:r>
          </w:p>
        </w:tc>
        <w:tc>
          <w:tcPr>
            <w:tcW w:w="620" w:type="dxa"/>
            <w:vAlign w:val="bottom"/>
          </w:tcPr>
          <w:p>
            <w:pPr>
              <w:jc w:val="center"/>
              <w:spacing w:after="0" w:line="141" w:lineRule="exact"/>
              <w:rPr>
                <w:sz w:val="20"/>
                <w:szCs w:val="20"/>
                <w:color w:val="auto"/>
              </w:rPr>
            </w:pPr>
            <w:r>
              <w:rPr>
                <w:rFonts w:ascii="Arial" w:cs="Arial" w:eastAsia="Arial" w:hAnsi="Arial"/>
                <w:sz w:val="14"/>
                <w:szCs w:val="14"/>
                <w:color w:val="auto"/>
              </w:rPr>
              <w:t>107(a)</w:t>
            </w:r>
          </w:p>
        </w:tc>
        <w:tc>
          <w:tcPr>
            <w:tcW w:w="1060" w:type="dxa"/>
            <w:vAlign w:val="bottom"/>
          </w:tcPr>
          <w:p>
            <w:pPr>
              <w:jc w:val="center"/>
              <w:spacing w:after="0" w:line="141" w:lineRule="exact"/>
              <w:rPr>
                <w:sz w:val="20"/>
                <w:szCs w:val="20"/>
                <w:color w:val="auto"/>
              </w:rPr>
            </w:pPr>
            <w:r>
              <w:rPr>
                <w:rFonts w:ascii="Arial" w:cs="Arial" w:eastAsia="Arial" w:hAnsi="Arial"/>
                <w:sz w:val="14"/>
                <w:szCs w:val="14"/>
                <w:color w:val="auto"/>
              </w:rPr>
              <w:t>Assessments</w:t>
            </w:r>
          </w:p>
        </w:tc>
        <w:tc>
          <w:tcPr>
            <w:tcW w:w="720" w:type="dxa"/>
            <w:vAlign w:val="bottom"/>
          </w:tcPr>
          <w:p>
            <w:pPr>
              <w:jc w:val="center"/>
              <w:spacing w:after="0" w:line="141" w:lineRule="exact"/>
              <w:rPr>
                <w:sz w:val="20"/>
                <w:szCs w:val="20"/>
                <w:color w:val="auto"/>
              </w:rPr>
            </w:pPr>
            <w:r>
              <w:rPr>
                <w:rFonts w:ascii="Arial" w:cs="Arial" w:eastAsia="Arial" w:hAnsi="Arial"/>
                <w:sz w:val="14"/>
                <w:szCs w:val="14"/>
                <w:color w:val="auto"/>
              </w:rPr>
              <w:t>Related</w:t>
            </w:r>
          </w:p>
        </w:tc>
        <w:tc>
          <w:tcPr>
            <w:tcW w:w="780" w:type="dxa"/>
            <w:vAlign w:val="bottom"/>
          </w:tcPr>
          <w:p>
            <w:pPr>
              <w:jc w:val="center"/>
              <w:spacing w:after="0" w:line="141" w:lineRule="exact"/>
              <w:rPr>
                <w:sz w:val="20"/>
                <w:szCs w:val="20"/>
                <w:color w:val="auto"/>
              </w:rPr>
            </w:pPr>
            <w:r>
              <w:rPr>
                <w:rFonts w:ascii="Arial" w:cs="Arial" w:eastAsia="Arial" w:hAnsi="Arial"/>
                <w:sz w:val="14"/>
                <w:szCs w:val="14"/>
                <w:color w:val="auto"/>
              </w:rPr>
              <w:t>104(e)</w:t>
            </w:r>
          </w:p>
        </w:tc>
        <w:tc>
          <w:tcPr>
            <w:tcW w:w="840" w:type="dxa"/>
            <w:vAlign w:val="bottom"/>
          </w:tcPr>
          <w:p>
            <w:pPr>
              <w:jc w:val="center"/>
              <w:spacing w:after="0" w:line="141" w:lineRule="exact"/>
              <w:rPr>
                <w:sz w:val="20"/>
                <w:szCs w:val="20"/>
                <w:color w:val="auto"/>
              </w:rPr>
            </w:pPr>
            <w:r>
              <w:rPr>
                <w:rFonts w:ascii="Arial" w:cs="Arial" w:eastAsia="Arial" w:hAnsi="Arial"/>
                <w:sz w:val="14"/>
                <w:szCs w:val="14"/>
                <w:color w:val="auto"/>
              </w:rPr>
              <w:t>104(e)</w:t>
            </w:r>
          </w:p>
        </w:tc>
        <w:tc>
          <w:tcPr>
            <w:tcW w:w="840" w:type="dxa"/>
            <w:vAlign w:val="bottom"/>
          </w:tcPr>
          <w:p>
            <w:pPr>
              <w:jc w:val="center"/>
              <w:spacing w:after="0" w:line="141" w:lineRule="exact"/>
              <w:rPr>
                <w:sz w:val="20"/>
                <w:szCs w:val="20"/>
                <w:color w:val="auto"/>
              </w:rPr>
            </w:pPr>
            <w:r>
              <w:rPr>
                <w:rFonts w:ascii="Arial" w:cs="Arial" w:eastAsia="Arial" w:hAnsi="Arial"/>
                <w:sz w:val="14"/>
                <w:szCs w:val="14"/>
                <w:color w:val="auto"/>
              </w:rPr>
              <w:t>of Last Day</w:t>
            </w:r>
          </w:p>
        </w:tc>
        <w:tc>
          <w:tcPr>
            <w:tcW w:w="660" w:type="dxa"/>
            <w:vAlign w:val="bottom"/>
          </w:tcPr>
          <w:p>
            <w:pPr>
              <w:jc w:val="center"/>
              <w:spacing w:after="0" w:line="141" w:lineRule="exact"/>
              <w:rPr>
                <w:sz w:val="20"/>
                <w:szCs w:val="20"/>
                <w:color w:val="auto"/>
              </w:rPr>
            </w:pPr>
            <w:r>
              <w:rPr>
                <w:rFonts w:ascii="Arial" w:cs="Arial" w:eastAsia="Arial" w:hAnsi="Arial"/>
                <w:sz w:val="14"/>
                <w:szCs w:val="14"/>
                <w:color w:val="auto"/>
              </w:rPr>
              <w:t>During</w:t>
            </w:r>
          </w:p>
        </w:tc>
        <w:tc>
          <w:tcPr>
            <w:tcW w:w="620" w:type="dxa"/>
            <w:vAlign w:val="bottom"/>
          </w:tcPr>
          <w:p>
            <w:pPr>
              <w:jc w:val="center"/>
              <w:spacing w:after="0" w:line="141" w:lineRule="exact"/>
              <w:rPr>
                <w:sz w:val="20"/>
                <w:szCs w:val="20"/>
                <w:color w:val="auto"/>
              </w:rPr>
            </w:pPr>
            <w:r>
              <w:rPr>
                <w:rFonts w:ascii="Arial" w:cs="Arial" w:eastAsia="Arial" w:hAnsi="Arial"/>
                <w:sz w:val="14"/>
                <w:szCs w:val="14"/>
                <w:color w:val="auto"/>
              </w:rPr>
              <w:t>During</w:t>
            </w:r>
          </w:p>
        </w:tc>
      </w:tr>
      <w:tr>
        <w:trPr>
          <w:trHeight w:val="201"/>
        </w:trPr>
        <w:tc>
          <w:tcPr>
            <w:tcW w:w="20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MSHA Identification Number</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Citations</w:t>
            </w:r>
          </w:p>
        </w:tc>
        <w:tc>
          <w:tcPr>
            <w:tcW w:w="64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Orders</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Orders</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Violations</w:t>
            </w:r>
          </w:p>
        </w:tc>
        <w:tc>
          <w:tcPr>
            <w:tcW w:w="62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Orders</w:t>
            </w:r>
          </w:p>
        </w:tc>
        <w:tc>
          <w:tcPr>
            <w:tcW w:w="106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4"/>
                <w:szCs w:val="14"/>
                <w:color w:val="auto"/>
                <w:w w:val="98"/>
              </w:rPr>
              <w:t xml:space="preserve">Proposed </w:t>
            </w:r>
            <w:r>
              <w:rPr>
                <w:rFonts w:ascii="Arial" w:cs="Arial" w:eastAsia="Arial" w:hAnsi="Arial"/>
                <w:sz w:val="19"/>
                <w:szCs w:val="19"/>
                <w:color w:val="auto"/>
                <w:w w:val="98"/>
                <w:vertAlign w:val="superscript"/>
              </w:rPr>
              <w:t>(1)</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Fatalities</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(yes/no)</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(yes/no)</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of Period</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Period</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Period</w:t>
            </w:r>
          </w:p>
        </w:tc>
      </w:tr>
      <w:tr>
        <w:trPr>
          <w:trHeight w:val="373"/>
        </w:trPr>
        <w:tc>
          <w:tcPr>
            <w:tcW w:w="2040" w:type="dxa"/>
            <w:vAlign w:val="bottom"/>
          </w:tcPr>
          <w:p>
            <w:pPr>
              <w:ind w:left="20"/>
              <w:spacing w:after="0"/>
              <w:rPr>
                <w:sz w:val="20"/>
                <w:szCs w:val="20"/>
                <w:color w:val="auto"/>
              </w:rPr>
            </w:pPr>
            <w:r>
              <w:rPr>
                <w:rFonts w:ascii="Arial" w:cs="Arial" w:eastAsia="Arial" w:hAnsi="Arial"/>
                <w:sz w:val="14"/>
                <w:szCs w:val="14"/>
                <w:color w:val="auto"/>
              </w:rPr>
              <w:t>Amelia Barite Plant/1600825</w:t>
            </w:r>
          </w:p>
        </w:tc>
        <w:tc>
          <w:tcPr>
            <w:tcW w:w="900" w:type="dxa"/>
            <w:vAlign w:val="bottom"/>
          </w:tcPr>
          <w:p>
            <w:pPr>
              <w:jc w:val="center"/>
              <w:spacing w:after="0"/>
              <w:rPr>
                <w:sz w:val="20"/>
                <w:szCs w:val="20"/>
                <w:color w:val="auto"/>
              </w:rPr>
            </w:pPr>
            <w:r>
              <w:rPr>
                <w:rFonts w:ascii="Arial" w:cs="Arial" w:eastAsia="Arial" w:hAnsi="Arial"/>
                <w:sz w:val="14"/>
                <w:szCs w:val="14"/>
                <w:color w:val="auto"/>
              </w:rPr>
              <w:t>─</w:t>
            </w:r>
          </w:p>
        </w:tc>
        <w:tc>
          <w:tcPr>
            <w:tcW w:w="640" w:type="dxa"/>
            <w:vAlign w:val="bottom"/>
          </w:tcPr>
          <w:p>
            <w:pPr>
              <w:jc w:val="center"/>
              <w:spacing w:after="0"/>
              <w:rPr>
                <w:sz w:val="20"/>
                <w:szCs w:val="20"/>
                <w:color w:val="auto"/>
              </w:rPr>
            </w:pPr>
            <w:r>
              <w:rPr>
                <w:rFonts w:ascii="Arial" w:cs="Arial" w:eastAsia="Arial" w:hAnsi="Arial"/>
                <w:sz w:val="14"/>
                <w:szCs w:val="14"/>
                <w:color w:val="auto"/>
              </w:rPr>
              <w:t>─</w:t>
            </w:r>
          </w:p>
        </w:tc>
        <w:tc>
          <w:tcPr>
            <w:tcW w:w="740" w:type="dxa"/>
            <w:vAlign w:val="bottom"/>
          </w:tcPr>
          <w:p>
            <w:pPr>
              <w:jc w:val="center"/>
              <w:spacing w:after="0"/>
              <w:rPr>
                <w:sz w:val="20"/>
                <w:szCs w:val="20"/>
                <w:color w:val="auto"/>
              </w:rPr>
            </w:pPr>
            <w:r>
              <w:rPr>
                <w:rFonts w:ascii="Arial" w:cs="Arial" w:eastAsia="Arial" w:hAnsi="Arial"/>
                <w:sz w:val="14"/>
                <w:szCs w:val="14"/>
                <w:color w:val="auto"/>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620" w:type="dxa"/>
            <w:vAlign w:val="bottom"/>
          </w:tcPr>
          <w:p>
            <w:pPr>
              <w:jc w:val="center"/>
              <w:spacing w:after="0"/>
              <w:rPr>
                <w:sz w:val="20"/>
                <w:szCs w:val="20"/>
                <w:color w:val="auto"/>
              </w:rPr>
            </w:pPr>
            <w:r>
              <w:rPr>
                <w:rFonts w:ascii="Arial" w:cs="Arial" w:eastAsia="Arial" w:hAnsi="Arial"/>
                <w:sz w:val="14"/>
                <w:szCs w:val="14"/>
                <w:color w:val="auto"/>
              </w:rPr>
              <w:t>─</w:t>
            </w:r>
          </w:p>
        </w:tc>
        <w:tc>
          <w:tcPr>
            <w:tcW w:w="1060" w:type="dxa"/>
            <w:vAlign w:val="bottom"/>
          </w:tcPr>
          <w:p>
            <w:pPr>
              <w:jc w:val="center"/>
              <w:spacing w:after="0"/>
              <w:rPr>
                <w:sz w:val="20"/>
                <w:szCs w:val="20"/>
                <w:color w:val="auto"/>
              </w:rPr>
            </w:pPr>
            <w:r>
              <w:rPr>
                <w:rFonts w:ascii="Arial" w:cs="Arial" w:eastAsia="Arial" w:hAnsi="Arial"/>
                <w:sz w:val="28"/>
                <w:szCs w:val="28"/>
                <w:color w:val="auto"/>
                <w:w w:val="86"/>
                <w:vertAlign w:val="subscript"/>
              </w:rPr>
              <w:t>─</w:t>
            </w:r>
            <w:r>
              <w:rPr>
                <w:rFonts w:ascii="Arial" w:cs="Arial" w:eastAsia="Arial" w:hAnsi="Arial"/>
                <w:sz w:val="10"/>
                <w:szCs w:val="10"/>
                <w:color w:val="auto"/>
                <w:w w:val="86"/>
              </w:rPr>
              <w:t>(2)</w:t>
            </w:r>
          </w:p>
        </w:tc>
        <w:tc>
          <w:tcPr>
            <w:tcW w:w="720" w:type="dxa"/>
            <w:vAlign w:val="bottom"/>
          </w:tcPr>
          <w:p>
            <w:pPr>
              <w:jc w:val="center"/>
              <w:spacing w:after="0"/>
              <w:rPr>
                <w:sz w:val="20"/>
                <w:szCs w:val="20"/>
                <w:color w:val="auto"/>
              </w:rPr>
            </w:pPr>
            <w:r>
              <w:rPr>
                <w:rFonts w:ascii="Arial" w:cs="Arial" w:eastAsia="Arial" w:hAnsi="Arial"/>
                <w:sz w:val="14"/>
                <w:szCs w:val="14"/>
                <w:color w:val="auto"/>
              </w:rPr>
              <w:t>─</w:t>
            </w:r>
          </w:p>
        </w:tc>
        <w:tc>
          <w:tcPr>
            <w:tcW w:w="780" w:type="dxa"/>
            <w:vAlign w:val="bottom"/>
          </w:tcPr>
          <w:p>
            <w:pPr>
              <w:jc w:val="center"/>
              <w:spacing w:after="0"/>
              <w:rPr>
                <w:sz w:val="20"/>
                <w:szCs w:val="20"/>
                <w:color w:val="auto"/>
              </w:rPr>
            </w:pPr>
            <w:r>
              <w:rPr>
                <w:rFonts w:ascii="Arial" w:cs="Arial" w:eastAsia="Arial" w:hAnsi="Arial"/>
                <w:sz w:val="14"/>
                <w:szCs w:val="14"/>
                <w:color w:val="auto"/>
                <w:w w:val="98"/>
              </w:rPr>
              <w:t>N</w:t>
            </w:r>
          </w:p>
        </w:tc>
        <w:tc>
          <w:tcPr>
            <w:tcW w:w="840" w:type="dxa"/>
            <w:vAlign w:val="bottom"/>
          </w:tcPr>
          <w:p>
            <w:pPr>
              <w:jc w:val="center"/>
              <w:spacing w:after="0"/>
              <w:rPr>
                <w:sz w:val="20"/>
                <w:szCs w:val="20"/>
                <w:color w:val="auto"/>
              </w:rPr>
            </w:pPr>
            <w:r>
              <w:rPr>
                <w:rFonts w:ascii="Arial" w:cs="Arial" w:eastAsia="Arial" w:hAnsi="Arial"/>
                <w:sz w:val="14"/>
                <w:szCs w:val="14"/>
                <w:color w:val="auto"/>
                <w:w w:val="98"/>
              </w:rPr>
              <w:t>N</w:t>
            </w:r>
          </w:p>
        </w:tc>
        <w:tc>
          <w:tcPr>
            <w:tcW w:w="840" w:type="dxa"/>
            <w:vAlign w:val="bottom"/>
          </w:tcPr>
          <w:p>
            <w:pPr>
              <w:jc w:val="center"/>
              <w:spacing w:after="0"/>
              <w:rPr>
                <w:sz w:val="20"/>
                <w:szCs w:val="20"/>
                <w:color w:val="auto"/>
              </w:rPr>
            </w:pPr>
            <w:r>
              <w:rPr>
                <w:rFonts w:ascii="Arial" w:cs="Arial" w:eastAsia="Arial" w:hAnsi="Arial"/>
                <w:sz w:val="14"/>
                <w:szCs w:val="14"/>
                <w:color w:val="auto"/>
              </w:rPr>
              <w:t>─</w:t>
            </w:r>
          </w:p>
        </w:tc>
        <w:tc>
          <w:tcPr>
            <w:tcW w:w="660" w:type="dxa"/>
            <w:vAlign w:val="bottom"/>
          </w:tcPr>
          <w:p>
            <w:pPr>
              <w:jc w:val="center"/>
              <w:spacing w:after="0"/>
              <w:rPr>
                <w:sz w:val="20"/>
                <w:szCs w:val="20"/>
                <w:color w:val="auto"/>
              </w:rPr>
            </w:pPr>
            <w:r>
              <w:rPr>
                <w:rFonts w:ascii="Arial" w:cs="Arial" w:eastAsia="Arial" w:hAnsi="Arial"/>
                <w:sz w:val="14"/>
                <w:szCs w:val="14"/>
                <w:color w:val="auto"/>
              </w:rPr>
              <w:t>─</w:t>
            </w:r>
          </w:p>
        </w:tc>
        <w:tc>
          <w:tcPr>
            <w:tcW w:w="620" w:type="dxa"/>
            <w:vAlign w:val="bottom"/>
          </w:tcPr>
          <w:p>
            <w:pPr>
              <w:jc w:val="center"/>
              <w:spacing w:after="0"/>
              <w:rPr>
                <w:sz w:val="20"/>
                <w:szCs w:val="20"/>
                <w:color w:val="auto"/>
              </w:rPr>
            </w:pPr>
            <w:r>
              <w:rPr>
                <w:rFonts w:ascii="Arial" w:cs="Arial" w:eastAsia="Arial" w:hAnsi="Arial"/>
                <w:sz w:val="14"/>
                <w:szCs w:val="14"/>
                <w:color w:val="auto"/>
              </w:rPr>
              <w:t>─</w:t>
            </w:r>
          </w:p>
        </w:tc>
      </w:tr>
      <w:tr>
        <w:trPr>
          <w:trHeight w:val="520"/>
        </w:trPr>
        <w:tc>
          <w:tcPr>
            <w:tcW w:w="2040" w:type="dxa"/>
            <w:vAlign w:val="bottom"/>
          </w:tcPr>
          <w:p>
            <w:pPr>
              <w:ind w:left="20"/>
              <w:spacing w:after="0"/>
              <w:rPr>
                <w:sz w:val="20"/>
                <w:szCs w:val="20"/>
                <w:color w:val="auto"/>
              </w:rPr>
            </w:pPr>
            <w:r>
              <w:rPr>
                <w:rFonts w:ascii="Arial" w:cs="Arial" w:eastAsia="Arial" w:hAnsi="Arial"/>
                <w:sz w:val="14"/>
                <w:szCs w:val="14"/>
                <w:color w:val="auto"/>
              </w:rPr>
              <w:t>Battle Mountain Grinding</w:t>
            </w:r>
          </w:p>
        </w:tc>
        <w:tc>
          <w:tcPr>
            <w:tcW w:w="900" w:type="dxa"/>
            <w:vAlign w:val="bottom"/>
          </w:tcPr>
          <w:p>
            <w:pPr>
              <w:jc w:val="center"/>
              <w:spacing w:after="0"/>
              <w:rPr>
                <w:sz w:val="20"/>
                <w:szCs w:val="20"/>
                <w:color w:val="auto"/>
              </w:rPr>
            </w:pPr>
            <w:r>
              <w:rPr>
                <w:rFonts w:ascii="Arial" w:cs="Arial" w:eastAsia="Arial" w:hAnsi="Arial"/>
                <w:sz w:val="14"/>
                <w:szCs w:val="14"/>
                <w:color w:val="auto"/>
              </w:rPr>
              <w:t>─</w:t>
            </w:r>
          </w:p>
        </w:tc>
        <w:tc>
          <w:tcPr>
            <w:tcW w:w="640" w:type="dxa"/>
            <w:vAlign w:val="bottom"/>
          </w:tcPr>
          <w:p>
            <w:pPr>
              <w:jc w:val="center"/>
              <w:spacing w:after="0"/>
              <w:rPr>
                <w:sz w:val="20"/>
                <w:szCs w:val="20"/>
                <w:color w:val="auto"/>
              </w:rPr>
            </w:pPr>
            <w:r>
              <w:rPr>
                <w:rFonts w:ascii="Arial" w:cs="Arial" w:eastAsia="Arial" w:hAnsi="Arial"/>
                <w:sz w:val="14"/>
                <w:szCs w:val="14"/>
                <w:color w:val="auto"/>
              </w:rPr>
              <w:t>─</w:t>
            </w:r>
          </w:p>
        </w:tc>
        <w:tc>
          <w:tcPr>
            <w:tcW w:w="740" w:type="dxa"/>
            <w:vAlign w:val="bottom"/>
          </w:tcPr>
          <w:p>
            <w:pPr>
              <w:jc w:val="center"/>
              <w:spacing w:after="0"/>
              <w:rPr>
                <w:sz w:val="20"/>
                <w:szCs w:val="20"/>
                <w:color w:val="auto"/>
              </w:rPr>
            </w:pPr>
            <w:r>
              <w:rPr>
                <w:rFonts w:ascii="Arial" w:cs="Arial" w:eastAsia="Arial" w:hAnsi="Arial"/>
                <w:sz w:val="14"/>
                <w:szCs w:val="14"/>
                <w:color w:val="auto"/>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620" w:type="dxa"/>
            <w:vAlign w:val="bottom"/>
          </w:tcPr>
          <w:p>
            <w:pPr>
              <w:jc w:val="center"/>
              <w:spacing w:after="0"/>
              <w:rPr>
                <w:sz w:val="20"/>
                <w:szCs w:val="20"/>
                <w:color w:val="auto"/>
              </w:rPr>
            </w:pPr>
            <w:r>
              <w:rPr>
                <w:rFonts w:ascii="Arial" w:cs="Arial" w:eastAsia="Arial" w:hAnsi="Arial"/>
                <w:sz w:val="14"/>
                <w:szCs w:val="14"/>
                <w:color w:val="auto"/>
              </w:rPr>
              <w:t>─</w:t>
            </w:r>
          </w:p>
        </w:tc>
        <w:tc>
          <w:tcPr>
            <w:tcW w:w="1060" w:type="dxa"/>
            <w:vAlign w:val="bottom"/>
          </w:tcPr>
          <w:p>
            <w:pPr>
              <w:jc w:val="center"/>
              <w:spacing w:after="0"/>
              <w:rPr>
                <w:sz w:val="20"/>
                <w:szCs w:val="20"/>
                <w:color w:val="auto"/>
              </w:rPr>
            </w:pPr>
            <w:r>
              <w:rPr>
                <w:rFonts w:ascii="Arial" w:cs="Arial" w:eastAsia="Arial" w:hAnsi="Arial"/>
                <w:sz w:val="14"/>
                <w:szCs w:val="14"/>
                <w:color w:val="auto"/>
              </w:rPr>
              <w:t>─</w:t>
            </w:r>
          </w:p>
        </w:tc>
        <w:tc>
          <w:tcPr>
            <w:tcW w:w="720" w:type="dxa"/>
            <w:vAlign w:val="bottom"/>
          </w:tcPr>
          <w:p>
            <w:pPr>
              <w:jc w:val="center"/>
              <w:spacing w:after="0"/>
              <w:rPr>
                <w:sz w:val="20"/>
                <w:szCs w:val="20"/>
                <w:color w:val="auto"/>
              </w:rPr>
            </w:pPr>
            <w:r>
              <w:rPr>
                <w:rFonts w:ascii="Arial" w:cs="Arial" w:eastAsia="Arial" w:hAnsi="Arial"/>
                <w:sz w:val="14"/>
                <w:szCs w:val="14"/>
                <w:color w:val="auto"/>
              </w:rPr>
              <w:t>─</w:t>
            </w:r>
          </w:p>
        </w:tc>
        <w:tc>
          <w:tcPr>
            <w:tcW w:w="780" w:type="dxa"/>
            <w:vAlign w:val="bottom"/>
          </w:tcPr>
          <w:p>
            <w:pPr>
              <w:jc w:val="center"/>
              <w:spacing w:after="0"/>
              <w:rPr>
                <w:sz w:val="20"/>
                <w:szCs w:val="20"/>
                <w:color w:val="auto"/>
              </w:rPr>
            </w:pPr>
            <w:r>
              <w:rPr>
                <w:rFonts w:ascii="Arial" w:cs="Arial" w:eastAsia="Arial" w:hAnsi="Arial"/>
                <w:sz w:val="14"/>
                <w:szCs w:val="14"/>
                <w:color w:val="auto"/>
                <w:w w:val="98"/>
              </w:rPr>
              <w:t>N</w:t>
            </w:r>
          </w:p>
        </w:tc>
        <w:tc>
          <w:tcPr>
            <w:tcW w:w="840" w:type="dxa"/>
            <w:vAlign w:val="bottom"/>
          </w:tcPr>
          <w:p>
            <w:pPr>
              <w:jc w:val="center"/>
              <w:spacing w:after="0"/>
              <w:rPr>
                <w:sz w:val="20"/>
                <w:szCs w:val="20"/>
                <w:color w:val="auto"/>
              </w:rPr>
            </w:pPr>
            <w:r>
              <w:rPr>
                <w:rFonts w:ascii="Arial" w:cs="Arial" w:eastAsia="Arial" w:hAnsi="Arial"/>
                <w:sz w:val="14"/>
                <w:szCs w:val="14"/>
                <w:color w:val="auto"/>
                <w:w w:val="98"/>
              </w:rPr>
              <w:t>N</w:t>
            </w:r>
          </w:p>
        </w:tc>
        <w:tc>
          <w:tcPr>
            <w:tcW w:w="840" w:type="dxa"/>
            <w:vAlign w:val="bottom"/>
          </w:tcPr>
          <w:p>
            <w:pPr>
              <w:jc w:val="center"/>
              <w:spacing w:after="0"/>
              <w:rPr>
                <w:sz w:val="20"/>
                <w:szCs w:val="20"/>
                <w:color w:val="auto"/>
              </w:rPr>
            </w:pPr>
            <w:r>
              <w:rPr>
                <w:rFonts w:ascii="Arial" w:cs="Arial" w:eastAsia="Arial" w:hAnsi="Arial"/>
                <w:sz w:val="14"/>
                <w:szCs w:val="14"/>
                <w:color w:val="auto"/>
              </w:rPr>
              <w:t>─</w:t>
            </w:r>
          </w:p>
        </w:tc>
        <w:tc>
          <w:tcPr>
            <w:tcW w:w="660" w:type="dxa"/>
            <w:vAlign w:val="bottom"/>
          </w:tcPr>
          <w:p>
            <w:pPr>
              <w:jc w:val="center"/>
              <w:spacing w:after="0"/>
              <w:rPr>
                <w:sz w:val="20"/>
                <w:szCs w:val="20"/>
                <w:color w:val="auto"/>
              </w:rPr>
            </w:pPr>
            <w:r>
              <w:rPr>
                <w:rFonts w:ascii="Arial" w:cs="Arial" w:eastAsia="Arial" w:hAnsi="Arial"/>
                <w:sz w:val="14"/>
                <w:szCs w:val="14"/>
                <w:color w:val="auto"/>
              </w:rPr>
              <w:t>─</w:t>
            </w:r>
          </w:p>
        </w:tc>
        <w:tc>
          <w:tcPr>
            <w:tcW w:w="620" w:type="dxa"/>
            <w:vAlign w:val="bottom"/>
          </w:tcPr>
          <w:p>
            <w:pPr>
              <w:jc w:val="center"/>
              <w:spacing w:after="0"/>
              <w:rPr>
                <w:sz w:val="20"/>
                <w:szCs w:val="20"/>
                <w:color w:val="auto"/>
              </w:rPr>
            </w:pPr>
            <w:r>
              <w:rPr>
                <w:rFonts w:ascii="Arial" w:cs="Arial" w:eastAsia="Arial" w:hAnsi="Arial"/>
                <w:sz w:val="14"/>
                <w:szCs w:val="14"/>
                <w:color w:val="auto"/>
              </w:rPr>
              <w:t>─</w:t>
            </w:r>
          </w:p>
        </w:tc>
      </w:tr>
      <w:tr>
        <w:trPr>
          <w:trHeight w:val="182"/>
        </w:trPr>
        <w:tc>
          <w:tcPr>
            <w:tcW w:w="2040" w:type="dxa"/>
            <w:vAlign w:val="bottom"/>
          </w:tcPr>
          <w:p>
            <w:pPr>
              <w:ind w:left="20"/>
              <w:spacing w:after="0"/>
              <w:rPr>
                <w:sz w:val="20"/>
                <w:szCs w:val="20"/>
                <w:color w:val="auto"/>
              </w:rPr>
            </w:pPr>
            <w:r>
              <w:rPr>
                <w:rFonts w:ascii="Arial" w:cs="Arial" w:eastAsia="Arial" w:hAnsi="Arial"/>
                <w:sz w:val="14"/>
                <w:szCs w:val="14"/>
                <w:color w:val="auto"/>
              </w:rPr>
              <w:t>Plant/2600828</w:t>
            </w: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358"/>
        </w:trPr>
        <w:tc>
          <w:tcPr>
            <w:tcW w:w="2040" w:type="dxa"/>
            <w:vAlign w:val="bottom"/>
          </w:tcPr>
          <w:p>
            <w:pPr>
              <w:ind w:left="20"/>
              <w:spacing w:after="0"/>
              <w:rPr>
                <w:sz w:val="20"/>
                <w:szCs w:val="20"/>
                <w:color w:val="auto"/>
              </w:rPr>
            </w:pPr>
            <w:r>
              <w:rPr>
                <w:rFonts w:ascii="Arial" w:cs="Arial" w:eastAsia="Arial" w:hAnsi="Arial"/>
                <w:sz w:val="14"/>
                <w:szCs w:val="14"/>
                <w:color w:val="auto"/>
              </w:rPr>
              <w:t>Greybull Milling</w:t>
            </w:r>
          </w:p>
        </w:tc>
        <w:tc>
          <w:tcPr>
            <w:tcW w:w="900" w:type="dxa"/>
            <w:vAlign w:val="bottom"/>
          </w:tcPr>
          <w:p>
            <w:pPr>
              <w:jc w:val="center"/>
              <w:spacing w:after="0"/>
              <w:rPr>
                <w:sz w:val="20"/>
                <w:szCs w:val="20"/>
                <w:color w:val="auto"/>
              </w:rPr>
            </w:pPr>
            <w:r>
              <w:rPr>
                <w:rFonts w:ascii="Arial" w:cs="Arial" w:eastAsia="Arial" w:hAnsi="Arial"/>
                <w:sz w:val="14"/>
                <w:szCs w:val="14"/>
                <w:color w:val="auto"/>
              </w:rPr>
              <w:t>─</w:t>
            </w:r>
          </w:p>
        </w:tc>
        <w:tc>
          <w:tcPr>
            <w:tcW w:w="640" w:type="dxa"/>
            <w:vAlign w:val="bottom"/>
          </w:tcPr>
          <w:p>
            <w:pPr>
              <w:jc w:val="center"/>
              <w:spacing w:after="0"/>
              <w:rPr>
                <w:sz w:val="20"/>
                <w:szCs w:val="20"/>
                <w:color w:val="auto"/>
              </w:rPr>
            </w:pPr>
            <w:r>
              <w:rPr>
                <w:rFonts w:ascii="Arial" w:cs="Arial" w:eastAsia="Arial" w:hAnsi="Arial"/>
                <w:sz w:val="14"/>
                <w:szCs w:val="14"/>
                <w:color w:val="auto"/>
              </w:rPr>
              <w:t>─</w:t>
            </w:r>
          </w:p>
        </w:tc>
        <w:tc>
          <w:tcPr>
            <w:tcW w:w="740" w:type="dxa"/>
            <w:vAlign w:val="bottom"/>
          </w:tcPr>
          <w:p>
            <w:pPr>
              <w:jc w:val="center"/>
              <w:spacing w:after="0"/>
              <w:rPr>
                <w:sz w:val="20"/>
                <w:szCs w:val="20"/>
                <w:color w:val="auto"/>
              </w:rPr>
            </w:pPr>
            <w:r>
              <w:rPr>
                <w:rFonts w:ascii="Arial" w:cs="Arial" w:eastAsia="Arial" w:hAnsi="Arial"/>
                <w:sz w:val="14"/>
                <w:szCs w:val="14"/>
                <w:color w:val="auto"/>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620" w:type="dxa"/>
            <w:vAlign w:val="bottom"/>
          </w:tcPr>
          <w:p>
            <w:pPr>
              <w:jc w:val="center"/>
              <w:spacing w:after="0"/>
              <w:rPr>
                <w:sz w:val="20"/>
                <w:szCs w:val="20"/>
                <w:color w:val="auto"/>
              </w:rPr>
            </w:pPr>
            <w:r>
              <w:rPr>
                <w:rFonts w:ascii="Arial" w:cs="Arial" w:eastAsia="Arial" w:hAnsi="Arial"/>
                <w:sz w:val="14"/>
                <w:szCs w:val="14"/>
                <w:color w:val="auto"/>
              </w:rPr>
              <w:t>─</w:t>
            </w:r>
          </w:p>
        </w:tc>
        <w:tc>
          <w:tcPr>
            <w:tcW w:w="1060" w:type="dxa"/>
            <w:vAlign w:val="bottom"/>
          </w:tcPr>
          <w:p>
            <w:pPr>
              <w:jc w:val="center"/>
              <w:spacing w:after="0"/>
              <w:rPr>
                <w:sz w:val="20"/>
                <w:szCs w:val="20"/>
                <w:color w:val="auto"/>
              </w:rPr>
            </w:pPr>
            <w:r>
              <w:rPr>
                <w:rFonts w:ascii="Arial" w:cs="Arial" w:eastAsia="Arial" w:hAnsi="Arial"/>
                <w:sz w:val="14"/>
                <w:szCs w:val="14"/>
                <w:color w:val="auto"/>
              </w:rPr>
              <w:t>─</w:t>
            </w:r>
          </w:p>
        </w:tc>
        <w:tc>
          <w:tcPr>
            <w:tcW w:w="720" w:type="dxa"/>
            <w:vAlign w:val="bottom"/>
          </w:tcPr>
          <w:p>
            <w:pPr>
              <w:jc w:val="center"/>
              <w:spacing w:after="0"/>
              <w:rPr>
                <w:sz w:val="20"/>
                <w:szCs w:val="20"/>
                <w:color w:val="auto"/>
              </w:rPr>
            </w:pPr>
            <w:r>
              <w:rPr>
                <w:rFonts w:ascii="Arial" w:cs="Arial" w:eastAsia="Arial" w:hAnsi="Arial"/>
                <w:sz w:val="14"/>
                <w:szCs w:val="14"/>
                <w:color w:val="auto"/>
              </w:rPr>
              <w:t>─</w:t>
            </w:r>
          </w:p>
        </w:tc>
        <w:tc>
          <w:tcPr>
            <w:tcW w:w="780" w:type="dxa"/>
            <w:vAlign w:val="bottom"/>
          </w:tcPr>
          <w:p>
            <w:pPr>
              <w:jc w:val="center"/>
              <w:spacing w:after="0"/>
              <w:rPr>
                <w:sz w:val="20"/>
                <w:szCs w:val="20"/>
                <w:color w:val="auto"/>
              </w:rPr>
            </w:pPr>
            <w:r>
              <w:rPr>
                <w:rFonts w:ascii="Arial" w:cs="Arial" w:eastAsia="Arial" w:hAnsi="Arial"/>
                <w:sz w:val="14"/>
                <w:szCs w:val="14"/>
                <w:color w:val="auto"/>
                <w:w w:val="98"/>
              </w:rPr>
              <w:t>N</w:t>
            </w:r>
          </w:p>
        </w:tc>
        <w:tc>
          <w:tcPr>
            <w:tcW w:w="840" w:type="dxa"/>
            <w:vAlign w:val="bottom"/>
          </w:tcPr>
          <w:p>
            <w:pPr>
              <w:jc w:val="center"/>
              <w:spacing w:after="0"/>
              <w:rPr>
                <w:sz w:val="20"/>
                <w:szCs w:val="20"/>
                <w:color w:val="auto"/>
              </w:rPr>
            </w:pPr>
            <w:r>
              <w:rPr>
                <w:rFonts w:ascii="Arial" w:cs="Arial" w:eastAsia="Arial" w:hAnsi="Arial"/>
                <w:sz w:val="14"/>
                <w:szCs w:val="14"/>
                <w:color w:val="auto"/>
                <w:w w:val="98"/>
              </w:rPr>
              <w:t>N</w:t>
            </w:r>
          </w:p>
        </w:tc>
        <w:tc>
          <w:tcPr>
            <w:tcW w:w="840" w:type="dxa"/>
            <w:vAlign w:val="bottom"/>
          </w:tcPr>
          <w:p>
            <w:pPr>
              <w:jc w:val="center"/>
              <w:spacing w:after="0"/>
              <w:rPr>
                <w:sz w:val="20"/>
                <w:szCs w:val="20"/>
                <w:color w:val="auto"/>
              </w:rPr>
            </w:pPr>
            <w:r>
              <w:rPr>
                <w:rFonts w:ascii="Arial" w:cs="Arial" w:eastAsia="Arial" w:hAnsi="Arial"/>
                <w:sz w:val="14"/>
                <w:szCs w:val="14"/>
                <w:color w:val="auto"/>
              </w:rPr>
              <w:t>─</w:t>
            </w:r>
          </w:p>
        </w:tc>
        <w:tc>
          <w:tcPr>
            <w:tcW w:w="660" w:type="dxa"/>
            <w:vAlign w:val="bottom"/>
          </w:tcPr>
          <w:p>
            <w:pPr>
              <w:jc w:val="center"/>
              <w:spacing w:after="0"/>
              <w:rPr>
                <w:sz w:val="20"/>
                <w:szCs w:val="20"/>
                <w:color w:val="auto"/>
              </w:rPr>
            </w:pPr>
            <w:r>
              <w:rPr>
                <w:rFonts w:ascii="Arial" w:cs="Arial" w:eastAsia="Arial" w:hAnsi="Arial"/>
                <w:sz w:val="14"/>
                <w:szCs w:val="14"/>
                <w:color w:val="auto"/>
              </w:rPr>
              <w:t>─</w:t>
            </w:r>
          </w:p>
        </w:tc>
        <w:tc>
          <w:tcPr>
            <w:tcW w:w="620" w:type="dxa"/>
            <w:vAlign w:val="bottom"/>
          </w:tcPr>
          <w:p>
            <w:pPr>
              <w:jc w:val="center"/>
              <w:spacing w:after="0"/>
              <w:rPr>
                <w:sz w:val="20"/>
                <w:szCs w:val="20"/>
                <w:color w:val="auto"/>
              </w:rPr>
            </w:pPr>
            <w:r>
              <w:rPr>
                <w:rFonts w:ascii="Arial" w:cs="Arial" w:eastAsia="Arial" w:hAnsi="Arial"/>
                <w:sz w:val="14"/>
                <w:szCs w:val="14"/>
                <w:color w:val="auto"/>
              </w:rPr>
              <w:t>─</w:t>
            </w:r>
          </w:p>
        </w:tc>
      </w:tr>
      <w:tr>
        <w:trPr>
          <w:trHeight w:val="182"/>
        </w:trPr>
        <w:tc>
          <w:tcPr>
            <w:tcW w:w="2040" w:type="dxa"/>
            <w:vAlign w:val="bottom"/>
          </w:tcPr>
          <w:p>
            <w:pPr>
              <w:ind w:left="20"/>
              <w:spacing w:after="0"/>
              <w:rPr>
                <w:sz w:val="20"/>
                <w:szCs w:val="20"/>
                <w:color w:val="auto"/>
              </w:rPr>
            </w:pPr>
            <w:r>
              <w:rPr>
                <w:rFonts w:ascii="Arial" w:cs="Arial" w:eastAsia="Arial" w:hAnsi="Arial"/>
                <w:sz w:val="14"/>
                <w:szCs w:val="14"/>
                <w:color w:val="auto"/>
              </w:rPr>
              <w:t>Operation/4800602</w:t>
            </w: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358"/>
        </w:trPr>
        <w:tc>
          <w:tcPr>
            <w:tcW w:w="2040" w:type="dxa"/>
            <w:vAlign w:val="bottom"/>
          </w:tcPr>
          <w:p>
            <w:pPr>
              <w:ind w:left="20"/>
              <w:spacing w:after="0"/>
              <w:rPr>
                <w:sz w:val="20"/>
                <w:szCs w:val="20"/>
                <w:color w:val="auto"/>
              </w:rPr>
            </w:pPr>
            <w:r>
              <w:rPr>
                <w:rFonts w:ascii="Arial" w:cs="Arial" w:eastAsia="Arial" w:hAnsi="Arial"/>
                <w:sz w:val="14"/>
                <w:szCs w:val="14"/>
                <w:color w:val="auto"/>
              </w:rPr>
              <w:t>Greybull Mining</w:t>
            </w:r>
          </w:p>
        </w:tc>
        <w:tc>
          <w:tcPr>
            <w:tcW w:w="900" w:type="dxa"/>
            <w:vAlign w:val="bottom"/>
          </w:tcPr>
          <w:p>
            <w:pPr>
              <w:jc w:val="center"/>
              <w:spacing w:after="0"/>
              <w:rPr>
                <w:sz w:val="20"/>
                <w:szCs w:val="20"/>
                <w:color w:val="auto"/>
              </w:rPr>
            </w:pPr>
            <w:r>
              <w:rPr>
                <w:rFonts w:ascii="Arial" w:cs="Arial" w:eastAsia="Arial" w:hAnsi="Arial"/>
                <w:sz w:val="14"/>
                <w:szCs w:val="14"/>
                <w:color w:val="auto"/>
              </w:rPr>
              <w:t>─</w:t>
            </w:r>
          </w:p>
        </w:tc>
        <w:tc>
          <w:tcPr>
            <w:tcW w:w="640" w:type="dxa"/>
            <w:vAlign w:val="bottom"/>
          </w:tcPr>
          <w:p>
            <w:pPr>
              <w:jc w:val="center"/>
              <w:spacing w:after="0"/>
              <w:rPr>
                <w:sz w:val="20"/>
                <w:szCs w:val="20"/>
                <w:color w:val="auto"/>
              </w:rPr>
            </w:pPr>
            <w:r>
              <w:rPr>
                <w:rFonts w:ascii="Arial" w:cs="Arial" w:eastAsia="Arial" w:hAnsi="Arial"/>
                <w:sz w:val="14"/>
                <w:szCs w:val="14"/>
                <w:color w:val="auto"/>
              </w:rPr>
              <w:t>─</w:t>
            </w:r>
          </w:p>
        </w:tc>
        <w:tc>
          <w:tcPr>
            <w:tcW w:w="740" w:type="dxa"/>
            <w:vAlign w:val="bottom"/>
          </w:tcPr>
          <w:p>
            <w:pPr>
              <w:jc w:val="center"/>
              <w:spacing w:after="0"/>
              <w:rPr>
                <w:sz w:val="20"/>
                <w:szCs w:val="20"/>
                <w:color w:val="auto"/>
              </w:rPr>
            </w:pPr>
            <w:r>
              <w:rPr>
                <w:rFonts w:ascii="Arial" w:cs="Arial" w:eastAsia="Arial" w:hAnsi="Arial"/>
                <w:sz w:val="14"/>
                <w:szCs w:val="14"/>
                <w:color w:val="auto"/>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620" w:type="dxa"/>
            <w:vAlign w:val="bottom"/>
          </w:tcPr>
          <w:p>
            <w:pPr>
              <w:jc w:val="center"/>
              <w:spacing w:after="0"/>
              <w:rPr>
                <w:sz w:val="20"/>
                <w:szCs w:val="20"/>
                <w:color w:val="auto"/>
              </w:rPr>
            </w:pPr>
            <w:r>
              <w:rPr>
                <w:rFonts w:ascii="Arial" w:cs="Arial" w:eastAsia="Arial" w:hAnsi="Arial"/>
                <w:sz w:val="14"/>
                <w:szCs w:val="14"/>
                <w:color w:val="auto"/>
              </w:rPr>
              <w:t>─</w:t>
            </w:r>
          </w:p>
        </w:tc>
        <w:tc>
          <w:tcPr>
            <w:tcW w:w="1060" w:type="dxa"/>
            <w:vAlign w:val="bottom"/>
          </w:tcPr>
          <w:p>
            <w:pPr>
              <w:jc w:val="center"/>
              <w:spacing w:after="0"/>
              <w:rPr>
                <w:sz w:val="20"/>
                <w:szCs w:val="20"/>
                <w:color w:val="auto"/>
              </w:rPr>
            </w:pPr>
            <w:r>
              <w:rPr>
                <w:rFonts w:ascii="Arial" w:cs="Arial" w:eastAsia="Arial" w:hAnsi="Arial"/>
                <w:sz w:val="14"/>
                <w:szCs w:val="14"/>
                <w:color w:val="auto"/>
              </w:rPr>
              <w:t>─</w:t>
            </w:r>
          </w:p>
        </w:tc>
        <w:tc>
          <w:tcPr>
            <w:tcW w:w="720" w:type="dxa"/>
            <w:vAlign w:val="bottom"/>
          </w:tcPr>
          <w:p>
            <w:pPr>
              <w:jc w:val="center"/>
              <w:spacing w:after="0"/>
              <w:rPr>
                <w:sz w:val="20"/>
                <w:szCs w:val="20"/>
                <w:color w:val="auto"/>
              </w:rPr>
            </w:pPr>
            <w:r>
              <w:rPr>
                <w:rFonts w:ascii="Arial" w:cs="Arial" w:eastAsia="Arial" w:hAnsi="Arial"/>
                <w:sz w:val="14"/>
                <w:szCs w:val="14"/>
                <w:color w:val="auto"/>
              </w:rPr>
              <w:t>─</w:t>
            </w:r>
          </w:p>
        </w:tc>
        <w:tc>
          <w:tcPr>
            <w:tcW w:w="780" w:type="dxa"/>
            <w:vAlign w:val="bottom"/>
          </w:tcPr>
          <w:p>
            <w:pPr>
              <w:jc w:val="center"/>
              <w:spacing w:after="0"/>
              <w:rPr>
                <w:sz w:val="20"/>
                <w:szCs w:val="20"/>
                <w:color w:val="auto"/>
              </w:rPr>
            </w:pPr>
            <w:r>
              <w:rPr>
                <w:rFonts w:ascii="Arial" w:cs="Arial" w:eastAsia="Arial" w:hAnsi="Arial"/>
                <w:sz w:val="14"/>
                <w:szCs w:val="14"/>
                <w:color w:val="auto"/>
                <w:w w:val="98"/>
              </w:rPr>
              <w:t>N</w:t>
            </w:r>
          </w:p>
        </w:tc>
        <w:tc>
          <w:tcPr>
            <w:tcW w:w="840" w:type="dxa"/>
            <w:vAlign w:val="bottom"/>
          </w:tcPr>
          <w:p>
            <w:pPr>
              <w:jc w:val="center"/>
              <w:spacing w:after="0"/>
              <w:rPr>
                <w:sz w:val="20"/>
                <w:szCs w:val="20"/>
                <w:color w:val="auto"/>
              </w:rPr>
            </w:pPr>
            <w:r>
              <w:rPr>
                <w:rFonts w:ascii="Arial" w:cs="Arial" w:eastAsia="Arial" w:hAnsi="Arial"/>
                <w:sz w:val="14"/>
                <w:szCs w:val="14"/>
                <w:color w:val="auto"/>
                <w:w w:val="98"/>
              </w:rPr>
              <w:t>N</w:t>
            </w:r>
          </w:p>
        </w:tc>
        <w:tc>
          <w:tcPr>
            <w:tcW w:w="840" w:type="dxa"/>
            <w:vAlign w:val="bottom"/>
          </w:tcPr>
          <w:p>
            <w:pPr>
              <w:jc w:val="center"/>
              <w:spacing w:after="0"/>
              <w:rPr>
                <w:sz w:val="20"/>
                <w:szCs w:val="20"/>
                <w:color w:val="auto"/>
              </w:rPr>
            </w:pPr>
            <w:r>
              <w:rPr>
                <w:rFonts w:ascii="Arial" w:cs="Arial" w:eastAsia="Arial" w:hAnsi="Arial"/>
                <w:sz w:val="14"/>
                <w:szCs w:val="14"/>
                <w:color w:val="auto"/>
              </w:rPr>
              <w:t>─</w:t>
            </w:r>
          </w:p>
        </w:tc>
        <w:tc>
          <w:tcPr>
            <w:tcW w:w="660" w:type="dxa"/>
            <w:vAlign w:val="bottom"/>
          </w:tcPr>
          <w:p>
            <w:pPr>
              <w:jc w:val="center"/>
              <w:spacing w:after="0"/>
              <w:rPr>
                <w:sz w:val="20"/>
                <w:szCs w:val="20"/>
                <w:color w:val="auto"/>
              </w:rPr>
            </w:pPr>
            <w:r>
              <w:rPr>
                <w:rFonts w:ascii="Arial" w:cs="Arial" w:eastAsia="Arial" w:hAnsi="Arial"/>
                <w:sz w:val="14"/>
                <w:szCs w:val="14"/>
                <w:color w:val="auto"/>
              </w:rPr>
              <w:t>─</w:t>
            </w:r>
          </w:p>
        </w:tc>
        <w:tc>
          <w:tcPr>
            <w:tcW w:w="620" w:type="dxa"/>
            <w:vAlign w:val="bottom"/>
          </w:tcPr>
          <w:p>
            <w:pPr>
              <w:jc w:val="center"/>
              <w:spacing w:after="0"/>
              <w:rPr>
                <w:sz w:val="20"/>
                <w:szCs w:val="20"/>
                <w:color w:val="auto"/>
              </w:rPr>
            </w:pPr>
            <w:r>
              <w:rPr>
                <w:rFonts w:ascii="Arial" w:cs="Arial" w:eastAsia="Arial" w:hAnsi="Arial"/>
                <w:sz w:val="14"/>
                <w:szCs w:val="14"/>
                <w:color w:val="auto"/>
              </w:rPr>
              <w:t>─</w:t>
            </w:r>
          </w:p>
        </w:tc>
      </w:tr>
      <w:tr>
        <w:trPr>
          <w:trHeight w:val="182"/>
        </w:trPr>
        <w:tc>
          <w:tcPr>
            <w:tcW w:w="2040" w:type="dxa"/>
            <w:vAlign w:val="bottom"/>
          </w:tcPr>
          <w:p>
            <w:pPr>
              <w:ind w:left="20"/>
              <w:spacing w:after="0"/>
              <w:rPr>
                <w:sz w:val="20"/>
                <w:szCs w:val="20"/>
                <w:color w:val="auto"/>
              </w:rPr>
            </w:pPr>
            <w:r>
              <w:rPr>
                <w:rFonts w:ascii="Arial" w:cs="Arial" w:eastAsia="Arial" w:hAnsi="Arial"/>
                <w:sz w:val="14"/>
                <w:szCs w:val="14"/>
                <w:color w:val="auto"/>
              </w:rPr>
              <w:t>Operation/4800603</w:t>
            </w: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378"/>
        </w:trPr>
        <w:tc>
          <w:tcPr>
            <w:tcW w:w="2040" w:type="dxa"/>
            <w:vAlign w:val="bottom"/>
          </w:tcPr>
          <w:p>
            <w:pPr>
              <w:ind w:left="20"/>
              <w:spacing w:after="0"/>
              <w:rPr>
                <w:sz w:val="20"/>
                <w:szCs w:val="20"/>
                <w:color w:val="auto"/>
              </w:rPr>
            </w:pPr>
            <w:r>
              <w:rPr>
                <w:rFonts w:ascii="Arial" w:cs="Arial" w:eastAsia="Arial" w:hAnsi="Arial"/>
                <w:sz w:val="14"/>
                <w:szCs w:val="14"/>
                <w:color w:val="auto"/>
              </w:rPr>
              <w:t>Greystone Mine/2600411</w:t>
            </w:r>
          </w:p>
        </w:tc>
        <w:tc>
          <w:tcPr>
            <w:tcW w:w="900" w:type="dxa"/>
            <w:vAlign w:val="bottom"/>
          </w:tcPr>
          <w:p>
            <w:pPr>
              <w:jc w:val="center"/>
              <w:spacing w:after="0"/>
              <w:rPr>
                <w:sz w:val="20"/>
                <w:szCs w:val="20"/>
                <w:color w:val="auto"/>
              </w:rPr>
            </w:pPr>
            <w:r>
              <w:rPr>
                <w:rFonts w:ascii="Arial" w:cs="Arial" w:eastAsia="Arial" w:hAnsi="Arial"/>
                <w:sz w:val="14"/>
                <w:szCs w:val="14"/>
                <w:color w:val="auto"/>
              </w:rPr>
              <w:t>─</w:t>
            </w:r>
          </w:p>
        </w:tc>
        <w:tc>
          <w:tcPr>
            <w:tcW w:w="640" w:type="dxa"/>
            <w:vAlign w:val="bottom"/>
          </w:tcPr>
          <w:p>
            <w:pPr>
              <w:jc w:val="center"/>
              <w:spacing w:after="0"/>
              <w:rPr>
                <w:sz w:val="20"/>
                <w:szCs w:val="20"/>
                <w:color w:val="auto"/>
              </w:rPr>
            </w:pPr>
            <w:r>
              <w:rPr>
                <w:rFonts w:ascii="Arial" w:cs="Arial" w:eastAsia="Arial" w:hAnsi="Arial"/>
                <w:sz w:val="14"/>
                <w:szCs w:val="14"/>
                <w:color w:val="auto"/>
              </w:rPr>
              <w:t>─</w:t>
            </w:r>
          </w:p>
        </w:tc>
        <w:tc>
          <w:tcPr>
            <w:tcW w:w="740" w:type="dxa"/>
            <w:vAlign w:val="bottom"/>
          </w:tcPr>
          <w:p>
            <w:pPr>
              <w:jc w:val="center"/>
              <w:spacing w:after="0"/>
              <w:rPr>
                <w:sz w:val="20"/>
                <w:szCs w:val="20"/>
                <w:color w:val="auto"/>
              </w:rPr>
            </w:pPr>
            <w:r>
              <w:rPr>
                <w:rFonts w:ascii="Arial" w:cs="Arial" w:eastAsia="Arial" w:hAnsi="Arial"/>
                <w:sz w:val="14"/>
                <w:szCs w:val="14"/>
                <w:color w:val="auto"/>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620" w:type="dxa"/>
            <w:vAlign w:val="bottom"/>
          </w:tcPr>
          <w:p>
            <w:pPr>
              <w:jc w:val="center"/>
              <w:spacing w:after="0"/>
              <w:rPr>
                <w:sz w:val="20"/>
                <w:szCs w:val="20"/>
                <w:color w:val="auto"/>
              </w:rPr>
            </w:pPr>
            <w:r>
              <w:rPr>
                <w:rFonts w:ascii="Arial" w:cs="Arial" w:eastAsia="Arial" w:hAnsi="Arial"/>
                <w:sz w:val="14"/>
                <w:szCs w:val="14"/>
                <w:color w:val="auto"/>
              </w:rPr>
              <w:t>─</w:t>
            </w:r>
          </w:p>
        </w:tc>
        <w:tc>
          <w:tcPr>
            <w:tcW w:w="1060" w:type="dxa"/>
            <w:vAlign w:val="bottom"/>
          </w:tcPr>
          <w:p>
            <w:pPr>
              <w:jc w:val="center"/>
              <w:spacing w:after="0"/>
              <w:rPr>
                <w:sz w:val="20"/>
                <w:szCs w:val="20"/>
                <w:color w:val="auto"/>
              </w:rPr>
            </w:pPr>
            <w:r>
              <w:rPr>
                <w:rFonts w:ascii="Arial" w:cs="Arial" w:eastAsia="Arial" w:hAnsi="Arial"/>
                <w:sz w:val="14"/>
                <w:szCs w:val="14"/>
                <w:color w:val="auto"/>
              </w:rPr>
              <w:t>─</w:t>
            </w:r>
          </w:p>
        </w:tc>
        <w:tc>
          <w:tcPr>
            <w:tcW w:w="720" w:type="dxa"/>
            <w:vAlign w:val="bottom"/>
          </w:tcPr>
          <w:p>
            <w:pPr>
              <w:jc w:val="center"/>
              <w:spacing w:after="0"/>
              <w:rPr>
                <w:sz w:val="20"/>
                <w:szCs w:val="20"/>
                <w:color w:val="auto"/>
              </w:rPr>
            </w:pPr>
            <w:r>
              <w:rPr>
                <w:rFonts w:ascii="Arial" w:cs="Arial" w:eastAsia="Arial" w:hAnsi="Arial"/>
                <w:sz w:val="14"/>
                <w:szCs w:val="14"/>
                <w:color w:val="auto"/>
              </w:rPr>
              <w:t>─</w:t>
            </w:r>
          </w:p>
        </w:tc>
        <w:tc>
          <w:tcPr>
            <w:tcW w:w="780" w:type="dxa"/>
            <w:vAlign w:val="bottom"/>
          </w:tcPr>
          <w:p>
            <w:pPr>
              <w:jc w:val="center"/>
              <w:spacing w:after="0"/>
              <w:rPr>
                <w:sz w:val="20"/>
                <w:szCs w:val="20"/>
                <w:color w:val="auto"/>
              </w:rPr>
            </w:pPr>
            <w:r>
              <w:rPr>
                <w:rFonts w:ascii="Arial" w:cs="Arial" w:eastAsia="Arial" w:hAnsi="Arial"/>
                <w:sz w:val="14"/>
                <w:szCs w:val="14"/>
                <w:color w:val="auto"/>
                <w:w w:val="98"/>
              </w:rPr>
              <w:t>N</w:t>
            </w:r>
          </w:p>
        </w:tc>
        <w:tc>
          <w:tcPr>
            <w:tcW w:w="840" w:type="dxa"/>
            <w:vAlign w:val="bottom"/>
          </w:tcPr>
          <w:p>
            <w:pPr>
              <w:jc w:val="center"/>
              <w:spacing w:after="0"/>
              <w:rPr>
                <w:sz w:val="20"/>
                <w:szCs w:val="20"/>
                <w:color w:val="auto"/>
              </w:rPr>
            </w:pPr>
            <w:r>
              <w:rPr>
                <w:rFonts w:ascii="Arial" w:cs="Arial" w:eastAsia="Arial" w:hAnsi="Arial"/>
                <w:sz w:val="14"/>
                <w:szCs w:val="14"/>
                <w:color w:val="auto"/>
                <w:w w:val="98"/>
              </w:rPr>
              <w:t>N</w:t>
            </w:r>
          </w:p>
        </w:tc>
        <w:tc>
          <w:tcPr>
            <w:tcW w:w="840" w:type="dxa"/>
            <w:vAlign w:val="bottom"/>
          </w:tcPr>
          <w:p>
            <w:pPr>
              <w:jc w:val="center"/>
              <w:spacing w:after="0"/>
              <w:rPr>
                <w:sz w:val="20"/>
                <w:szCs w:val="20"/>
                <w:color w:val="auto"/>
              </w:rPr>
            </w:pPr>
            <w:r>
              <w:rPr>
                <w:rFonts w:ascii="Arial" w:cs="Arial" w:eastAsia="Arial" w:hAnsi="Arial"/>
                <w:sz w:val="14"/>
                <w:szCs w:val="14"/>
                <w:color w:val="auto"/>
              </w:rPr>
              <w:t>─</w:t>
            </w:r>
          </w:p>
        </w:tc>
        <w:tc>
          <w:tcPr>
            <w:tcW w:w="660" w:type="dxa"/>
            <w:vAlign w:val="bottom"/>
          </w:tcPr>
          <w:p>
            <w:pPr>
              <w:jc w:val="center"/>
              <w:spacing w:after="0"/>
              <w:rPr>
                <w:sz w:val="20"/>
                <w:szCs w:val="20"/>
                <w:color w:val="auto"/>
              </w:rPr>
            </w:pPr>
            <w:r>
              <w:rPr>
                <w:rFonts w:ascii="Arial" w:cs="Arial" w:eastAsia="Arial" w:hAnsi="Arial"/>
                <w:sz w:val="14"/>
                <w:szCs w:val="14"/>
                <w:color w:val="auto"/>
              </w:rPr>
              <w:t>─</w:t>
            </w:r>
          </w:p>
        </w:tc>
        <w:tc>
          <w:tcPr>
            <w:tcW w:w="620" w:type="dxa"/>
            <w:vAlign w:val="bottom"/>
          </w:tcPr>
          <w:p>
            <w:pPr>
              <w:jc w:val="center"/>
              <w:spacing w:after="0"/>
              <w:rPr>
                <w:sz w:val="20"/>
                <w:szCs w:val="20"/>
                <w:color w:val="auto"/>
              </w:rPr>
            </w:pPr>
            <w:r>
              <w:rPr>
                <w:rFonts w:ascii="Arial" w:cs="Arial" w:eastAsia="Arial" w:hAnsi="Arial"/>
                <w:sz w:val="14"/>
                <w:szCs w:val="14"/>
                <w:color w:val="auto"/>
              </w:rPr>
              <w:t>─</w:t>
            </w:r>
          </w:p>
        </w:tc>
      </w:tr>
      <w:tr>
        <w:trPr>
          <w:trHeight w:val="358"/>
        </w:trPr>
        <w:tc>
          <w:tcPr>
            <w:tcW w:w="2040" w:type="dxa"/>
            <w:vAlign w:val="bottom"/>
          </w:tcPr>
          <w:p>
            <w:pPr>
              <w:ind w:left="20"/>
              <w:spacing w:after="0"/>
              <w:rPr>
                <w:sz w:val="20"/>
                <w:szCs w:val="20"/>
                <w:color w:val="auto"/>
              </w:rPr>
            </w:pPr>
            <w:r>
              <w:rPr>
                <w:rFonts w:ascii="Arial" w:cs="Arial" w:eastAsia="Arial" w:hAnsi="Arial"/>
                <w:sz w:val="14"/>
                <w:szCs w:val="14"/>
                <w:color w:val="auto"/>
              </w:rPr>
              <w:t>Mountain Springs Beneficiation</w:t>
            </w:r>
          </w:p>
        </w:tc>
        <w:tc>
          <w:tcPr>
            <w:tcW w:w="900" w:type="dxa"/>
            <w:vAlign w:val="bottom"/>
          </w:tcPr>
          <w:p>
            <w:pPr>
              <w:jc w:val="center"/>
              <w:spacing w:after="0"/>
              <w:rPr>
                <w:sz w:val="20"/>
                <w:szCs w:val="20"/>
                <w:color w:val="auto"/>
              </w:rPr>
            </w:pPr>
            <w:r>
              <w:rPr>
                <w:rFonts w:ascii="Arial" w:cs="Arial" w:eastAsia="Arial" w:hAnsi="Arial"/>
                <w:sz w:val="14"/>
                <w:szCs w:val="14"/>
                <w:color w:val="auto"/>
              </w:rPr>
              <w:t>─</w:t>
            </w:r>
          </w:p>
        </w:tc>
        <w:tc>
          <w:tcPr>
            <w:tcW w:w="640" w:type="dxa"/>
            <w:vAlign w:val="bottom"/>
          </w:tcPr>
          <w:p>
            <w:pPr>
              <w:jc w:val="center"/>
              <w:spacing w:after="0"/>
              <w:rPr>
                <w:sz w:val="20"/>
                <w:szCs w:val="20"/>
                <w:color w:val="auto"/>
              </w:rPr>
            </w:pPr>
            <w:r>
              <w:rPr>
                <w:rFonts w:ascii="Arial" w:cs="Arial" w:eastAsia="Arial" w:hAnsi="Arial"/>
                <w:sz w:val="14"/>
                <w:szCs w:val="14"/>
                <w:color w:val="auto"/>
              </w:rPr>
              <w:t>─</w:t>
            </w:r>
          </w:p>
        </w:tc>
        <w:tc>
          <w:tcPr>
            <w:tcW w:w="740" w:type="dxa"/>
            <w:vAlign w:val="bottom"/>
          </w:tcPr>
          <w:p>
            <w:pPr>
              <w:jc w:val="center"/>
              <w:spacing w:after="0"/>
              <w:rPr>
                <w:sz w:val="20"/>
                <w:szCs w:val="20"/>
                <w:color w:val="auto"/>
              </w:rPr>
            </w:pPr>
            <w:r>
              <w:rPr>
                <w:rFonts w:ascii="Arial" w:cs="Arial" w:eastAsia="Arial" w:hAnsi="Arial"/>
                <w:sz w:val="14"/>
                <w:szCs w:val="14"/>
                <w:color w:val="auto"/>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620" w:type="dxa"/>
            <w:vAlign w:val="bottom"/>
          </w:tcPr>
          <w:p>
            <w:pPr>
              <w:jc w:val="center"/>
              <w:spacing w:after="0"/>
              <w:rPr>
                <w:sz w:val="20"/>
                <w:szCs w:val="20"/>
                <w:color w:val="auto"/>
              </w:rPr>
            </w:pPr>
            <w:r>
              <w:rPr>
                <w:rFonts w:ascii="Arial" w:cs="Arial" w:eastAsia="Arial" w:hAnsi="Arial"/>
                <w:sz w:val="14"/>
                <w:szCs w:val="14"/>
                <w:color w:val="auto"/>
              </w:rPr>
              <w:t>─</w:t>
            </w:r>
          </w:p>
        </w:tc>
        <w:tc>
          <w:tcPr>
            <w:tcW w:w="1060" w:type="dxa"/>
            <w:vAlign w:val="bottom"/>
          </w:tcPr>
          <w:p>
            <w:pPr>
              <w:jc w:val="center"/>
              <w:spacing w:after="0"/>
              <w:rPr>
                <w:sz w:val="20"/>
                <w:szCs w:val="20"/>
                <w:color w:val="auto"/>
              </w:rPr>
            </w:pPr>
            <w:r>
              <w:rPr>
                <w:rFonts w:ascii="Arial" w:cs="Arial" w:eastAsia="Arial" w:hAnsi="Arial"/>
                <w:sz w:val="14"/>
                <w:szCs w:val="14"/>
                <w:color w:val="auto"/>
              </w:rPr>
              <w:t>─</w:t>
            </w:r>
          </w:p>
        </w:tc>
        <w:tc>
          <w:tcPr>
            <w:tcW w:w="720" w:type="dxa"/>
            <w:vAlign w:val="bottom"/>
          </w:tcPr>
          <w:p>
            <w:pPr>
              <w:jc w:val="center"/>
              <w:spacing w:after="0"/>
              <w:rPr>
                <w:sz w:val="20"/>
                <w:szCs w:val="20"/>
                <w:color w:val="auto"/>
              </w:rPr>
            </w:pPr>
            <w:r>
              <w:rPr>
                <w:rFonts w:ascii="Arial" w:cs="Arial" w:eastAsia="Arial" w:hAnsi="Arial"/>
                <w:sz w:val="14"/>
                <w:szCs w:val="14"/>
                <w:color w:val="auto"/>
              </w:rPr>
              <w:t>─</w:t>
            </w:r>
          </w:p>
        </w:tc>
        <w:tc>
          <w:tcPr>
            <w:tcW w:w="780" w:type="dxa"/>
            <w:vAlign w:val="bottom"/>
          </w:tcPr>
          <w:p>
            <w:pPr>
              <w:jc w:val="center"/>
              <w:spacing w:after="0"/>
              <w:rPr>
                <w:sz w:val="20"/>
                <w:szCs w:val="20"/>
                <w:color w:val="auto"/>
              </w:rPr>
            </w:pPr>
            <w:r>
              <w:rPr>
                <w:rFonts w:ascii="Arial" w:cs="Arial" w:eastAsia="Arial" w:hAnsi="Arial"/>
                <w:sz w:val="14"/>
                <w:szCs w:val="14"/>
                <w:color w:val="auto"/>
                <w:w w:val="98"/>
              </w:rPr>
              <w:t>N</w:t>
            </w:r>
          </w:p>
        </w:tc>
        <w:tc>
          <w:tcPr>
            <w:tcW w:w="840" w:type="dxa"/>
            <w:vAlign w:val="bottom"/>
          </w:tcPr>
          <w:p>
            <w:pPr>
              <w:jc w:val="center"/>
              <w:spacing w:after="0"/>
              <w:rPr>
                <w:sz w:val="20"/>
                <w:szCs w:val="20"/>
                <w:color w:val="auto"/>
              </w:rPr>
            </w:pPr>
            <w:r>
              <w:rPr>
                <w:rFonts w:ascii="Arial" w:cs="Arial" w:eastAsia="Arial" w:hAnsi="Arial"/>
                <w:sz w:val="14"/>
                <w:szCs w:val="14"/>
                <w:color w:val="auto"/>
                <w:w w:val="98"/>
              </w:rPr>
              <w:t>N</w:t>
            </w:r>
          </w:p>
        </w:tc>
        <w:tc>
          <w:tcPr>
            <w:tcW w:w="840" w:type="dxa"/>
            <w:vAlign w:val="bottom"/>
          </w:tcPr>
          <w:p>
            <w:pPr>
              <w:jc w:val="center"/>
              <w:spacing w:after="0"/>
              <w:rPr>
                <w:sz w:val="20"/>
                <w:szCs w:val="20"/>
                <w:color w:val="auto"/>
              </w:rPr>
            </w:pPr>
            <w:r>
              <w:rPr>
                <w:rFonts w:ascii="Arial" w:cs="Arial" w:eastAsia="Arial" w:hAnsi="Arial"/>
                <w:sz w:val="14"/>
                <w:szCs w:val="14"/>
                <w:color w:val="auto"/>
              </w:rPr>
              <w:t>─</w:t>
            </w:r>
          </w:p>
        </w:tc>
        <w:tc>
          <w:tcPr>
            <w:tcW w:w="660" w:type="dxa"/>
            <w:vAlign w:val="bottom"/>
          </w:tcPr>
          <w:p>
            <w:pPr>
              <w:jc w:val="center"/>
              <w:spacing w:after="0"/>
              <w:rPr>
                <w:sz w:val="20"/>
                <w:szCs w:val="20"/>
                <w:color w:val="auto"/>
              </w:rPr>
            </w:pPr>
            <w:r>
              <w:rPr>
                <w:rFonts w:ascii="Arial" w:cs="Arial" w:eastAsia="Arial" w:hAnsi="Arial"/>
                <w:sz w:val="14"/>
                <w:szCs w:val="14"/>
                <w:color w:val="auto"/>
              </w:rPr>
              <w:t>─</w:t>
            </w:r>
          </w:p>
        </w:tc>
        <w:tc>
          <w:tcPr>
            <w:tcW w:w="620" w:type="dxa"/>
            <w:vAlign w:val="bottom"/>
          </w:tcPr>
          <w:p>
            <w:pPr>
              <w:jc w:val="center"/>
              <w:spacing w:after="0"/>
              <w:rPr>
                <w:sz w:val="20"/>
                <w:szCs w:val="20"/>
                <w:color w:val="auto"/>
              </w:rPr>
            </w:pPr>
            <w:r>
              <w:rPr>
                <w:rFonts w:ascii="Arial" w:cs="Arial" w:eastAsia="Arial" w:hAnsi="Arial"/>
                <w:sz w:val="14"/>
                <w:szCs w:val="14"/>
                <w:color w:val="auto"/>
              </w:rPr>
              <w:t>─</w:t>
            </w:r>
          </w:p>
        </w:tc>
      </w:tr>
      <w:tr>
        <w:trPr>
          <w:trHeight w:val="182"/>
        </w:trPr>
        <w:tc>
          <w:tcPr>
            <w:tcW w:w="2040" w:type="dxa"/>
            <w:vAlign w:val="bottom"/>
          </w:tcPr>
          <w:p>
            <w:pPr>
              <w:ind w:left="20"/>
              <w:spacing w:after="0"/>
              <w:rPr>
                <w:sz w:val="20"/>
                <w:szCs w:val="20"/>
                <w:color w:val="auto"/>
              </w:rPr>
            </w:pPr>
            <w:r>
              <w:rPr>
                <w:rFonts w:ascii="Arial" w:cs="Arial" w:eastAsia="Arial" w:hAnsi="Arial"/>
                <w:sz w:val="14"/>
                <w:szCs w:val="14"/>
                <w:color w:val="auto"/>
              </w:rPr>
              <w:t>Plant/2601390</w:t>
            </w: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r>
    </w:tbl>
    <w:p>
      <w:pPr>
        <w:spacing w:after="0" w:line="290" w:lineRule="exact"/>
        <w:rPr>
          <w:sz w:val="20"/>
          <w:szCs w:val="20"/>
          <w:color w:val="auto"/>
        </w:rPr>
      </w:pPr>
    </w:p>
    <w:p>
      <w:pPr>
        <w:ind w:left="1020" w:right="180" w:hanging="503"/>
        <w:spacing w:after="0" w:line="252" w:lineRule="auto"/>
        <w:tabs>
          <w:tab w:leader="none" w:pos="10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Amounts included are the total dollar value of proposed assessments received from MSHA on or before June 30, 2023, regardless of whether the assessment has been challenged or appealed, for citations and orders occurring during the quarter ended June 30, 2023. Citations and orders can be contested and appealed, and as part of that process, are sometimes reduced in severity and amount, and sometimes dismissed. The number of citations, orders, and proposed assessments vary by inspector and vary depending on the size and type of the operation.</w:t>
      </w:r>
    </w:p>
    <w:p>
      <w:pPr>
        <w:spacing w:after="0" w:line="79" w:lineRule="exact"/>
        <w:rPr>
          <w:rFonts w:ascii="Arial" w:cs="Arial" w:eastAsia="Arial" w:hAnsi="Arial"/>
          <w:sz w:val="14"/>
          <w:szCs w:val="14"/>
          <w:color w:val="auto"/>
        </w:rPr>
      </w:pPr>
    </w:p>
    <w:p>
      <w:pPr>
        <w:ind w:left="1020" w:hanging="503"/>
        <w:spacing w:after="0"/>
        <w:tabs>
          <w:tab w:leader="none" w:pos="10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As of June 30, 2023, MSHA had not yet proposed an assessment for one non-S&amp;S citation at Amelia Barite Plant/1600825.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454025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6" w:name="page37"/>
    <w:bookmarkEnd w:id="3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1."/>
      <w:numFmt w:val="decimal"/>
      <w:start w:val="2"/>
    </w:lvl>
  </w:abstractNum>
  <w:abstractNum w:abstractNumId="5">
    <w:nsid w:val="4E6AFB66"/>
    <w:multiLevelType w:val="hybridMultilevel"/>
    <w:lvl w:ilvl="0">
      <w:lvlJc w:val="left"/>
      <w:lvlText w:val="%1."/>
      <w:numFmt w:val="decimal"/>
      <w:start w:val="3"/>
    </w:lvl>
  </w:abstractNum>
  <w:abstractNum w:abstractNumId="6">
    <w:nsid w:val="25E45D32"/>
    <w:multiLevelType w:val="hybridMultilevel"/>
    <w:lvl w:ilvl="0">
      <w:lvlJc w:val="left"/>
      <w:lvlText w:val="%1."/>
      <w:numFmt w:val="decimal"/>
      <w:start w:val="4"/>
    </w:lvl>
  </w:abstractNum>
  <w:abstractNum w:abstractNumId="7">
    <w:nsid w:val="519B500D"/>
    <w:multiLevelType w:val="hybridMultilevel"/>
    <w:lvl w:ilvl="0">
      <w:lvlJc w:val="left"/>
      <w:lvlText w:val="%1."/>
      <w:numFmt w:val="decimal"/>
      <w:start w:val="7"/>
    </w:lvl>
  </w:abstractNum>
  <w:abstractNum w:abstractNumId="8">
    <w:nsid w:val="431BD7B7"/>
    <w:multiLevelType w:val="hybridMultilevel"/>
    <w:lvl w:ilvl="0">
      <w:lvlJc w:val="left"/>
      <w:lvlText w:val="%1."/>
      <w:numFmt w:val="decimal"/>
      <w:start w:val="8"/>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1."/>
      <w:numFmt w:val="decimal"/>
      <w:start w:val="9"/>
    </w:lvl>
  </w:abstractNum>
  <w:abstractNum w:abstractNumId="11">
    <w:nsid w:val="257130A3"/>
    <w:multiLevelType w:val="hybridMultilevel"/>
    <w:lvl w:ilvl="0">
      <w:lvlJc w:val="left"/>
      <w:lvlText w:val="(%1)"/>
      <w:numFmt w:val="decimal"/>
      <w:start w:val="1"/>
    </w:lvl>
  </w:abstractNum>
  <w:abstractNum w:abstractNumId="12">
    <w:nsid w:val="62BBD95A"/>
    <w:multiLevelType w:val="hybridMultilevel"/>
    <w:lvl w:ilvl="0">
      <w:lvlJc w:val="left"/>
      <w:lvlText w:val="(%1)"/>
      <w:numFmt w:val="decimal"/>
      <w:start w:val="1"/>
    </w:lvl>
  </w:abstractNum>
  <w:abstractNum w:abstractNumId="13">
    <w:nsid w:val="436C6125"/>
    <w:multiLevelType w:val="hybridMultilevel"/>
    <w:lvl w:ilvl="0">
      <w:lvlJc w:val="left"/>
      <w:lvlText w:val="(%1)"/>
      <w:numFmt w:val="decimal"/>
      <w:start w:val="1"/>
    </w:lvl>
  </w:abstractNum>
  <w:abstractNum w:abstractNumId="14">
    <w:nsid w:val="628C895D"/>
    <w:multiLevelType w:val="hybridMultilevel"/>
    <w:lvl w:ilvl="0">
      <w:lvlJc w:val="left"/>
      <w:lvlText w:val="(%1)"/>
      <w:numFmt w:val="decimal"/>
      <w:start w:val="1"/>
    </w:lvl>
  </w:abstractNum>
  <w:abstractNum w:abstractNumId="15">
    <w:nsid w:val="333AB105"/>
    <w:multiLevelType w:val="hybridMultilevel"/>
    <w:lvl w:ilvl="0">
      <w:lvlJc w:val="left"/>
      <w:lvlText w:val="(%1)"/>
      <w:numFmt w:val="decimal"/>
      <w:start w:val="1"/>
    </w:lvl>
  </w:abstractNum>
  <w:abstractNum w:abstractNumId="16">
    <w:nsid w:val="721DA317"/>
    <w:multiLevelType w:val="hybridMultilevel"/>
    <w:lvl w:ilvl="0">
      <w:lvlJc w:val="left"/>
      <w:lvlText w:val="(%1)"/>
      <w:numFmt w:val="decimal"/>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
      <w:numFmt w:val="bullet"/>
      <w:start w:val="1"/>
    </w:lvl>
    <w:lvl w:ilvl="1">
      <w:lvlJc w:val="left"/>
      <w:lvlText w:val="*"/>
      <w:numFmt w:val="bullet"/>
      <w:start w:val="1"/>
    </w:lvl>
  </w:abstractNum>
  <w:abstractNum w:abstractNumId="21">
    <w:nsid w:val="8EDBDAB"/>
    <w:multiLevelType w:val="hybridMultilevel"/>
    <w:lvl w:ilvl="0">
      <w:lvlJc w:val="left"/>
      <w:lvlText w:val="**"/>
      <w:numFmt w:val="bullet"/>
      <w:start w:val="1"/>
    </w:lvl>
    <w:lvl w:ilvl="1">
      <w:lvlJc w:val="left"/>
      <w:lvlText w:val="*"/>
      <w:numFmt w:val="bullet"/>
      <w:start w:val="1"/>
    </w:lvl>
  </w:abstractNum>
  <w:abstractNum w:abstractNumId="22">
    <w:nsid w:val="79838CB2"/>
    <w:multiLevelType w:val="hybridMultilevel"/>
    <w:lvl w:ilvl="0">
      <w:lvlJc w:val="left"/>
      <w:lvlText w:val="%1."/>
      <w:numFmt w:val="decimal"/>
      <w:start w:val="1"/>
    </w:lvl>
    <w:lvl w:ilvl="1">
      <w:lvlJc w:val="left"/>
      <w:lvlText w:val="%2)"/>
      <w:numFmt w:val="lowerLetter"/>
      <w:start w:val="1"/>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8" Type="http://schemas.openxmlformats.org/officeDocument/2006/relationships/image" Target="media/image240.png"/><Relationship Id="rId249" Type="http://schemas.openxmlformats.org/officeDocument/2006/relationships/image" Target="media/image241.png"/><Relationship Id="rId251" Type="http://schemas.openxmlformats.org/officeDocument/2006/relationships/image" Target="media/image242.png"/><Relationship Id="rId252" Type="http://schemas.openxmlformats.org/officeDocument/2006/relationships/image" Target="media/image243.png"/><Relationship Id="rId254" Type="http://schemas.openxmlformats.org/officeDocument/2006/relationships/image" Target="media/image244.png"/><Relationship Id="rId255" Type="http://schemas.openxmlformats.org/officeDocument/2006/relationships/image" Target="media/image245.png"/><Relationship Id="rId256" Type="http://schemas.openxmlformats.org/officeDocument/2006/relationships/image" Target="media/image246.png"/><Relationship Id="rId258" Type="http://schemas.openxmlformats.org/officeDocument/2006/relationships/image" Target="media/image247.png"/><Relationship Id="rId259" Type="http://schemas.openxmlformats.org/officeDocument/2006/relationships/image" Target="media/image248.png"/><Relationship Id="rId260" Type="http://schemas.openxmlformats.org/officeDocument/2006/relationships/image" Target="media/image249.png"/><Relationship Id="rId262" Type="http://schemas.openxmlformats.org/officeDocument/2006/relationships/image" Target="media/image250.png"/><Relationship Id="rId263" Type="http://schemas.openxmlformats.org/officeDocument/2006/relationships/image" Target="media/image251.png"/><Relationship Id="rId264" Type="http://schemas.openxmlformats.org/officeDocument/2006/relationships/image" Target="media/image252.png"/><Relationship Id="rId265" Type="http://schemas.openxmlformats.org/officeDocument/2006/relationships/image" Target="media/image253.png"/><Relationship Id="rId266" Type="http://schemas.openxmlformats.org/officeDocument/2006/relationships/image" Target="media/image254.png"/><Relationship Id="rId267" Type="http://schemas.openxmlformats.org/officeDocument/2006/relationships/image" Target="media/image255.png"/><Relationship Id="rId268" Type="http://schemas.openxmlformats.org/officeDocument/2006/relationships/image" Target="media/image256.png"/><Relationship Id="rId269" Type="http://schemas.openxmlformats.org/officeDocument/2006/relationships/image" Target="media/image257.png"/><Relationship Id="rId270" Type="http://schemas.openxmlformats.org/officeDocument/2006/relationships/image" Target="media/image258.png"/><Relationship Id="rId271" Type="http://schemas.openxmlformats.org/officeDocument/2006/relationships/image" Target="media/image259.png"/><Relationship Id="rId272" Type="http://schemas.openxmlformats.org/officeDocument/2006/relationships/image" Target="media/image260.png"/><Relationship Id="rId273" Type="http://schemas.openxmlformats.org/officeDocument/2006/relationships/image" Target="media/image261.png"/><Relationship Id="rId274" Type="http://schemas.openxmlformats.org/officeDocument/2006/relationships/image" Target="media/image262.png"/><Relationship Id="rId275" Type="http://schemas.openxmlformats.org/officeDocument/2006/relationships/image" Target="media/image263.png"/><Relationship Id="rId276" Type="http://schemas.openxmlformats.org/officeDocument/2006/relationships/image" Target="media/image264.png"/><Relationship Id="rId277" Type="http://schemas.openxmlformats.org/officeDocument/2006/relationships/image" Target="media/image265.png"/><Relationship Id="rId278" Type="http://schemas.openxmlformats.org/officeDocument/2006/relationships/image" Target="media/image266.png"/><Relationship Id="rId279" Type="http://schemas.openxmlformats.org/officeDocument/2006/relationships/image" Target="media/image267.png"/><Relationship Id="rId280" Type="http://schemas.openxmlformats.org/officeDocument/2006/relationships/image" Target="media/image268.png"/><Relationship Id="rId281" Type="http://schemas.openxmlformats.org/officeDocument/2006/relationships/image" Target="media/image269.png"/><Relationship Id="rId282" Type="http://schemas.openxmlformats.org/officeDocument/2006/relationships/image" Target="media/image270.png"/><Relationship Id="rId283" Type="http://schemas.openxmlformats.org/officeDocument/2006/relationships/image" Target="media/image271.png"/><Relationship Id="rId284" Type="http://schemas.openxmlformats.org/officeDocument/2006/relationships/image" Target="media/image272.png"/><Relationship Id="rId285" Type="http://schemas.openxmlformats.org/officeDocument/2006/relationships/image" Target="media/image273.png"/><Relationship Id="rId286" Type="http://schemas.openxmlformats.org/officeDocument/2006/relationships/image" Target="media/image274.png"/><Relationship Id="rId287" Type="http://schemas.openxmlformats.org/officeDocument/2006/relationships/image" Target="media/image275.png"/><Relationship Id="rId288" Type="http://schemas.openxmlformats.org/officeDocument/2006/relationships/image" Target="media/image276.png"/><Relationship Id="rId247" Type="http://schemas.openxmlformats.org/officeDocument/2006/relationships/hyperlink" Target="https://www.sec.gov/Archives/edgar/data/87347/000119312516532046/d176097dex31.htm" TargetMode="External"/><Relationship Id="rId250" Type="http://schemas.openxmlformats.org/officeDocument/2006/relationships/hyperlink" Target="https://www.sec.gov/Archives/edgar/data/87347/000119312523110532/d470769dex3.htm" TargetMode="External"/><Relationship Id="rId253" Type="http://schemas.openxmlformats.org/officeDocument/2006/relationships/hyperlink" Target="https://www.sec.gov/Archives/edgar/data/87347/000119312513460494/d637672dex41.htm" TargetMode="External"/><Relationship Id="rId257" Type="http://schemas.openxmlformats.org/officeDocument/2006/relationships/hyperlink" Target="https://www.sec.gov/Archives/edgar/data/87347/000119312520180957/d925505dex41.htm" TargetMode="External"/><Relationship Id="rId261" Type="http://schemas.openxmlformats.org/officeDocument/2006/relationships/hyperlink" Target="https://www.sec.gov/Archives/edgar/data/87347/000119312523145038/d289147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2023-07-26T09:16:58Z</dcterms:created>
  <dcterms:modified xsi:type="dcterms:W3CDTF">2023-07-26T09:16:58Z</dcterms:modified>
</cp:coreProperties>
</file>