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7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30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052"/>
        <w:spacing w:after="0"/>
        <w:rPr>
          <w:sz w:val="20"/>
          <w:szCs w:val="20"/>
          <w:color w:val="auto"/>
        </w:rPr>
      </w:pPr>
      <w:r>
        <w:rPr>
          <w:rFonts w:ascii="Courier New" w:cs="Courier New" w:eastAsia="Courier New" w:hAnsi="Courier New"/>
          <w:sz w:val="15"/>
          <w:szCs w:val="15"/>
          <w:color w:val="auto"/>
        </w:rPr>
        <w:t>WASHINGTON, D.C. 20549</w:t>
      </w:r>
    </w:p>
    <w:p>
      <w:pPr>
        <w:spacing w:after="0" w:line="179" w:lineRule="exact"/>
        <w:rPr>
          <w:sz w:val="24"/>
          <w:szCs w:val="24"/>
          <w:color w:val="auto"/>
        </w:rPr>
      </w:pPr>
    </w:p>
    <w:p>
      <w:pPr>
        <w:jc w:val="center"/>
        <w:ind w:right="3052"/>
        <w:spacing w:after="0"/>
        <w:rPr>
          <w:sz w:val="20"/>
          <w:szCs w:val="20"/>
          <w:color w:val="auto"/>
        </w:rPr>
      </w:pPr>
      <w:r>
        <w:rPr>
          <w:rFonts w:ascii="Courier New" w:cs="Courier New" w:eastAsia="Courier New" w:hAnsi="Courier New"/>
          <w:sz w:val="15"/>
          <w:szCs w:val="15"/>
          <w:color w:val="auto"/>
        </w:rPr>
        <w:t>SCHEDULE 14A</w:t>
      </w:r>
    </w:p>
    <w:p>
      <w:pPr>
        <w:spacing w:after="0" w:line="179" w:lineRule="exact"/>
        <w:rPr>
          <w:sz w:val="24"/>
          <w:szCs w:val="24"/>
          <w:color w:val="auto"/>
        </w:rPr>
      </w:pPr>
    </w:p>
    <w:p>
      <w:pPr>
        <w:jc w:val="center"/>
        <w:ind w:right="2972"/>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5" w:lineRule="exact"/>
        <w:rPr>
          <w:sz w:val="24"/>
          <w:szCs w:val="24"/>
          <w:color w:val="auto"/>
        </w:rPr>
      </w:pPr>
    </w:p>
    <w:p>
      <w:pPr>
        <w:jc w:val="center"/>
        <w:ind w:right="3052"/>
        <w:spacing w:after="0"/>
        <w:tabs>
          <w:tab w:leader="none" w:pos="18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pacing w:after="0" w:line="17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the Registrant [X]</w:t>
      </w:r>
    </w:p>
    <w:p>
      <w:pPr>
        <w:spacing w:after="0" w:line="17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7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Preliminary Proxy Statement</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CONFIDENTIAL, FOR USE OF THE</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COMMISSION ONLY (AS PERMITTED BY</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RULE 14A-6(E)(2))</w:t>
      </w:r>
    </w:p>
    <w:p>
      <w:pPr>
        <w:spacing w:after="0" w:line="179" w:lineRule="exact"/>
        <w:rPr>
          <w:sz w:val="24"/>
          <w:szCs w:val="24"/>
          <w:color w:val="auto"/>
        </w:rPr>
      </w:pPr>
    </w:p>
    <w:p>
      <w:pPr>
        <w:ind w:left="447" w:hanging="447"/>
        <w:spacing w:after="0"/>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Definitive Additional Materials</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Soliciting Material Pursuant to (S) 240.14a-11(c) or (S) 240.14a-12</w:t>
      </w:r>
    </w:p>
    <w:p>
      <w:pPr>
        <w:spacing w:after="0" w:line="179"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9" w:lineRule="exact"/>
        <w:rPr>
          <w:sz w:val="24"/>
          <w:szCs w:val="24"/>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computed on table below per Exchange Act Rules 14a-6(i)(4) and 0-11.</w:t>
      </w:r>
    </w:p>
    <w:p>
      <w:pPr>
        <w:spacing w:after="0" w:line="354" w:lineRule="exact"/>
        <w:rPr>
          <w:sz w:val="24"/>
          <w:szCs w:val="24"/>
          <w:color w:val="auto"/>
        </w:rPr>
      </w:pPr>
    </w:p>
    <w:p>
      <w:pPr>
        <w:ind w:left="827" w:hanging="373"/>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right="3419" w:hanging="373"/>
        <w:spacing w:after="0" w:line="246" w:lineRule="auto"/>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6"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827" w:hanging="373"/>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Fee paid previously with preliminary materials.</w:t>
      </w:r>
    </w:p>
    <w:p>
      <w:pPr>
        <w:spacing w:after="0" w:line="179"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[_]</w:t>
        <w:tab/>
        <w:t>Check box if any part of the fee is offset as provided by Exchange</w:t>
      </w:r>
    </w:p>
    <w:p>
      <w:pPr>
        <w:spacing w:after="0" w:line="5" w:lineRule="exact"/>
        <w:rPr>
          <w:sz w:val="24"/>
          <w:szCs w:val="24"/>
          <w:color w:val="auto"/>
        </w:rPr>
      </w:pPr>
    </w:p>
    <w:p>
      <w:pPr>
        <w:ind w:left="447" w:right="2879"/>
        <w:spacing w:after="0" w:line="246"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827" w:hanging="373"/>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827" w:hanging="373"/>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6"/>
          </w:cols>
          <w:pgMar w:left="313" w:top="93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 (S) 240.14a-101.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1913 (3-99)</w:t>
      </w:r>
    </w:p>
    <w:p>
      <w:pPr>
        <w:sectPr>
          <w:pgSz w:w="11900" w:h="16838" w:orient="portrait"/>
          <w:cols w:equalWidth="0" w:num="1">
            <w:col w:w="10139"/>
          </w:cols>
          <w:pgMar w:left="320" w:top="141" w:right="1440" w:bottom="1440" w:gutter="0" w:footer="0" w:header="0"/>
        </w:sectPr>
      </w:pPr>
    </w:p>
    <w:bookmarkStart w:id="2" w:name="page3"/>
    <w:bookmarkEnd w:id="2"/>
    <w:p>
      <w:pPr>
        <w:ind w:left="7"/>
        <w:spacing w:after="0"/>
        <w:rPr>
          <w:sz w:val="20"/>
          <w:szCs w:val="20"/>
          <w:color w:val="auto"/>
        </w:rPr>
      </w:pPr>
      <w:r>
        <w:rPr>
          <w:rFonts w:ascii="Courier New" w:cs="Courier New" w:eastAsia="Courier New" w:hAnsi="Courier New"/>
          <w:sz w:val="15"/>
          <w:szCs w:val="15"/>
          <w:color w:val="auto"/>
        </w:rPr>
        <w:t>[LOGO OF SCHLUMBERGER]</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New York, New York 10172-0266</w:t>
      </w:r>
    </w:p>
    <w:p>
      <w:pPr>
        <w:spacing w:after="0" w:line="179"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42, rue Saint-Dominique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75007 Paris, France</w:t>
      </w:r>
    </w:p>
    <w:p>
      <w:pPr>
        <w:spacing w:after="0" w:line="179"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Parkstraat 83,</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2514 JG The Hague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Netherlands</w:t>
      </w:r>
    </w:p>
    <w:p>
      <w:pPr>
        <w:spacing w:after="0" w:line="179"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79"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To Be Held April 12, 2000</w:t>
      </w:r>
    </w:p>
    <w:p>
      <w:pPr>
        <w:spacing w:after="0" w:line="179" w:lineRule="exact"/>
        <w:rPr>
          <w:sz w:val="20"/>
          <w:szCs w:val="20"/>
          <w:color w:val="auto"/>
        </w:rPr>
      </w:pPr>
    </w:p>
    <w:p>
      <w:pPr>
        <w:ind w:left="5987"/>
        <w:spacing w:after="0"/>
        <w:rPr>
          <w:sz w:val="20"/>
          <w:szCs w:val="20"/>
          <w:color w:val="auto"/>
        </w:rPr>
      </w:pPr>
      <w:r>
        <w:rPr>
          <w:rFonts w:ascii="Courier New" w:cs="Courier New" w:eastAsia="Courier New" w:hAnsi="Courier New"/>
          <w:sz w:val="15"/>
          <w:szCs w:val="15"/>
          <w:color w:val="auto"/>
        </w:rPr>
        <w:t>March 8, 2000</w:t>
      </w:r>
    </w:p>
    <w:p>
      <w:pPr>
        <w:spacing w:after="0" w:line="179" w:lineRule="exact"/>
        <w:rPr>
          <w:sz w:val="20"/>
          <w:szCs w:val="20"/>
          <w:color w:val="auto"/>
        </w:rPr>
      </w:pPr>
    </w:p>
    <w:p>
      <w:pPr>
        <w:ind w:left="7" w:right="3419" w:firstLine="182"/>
        <w:spacing w:after="0" w:line="246"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12, 2000 at 10:30 in the morning (Curacao time), for the following purposes:</w:t>
      </w:r>
    </w:p>
    <w:p>
      <w:pPr>
        <w:spacing w:after="0" w:line="177" w:lineRule="exact"/>
        <w:rPr>
          <w:sz w:val="20"/>
          <w:szCs w:val="20"/>
          <w:color w:val="auto"/>
        </w:rPr>
      </w:pPr>
    </w:p>
    <w:p>
      <w:pPr>
        <w:ind w:left="267" w:hanging="267"/>
        <w:spacing w:after="0"/>
        <w:tabs>
          <w:tab w:leader="none" w:pos="2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9" w:lineRule="exact"/>
        <w:rPr>
          <w:rFonts w:ascii="Courier New" w:cs="Courier New" w:eastAsia="Courier New" w:hAnsi="Courier New"/>
          <w:sz w:val="15"/>
          <w:szCs w:val="15"/>
          <w:color w:val="auto"/>
        </w:rPr>
      </w:pPr>
    </w:p>
    <w:p>
      <w:pPr>
        <w:ind w:left="267" w:right="3059" w:hanging="267"/>
        <w:spacing w:after="0" w:line="246" w:lineRule="auto"/>
        <w:tabs>
          <w:tab w:leader="none" w:pos="2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report on the course of business during the year ended December 31, 1999, to adopt and approve the Company's Consolidated Balance Sheet as at December 31, 1999, its Consolidated Statement of Income for the year ended December 31, 1999, and the declaration of dividends by the Board of Directors as reflected in the Company's 1999 Annual Report to Stockholders.</w:t>
      </w:r>
    </w:p>
    <w:p>
      <w:pPr>
        <w:spacing w:after="0" w:line="177" w:lineRule="exact"/>
        <w:rPr>
          <w:rFonts w:ascii="Courier New" w:cs="Courier New" w:eastAsia="Courier New" w:hAnsi="Courier New"/>
          <w:sz w:val="15"/>
          <w:szCs w:val="15"/>
          <w:color w:val="auto"/>
        </w:rPr>
      </w:pPr>
    </w:p>
    <w:p>
      <w:pPr>
        <w:ind w:left="267" w:right="3419" w:hanging="267"/>
        <w:spacing w:after="0" w:line="247" w:lineRule="auto"/>
        <w:tabs>
          <w:tab w:leader="none" w:pos="2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appointment of PricewaterhouseCoopers LLP as independent public accountants to audit the accounts of the Company for 2000.</w:t>
      </w:r>
    </w:p>
    <w:p>
      <w:pPr>
        <w:spacing w:after="0" w:line="174" w:lineRule="exact"/>
        <w:rPr>
          <w:sz w:val="20"/>
          <w:szCs w:val="20"/>
          <w:color w:val="auto"/>
        </w:rPr>
      </w:pPr>
    </w:p>
    <w:p>
      <w:pPr>
        <w:ind w:left="7" w:right="3159"/>
        <w:spacing w:after="0" w:line="247"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4" w:lineRule="exact"/>
        <w:rPr>
          <w:sz w:val="20"/>
          <w:szCs w:val="20"/>
          <w:color w:val="auto"/>
        </w:rPr>
      </w:pPr>
    </w:p>
    <w:p>
      <w:pPr>
        <w:ind w:left="7" w:right="3059" w:firstLine="182"/>
        <w:spacing w:after="0" w:line="246" w:lineRule="auto"/>
        <w:rPr>
          <w:sz w:val="20"/>
          <w:szCs w:val="20"/>
          <w:color w:val="auto"/>
        </w:rPr>
      </w:pPr>
      <w:r>
        <w:rPr>
          <w:rFonts w:ascii="Courier New" w:cs="Courier New" w:eastAsia="Courier New" w:hAnsi="Courier New"/>
          <w:sz w:val="15"/>
          <w:szCs w:val="15"/>
          <w:color w:val="auto"/>
        </w:rPr>
        <w:t>The close of business on February 24, 2000 has been fixed as the record date for the meeting. All holders of common stock of record at the close of business on that date are entitled to vote at the meeting.</w:t>
      </w:r>
    </w:p>
    <w:p>
      <w:pPr>
        <w:spacing w:after="0" w:line="176"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By order of the Board of</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Directors,</w:t>
      </w:r>
    </w:p>
    <w:p>
      <w:pPr>
        <w:spacing w:after="0" w:line="179" w:lineRule="exact"/>
        <w:rPr>
          <w:sz w:val="20"/>
          <w:szCs w:val="20"/>
          <w:color w:val="auto"/>
        </w:rPr>
      </w:pPr>
    </w:p>
    <w:p>
      <w:pPr>
        <w:ind w:left="4987"/>
        <w:spacing w:after="0"/>
        <w:rPr>
          <w:sz w:val="20"/>
          <w:szCs w:val="20"/>
          <w:color w:val="auto"/>
        </w:rPr>
      </w:pPr>
      <w:r>
        <w:rPr>
          <w:rFonts w:ascii="Courier New" w:cs="Courier New" w:eastAsia="Courier New" w:hAnsi="Courier New"/>
          <w:sz w:val="15"/>
          <w:szCs w:val="15"/>
          <w:color w:val="auto"/>
        </w:rPr>
        <w:t>JAMES L. GUNDERSON</w:t>
      </w:r>
    </w:p>
    <w:p>
      <w:pPr>
        <w:spacing w:after="0" w:line="5"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146"/>
          </w:cols>
          <w:pgMar w:left="313" w:top="817" w:right="1440"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79"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March 8, 2000</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Schlumberger Limited (Schlumberger N.V.) ("the Company") of proxies to be voted at the 2000 Annual General Meeting of Stockholders. The approximate mailing date of this proxy statement is March 8, 2000.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79" w:lineRule="exact"/>
        <w:rPr>
          <w:sz w:val="20"/>
          <w:szCs w:val="20"/>
          <w:color w:val="auto"/>
        </w:rPr>
      </w:pPr>
    </w:p>
    <w:p>
      <w:pPr>
        <w:ind w:right="3339" w:firstLine="182"/>
        <w:spacing w:after="0" w:line="246" w:lineRule="auto"/>
        <w:rPr>
          <w:sz w:val="20"/>
          <w:szCs w:val="20"/>
          <w:color w:val="auto"/>
        </w:rPr>
      </w:pPr>
      <w:r>
        <w:rPr>
          <w:rFonts w:ascii="Courier New" w:cs="Courier New" w:eastAsia="Courier New" w:hAnsi="Courier New"/>
          <w:sz w:val="15"/>
          <w:szCs w:val="15"/>
          <w:color w:val="auto"/>
        </w:rPr>
        <w:t>The Schlumberger 1999 Annual Report to Stockholders has been mailed under separate cover. The Company's Consolidated Balance Sheet as at December 31, 1999, its Consolidated Statement of Income for the year ended December 31, 1999 and the supplemental financial information with respect to dividends included in the Annual Report are incorporated by reference as part of this proxy soliciting material.</w:t>
      </w:r>
    </w:p>
    <w:p>
      <w:pPr>
        <w:spacing w:after="0" w:line="178"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9"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Each stockholder of record at the close of business on February 24, 2000 is entitled to one vote for each share registered in the stockholder's name. On that date there were 566,698,741 outstanding shares of common stock of Schlumberger, excluding 100,361,126 shares held in treasury.</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77"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Schlumberger is incorporated in the Netherlands Antilles and, as required by the Schlumberger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642" w:right="1440" w:bottom="1440" w:gutter="0" w:footer="0" w:header="0"/>
        </w:sectPr>
      </w:pPr>
    </w:p>
    <w:bookmarkStart w:id="4" w:name="page5"/>
    <w:bookmarkEnd w:id="4"/>
    <w:p>
      <w:pPr>
        <w:jc w:val="center"/>
        <w:ind w:right="3059"/>
        <w:spacing w:after="0"/>
        <w:rPr>
          <w:sz w:val="20"/>
          <w:szCs w:val="20"/>
          <w:color w:val="auto"/>
        </w:rPr>
      </w:pPr>
      <w:r>
        <w:rPr>
          <w:rFonts w:ascii="Courier New" w:cs="Courier New" w:eastAsia="Courier New" w:hAnsi="Courier New"/>
          <w:sz w:val="15"/>
          <w:szCs w:val="15"/>
          <w:color w:val="auto"/>
        </w:rPr>
        <w:t>1. Election of Directors</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It is intended to fix the number of directors at 12 and to elect a Board of Directors of 12 members, each to hold office until the next Annual General Meeting of Stockholders and until a director's successor is elected and qualified or until a director's death, resignation or removal. Each of the nominees is now a director and was previously elected by the stockholders.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80" w:lineRule="exact"/>
        <w:rPr>
          <w:sz w:val="20"/>
          <w:szCs w:val="20"/>
          <w:color w:val="auto"/>
        </w:rPr>
      </w:pPr>
    </w:p>
    <w:p>
      <w:pPr>
        <w:ind w:right="3239" w:firstLine="182"/>
        <w:spacing w:after="0" w:line="247"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79" w:lineRule="exact"/>
        <w:rPr>
          <w:sz w:val="20"/>
          <w:szCs w:val="20"/>
          <w:color w:val="auto"/>
        </w:rPr>
      </w:pPr>
    </w:p>
    <w:p>
      <w:pPr>
        <w:ind w:right="3239" w:firstLine="182"/>
        <w:spacing w:after="0" w:line="246" w:lineRule="auto"/>
        <w:rPr>
          <w:sz w:val="20"/>
          <w:szCs w:val="20"/>
          <w:color w:val="auto"/>
        </w:rPr>
      </w:pPr>
      <w:r>
        <w:rPr>
          <w:rFonts w:ascii="Courier New" w:cs="Courier New" w:eastAsia="Courier New" w:hAnsi="Courier New"/>
          <w:sz w:val="15"/>
          <w:szCs w:val="15"/>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ind w:left="2360"/>
              <w:spacing w:after="0"/>
              <w:rPr>
                <w:sz w:val="20"/>
                <w:szCs w:val="20"/>
                <w:color w:val="auto"/>
              </w:rPr>
            </w:pPr>
            <w:r>
              <w:rPr>
                <w:rFonts w:ascii="Courier New" w:cs="Courier New" w:eastAsia="Courier New" w:hAnsi="Courier New"/>
                <w:sz w:val="15"/>
                <w:szCs w:val="15"/>
                <w:color w:val="auto"/>
              </w:rPr>
              <w:t>Nominee, Age and</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Director</w:t>
            </w:r>
          </w:p>
        </w:tc>
      </w:tr>
      <w:tr>
        <w:trPr>
          <w:trHeight w:val="175"/>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Five-Year Business Experience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r>
      <w:tr>
        <w:trPr>
          <w:trHeight w:val="175"/>
        </w:trPr>
        <w:tc>
          <w:tcPr>
            <w:tcW w:w="6360" w:type="dxa"/>
            <w:vAlign w:val="bottom"/>
          </w:tcPr>
          <w:p>
            <w:pPr>
              <w:ind w:left="18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6360" w:type="dxa"/>
            <w:vAlign w:val="bottom"/>
          </w:tcPr>
          <w:p>
            <w:pPr>
              <w:spacing w:after="0"/>
              <w:rPr>
                <w:sz w:val="20"/>
                <w:szCs w:val="20"/>
                <w:color w:val="auto"/>
              </w:rPr>
            </w:pPr>
            <w:r>
              <w:rPr>
                <w:rFonts w:ascii="Courier New" w:cs="Courier New" w:eastAsia="Courier New" w:hAnsi="Courier New"/>
                <w:sz w:val="15"/>
                <w:szCs w:val="15"/>
                <w:color w:val="auto"/>
              </w:rPr>
              <w:t>DON E. ACKERMAN, 66; Private Investor since 1991.(1).................</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1982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 EUAN BAIRD, 62; Chairman and Chief Executive Officer since October</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1986.(2)............................................................</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1986</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JOHN DEUTCH, 61; Institute Professor, Massachusetts Institute of</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Technology, Cambridge, Massachusetts since January 1997; Director of</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U.S. Central Intelligence May 1995 to December 1996; Deputy</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Secretary of Defense April 1994 to May 1995; Undersecretary of</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Defense (Acquisition and Technology) March 1993 to 1994; Director of</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Schlumberger Limited, May 1987 to 1993.(3)..........................</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VICTOR E. GRIJALVA, 61; Vice Chairman since April 1998; Executive</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Oilfield Services from 1994 to April 1998; Executive</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Vice President for Wireline, Testing &amp; Anadrill from 1992 to 1994.</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1998</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DENYS HENDERSON, 67; Chairman, The Rank Group Plc., a diversified</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leisure services concern, since March 1995; Chairman, Dalgety PLC,</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January 1997 through December 31, 1998; Chairman, Zeneca Group PLC,</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June 1993 to May 1995; Chairman, Imperial Chemical Industries PLC</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("ICI"), June 1993 through April 1995; Chairman and Chief Executive</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Officer, ICI, April 1987 to June 1993, all in the United Kingdom....</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1995</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ANDRE LEVY-LANG, 62; Independent Investor since November, 1999;</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Executive Board of Paribas, an international banking</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group, May 1998 to August 1999; Chairman of the Board of Management</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of Compagnie Financiere de Paribas from June 1990 until May 1998,</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Paris. (5)..........................................................</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1992</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WILLIAM T. McCORMICK, JR., 55; Chairman and Chief Executive Officer,</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CMS Energy Corp., a diversified energy company, Dearborn,</w:t>
            </w:r>
          </w:p>
        </w:tc>
        <w:tc>
          <w:tcPr>
            <w:tcW w:w="800" w:type="dxa"/>
            <w:vAlign w:val="bottom"/>
          </w:tcPr>
          <w:p>
            <w:pPr>
              <w:spacing w:after="0"/>
              <w:rPr>
                <w:sz w:val="15"/>
                <w:szCs w:val="15"/>
                <w:color w:val="auto"/>
              </w:rPr>
            </w:pPr>
          </w:p>
        </w:tc>
      </w:tr>
      <w:tr>
        <w:trPr>
          <w:trHeight w:val="175"/>
        </w:trPr>
        <w:tc>
          <w:tcPr>
            <w:tcW w:w="6360" w:type="dxa"/>
            <w:vAlign w:val="bottom"/>
          </w:tcPr>
          <w:p>
            <w:pPr>
              <w:ind w:left="80"/>
              <w:spacing w:after="0"/>
              <w:rPr>
                <w:sz w:val="20"/>
                <w:szCs w:val="20"/>
                <w:color w:val="auto"/>
              </w:rPr>
            </w:pPr>
            <w:r>
              <w:rPr>
                <w:rFonts w:ascii="Courier New" w:cs="Courier New" w:eastAsia="Courier New" w:hAnsi="Courier New"/>
                <w:sz w:val="15"/>
                <w:szCs w:val="15"/>
                <w:color w:val="auto"/>
              </w:rPr>
              <w:t>Michigan.(6)........................................................</w:t>
            </w:r>
          </w:p>
        </w:tc>
        <w:tc>
          <w:tcPr>
            <w:tcW w:w="8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1990</w:t>
            </w:r>
          </w:p>
        </w:tc>
      </w:tr>
      <w:tr>
        <w:trPr>
          <w:trHeight w:val="524"/>
        </w:trPr>
        <w:tc>
          <w:tcPr>
            <w:tcW w:w="6360" w:type="dxa"/>
            <w:vAlign w:val="bottom"/>
          </w:tcPr>
          <w:p>
            <w:pPr>
              <w:ind w:left="3540"/>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spacing w:after="0"/>
              <w:rPr>
                <w:sz w:val="24"/>
                <w:szCs w:val="24"/>
                <w:color w:val="auto"/>
              </w:rPr>
            </w:pPr>
          </w:p>
        </w:tc>
      </w:tr>
    </w:tbl>
    <w:p>
      <w:pPr>
        <w:sectPr>
          <w:pgSz w:w="11900" w:h="16838" w:orient="portrait"/>
          <w:cols w:equalWidth="0" w:num="1">
            <w:col w:w="10139"/>
          </w:cols>
          <w:pgMar w:left="320" w:top="642" w:right="1440" w:bottom="1440" w:gutter="0" w:footer="0" w:header="0"/>
        </w:sectPr>
      </w:pPr>
    </w:p>
    <w:bookmarkStart w:id="5" w:name="page6"/>
    <w:bookmarkEnd w:id="5"/>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400" w:type="dxa"/>
            <w:vAlign w:val="bottom"/>
            <w:gridSpan w:val="2"/>
          </w:tcPr>
          <w:p>
            <w:pPr>
              <w:ind w:left="2440"/>
              <w:spacing w:after="0"/>
              <w:rPr>
                <w:sz w:val="20"/>
                <w:szCs w:val="20"/>
                <w:color w:val="auto"/>
              </w:rPr>
            </w:pPr>
            <w:r>
              <w:rPr>
                <w:rFonts w:ascii="Courier New" w:cs="Courier New" w:eastAsia="Courier New" w:hAnsi="Courier New"/>
                <w:sz w:val="15"/>
                <w:szCs w:val="15"/>
                <w:color w:val="auto"/>
              </w:rPr>
              <w:t>Nominee, Age and</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r>
      <w:tr>
        <w:trPr>
          <w:trHeight w:val="175"/>
        </w:trPr>
        <w:tc>
          <w:tcPr>
            <w:tcW w:w="2720" w:type="dxa"/>
            <w:vAlign w:val="bottom"/>
          </w:tcPr>
          <w:p>
            <w:pPr>
              <w:ind w:left="1820"/>
              <w:spacing w:after="0"/>
              <w:rPr>
                <w:sz w:val="20"/>
                <w:szCs w:val="20"/>
                <w:color w:val="auto"/>
              </w:rPr>
            </w:pPr>
            <w:r>
              <w:rPr>
                <w:rFonts w:ascii="Courier New" w:cs="Courier New" w:eastAsia="Courier New" w:hAnsi="Courier New"/>
                <w:sz w:val="15"/>
                <w:szCs w:val="15"/>
                <w:color w:val="auto"/>
              </w:rPr>
              <w:t>Five-Year</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Business Experience</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r>
      <w:tr>
        <w:trPr>
          <w:trHeight w:val="175"/>
        </w:trPr>
        <w:tc>
          <w:tcPr>
            <w:tcW w:w="6400" w:type="dxa"/>
            <w:vAlign w:val="bottom"/>
            <w:gridSpan w:val="2"/>
          </w:tcPr>
          <w:p>
            <w:pPr>
              <w:ind w:left="182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DIDIER PRIMAT, 55; President,</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Primwest Holding N.V., an investment</w:t>
            </w:r>
          </w:p>
        </w:tc>
        <w:tc>
          <w:tcPr>
            <w:tcW w:w="760" w:type="dxa"/>
            <w:vAlign w:val="bottom"/>
          </w:tcPr>
          <w:p>
            <w:pPr>
              <w:spacing w:after="0"/>
              <w:rPr>
                <w:sz w:val="24"/>
                <w:szCs w:val="24"/>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management company, Curacao,</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N.A. (7)................................</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1988</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NICOLAS SEYDOUX, 60; Chairman</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and Chief Executive Officer, Gaumont, a</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French film-making enterprise, Paris.(7).............................</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1982</w:t>
            </w:r>
          </w:p>
        </w:tc>
      </w:tr>
      <w:tr>
        <w:trPr>
          <w:trHeight w:val="175"/>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LINDA GILLESPIE STUNTZ, 45; Partner, law firm of Stuntz, Davis &amp;</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Staffier P.C., since February 1995; Partner, law firm of Van Ness</w:t>
            </w:r>
          </w:p>
        </w:tc>
        <w:tc>
          <w:tcPr>
            <w:tcW w:w="760" w:type="dxa"/>
            <w:vAlign w:val="bottom"/>
          </w:tcPr>
          <w:p>
            <w:pPr>
              <w:spacing w:after="0"/>
              <w:rPr>
                <w:sz w:val="15"/>
                <w:szCs w:val="15"/>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Feldman, P.C., March 1993 to</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February 1995, both in Washington, D. C.</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r>
      <w:tr>
        <w:trPr>
          <w:trHeight w:val="175"/>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SVEN ULLRING, 64; President and Chief Executive Officer, Det Norske</w:t>
            </w:r>
          </w:p>
        </w:tc>
        <w:tc>
          <w:tcPr>
            <w:tcW w:w="760" w:type="dxa"/>
            <w:vAlign w:val="bottom"/>
          </w:tcPr>
          <w:p>
            <w:pPr>
              <w:spacing w:after="0"/>
              <w:rPr>
                <w:sz w:val="15"/>
                <w:szCs w:val="15"/>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Veritas, provider of safety,</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quality and reliability services to</w:t>
            </w:r>
          </w:p>
        </w:tc>
        <w:tc>
          <w:tcPr>
            <w:tcW w:w="760" w:type="dxa"/>
            <w:vAlign w:val="bottom"/>
          </w:tcPr>
          <w:p>
            <w:pPr>
              <w:spacing w:after="0"/>
              <w:rPr>
                <w:sz w:val="15"/>
                <w:szCs w:val="15"/>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maritime, offshore and other</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industries, Hovik, Norway...............</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1990</w:t>
            </w:r>
          </w:p>
        </w:tc>
      </w:tr>
      <w:tr>
        <w:trPr>
          <w:trHeight w:val="175"/>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rPr>
              <w:t>YOSHIHIKO WAKUMOTO, 68; Adviser to Toshiba Corporation, a technology</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 centered on electronics and energy, since July 1996; member</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Board of Toshiba from July 1988 to June 1996; Executive Vice</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President of Toshiba, July 1992 through June 1996, with</w:t>
            </w:r>
          </w:p>
        </w:tc>
        <w:tc>
          <w:tcPr>
            <w:tcW w:w="760" w:type="dxa"/>
            <w:vAlign w:val="bottom"/>
          </w:tcPr>
          <w:p>
            <w:pPr>
              <w:spacing w:after="0"/>
              <w:rPr>
                <w:sz w:val="15"/>
                <w:szCs w:val="15"/>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responsibility for corporate</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planning, group companies and</w:t>
            </w:r>
          </w:p>
        </w:tc>
        <w:tc>
          <w:tcPr>
            <w:tcW w:w="760" w:type="dxa"/>
            <w:vAlign w:val="bottom"/>
          </w:tcPr>
          <w:p>
            <w:pPr>
              <w:spacing w:after="0"/>
              <w:rPr>
                <w:sz w:val="15"/>
                <w:szCs w:val="15"/>
                <w:color w:val="auto"/>
              </w:rPr>
            </w:pPr>
          </w:p>
        </w:tc>
      </w:tr>
      <w:tr>
        <w:trPr>
          <w:trHeight w:val="175"/>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information systems (1992 to</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1995), and international affairs (1996),</w:t>
            </w:r>
          </w:p>
        </w:tc>
        <w:tc>
          <w:tcPr>
            <w:tcW w:w="760" w:type="dxa"/>
            <w:vAlign w:val="bottom"/>
          </w:tcPr>
          <w:p>
            <w:pPr>
              <w:spacing w:after="0"/>
              <w:rPr>
                <w:sz w:val="15"/>
                <w:szCs w:val="15"/>
                <w:color w:val="auto"/>
              </w:rPr>
            </w:pPr>
          </w:p>
        </w:tc>
      </w:tr>
      <w:tr>
        <w:trPr>
          <w:trHeight w:val="175"/>
        </w:trPr>
        <w:tc>
          <w:tcPr>
            <w:tcW w:w="6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all in Tokyo. (9)....................................................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367" w:right="315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Ackerman is Chairman of the Board and a member of the Audit Committee of Genicom Corporation, which is in the business of computer peripherals, electronic components, and computer related services.</w:t>
      </w:r>
    </w:p>
    <w:p>
      <w:pPr>
        <w:spacing w:after="0" w:line="1" w:lineRule="exact"/>
        <w:rPr>
          <w:rFonts w:ascii="Courier New" w:cs="Courier New" w:eastAsia="Courier New" w:hAnsi="Courier New"/>
          <w:sz w:val="15"/>
          <w:szCs w:val="15"/>
          <w:color w:val="auto"/>
        </w:rPr>
      </w:pPr>
    </w:p>
    <w:p>
      <w:pPr>
        <w:ind w:left="367" w:right="351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 director of Paribas, Paris, France. He is a trustee of Haven Capital Management Trust.</w:t>
      </w:r>
    </w:p>
    <w:p>
      <w:pPr>
        <w:spacing w:after="0" w:line="1" w:lineRule="exact"/>
        <w:rPr>
          <w:rFonts w:ascii="Courier New" w:cs="Courier New" w:eastAsia="Courier New" w:hAnsi="Courier New"/>
          <w:sz w:val="15"/>
          <w:szCs w:val="15"/>
          <w:color w:val="auto"/>
        </w:rPr>
      </w:pPr>
    </w:p>
    <w:p>
      <w:pPr>
        <w:ind w:left="367" w:right="333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4" w:lineRule="exact"/>
        <w:rPr>
          <w:rFonts w:ascii="Courier New" w:cs="Courier New" w:eastAsia="Courier New" w:hAnsi="Courier New"/>
          <w:sz w:val="15"/>
          <w:szCs w:val="15"/>
          <w:color w:val="auto"/>
        </w:rPr>
      </w:pPr>
    </w:p>
    <w:p>
      <w:pPr>
        <w:ind w:left="367" w:right="341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Grijalva is Chairman of the Board of Directors of Transocean Sedco Forex Inc., an offshore drilling company.</w:t>
      </w:r>
    </w:p>
    <w:p>
      <w:pPr>
        <w:spacing w:after="0" w:line="1" w:lineRule="exact"/>
        <w:rPr>
          <w:rFonts w:ascii="Courier New" w:cs="Courier New" w:eastAsia="Courier New" w:hAnsi="Courier New"/>
          <w:sz w:val="15"/>
          <w:szCs w:val="15"/>
          <w:color w:val="auto"/>
        </w:rPr>
      </w:pPr>
    </w:p>
    <w:p>
      <w:pPr>
        <w:ind w:left="367" w:right="305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Levy-Lang is a director and member of the Compensation Committee of AGF, a French insurance company. On January 4, 1996, Mr. Levy-Lang was notified by a French judge that he was placed under official investigation ("mise en examen") as part of an ongoing inquiry regarding irregularities uncovered in the 1991 financial statements of Ciments Francais, S. A., which was at that time a subsidiary of Compagnie Financiere de Paribas.</w:t>
      </w:r>
    </w:p>
    <w:p>
      <w:pPr>
        <w:spacing w:after="0" w:line="3" w:lineRule="exact"/>
        <w:rPr>
          <w:rFonts w:ascii="Courier New" w:cs="Courier New" w:eastAsia="Courier New" w:hAnsi="Courier New"/>
          <w:sz w:val="15"/>
          <w:szCs w:val="15"/>
          <w:color w:val="auto"/>
        </w:rPr>
      </w:pPr>
    </w:p>
    <w:p>
      <w:pPr>
        <w:ind w:left="367" w:right="3059" w:hanging="367"/>
        <w:spacing w:after="0" w:line="246" w:lineRule="auto"/>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 director of Bank One, Inc., a regional bank holding company, and Rockwell International Inc., a diversified producer of, among others, electronic, industrial automation and avionics products.</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6"/>
          </w:cols>
          <w:pgMar w:left="313" w:top="992" w:right="1440" w:bottom="1440" w:gutter="0" w:footer="0" w:header="0"/>
        </w:sectPr>
      </w:pPr>
    </w:p>
    <w:bookmarkStart w:id="6" w:name="page7"/>
    <w:bookmarkEnd w:id="6"/>
    <w:p>
      <w:pPr>
        <w:ind w:left="367" w:right="3239" w:hanging="367"/>
        <w:spacing w:after="0" w:line="246"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 director of American Electric Power Company, Inc., an electric and power holding company. She is Chairman of its Finance Committee and is a member of its Executive, Directors, Nuclear Oversight and Public Policy Committees.</w:t>
      </w:r>
    </w:p>
    <w:p>
      <w:pPr>
        <w:spacing w:after="0" w:line="2" w:lineRule="exact"/>
        <w:rPr>
          <w:rFonts w:ascii="Courier New" w:cs="Courier New" w:eastAsia="Courier New" w:hAnsi="Courier New"/>
          <w:sz w:val="15"/>
          <w:szCs w:val="15"/>
          <w:color w:val="auto"/>
        </w:rPr>
      </w:pPr>
    </w:p>
    <w:p>
      <w:pPr>
        <w:ind w:left="367" w:right="3239" w:hanging="367"/>
        <w:spacing w:after="0" w:line="246"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Wakumoto is Vice President (part-time executive member of the Board) of The Japan Foundation, a nonprofit institution funded by the Japanese Government and incorporated under a special enactment.</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9" w:lineRule="exact"/>
        <w:rPr>
          <w:sz w:val="20"/>
          <w:szCs w:val="20"/>
          <w:color w:val="auto"/>
        </w:rPr>
      </w:pPr>
    </w:p>
    <w:p>
      <w:pPr>
        <w:ind w:left="7" w:right="3059" w:firstLine="182"/>
        <w:spacing w:after="0" w:line="246" w:lineRule="auto"/>
        <w:rPr>
          <w:sz w:val="20"/>
          <w:szCs w:val="20"/>
          <w:color w:val="auto"/>
        </w:rPr>
      </w:pPr>
      <w:r>
        <w:rPr>
          <w:rFonts w:ascii="Courier New" w:cs="Courier New" w:eastAsia="Courier New" w:hAnsi="Courier New"/>
          <w:sz w:val="15"/>
          <w:szCs w:val="15"/>
          <w:color w:val="auto"/>
        </w:rPr>
        <w:t>The following table lists the shares of Schlumberger common stock beneficially owned as of January 31, 2000 by all directors and nominees, by each of the named executive officers, and by the directors and officers as a group. Except as footnoted, each individual has sole voting and investment power over the shares listed by that individual's name. As of January 31, 2000, no nominee for director owned more than 1% of the outstanding shares of the Company's common stock, except Mr. Primat who owned 4.3%. All 24 directors and executive officers as a group owned 5.3% of the outstanding shares of the Company at January 31, 2000.</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Shares</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49"/>
        </w:trPr>
        <w:tc>
          <w:tcPr>
            <w:tcW w:w="594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2,117,664(1)</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John Deutch......................................................</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3,600(2)</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244,790(3)</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789,781(4)</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Denys Henderson..................................................</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134,832(5)</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William T. McCormick, Jr. .......................................</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Irwin Pfister....................................................</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243,881(6)</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Didier Primat....................................................</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24,556,236(7)</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Nicolas Seydoux..................................................</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251,524(8)</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Linda Gillespie Stuntz...........................................</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5,000(9)</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Sven Ullring.....................................................</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3,305</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Yoshihiko Wakumoto...............................................</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(24 persons).....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29,709,962(10)</w:t>
            </w:r>
          </w:p>
        </w:tc>
      </w:tr>
    </w:tbl>
    <w:p>
      <w:pPr>
        <w:spacing w:after="0" w:line="179"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right="3239" w:hanging="356"/>
        <w:spacing w:after="0" w:line="246" w:lineRule="auto"/>
        <w:tabs>
          <w:tab w:leader="none" w:pos="44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699,955 shares held in a revocable grantor trust and 1,417,709 shares which may be acquired by Mr. Baird within 60 days through the exercise of stock options.</w:t>
      </w:r>
    </w:p>
    <w:p>
      <w:pPr>
        <w:spacing w:after="0" w:line="1" w:lineRule="exact"/>
        <w:rPr>
          <w:rFonts w:ascii="Courier New" w:cs="Courier New" w:eastAsia="Courier New" w:hAnsi="Courier New"/>
          <w:sz w:val="15"/>
          <w:szCs w:val="15"/>
          <w:color w:val="auto"/>
        </w:rPr>
      </w:pPr>
    </w:p>
    <w:p>
      <w:pPr>
        <w:ind w:left="447" w:right="3159" w:hanging="356"/>
        <w:spacing w:after="0" w:line="246" w:lineRule="auto"/>
        <w:tabs>
          <w:tab w:leader="none" w:pos="44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1" w:lineRule="exact"/>
        <w:rPr>
          <w:rFonts w:ascii="Courier New" w:cs="Courier New" w:eastAsia="Courier New" w:hAnsi="Courier New"/>
          <w:sz w:val="15"/>
          <w:szCs w:val="15"/>
          <w:color w:val="auto"/>
        </w:rPr>
      </w:pPr>
    </w:p>
    <w:p>
      <w:pPr>
        <w:ind w:left="447" w:right="3059" w:hanging="356"/>
        <w:spacing w:after="0" w:line="247" w:lineRule="auto"/>
        <w:tabs>
          <w:tab w:leader="none" w:pos="44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230,790 shares which may be acquired by Mr. Gould within 60 days through the exercise of stock options.</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6"/>
          </w:cols>
          <w:pgMar w:left="313" w:top="642" w:right="1440" w:bottom="1440" w:gutter="0" w:footer="0" w:header="0"/>
        </w:sectPr>
      </w:pPr>
    </w:p>
    <w:bookmarkStart w:id="7" w:name="page8"/>
    <w:bookmarkEnd w:id="7"/>
    <w:p>
      <w:pPr>
        <w:ind w:left="447" w:right="315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Grijalva's daughter, as to which he disclaims beneficial ownership, and 670,389 shares which may be acquired by Mr. Grijalva within 60 days through the exercise of stock options.</w:t>
      </w:r>
    </w:p>
    <w:p>
      <w:pPr>
        <w:spacing w:after="0" w:line="1" w:lineRule="exact"/>
        <w:rPr>
          <w:rFonts w:ascii="Courier New" w:cs="Courier New" w:eastAsia="Courier New" w:hAnsi="Courier New"/>
          <w:sz w:val="15"/>
          <w:szCs w:val="15"/>
          <w:color w:val="auto"/>
        </w:rPr>
      </w:pPr>
    </w:p>
    <w:p>
      <w:pPr>
        <w:ind w:left="447" w:right="323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128,583 shares which may be acquired by Mr. Liu within 60 days through the exercise of stock options.</w:t>
      </w:r>
    </w:p>
    <w:p>
      <w:pPr>
        <w:spacing w:after="0" w:line="1" w:lineRule="exact"/>
        <w:rPr>
          <w:rFonts w:ascii="Courier New" w:cs="Courier New" w:eastAsia="Courier New" w:hAnsi="Courier New"/>
          <w:sz w:val="15"/>
          <w:szCs w:val="15"/>
          <w:color w:val="auto"/>
        </w:rPr>
      </w:pPr>
    </w:p>
    <w:p>
      <w:pPr>
        <w:ind w:left="447" w:right="333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242,878 shares which may be acquired by Mr. Pfister within 60 days through the exercise of stock options.</w:t>
      </w:r>
    </w:p>
    <w:p>
      <w:pPr>
        <w:spacing w:after="0" w:line="1" w:lineRule="exact"/>
        <w:rPr>
          <w:rFonts w:ascii="Courier New" w:cs="Courier New" w:eastAsia="Courier New" w:hAnsi="Courier New"/>
          <w:sz w:val="15"/>
          <w:szCs w:val="15"/>
          <w:color w:val="auto"/>
        </w:rPr>
      </w:pPr>
    </w:p>
    <w:p>
      <w:pPr>
        <w:ind w:left="447" w:right="315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 13,996,136 shares held by Mr. Primat as Executor of the Estate of Francoise Primat as to which he has sole voting and investment power and 5,000,000 shares held for account of the minor children of Mr. Primat as to which he has joint voting and investment power.</w:t>
      </w:r>
    </w:p>
    <w:p>
      <w:pPr>
        <w:spacing w:after="0" w:line="2" w:lineRule="exact"/>
        <w:rPr>
          <w:rFonts w:ascii="Courier New" w:cs="Courier New" w:eastAsia="Courier New" w:hAnsi="Courier New"/>
          <w:sz w:val="15"/>
          <w:szCs w:val="15"/>
          <w:color w:val="auto"/>
        </w:rPr>
      </w:pPr>
    </w:p>
    <w:p>
      <w:pPr>
        <w:ind w:left="447" w:right="3159" w:hanging="356"/>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1" w:lineRule="exact"/>
        <w:rPr>
          <w:rFonts w:ascii="Courier New" w:cs="Courier New" w:eastAsia="Courier New" w:hAnsi="Courier New"/>
          <w:sz w:val="15"/>
          <w:szCs w:val="15"/>
          <w:color w:val="auto"/>
        </w:rPr>
      </w:pPr>
    </w:p>
    <w:p>
      <w:pPr>
        <w:ind w:left="447" w:hanging="356"/>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as to which Mrs. Stuntz shares voting power.</w:t>
      </w:r>
    </w:p>
    <w:p>
      <w:pPr>
        <w:spacing w:after="0" w:line="4" w:lineRule="exact"/>
        <w:rPr>
          <w:rFonts w:ascii="Courier New" w:cs="Courier New" w:eastAsia="Courier New" w:hAnsi="Courier New"/>
          <w:sz w:val="15"/>
          <w:szCs w:val="15"/>
          <w:color w:val="auto"/>
        </w:rPr>
      </w:pPr>
    </w:p>
    <w:p>
      <w:pPr>
        <w:ind w:left="447" w:right="3059" w:hanging="447"/>
        <w:spacing w:after="0" w:line="246" w:lineRule="auto"/>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3,772,534 shares which may be acquired by executive officers as a group because they have the right to acquire such shares within 60 days through the exercise of stock options.</w:t>
      </w:r>
    </w:p>
    <w:p>
      <w:pPr>
        <w:spacing w:after="0" w:line="17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Board and Committees</w:t>
      </w:r>
    </w:p>
    <w:p>
      <w:pPr>
        <w:spacing w:after="0" w:line="179" w:lineRule="exact"/>
        <w:rPr>
          <w:sz w:val="20"/>
          <w:szCs w:val="20"/>
          <w:color w:val="auto"/>
        </w:rPr>
      </w:pPr>
    </w:p>
    <w:p>
      <w:pPr>
        <w:ind w:left="7" w:right="3699" w:firstLine="182"/>
        <w:spacing w:after="0" w:line="247" w:lineRule="auto"/>
        <w:rPr>
          <w:sz w:val="20"/>
          <w:szCs w:val="20"/>
          <w:color w:val="auto"/>
        </w:rPr>
      </w:pPr>
      <w:r>
        <w:rPr>
          <w:rFonts w:ascii="Courier New" w:cs="Courier New" w:eastAsia="Courier New" w:hAnsi="Courier New"/>
          <w:sz w:val="15"/>
          <w:szCs w:val="15"/>
          <w:color w:val="auto"/>
        </w:rPr>
        <w:t>Schlumberger has an Audit, a Compensation, a Finance and a Nominating Committee.</w:t>
      </w:r>
    </w:p>
    <w:p>
      <w:pPr>
        <w:spacing w:after="0" w:line="174" w:lineRule="exact"/>
        <w:rPr>
          <w:sz w:val="20"/>
          <w:szCs w:val="20"/>
          <w:color w:val="auto"/>
        </w:rPr>
      </w:pPr>
    </w:p>
    <w:p>
      <w:pPr>
        <w:ind w:left="7" w:right="3159" w:firstLine="182"/>
        <w:spacing w:after="0" w:line="246" w:lineRule="auto"/>
        <w:rPr>
          <w:sz w:val="20"/>
          <w:szCs w:val="20"/>
          <w:color w:val="auto"/>
        </w:rPr>
      </w:pPr>
      <w:r>
        <w:rPr>
          <w:rFonts w:ascii="Courier New" w:cs="Courier New" w:eastAsia="Courier New" w:hAnsi="Courier New"/>
          <w:sz w:val="15"/>
          <w:szCs w:val="15"/>
          <w:color w:val="auto"/>
        </w:rPr>
        <w:t>The Audit Committee assesses and monitors the corporate control environment and recommends for appointment by the Board of Directors, subject to approval by the stockholders, a firm of independent certified public accountants whose duty is to examine the Schlumberger consolidated financial statements. The Audit Committee confers with the independent accountants and periodically reports to and advises the Board concerning the scope of the independent accountants' examinations and similar matters relating to Schlumberger accounting practices and internal accounting controls. The Audit Committee also advises the Board concerning the fees of the independent accountants.</w:t>
      </w:r>
    </w:p>
    <w:p>
      <w:pPr>
        <w:spacing w:after="0" w:line="5" w:lineRule="exact"/>
        <w:rPr>
          <w:sz w:val="20"/>
          <w:szCs w:val="20"/>
          <w:color w:val="auto"/>
        </w:rPr>
      </w:pPr>
    </w:p>
    <w:p>
      <w:pPr>
        <w:ind w:left="7" w:right="3059"/>
        <w:spacing w:after="0" w:line="247" w:lineRule="auto"/>
        <w:rPr>
          <w:sz w:val="20"/>
          <w:szCs w:val="20"/>
          <w:color w:val="auto"/>
        </w:rPr>
      </w:pPr>
      <w:r>
        <w:rPr>
          <w:rFonts w:ascii="Courier New" w:cs="Courier New" w:eastAsia="Courier New" w:hAnsi="Courier New"/>
          <w:sz w:val="15"/>
          <w:szCs w:val="15"/>
          <w:color w:val="auto"/>
        </w:rPr>
        <w:t>Mr. Ullring is Chairman of the Audit Committee, and Messrs. Ackerman and Levy-Lang and Mrs. Stuntz are the other members.</w:t>
      </w:r>
    </w:p>
    <w:p>
      <w:pPr>
        <w:spacing w:after="0" w:line="174" w:lineRule="exact"/>
        <w:rPr>
          <w:sz w:val="20"/>
          <w:szCs w:val="20"/>
          <w:color w:val="auto"/>
        </w:rPr>
      </w:pPr>
    </w:p>
    <w:p>
      <w:pPr>
        <w:ind w:left="7" w:right="3059" w:firstLine="182"/>
        <w:spacing w:after="0" w:line="246"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Ackerman is Chairman of the Compensation Committee. Messrs. Henderson, McCormick and Seydoux are the other members.</w:t>
      </w:r>
    </w:p>
    <w:p>
      <w:pPr>
        <w:spacing w:after="0" w:line="177" w:lineRule="exact"/>
        <w:rPr>
          <w:sz w:val="20"/>
          <w:szCs w:val="20"/>
          <w:color w:val="auto"/>
        </w:rPr>
      </w:pPr>
    </w:p>
    <w:p>
      <w:pPr>
        <w:ind w:left="7" w:right="3059" w:firstLine="182"/>
        <w:spacing w:after="0" w:line="246"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the borrowing of money, the purchase and sale of securities and the investment and reinvestment of surplus funds. The Finance Committee periodically reviews the administration of the Schlumberger employee benefit plans and those of its subsidiaries. Messrs. Baird, Deutch, Grijalva, Levy-Lang, Primat and Wakumoto are the members of the Finance Committee.</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6"/>
          </w:cols>
          <w:pgMar w:left="313" w:top="642" w:right="1440" w:bottom="1440" w:gutter="0" w:footer="0" w:header="0"/>
        </w:sectPr>
      </w:pPr>
    </w:p>
    <w:bookmarkStart w:id="8" w:name="page9"/>
    <w:bookmarkEnd w:id="8"/>
    <w:p>
      <w:pPr>
        <w:ind w:right="3159" w:firstLine="182"/>
        <w:spacing w:after="0" w:line="246"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McCormick is Chairman of the Nominating Committee, and Messrs. Baird, Seydoux and Ullring are the other members. The Nominating Committee will consider nominees recommended by stockholders who may submit nominations to Chairman, Nominating Committee, care of the Secretary, Schlumberger Limited, 277 Park Avenue, New York, New York 10172-0266.</w:t>
      </w:r>
    </w:p>
    <w:p>
      <w:pPr>
        <w:spacing w:after="0" w:line="180"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During 1999 the Board of Directors held five meetings. The Audit Committee met twice; the Compensation Committee met four times; the Finance Committee met twice, and the Nominating Committee met three times. All present directors attended at least 75% of the aggregate of the meetings of the Board and of the committees of the Board on which such directors served, except for Denys Henderson who attended two-thirds of all such meetings.</w:t>
      </w:r>
    </w:p>
    <w:p>
      <w:pPr>
        <w:spacing w:after="0" w:line="178"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Chairmen of the Audit, Compensation and Nominating Committees each receive an annual fee of $20,000, rather than the $10,000 annual fee for committee service.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642" w:right="1440" w:bottom="1440" w:gutter="0" w:footer="0" w:header="0"/>
        </w:sectPr>
      </w:pPr>
    </w:p>
    <w:bookmarkStart w:id="9" w:name="page10"/>
    <w:bookmarkEnd w:id="9"/>
    <w:p>
      <w:pPr>
        <w:ind w:left="7"/>
        <w:spacing w:after="0"/>
        <w:rPr>
          <w:sz w:val="20"/>
          <w:szCs w:val="20"/>
          <w:color w:val="auto"/>
        </w:rPr>
      </w:pPr>
      <w:r>
        <w:rPr>
          <w:rFonts w:ascii="Courier New" w:cs="Courier New" w:eastAsia="Courier New" w:hAnsi="Courier New"/>
          <w:sz w:val="15"/>
          <w:szCs w:val="15"/>
          <w:color w:val="auto"/>
        </w:rPr>
        <w:t>EXECUTIVE COMPENSATION</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9" w:lineRule="exact"/>
        <w:rPr>
          <w:sz w:val="20"/>
          <w:szCs w:val="20"/>
          <w:color w:val="auto"/>
        </w:rPr>
      </w:pPr>
    </w:p>
    <w:p>
      <w:pPr>
        <w:ind w:left="7" w:right="3159" w:firstLine="182"/>
        <w:spacing w:after="0" w:line="246" w:lineRule="auto"/>
        <w:rPr>
          <w:sz w:val="20"/>
          <w:szCs w:val="20"/>
          <w:color w:val="auto"/>
        </w:rPr>
      </w:pPr>
      <w:r>
        <w:rPr>
          <w:rFonts w:ascii="Courier New" w:cs="Courier New" w:eastAsia="Courier New" w:hAnsi="Courier New"/>
          <w:sz w:val="15"/>
          <w:szCs w:val="15"/>
          <w:color w:val="auto"/>
        </w:rPr>
        <w:t>The following table shows the compensation paid by the Company and its subsidiaries to the Chief Executive Officer and to the next four most highly compensated executive officers for the fiscal years ending December 31, 1999, 1998, and 1997.</w:t>
      </w:r>
    </w:p>
    <w:p>
      <w:pPr>
        <w:spacing w:after="0" w:line="177"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SUMMARY COMPENSATION TABLE</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Long Term</w:t>
            </w:r>
          </w:p>
        </w:tc>
        <w:tc>
          <w:tcPr>
            <w:tcW w:w="182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Compensation</w:t>
            </w:r>
          </w:p>
        </w:tc>
        <w:tc>
          <w:tcPr>
            <w:tcW w:w="182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Awards</w:t>
            </w:r>
          </w:p>
        </w:tc>
        <w:tc>
          <w:tcPr>
            <w:tcW w:w="182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w w:val="99"/>
              </w:rPr>
              <w:t>Annual Compensation</w:t>
            </w: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78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1"/>
              </w:rPr>
              <w:t>-------------------------------</w:t>
            </w:r>
          </w:p>
        </w:tc>
        <w:tc>
          <w:tcPr>
            <w:tcW w:w="1300" w:type="dxa"/>
            <w:vAlign w:val="bottom"/>
          </w:tcPr>
          <w:p>
            <w:pPr>
              <w:spacing w:after="0"/>
              <w:rPr>
                <w:sz w:val="15"/>
                <w:szCs w:val="15"/>
                <w:color w:val="auto"/>
              </w:rPr>
            </w:pPr>
          </w:p>
        </w:tc>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Securities</w:t>
            </w:r>
          </w:p>
        </w:tc>
        <w:tc>
          <w:tcPr>
            <w:tcW w:w="1820" w:type="dxa"/>
            <w:vAlign w:val="bottom"/>
          </w:tcPr>
          <w:p>
            <w:pPr>
              <w:spacing w:after="0"/>
              <w:rPr>
                <w:sz w:val="15"/>
                <w:szCs w:val="15"/>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w w:val="99"/>
              </w:rPr>
              <w:t>Name and</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Underlying</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Principal Position</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Salary ($)(1)</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Bonus ($)(1)</w:t>
            </w: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 (4) (5) Compensation ($) (6)</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9"/>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D. E. Baird ............</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105,000</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Chairman and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270,000</w:t>
            </w:r>
          </w:p>
        </w:tc>
      </w:tr>
      <w:tr>
        <w:trPr>
          <w:trHeight w:val="175"/>
        </w:trPr>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Chief Executive Officer 1997</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549,500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323,000</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V.E. Grijalva...........</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52,000</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Vice Chairman</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112,500</w:t>
            </w:r>
          </w:p>
        </w:tc>
      </w:tr>
      <w:tr>
        <w:trPr>
          <w:trHeight w:val="175"/>
        </w:trPr>
        <w:tc>
          <w:tcPr>
            <w:tcW w:w="22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219,800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129,000</w:t>
            </w: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A. Gould................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589,102(2)</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310,915</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54,950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36,691</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499,154</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152,284</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43,960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63,198</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Oilfield Services</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I. Pfister..............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290,000(3)</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54,949</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39,719</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72,000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420,411</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137,375</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55,112</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Test &amp; Transactions</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20" w:type="dxa"/>
            <w:vAlign w:val="bottom"/>
          </w:tcPr>
          <w:p>
            <w:pPr>
              <w:jc w:val="center"/>
              <w:spacing w:after="0"/>
              <w:rPr>
                <w:sz w:val="20"/>
                <w:szCs w:val="20"/>
                <w:color w:val="auto"/>
              </w:rPr>
            </w:pPr>
            <w:r>
              <w:rPr>
                <w:rFonts w:ascii="Courier New" w:cs="Courier New" w:eastAsia="Courier New" w:hAnsi="Courier New"/>
                <w:sz w:val="15"/>
                <w:szCs w:val="15"/>
                <w:color w:val="auto"/>
              </w:rPr>
              <w:t>J. Liu..................</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400,000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54,949</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22,250</w:t>
            </w: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265,000</w:t>
            </w:r>
          </w:p>
        </w:tc>
        <w:tc>
          <w:tcPr>
            <w:tcW w:w="1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54,949</w:t>
            </w:r>
          </w:p>
        </w:tc>
        <w:tc>
          <w:tcPr>
            <w:tcW w:w="182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24,900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Finance</w:t>
            </w: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5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Gould is paid in French francs.</w:t>
      </w:r>
    </w:p>
    <w:p>
      <w:pPr>
        <w:spacing w:after="0" w:line="4" w:lineRule="exact"/>
        <w:rPr>
          <w:rFonts w:ascii="Courier New" w:cs="Courier New" w:eastAsia="Courier New" w:hAnsi="Courier New"/>
          <w:sz w:val="15"/>
          <w:szCs w:val="15"/>
          <w:color w:val="auto"/>
        </w:rPr>
      </w:pPr>
    </w:p>
    <w:p>
      <w:pPr>
        <w:ind w:left="367" w:right="333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award of $150,000 in connection with the sale of the Retail Petroleum Systems business.</w:t>
      </w:r>
    </w:p>
    <w:p>
      <w:pPr>
        <w:spacing w:after="0" w:line="1" w:lineRule="exact"/>
        <w:rPr>
          <w:rFonts w:ascii="Courier New" w:cs="Courier New" w:eastAsia="Courier New" w:hAnsi="Courier New"/>
          <w:sz w:val="15"/>
          <w:szCs w:val="15"/>
          <w:color w:val="auto"/>
        </w:rPr>
      </w:pPr>
    </w:p>
    <w:p>
      <w:pPr>
        <w:ind w:left="367" w:right="3519" w:hanging="367"/>
        <w:spacing w:after="0" w:line="246" w:lineRule="auto"/>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were increased by a factor of 1.099 to reflect the spin-off of Sedco Forex.</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spacing w:after="0" w:line="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1999 amounts disclosed in this column include:</w:t>
      </w:r>
    </w:p>
    <w:p>
      <w:pPr>
        <w:spacing w:after="0" w:line="4" w:lineRule="exact"/>
        <w:rPr>
          <w:rFonts w:ascii="Courier New" w:cs="Courier New" w:eastAsia="Courier New" w:hAnsi="Courier New"/>
          <w:sz w:val="15"/>
          <w:szCs w:val="15"/>
          <w:color w:val="auto"/>
        </w:rPr>
      </w:pPr>
    </w:p>
    <w:p>
      <w:pPr>
        <w:ind w:left="547" w:hanging="365"/>
        <w:spacing w:after="0"/>
        <w:tabs>
          <w:tab w:leader="none" w:pos="54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 Profit Sharing Plans</w:t>
      </w:r>
    </w:p>
    <w:p>
      <w:pPr>
        <w:spacing w:after="0" w:line="4" w:lineRule="exact"/>
        <w:rPr>
          <w:rFonts w:ascii="Courier New" w:cs="Courier New" w:eastAsia="Courier New" w:hAnsi="Courier New"/>
          <w:sz w:val="15"/>
          <w:szCs w:val="15"/>
          <w:color w:val="auto"/>
        </w:rPr>
      </w:pPr>
    </w:p>
    <w:p>
      <w:pPr>
        <w:ind w:left="547" w:hanging="365"/>
        <w:spacing w:after="0"/>
        <w:tabs>
          <w:tab w:leader="none" w:pos="54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4" w:lineRule="exact"/>
        <w:rPr>
          <w:rFonts w:ascii="Courier New" w:cs="Courier New" w:eastAsia="Courier New" w:hAnsi="Courier New"/>
          <w:sz w:val="15"/>
          <w:szCs w:val="15"/>
          <w:color w:val="auto"/>
        </w:rPr>
      </w:pPr>
    </w:p>
    <w:p>
      <w:pPr>
        <w:ind w:left="547" w:right="3699" w:hanging="365"/>
        <w:spacing w:after="0" w:line="247" w:lineRule="auto"/>
        <w:tabs>
          <w:tab w:leader="none" w:pos="54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Schlumberger Restoration Savings Plan</w:t>
      </w:r>
    </w:p>
    <w:p>
      <w:pPr>
        <w:spacing w:after="0" w:line="200" w:lineRule="exact"/>
        <w:rPr>
          <w:sz w:val="20"/>
          <w:szCs w:val="20"/>
          <w:color w:val="auto"/>
        </w:rPr>
      </w:pPr>
    </w:p>
    <w:p>
      <w:pPr>
        <w:spacing w:after="0" w:line="324"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 (c)($)</w:t>
            </w:r>
          </w:p>
        </w:tc>
      </w:tr>
      <w:tr>
        <w:trPr>
          <w:trHeight w:val="175"/>
        </w:trPr>
        <w:tc>
          <w:tcPr>
            <w:tcW w:w="5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49"/>
        </w:trPr>
        <w:tc>
          <w:tcPr>
            <w:tcW w:w="5140" w:type="dxa"/>
            <w:vAlign w:val="bottom"/>
          </w:tcPr>
          <w:p>
            <w:pPr>
              <w:spacing w:after="0"/>
              <w:rPr>
                <w:sz w:val="20"/>
                <w:szCs w:val="20"/>
                <w:color w:val="auto"/>
              </w:rPr>
            </w:pPr>
            <w:r>
              <w:rPr>
                <w:rFonts w:ascii="Courier New" w:cs="Courier New" w:eastAsia="Courier New" w:hAnsi="Courier New"/>
                <w:sz w:val="15"/>
                <w:szCs w:val="15"/>
                <w:color w:val="auto"/>
              </w:rPr>
              <w:t>Mr. Baird...............................................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38,800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58,200</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Mr. Grijalva............................................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17,600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26,400</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Mr. Gould...............................................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36,691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Mr. Pfister.............................................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12,688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19,031</w:t>
            </w:r>
          </w:p>
        </w:tc>
      </w:tr>
      <w:tr>
        <w:trPr>
          <w:trHeight w:val="175"/>
        </w:trPr>
        <w:tc>
          <w:tcPr>
            <w:tcW w:w="5140" w:type="dxa"/>
            <w:vAlign w:val="bottom"/>
          </w:tcPr>
          <w:p>
            <w:pPr>
              <w:spacing w:after="0"/>
              <w:rPr>
                <w:sz w:val="20"/>
                <w:szCs w:val="20"/>
                <w:color w:val="auto"/>
              </w:rPr>
            </w:pPr>
            <w:r>
              <w:rPr>
                <w:rFonts w:ascii="Courier New" w:cs="Courier New" w:eastAsia="Courier New" w:hAnsi="Courier New"/>
                <w:sz w:val="15"/>
                <w:szCs w:val="15"/>
                <w:color w:val="auto"/>
              </w:rPr>
              <w:t>Mr. Liu.................................................</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8,550</w:t>
            </w:r>
          </w:p>
        </w:tc>
      </w:tr>
    </w:tbl>
    <w:p>
      <w:pPr>
        <w:spacing w:after="0" w:line="354" w:lineRule="exact"/>
        <w:rPr>
          <w:sz w:val="20"/>
          <w:szCs w:val="20"/>
          <w:color w:val="auto"/>
        </w:rPr>
      </w:pPr>
    </w:p>
    <w:p>
      <w:pPr>
        <w:ind w:left="187" w:right="3059"/>
        <w:spacing w:after="0" w:line="246" w:lineRule="auto"/>
        <w:rPr>
          <w:sz w:val="20"/>
          <w:szCs w:val="20"/>
          <w:color w:val="auto"/>
        </w:rPr>
      </w:pPr>
      <w:r>
        <w:rPr>
          <w:rFonts w:ascii="Courier New" w:cs="Courier New" w:eastAsia="Courier New" w:hAnsi="Courier New"/>
          <w:sz w:val="15"/>
          <w:szCs w:val="15"/>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46"/>
          </w:cols>
          <w:pgMar w:left="313" w:top="642" w:right="1440" w:bottom="1440" w:gutter="0" w:footer="0" w:header="0"/>
        </w:sectPr>
      </w:pPr>
    </w:p>
    <w:bookmarkStart w:id="10" w:name="page11"/>
    <w:bookmarkEnd w:id="10"/>
    <w:p>
      <w:pPr>
        <w:ind w:left="7"/>
        <w:spacing w:after="0"/>
        <w:rPr>
          <w:sz w:val="20"/>
          <w:szCs w:val="20"/>
          <w:color w:val="auto"/>
        </w:rPr>
      </w:pPr>
      <w:r>
        <w:rPr>
          <w:rFonts w:ascii="Courier New" w:cs="Courier New" w:eastAsia="Courier New" w:hAnsi="Courier New"/>
          <w:sz w:val="15"/>
          <w:szCs w:val="15"/>
          <w:color w:val="auto"/>
        </w:rPr>
        <w:t>Stock Option Grants Table</w:t>
      </w:r>
    </w:p>
    <w:p>
      <w:pPr>
        <w:spacing w:after="0" w:line="179" w:lineRule="exact"/>
        <w:rPr>
          <w:sz w:val="20"/>
          <w:szCs w:val="20"/>
          <w:color w:val="auto"/>
        </w:rPr>
      </w:pPr>
    </w:p>
    <w:p>
      <w:pPr>
        <w:ind w:left="7" w:right="3059"/>
        <w:spacing w:after="0" w:line="246" w:lineRule="auto"/>
        <w:rPr>
          <w:sz w:val="20"/>
          <w:szCs w:val="20"/>
          <w:color w:val="auto"/>
        </w:rPr>
      </w:pPr>
      <w:r>
        <w:rPr>
          <w:rFonts w:ascii="Courier New" w:cs="Courier New" w:eastAsia="Courier New" w:hAnsi="Courier New"/>
          <w:sz w:val="15"/>
          <w:szCs w:val="15"/>
          <w:color w:val="auto"/>
        </w:rPr>
        <w:t>The following table sets forth certain information concerning options granted during 1999 to the Chief Executive Officer and the next four most highly compensated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180"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Option Grants in Last Fiscal Year</w:t>
      </w:r>
    </w:p>
    <w:p>
      <w:pPr>
        <w:sectPr>
          <w:pgSz w:w="11900" w:h="16838" w:orient="portrait"/>
          <w:cols w:equalWidth="0" w:num="1">
            <w:col w:w="10146"/>
          </w:cols>
          <w:pgMar w:left="313" w:top="6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Potential Realizable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Value at Assumed</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Annual Rates of</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Stock Price</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Appreciation for</w:t>
      </w:r>
    </w:p>
    <w:p>
      <w:pPr>
        <w:spacing w:after="0" w:line="5" w:lineRule="exact"/>
        <w:rPr>
          <w:sz w:val="20"/>
          <w:szCs w:val="20"/>
          <w:color w:val="auto"/>
        </w:rPr>
      </w:pPr>
    </w:p>
    <w:p>
      <w:pPr>
        <w:ind w:left="1640"/>
        <w:spacing w:after="0"/>
        <w:tabs>
          <w:tab w:leader="none" w:pos="5700" w:val="left"/>
        </w:tabs>
        <w:rPr>
          <w:sz w:val="20"/>
          <w:szCs w:val="20"/>
          <w:color w:val="auto"/>
        </w:rPr>
      </w:pPr>
      <w:r>
        <w:rPr>
          <w:rFonts w:ascii="Courier New" w:cs="Courier New" w:eastAsia="Courier New" w:hAnsi="Courier New"/>
          <w:sz w:val="15"/>
          <w:szCs w:val="15"/>
          <w:color w:val="auto"/>
        </w:rPr>
        <w:t>Individual Grants (1)</w:t>
      </w:r>
      <w:r>
        <w:rPr>
          <w:sz w:val="20"/>
          <w:szCs w:val="20"/>
          <w:color w:val="auto"/>
        </w:rPr>
        <w:tab/>
      </w:r>
      <w:r>
        <w:rPr>
          <w:rFonts w:ascii="Courier New" w:cs="Courier New" w:eastAsia="Courier New" w:hAnsi="Courier New"/>
          <w:sz w:val="15"/>
          <w:szCs w:val="15"/>
          <w:color w:val="auto"/>
        </w:rPr>
        <w:t>Option 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ind w:left="180"/>
        <w:spacing w:after="0"/>
        <w:tabs>
          <w:tab w:leader="none" w:pos="162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 of Total</w:t>
      </w:r>
    </w:p>
    <w:p>
      <w:pPr>
        <w:spacing w:after="0" w:line="5" w:lineRule="exact"/>
        <w:rPr>
          <w:sz w:val="20"/>
          <w:szCs w:val="20"/>
          <w:color w:val="auto"/>
        </w:rPr>
      </w:pPr>
    </w:p>
    <w:p>
      <w:pPr>
        <w:ind w:left="180"/>
        <w:spacing w:after="0"/>
        <w:tabs>
          <w:tab w:leader="none" w:pos="144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Options Granted</w:t>
      </w:r>
    </w:p>
    <w:p>
      <w:pPr>
        <w:spacing w:after="0" w:line="5" w:lineRule="exact"/>
        <w:rPr>
          <w:sz w:val="20"/>
          <w:szCs w:val="20"/>
          <w:color w:val="auto"/>
        </w:rPr>
      </w:pPr>
    </w:p>
    <w:p>
      <w:pPr>
        <w:ind w:left="360"/>
        <w:spacing w:after="0"/>
        <w:tabs>
          <w:tab w:leader="none" w:pos="14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to Employees in Exercise Price Expiration</w:t>
      </w:r>
    </w:p>
    <w:p>
      <w:pPr>
        <w:spacing w:after="0" w:line="5" w:lineRule="exact"/>
        <w:rPr>
          <w:sz w:val="20"/>
          <w:szCs w:val="20"/>
          <w:color w:val="auto"/>
        </w:rPr>
      </w:pPr>
    </w:p>
    <w:p>
      <w:pPr>
        <w:spacing w:after="0"/>
        <w:tabs>
          <w:tab w:leader="none" w:pos="1620" w:val="left"/>
          <w:tab w:leader="none" w:pos="3080" w:val="left"/>
          <w:tab w:leader="none" w:pos="4520" w:val="left"/>
          <w:tab w:leader="none" w:pos="5440" w:val="left"/>
          <w:tab w:leader="none" w:pos="6440" w:val="left"/>
        </w:tabs>
        <w:rPr>
          <w:sz w:val="20"/>
          <w:szCs w:val="20"/>
          <w:color w:val="auto"/>
        </w:rPr>
      </w:pPr>
      <w:r>
        <w:rPr>
          <w:rFonts w:ascii="Courier New" w:cs="Courier New" w:eastAsia="Courier New" w:hAnsi="Courier New"/>
          <w:sz w:val="15"/>
          <w:szCs w:val="15"/>
          <w:color w:val="auto"/>
        </w:rPr>
        <w:t>Granted (#) (2)</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($/SH) (3)</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 -------------- ---------- ---------- ----------</w:t>
      </w:r>
    </w:p>
    <w:p>
      <w:pPr>
        <w:spacing w:after="0" w:line="179" w:lineRule="exact"/>
        <w:rPr>
          <w:sz w:val="20"/>
          <w:szCs w:val="20"/>
          <w:color w:val="auto"/>
        </w:rPr>
      </w:pPr>
    </w:p>
    <w:p>
      <w:pPr>
        <w:sectPr>
          <w:pgSz w:w="11900" w:h="16838" w:orient="portrait"/>
          <w:cols w:equalWidth="0" w:num="2">
            <w:col w:w="1547" w:space="720"/>
            <w:col w:w="7879"/>
          </w:cols>
          <w:pgMar w:left="31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D. E.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799"/>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ectPr>
          <w:pgSz w:w="11900" w:h="16838" w:orient="portrait"/>
          <w:cols w:equalWidth="0" w:num="7">
            <w:col w:w="2367" w:space="720"/>
            <w:col w:w="460" w:space="720"/>
            <w:col w:w="820" w:space="720"/>
            <w:col w:w="460" w:space="720"/>
            <w:col w:w="460" w:space="720"/>
            <w:col w:w="280" w:space="720"/>
            <w:col w:w="979"/>
          </w:cols>
          <w:pgMar w:left="31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V. E. Grijalva..........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6">
            <w:col w:w="2367" w:space="720"/>
            <w:col w:w="460" w:space="720"/>
            <w:col w:w="820" w:space="720"/>
            <w:col w:w="460" w:space="720"/>
            <w:col w:w="460" w:space="720"/>
            <w:col w:w="1979"/>
          </w:cols>
          <w:pgMar w:left="31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A. Gould................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 Pfister..............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54,950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54,949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54,949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44.843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44.843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1/19/09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1,549,674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1,549,645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1,549,645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3,927,177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3,927,105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3,927,105</w:t>
      </w:r>
    </w:p>
    <w:p>
      <w:pPr>
        <w:spacing w:after="0" w:line="179" w:lineRule="exact"/>
        <w:rPr>
          <w:sz w:val="20"/>
          <w:szCs w:val="20"/>
          <w:color w:val="auto"/>
        </w:rPr>
      </w:pPr>
    </w:p>
    <w:p>
      <w:pPr>
        <w:sectPr>
          <w:pgSz w:w="11900" w:h="16838" w:orient="portrait"/>
          <w:cols w:equalWidth="0" w:num="7">
            <w:col w:w="2187" w:space="440"/>
            <w:col w:w="840" w:space="720"/>
            <w:col w:w="640" w:space="720"/>
            <w:col w:w="540" w:space="540"/>
            <w:col w:w="640" w:space="360"/>
            <w:col w:w="820" w:space="180"/>
            <w:col w:w="1519"/>
          </w:cols>
          <w:pgMar w:left="313" w:top="642"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granted was increased and the exercise price was decreased by a factor of 1.099 to reflect the spin-off of Sedco Forex.</w:t>
      </w:r>
    </w:p>
    <w:p>
      <w:pPr>
        <w:spacing w:after="0" w:line="1" w:lineRule="exact"/>
        <w:rPr>
          <w:rFonts w:ascii="Courier New" w:cs="Courier New" w:eastAsia="Courier New" w:hAnsi="Courier New"/>
          <w:sz w:val="15"/>
          <w:szCs w:val="15"/>
          <w:color w:val="auto"/>
        </w:rPr>
      </w:pPr>
    </w:p>
    <w:p>
      <w:pPr>
        <w:ind w:left="367" w:right="31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Options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3" w:lineRule="exact"/>
        <w:rPr>
          <w:rFonts w:ascii="Courier New" w:cs="Courier New" w:eastAsia="Courier New" w:hAnsi="Courier New"/>
          <w:sz w:val="15"/>
          <w:szCs w:val="15"/>
          <w:color w:val="auto"/>
        </w:rPr>
      </w:pPr>
    </w:p>
    <w:p>
      <w:pPr>
        <w:ind w:left="367" w:right="31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6"/>
          </w:cols>
          <w:pgMar w:left="313" w:top="642" w:right="1440" w:bottom="1440" w:gutter="0" w:footer="0" w:header="0"/>
          <w:type w:val="continuous"/>
        </w:sectPr>
      </w:pPr>
    </w:p>
    <w:bookmarkStart w:id="11" w:name="page12"/>
    <w:bookmarkEnd w:id="11"/>
    <w:p>
      <w:pPr>
        <w:ind w:left="7"/>
        <w:spacing w:after="0"/>
        <w:rPr>
          <w:sz w:val="20"/>
          <w:szCs w:val="20"/>
          <w:color w:val="auto"/>
        </w:rPr>
      </w:pPr>
      <w:r>
        <w:rPr>
          <w:rFonts w:ascii="Courier New" w:cs="Courier New" w:eastAsia="Courier New" w:hAnsi="Courier New"/>
          <w:sz w:val="15"/>
          <w:szCs w:val="15"/>
          <w:color w:val="auto"/>
        </w:rPr>
        <w:t>Stock Option Exercises and December 31, 1999 Stock Option Value Table</w:t>
      </w:r>
    </w:p>
    <w:p>
      <w:pPr>
        <w:spacing w:after="0" w:line="179" w:lineRule="exact"/>
        <w:rPr>
          <w:sz w:val="20"/>
          <w:szCs w:val="20"/>
          <w:color w:val="auto"/>
        </w:rPr>
      </w:pPr>
    </w:p>
    <w:p>
      <w:pPr>
        <w:ind w:left="7" w:right="3059" w:firstLine="182"/>
        <w:spacing w:after="0" w:line="246" w:lineRule="auto"/>
        <w:rPr>
          <w:sz w:val="20"/>
          <w:szCs w:val="20"/>
          <w:color w:val="auto"/>
        </w:rPr>
      </w:pPr>
      <w:r>
        <w:rPr>
          <w:rFonts w:ascii="Courier New" w:cs="Courier New" w:eastAsia="Courier New" w:hAnsi="Courier New"/>
          <w:sz w:val="15"/>
          <w:szCs w:val="15"/>
          <w:color w:val="auto"/>
        </w:rPr>
        <w:t>The following table shows certain information concerning options exercised during 1999 by the Chief Executive Officer and by the next four most highly compensated executive officers and the number and value of unexercised options at December 31, 1999. Schlumberger has not granted stock appreciation rights. The values of unexercised in-the-money stock options at December 31, 1999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80"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5"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Number of</w:t>
            </w:r>
          </w:p>
        </w:tc>
        <w:tc>
          <w:tcPr>
            <w:tcW w:w="1820" w:type="dxa"/>
            <w:vAlign w:val="bottom"/>
          </w:tcPr>
          <w:p>
            <w:pPr>
              <w:spacing w:after="0"/>
              <w:rPr>
                <w:sz w:val="14"/>
                <w:szCs w:val="14"/>
                <w:color w:val="auto"/>
              </w:rPr>
            </w:pP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Securities</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Value of</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Underlying</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Unexercised</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Unexercised</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In-The-Money</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Options at</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Options at</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FY-End (#) (2)</w:t>
            </w:r>
          </w:p>
        </w:tc>
        <w:tc>
          <w:tcPr>
            <w:tcW w:w="1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FY-End ($) (2) (3)</w:t>
            </w:r>
          </w:p>
        </w:tc>
      </w:tr>
      <w:tr>
        <w:trPr>
          <w:trHeight w:val="175"/>
        </w:trPr>
        <w:tc>
          <w:tcPr>
            <w:tcW w:w="1680" w:type="dxa"/>
            <w:vAlign w:val="bottom"/>
          </w:tcPr>
          <w:p>
            <w:pPr>
              <w:spacing w:after="0"/>
              <w:rPr>
                <w:sz w:val="15"/>
                <w:szCs w:val="15"/>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Shares Acquired</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Realized</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Exercisable/</w:t>
            </w:r>
          </w:p>
        </w:tc>
        <w:tc>
          <w:tcPr>
            <w:tcW w:w="1820" w:type="dxa"/>
            <w:vAlign w:val="bottom"/>
          </w:tcPr>
          <w:p>
            <w:pPr>
              <w:ind w:left="360"/>
              <w:spacing w:after="0"/>
              <w:rPr>
                <w:sz w:val="20"/>
                <w:szCs w:val="20"/>
                <w:color w:val="auto"/>
              </w:rPr>
            </w:pPr>
            <w:r>
              <w:rPr>
                <w:rFonts w:ascii="Courier New" w:cs="Courier New" w:eastAsia="Courier New" w:hAnsi="Courier New"/>
                <w:sz w:val="15"/>
                <w:szCs w:val="15"/>
                <w:color w:val="auto"/>
              </w:rPr>
              <w:t>Exercisable/</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on Exercises (#)</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Unexercisable</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49"/>
        </w:trPr>
        <w:tc>
          <w:tcPr>
            <w:tcW w:w="168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11,283,771</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1,329,790/</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31,909,893/</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483,559</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4,054,684</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V. E. Grijalva....</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615,439/</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14,588,692/</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230,790</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2,585,979</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A. Gould..........</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206,612/</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4,745,350/</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156,058</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1,290,291</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I. Pfister........</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209,908/</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4,213,500/</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181,332</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1,737,127</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J. Liu............</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100,010/</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2,147,114/</w:t>
            </w:r>
          </w:p>
        </w:tc>
      </w:tr>
      <w:tr>
        <w:trPr>
          <w:trHeight w:val="175"/>
        </w:trPr>
        <w:tc>
          <w:tcPr>
            <w:tcW w:w="1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147,262</w:t>
            </w:r>
          </w:p>
        </w:tc>
        <w:tc>
          <w:tcPr>
            <w:tcW w:w="18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1,513,678</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4" w:lineRule="exact"/>
        <w:rPr>
          <w:rFonts w:ascii="Courier New" w:cs="Courier New" w:eastAsia="Courier New" w:hAnsi="Courier New"/>
          <w:sz w:val="15"/>
          <w:szCs w:val="15"/>
          <w:color w:val="auto"/>
        </w:rPr>
      </w:pPr>
    </w:p>
    <w:p>
      <w:pPr>
        <w:ind w:left="367" w:right="3519" w:hanging="367"/>
        <w:spacing w:after="0" w:line="246" w:lineRule="auto"/>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increased and exercise price decreased by a factor of 1.099 to reflect the spin-off of Sedco Forex.</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1999 ($56.125) less exercise price.</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6"/>
          </w:cols>
          <w:pgMar w:left="313" w:top="64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Pension Plans</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$33,714 for Mr. Baird; $57,139 for Mr. Grijalva; $276,635 for Mr. Gould, assuming pensionable salary continues at the December 31, 1999 level for Mr. Gould, and $47,875 for Mr. Liu.</w:t>
      </w:r>
    </w:p>
    <w:p>
      <w:pPr>
        <w:spacing w:after="0" w:line="180"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are: $16,066 for Mr. Gould, and, assuming admissible compensation continues at the December 31, 1999 levels, estimated annual benefits payable from the U.S. plans and the supplementary benefit plan are: $633,069 for Mr. Baird; $291,336 for Mr. Grijalva; $236,521 for Mr. Pfister, and $159,529 for Mr. Liu.</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42" w:right="1440" w:bottom="1440" w:gutter="0" w:footer="0" w:header="0"/>
        </w:sectPr>
      </w:pPr>
    </w:p>
    <w:bookmarkStart w:id="13" w:name="page14"/>
    <w:bookmarkEnd w:id="13"/>
    <w:p>
      <w:pPr>
        <w:jc w:val="center"/>
        <w:ind w:right="2979"/>
        <w:spacing w:after="0"/>
        <w:rPr>
          <w:sz w:val="20"/>
          <w:szCs w:val="20"/>
          <w:color w:val="auto"/>
        </w:rPr>
      </w:pPr>
      <w:r>
        <w:rPr>
          <w:rFonts w:ascii="Courier New" w:cs="Courier New" w:eastAsia="Courier New" w:hAnsi="Courier New"/>
          <w:sz w:val="15"/>
          <w:szCs w:val="15"/>
          <w:color w:val="auto"/>
        </w:rPr>
        <w:t>Corporate Performance Graph</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12.</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AMONG SCHLUMBERGER LIMITED, S&amp;P 500 INDEX AND VALUE LINE'S OILFIELD</w:t>
      </w:r>
    </w:p>
    <w:p>
      <w:pPr>
        <w:spacing w:after="0" w:line="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SERVICES INDUSTRY INDEX</w:t>
      </w:r>
    </w:p>
    <w:p>
      <w:pPr>
        <w:spacing w:after="0" w:line="5" w:lineRule="exact"/>
        <w:rPr>
          <w:sz w:val="20"/>
          <w:szCs w:val="20"/>
          <w:color w:val="auto"/>
        </w:rPr>
      </w:pPr>
    </w:p>
    <w:p>
      <w:pPr>
        <w:jc w:val="center"/>
        <w:ind w:right="2979"/>
        <w:spacing w:after="0"/>
        <w:tabs>
          <w:tab w:leader="none" w:pos="780" w:val="left"/>
          <w:tab w:leader="none" w:pos="620" w:val="left"/>
        </w:tabs>
        <w:rPr>
          <w:sz w:val="20"/>
          <w:szCs w:val="20"/>
          <w:color w:val="auto"/>
        </w:rPr>
      </w:pPr>
      <w:r>
        <w:rPr>
          <w:rFonts w:ascii="Courier New" w:cs="Courier New" w:eastAsia="Courier New" w:hAnsi="Courier New"/>
          <w:sz w:val="15"/>
          <w:szCs w:val="15"/>
          <w:color w:val="auto"/>
        </w:rPr>
        <w:t>SLB</w:t>
      </w:r>
      <w:r>
        <w:rPr>
          <w:sz w:val="20"/>
          <w:szCs w:val="20"/>
          <w:color w:val="auto"/>
        </w:rPr>
        <w:tab/>
      </w:r>
      <w:r>
        <w:rPr>
          <w:rFonts w:ascii="Courier New" w:cs="Courier New" w:eastAsia="Courier New" w:hAnsi="Courier New"/>
          <w:sz w:val="15"/>
          <w:szCs w:val="15"/>
          <w:color w:val="auto"/>
        </w:rPr>
        <w:t>S&amp;P 500</w:t>
      </w:r>
      <w:r>
        <w:rPr>
          <w:sz w:val="20"/>
          <w:szCs w:val="20"/>
          <w:color w:val="auto"/>
        </w:rPr>
        <w:tab/>
      </w:r>
      <w:r>
        <w:rPr>
          <w:rFonts w:ascii="Courier New" w:cs="Courier New" w:eastAsia="Courier New" w:hAnsi="Courier New"/>
          <w:sz w:val="15"/>
          <w:szCs w:val="15"/>
          <w:color w:val="auto"/>
        </w:rPr>
        <w:t>Industry Peer Index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12/31/94</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12/31/95</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141</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5"/>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12/31/96</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5"/>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12/31/97</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337</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5"/>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12/31/98</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5"/>
        </w:trPr>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12/31/99</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268</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bl>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Assumes $100 invested on December 31, 1994 in Schlumberger Limited stock, in the S&amp;P 500 Index and in Value Line's 1999 Oilfield Services Industry Index. Reflects reinvestment of dividends on the last day of the month of payment, and reinvestment of the 1999 year-end distribution in connection with the spin-off of Sedco Forex, and annual reweighting of the Industry Peer Index portfolio.</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9" w:lineRule="exact"/>
        <w:rPr>
          <w:sz w:val="20"/>
          <w:szCs w:val="20"/>
          <w:color w:val="auto"/>
        </w:rPr>
      </w:pPr>
    </w:p>
    <w:p>
      <w:pPr>
        <w:jc w:val="both"/>
        <w:ind w:right="3159" w:firstLine="182"/>
        <w:spacing w:after="0" w:line="246" w:lineRule="auto"/>
        <w:rPr>
          <w:sz w:val="20"/>
          <w:szCs w:val="20"/>
          <w:color w:val="auto"/>
        </w:rPr>
      </w:pPr>
      <w:r>
        <w:rPr>
          <w:rFonts w:ascii="Courier New" w:cs="Courier New" w:eastAsia="Courier New" w:hAnsi="Courier New"/>
          <w:sz w:val="15"/>
          <w:szCs w:val="15"/>
          <w:color w:val="auto"/>
        </w:rPr>
        <w:t>The Compensation Committee of the Board of Directors is comprised entirely of outside directors who review and approve compensation programs applicable to executive officers. Specific awards for these officers are approved by the committee.</w:t>
      </w:r>
    </w:p>
    <w:p>
      <w:pPr>
        <w:spacing w:after="0" w:line="177" w:lineRule="exact"/>
        <w:rPr>
          <w:sz w:val="20"/>
          <w:szCs w:val="20"/>
          <w:color w:val="auto"/>
        </w:rPr>
      </w:pPr>
    </w:p>
    <w:p>
      <w:pPr>
        <w:ind w:right="3699" w:firstLine="182"/>
        <w:spacing w:after="0" w:line="247"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Cash Incentive Awards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Grants</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For many years, Schlumberger has emphasized career opportunities by recruiting from colleges and universities in countries where Schlumberger works (more than 70 countries throughout the world), supporting mobility and maintaining competitive compensation programs which are based on an employee's contribution and potential rather than country of origin.</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Thus, the three programs noted above are applicable not only to executive officers, but to thousands of managerial, professional and technical employees of Schlumberger. At all levels, employees enjoy competitive base salaries. Participation in an annual cash incentive program is added to the compensation package as employees advance, with the size of incentive opportunity increasing as one progresses in the organization.</w:t>
      </w:r>
    </w:p>
    <w:p>
      <w:pPr>
        <w:spacing w:after="0" w:line="178" w:lineRule="exact"/>
        <w:rPr>
          <w:sz w:val="20"/>
          <w:szCs w:val="20"/>
          <w:color w:val="auto"/>
        </w:rPr>
      </w:pPr>
    </w:p>
    <w:p>
      <w:pPr>
        <w:ind w:right="3239" w:firstLine="182"/>
        <w:spacing w:after="0" w:line="246" w:lineRule="auto"/>
        <w:rPr>
          <w:sz w:val="20"/>
          <w:szCs w:val="20"/>
          <w:color w:val="auto"/>
        </w:rPr>
      </w:pPr>
      <w:r>
        <w:rPr>
          <w:rFonts w:ascii="Courier New" w:cs="Courier New" w:eastAsia="Courier New" w:hAnsi="Courier New"/>
          <w:sz w:val="15"/>
          <w:szCs w:val="15"/>
          <w:color w:val="auto"/>
        </w:rPr>
        <w:t>Within the first few years of employment, those with strong performance as well as outstanding potential may be awarded stock option grants, which are discretionary in nature.</w:t>
      </w:r>
    </w:p>
    <w:p>
      <w:pPr>
        <w:spacing w:after="0" w:line="176" w:lineRule="exact"/>
        <w:rPr>
          <w:sz w:val="20"/>
          <w:szCs w:val="20"/>
          <w:color w:val="auto"/>
        </w:rPr>
      </w:pPr>
    </w:p>
    <w:p>
      <w:pPr>
        <w:ind w:right="3339" w:firstLine="182"/>
        <w:spacing w:after="0" w:line="246" w:lineRule="auto"/>
        <w:rPr>
          <w:sz w:val="20"/>
          <w:szCs w:val="20"/>
          <w:color w:val="auto"/>
        </w:rPr>
      </w:pPr>
      <w:r>
        <w:rPr>
          <w:rFonts w:ascii="Courier New" w:cs="Courier New" w:eastAsia="Courier New" w:hAnsi="Courier New"/>
          <w:sz w:val="15"/>
          <w:szCs w:val="15"/>
          <w:color w:val="auto"/>
        </w:rPr>
        <w:t>In this way, an increasing portion of the successful employee's total compensation becomes leveraged against yearly results and Company long-term appreciation due to the expanding role played by cash incentives and stock options in the total compensation package.</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Company's subsidiaries also have profit sharing plans that provide annual deferred awards based on the results of the fiscal year for the subsidiary sponsoring the plan. These awards also tend to increase the portion of total compensation which is leveraged against business results.</w:t>
      </w:r>
    </w:p>
    <w:p>
      <w:pPr>
        <w:spacing w:after="0" w:line="177"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Base salaries are reviewed annually for competitiveness against a database of comparator company information provided by outside compensation consultants. The companies in the database reflect those broad industry segments in which Schlumberger competes -- oil-related, high technology and high volume manufacturing. The companies in the database may change slightly from year to year due to mergers and acquisitions as well as the normal movement of companies into and out of the database at their own volition. The same companies used for executive officer base salary ranges are used for professional and managerial employees of Schlumberger throughout the world.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42" w:right="1440" w:bottom="1440" w:gutter="0" w:footer="0" w:header="0"/>
        </w:sectPr>
      </w:pPr>
    </w:p>
    <w:bookmarkStart w:id="15" w:name="page16"/>
    <w:bookmarkEnd w:id="15"/>
    <w:p>
      <w:pPr>
        <w:ind w:right="3239" w:firstLine="182"/>
        <w:spacing w:after="0" w:line="246"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 Industry Group). The Value Line companies do not constitute a source of recruits nor do they reflect all the industry segments in which Schlumberger operates.</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periods of low inflation.</w:t>
      </w:r>
    </w:p>
    <w:p>
      <w:pPr>
        <w:spacing w:after="0" w:line="177" w:lineRule="exact"/>
        <w:rPr>
          <w:sz w:val="20"/>
          <w:szCs w:val="20"/>
          <w:color w:val="auto"/>
        </w:rPr>
      </w:pPr>
    </w:p>
    <w:p>
      <w:pPr>
        <w:ind w:right="3239" w:firstLine="182"/>
        <w:spacing w:after="0" w:line="246" w:lineRule="auto"/>
        <w:rPr>
          <w:sz w:val="20"/>
          <w:szCs w:val="20"/>
          <w:color w:val="auto"/>
        </w:rPr>
      </w:pPr>
      <w:r>
        <w:rPr>
          <w:rFonts w:ascii="Courier New" w:cs="Courier New" w:eastAsia="Courier New" w:hAnsi="Courier New"/>
          <w:sz w:val="15"/>
          <w:szCs w:val="15"/>
          <w:color w:val="auto"/>
        </w:rPr>
        <w:t>Consistent with this policy, Andrew Gould's salary was increased on his promotion to Executive Vice President with responsibility for the entire Oilfield Services group. One named executive officer was appointed in 1999, Jack Liu, to succeed Arthur Lindenauer as Executive Vice President, Finance.</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year.</w:t>
      </w:r>
    </w:p>
    <w:p>
      <w:pPr>
        <w:spacing w:after="0" w:line="176"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For all executive officers, incentive awards are calculated as a percent of the base salary paid for the completed calendar year. The percent varies among executive officer positions to reflect the differing levels of potential impact on Company results. For 1999, the incentive award ranges were: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100% for Mr. Baird</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75% for Messrs. Grijalva, Gould and Pfister</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60% for Mr. Liu</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With exceptional results, the incentive ranges can be exceeded.</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One-half of the incentive potential for each executive officer is a function of performance against financial targets for the Company or the business sector for which the executive officer is responsible. In 1999, the Company objectives were divided between specific numerical targets and earnings; the business sector target is net income for that sector.</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continued downturn in the oil business in 1999 affected the financial results and the incentive awards of three named executive officers (Messrs. Grijalva, Gould and Liu). Their total cash compensation for 1999 is at or below the median of available comparator market data. Mr. Pfister's incentive is based on financial results of Automated Test Equipment, Smart Cards and Terminals, and the sale of Retail Petroleum Systems, the results of which were finalized in 1999. Based on results, Mr. Pfister's total cash compensation is at the median of comparator market data.</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42" w:right="1440" w:bottom="1440" w:gutter="0" w:footer="0" w:header="0"/>
        </w:sectPr>
      </w:pPr>
    </w:p>
    <w:bookmarkStart w:id="16" w:name="page17"/>
    <w:bookmarkEnd w:id="16"/>
    <w:p>
      <w:pPr>
        <w:ind w:right="3159" w:firstLine="182"/>
        <w:spacing w:after="0" w:line="246" w:lineRule="auto"/>
        <w:rPr>
          <w:sz w:val="20"/>
          <w:szCs w:val="20"/>
          <w:color w:val="auto"/>
        </w:rPr>
      </w:pPr>
      <w:r>
        <w:rPr>
          <w:rFonts w:ascii="Courier New" w:cs="Courier New" w:eastAsia="Courier New" w:hAnsi="Courier New"/>
          <w:sz w:val="15"/>
          <w:szCs w:val="15"/>
          <w:color w:val="auto"/>
        </w:rPr>
        <w:t>Stock option grants were awarded in 1999 on a general basis throughout Schlumberger to professional, managerial and technical employees deemed eligible for consideration. Such reviews are conducted every 18 months to two years. Grants are awarded on an entirely discretionary basis to individuals demonstrating exceptional performance in their current positions as well as the likelihood of continuing high quality performance in the future. In addition, grants typically are awarded between general reviews to recognize promotions, substantial changes in responsibility, and significant individual or team achievements. The 1999 grants emphasized high potential employees early in their careers with Schlumberger.</w:t>
      </w:r>
    </w:p>
    <w:p>
      <w:pPr>
        <w:spacing w:after="0" w:line="180" w:lineRule="exact"/>
        <w:rPr>
          <w:sz w:val="20"/>
          <w:szCs w:val="20"/>
          <w:color w:val="auto"/>
        </w:rPr>
      </w:pPr>
    </w:p>
    <w:p>
      <w:pPr>
        <w:ind w:right="3059" w:firstLine="182"/>
        <w:spacing w:after="0" w:line="247" w:lineRule="auto"/>
        <w:rPr>
          <w:sz w:val="20"/>
          <w:szCs w:val="20"/>
          <w:color w:val="auto"/>
        </w:rPr>
      </w:pPr>
      <w:r>
        <w:rPr>
          <w:rFonts w:ascii="Courier New" w:cs="Courier New" w:eastAsia="Courier New" w:hAnsi="Courier New"/>
          <w:sz w:val="15"/>
          <w:szCs w:val="15"/>
          <w:color w:val="auto"/>
        </w:rPr>
        <w:t>Of the named executive officers, Messrs. Gould, Pfister and Liu were awarded stock option grants in 1999.</w:t>
      </w:r>
    </w:p>
    <w:p>
      <w:pPr>
        <w:spacing w:after="0" w:line="174"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all other optionees -- 10-year term, vesting in 20% steps at the first through fifth anniversary of grant date, and option price equal to fair market value on date of grant.</w:t>
      </w:r>
    </w:p>
    <w:p>
      <w:pPr>
        <w:spacing w:after="0" w:line="177"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Company does not utilize below-market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1999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9"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The same database of companies used for comparison purposes to review base salaries of other executive officers (and managerial employees throughout the Schlumberger universe) is studied to consider the base salary of the Chief Executive Officer. The database reflects the industry segments in which the Company operates -- oil-related, high technology and high volume manufacturing.</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Chief Executive Officer's salary remained at $1,500,000 during 1999.</w:t>
      </w:r>
    </w:p>
    <w:p>
      <w:pPr>
        <w:spacing w:after="0" w:line="179" w:lineRule="exact"/>
        <w:rPr>
          <w:sz w:val="20"/>
          <w:szCs w:val="20"/>
          <w:color w:val="auto"/>
        </w:rPr>
      </w:pPr>
    </w:p>
    <w:p>
      <w:pPr>
        <w:ind w:right="3239" w:firstLine="182"/>
        <w:spacing w:after="0" w:line="246" w:lineRule="auto"/>
        <w:rPr>
          <w:sz w:val="20"/>
          <w:szCs w:val="20"/>
          <w:color w:val="auto"/>
        </w:rPr>
      </w:pPr>
      <w:r>
        <w:rPr>
          <w:rFonts w:ascii="Courier New" w:cs="Courier New" w:eastAsia="Courier New" w:hAnsi="Courier New"/>
          <w:sz w:val="15"/>
          <w:szCs w:val="15"/>
          <w:color w:val="auto"/>
        </w:rPr>
        <w:t>The potential cash incentive award for Mr. Baird for 1999 was 100% of base salary. As with other executive officers with corporate responsibility, one-half of this award potential was a measure of performance against specific financial targets for the Company. These financial targets were not fully achieved in 1999 so payment on this half of the incentive award is in proportion to the results.</w:t>
      </w:r>
    </w:p>
    <w:p>
      <w:pPr>
        <w:spacing w:after="0" w:line="178" w:lineRule="exact"/>
        <w:rPr>
          <w:sz w:val="20"/>
          <w:szCs w:val="20"/>
          <w:color w:val="auto"/>
        </w:rPr>
      </w:pPr>
    </w:p>
    <w:p>
      <w:pPr>
        <w:ind w:right="3239" w:firstLine="182"/>
        <w:spacing w:after="0" w:line="246" w:lineRule="auto"/>
        <w:rPr>
          <w:sz w:val="20"/>
          <w:szCs w:val="20"/>
          <w:color w:val="auto"/>
        </w:rPr>
      </w:pPr>
      <w:r>
        <w:rPr>
          <w:rFonts w:ascii="Courier New" w:cs="Courier New" w:eastAsia="Courier New" w:hAnsi="Courier New"/>
          <w:sz w:val="15"/>
          <w:szCs w:val="15"/>
          <w:color w:val="auto"/>
        </w:rPr>
        <w:t>The second half of the award potential reflects the committee's evaluation of Mr. Baird's performance against strategic objectives established early in 1999 for the calendar year. These objectives were a combination of market growth, acquisition, and organizational changes. Disclosure of specific measures applied to evaluate achievement of Mr. Baird's objectives could adversely affect the Company's competitive position.</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642" w:right="1440" w:bottom="1440" w:gutter="0" w:footer="0" w:header="0"/>
        </w:sectPr>
      </w:pPr>
    </w:p>
    <w:bookmarkStart w:id="17" w:name="page18"/>
    <w:bookmarkEnd w:id="17"/>
    <w:p>
      <w:pPr>
        <w:ind w:right="3159" w:firstLine="182"/>
        <w:spacing w:after="0" w:line="246" w:lineRule="auto"/>
        <w:rPr>
          <w:sz w:val="20"/>
          <w:szCs w:val="20"/>
          <w:color w:val="auto"/>
        </w:rPr>
      </w:pPr>
      <w:r>
        <w:rPr>
          <w:rFonts w:ascii="Courier New" w:cs="Courier New" w:eastAsia="Courier New" w:hAnsi="Courier New"/>
          <w:sz w:val="15"/>
          <w:szCs w:val="15"/>
          <w:color w:val="auto"/>
        </w:rPr>
        <w:t>The total cash incentive awarded Mr. Baird for 1999 performance was $1,000,000. In combination with base salary, this places him at the median of available comparator market data.</w:t>
      </w:r>
    </w:p>
    <w:p>
      <w:pPr>
        <w:spacing w:after="0" w:line="176"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Mr. Baird has no employment agreement with the Company.</w:t>
      </w:r>
    </w:p>
    <w:p>
      <w:pPr>
        <w:spacing w:after="0" w:line="179" w:lineRule="exact"/>
        <w:rPr>
          <w:sz w:val="20"/>
          <w:szCs w:val="20"/>
          <w:color w:val="auto"/>
        </w:rPr>
      </w:pPr>
    </w:p>
    <w:p>
      <w:pPr>
        <w:ind w:right="4779"/>
        <w:spacing w:after="0" w:line="247" w:lineRule="auto"/>
        <w:rPr>
          <w:sz w:val="20"/>
          <w:szCs w:val="20"/>
          <w:color w:val="auto"/>
        </w:rPr>
      </w:pPr>
      <w:r>
        <w:rPr>
          <w:rFonts w:ascii="Courier New" w:cs="Courier New" w:eastAsia="Courier New" w:hAnsi="Courier New"/>
          <w:sz w:val="15"/>
          <w:szCs w:val="15"/>
          <w:color w:val="auto"/>
        </w:rPr>
        <w:t>SUBMITTED BY THE COMPENSATION COMMITTEE OF THE SCHLUMBERGER BOARD OF DIRECTORS</w:t>
      </w:r>
    </w:p>
    <w:p>
      <w:pPr>
        <w:sectPr>
          <w:pgSz w:w="11900" w:h="16838" w:orient="portrait"/>
          <w:cols w:equalWidth="0" w:num="1">
            <w:col w:w="10139"/>
          </w:cols>
          <w:pgMar w:left="320" w:top="642" w:right="1440" w:bottom="1440" w:gutter="0" w:footer="0" w:header="0"/>
        </w:sectPr>
      </w:pPr>
    </w:p>
    <w:p>
      <w:pPr>
        <w:spacing w:after="0" w:line="174" w:lineRule="exact"/>
        <w:rPr>
          <w:sz w:val="20"/>
          <w:szCs w:val="20"/>
          <w:color w:val="auto"/>
        </w:rPr>
      </w:pPr>
    </w:p>
    <w:p>
      <w:pPr>
        <w:ind w:left="540" w:right="840"/>
        <w:spacing w:after="0" w:line="247" w:lineRule="auto"/>
        <w:rPr>
          <w:sz w:val="20"/>
          <w:szCs w:val="20"/>
          <w:color w:val="auto"/>
        </w:rPr>
      </w:pPr>
      <w:r>
        <w:rPr>
          <w:rFonts w:ascii="Courier New" w:cs="Courier New" w:eastAsia="Courier New" w:hAnsi="Courier New"/>
          <w:sz w:val="15"/>
          <w:szCs w:val="15"/>
          <w:color w:val="auto"/>
        </w:rPr>
        <w:t>Don E. Ackerman, Chairman Denys Henderson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179" w:lineRule="exact"/>
        <w:rPr>
          <w:sz w:val="20"/>
          <w:szCs w:val="20"/>
          <w:color w:val="auto"/>
        </w:rPr>
      </w:pPr>
    </w:p>
    <w:p>
      <w:pPr>
        <w:sectPr>
          <w:pgSz w:w="11900" w:h="16838" w:orient="portrait"/>
          <w:cols w:equalWidth="0" w:num="2">
            <w:col w:w="3640" w:space="720"/>
            <w:col w:w="5779"/>
          </w:cols>
          <w:pgMar w:left="320" w:top="642"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42" w:right="1440" w:bottom="1440" w:gutter="0" w:footer="0" w:header="0"/>
          <w:type w:val="continuous"/>
        </w:sectPr>
      </w:pPr>
    </w:p>
    <w:bookmarkStart w:id="18" w:name="page19"/>
    <w:bookmarkEnd w:id="18"/>
    <w:p>
      <w:pPr>
        <w:ind w:left="2540"/>
        <w:spacing w:after="0"/>
        <w:rPr>
          <w:sz w:val="20"/>
          <w:szCs w:val="20"/>
          <w:color w:val="auto"/>
        </w:rPr>
      </w:pPr>
      <w:r>
        <w:rPr>
          <w:rFonts w:ascii="Courier New" w:cs="Courier New" w:eastAsia="Courier New" w:hAnsi="Courier New"/>
          <w:sz w:val="15"/>
          <w:szCs w:val="15"/>
          <w:color w:val="auto"/>
        </w:rPr>
        <w:t>2. Financial Statements</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Company's Consolidated Balance Sheet as at December 31, 1999, its Consolidated Statement of Income for the year ended December 31, 1999, as audited by PricewaterhouseCoopers LLP, and the amount of dividends declared by the Board of Directors during 1999 are submitted to the stockholders pursuant to the Schlumberger Deed of Incorporation.</w:t>
      </w:r>
    </w:p>
    <w:p>
      <w:pPr>
        <w:spacing w:after="0" w:line="177" w:lineRule="exact"/>
        <w:rPr>
          <w:sz w:val="20"/>
          <w:szCs w:val="20"/>
          <w:color w:val="auto"/>
        </w:rPr>
      </w:pPr>
    </w:p>
    <w:p>
      <w:pPr>
        <w:ind w:right="3339" w:firstLine="182"/>
        <w:spacing w:after="0" w:line="246" w:lineRule="auto"/>
        <w:rPr>
          <w:sz w:val="20"/>
          <w:szCs w:val="20"/>
          <w:color w:val="auto"/>
        </w:rPr>
      </w:pPr>
      <w:r>
        <w:rPr>
          <w:rFonts w:ascii="Courier New" w:cs="Courier New" w:eastAsia="Courier New" w:hAnsi="Courier New"/>
          <w:sz w:val="15"/>
          <w:szCs w:val="15"/>
          <w:color w:val="auto"/>
        </w:rPr>
        <w:t>A majority of the votes cast is required for the adoption and approval of the financial results as set forth in the financial statements and of the declaration of dividends by the Board of Directors as reflected in the 1999 Annual Report to Stockholders.</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79"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3. Appointment of Auditors</w:t>
      </w:r>
    </w:p>
    <w:p>
      <w:pPr>
        <w:spacing w:after="0" w:line="179"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PricewaterhouseCoopers LLP have been selected by the Board of Directors as independent public accountants to audit the accounts of the Company for the year 2000. The Schlumberger by-laws provide that the selection of auditors is subject to approval by the stockholders, and a majority of the votes cast is required for such approval. A representative of PricewaterhouseCoopers LLP will attend the 2000 Annual General Meeting and will have the opportunity to make a statement and respond to questions.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4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Stockholder Proposals for 2001 Annual General Meeting</w:t>
      </w:r>
    </w:p>
    <w:p>
      <w:pPr>
        <w:spacing w:after="0" w:line="179"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In order for a stockholder proposal to be considered for inclusion in the proxy statement for the 2001 Annual General Meeting of Stockholders, written proposals must be received by the Secretary of the Company, 277 Park Avenue, New York, New York 10172-0266, no later than November 8, 2000. Pursuant to the rules under the Securities Exchange Act of 1934, the Company may use discretionary authority to vote with respect to stockholder proposals presented in person at the 2001 Annual General Meeting if the stockholder making the proposal has not given notice to the Company by January 22, 2001.</w:t>
      </w:r>
    </w:p>
    <w:p>
      <w:pPr>
        <w:spacing w:after="0" w:line="17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Other Matters</w:t>
      </w:r>
    </w:p>
    <w:p>
      <w:pPr>
        <w:spacing w:after="0" w:line="179" w:lineRule="exact"/>
        <w:rPr>
          <w:sz w:val="20"/>
          <w:szCs w:val="20"/>
          <w:color w:val="auto"/>
        </w:rPr>
      </w:pPr>
    </w:p>
    <w:p>
      <w:pPr>
        <w:ind w:right="3159" w:firstLine="182"/>
        <w:spacing w:after="0" w:line="246"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at 277 Park Avenue, New York, New York 10172-0266.</w:t>
      </w:r>
    </w:p>
    <w:p>
      <w:pPr>
        <w:spacing w:after="0" w:line="176" w:lineRule="exact"/>
        <w:rPr>
          <w:sz w:val="20"/>
          <w:szCs w:val="20"/>
          <w:color w:val="auto"/>
        </w:rPr>
      </w:pPr>
    </w:p>
    <w:p>
      <w:pPr>
        <w:ind w:right="3059" w:firstLine="182"/>
        <w:spacing w:after="0" w:line="246"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7" w:lineRule="exact"/>
        <w:rPr>
          <w:sz w:val="20"/>
          <w:szCs w:val="20"/>
          <w:color w:val="auto"/>
        </w:rPr>
      </w:pPr>
    </w:p>
    <w:p>
      <w:pPr>
        <w:ind w:right="3779" w:firstLine="182"/>
        <w:spacing w:after="0" w:line="247"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74" w:lineRule="exact"/>
        <w:rPr>
          <w:sz w:val="20"/>
          <w:szCs w:val="20"/>
          <w:color w:val="auto"/>
        </w:rPr>
      </w:pPr>
    </w:p>
    <w:p>
      <w:pPr>
        <w:jc w:val="right"/>
        <w:ind w:right="305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9"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James L. Gunderson</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Secretary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8, 2000</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4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[LOGO OF SCHLUMBERGER]</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GENERAL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STOCKHOLDERS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12, 2000</w:t>
      </w:r>
    </w:p>
    <w:p>
      <w:pPr>
        <w:spacing w:after="0" w:line="200" w:lineRule="exact"/>
        <w:rPr>
          <w:sz w:val="20"/>
          <w:szCs w:val="20"/>
          <w:color w:val="auto"/>
        </w:rPr>
      </w:pPr>
    </w:p>
    <w:p>
      <w:pPr>
        <w:spacing w:after="0" w:line="32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Please sign your proxy card and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return it in the enclosed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envelope so that you may be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represented at the Meeting.</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39"/>
          </w:cols>
          <w:pgMar w:left="320" w:top="642" w:right="1440" w:bottom="1440" w:gutter="0" w:footer="0" w:header="0"/>
        </w:sectPr>
      </w:pPr>
    </w:p>
    <w:bookmarkStart w:id="21" w:name="page22"/>
    <w:bookmarkEnd w:id="21"/>
    <w:p>
      <w:pPr>
        <w:ind w:left="1727"/>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354"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79"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354" w:lineRule="exact"/>
        <w:rPr>
          <w:sz w:val="20"/>
          <w:szCs w:val="20"/>
          <w:color w:val="auto"/>
        </w:rPr>
      </w:pPr>
    </w:p>
    <w:p>
      <w:pPr>
        <w:jc w:val="both"/>
        <w:ind w:left="447" w:right="3159" w:hanging="447"/>
        <w:spacing w:after="0" w:line="246" w:lineRule="auto"/>
        <w:tabs>
          <w:tab w:leader="none" w:pos="9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having received the Notice and Proxy Statement for the Annual General Meeting of Stockholders and the 1999 Annual Report to</w:t>
      </w:r>
    </w:p>
    <w:p>
      <w:pPr>
        <w:spacing w:after="0" w:line="1" w:lineRule="exact"/>
        <w:rPr>
          <w:sz w:val="20"/>
          <w:szCs w:val="20"/>
          <w:color w:val="auto"/>
        </w:rPr>
      </w:pPr>
    </w:p>
    <w:p>
      <w:pPr>
        <w:ind w:left="447" w:right="2879"/>
        <w:spacing w:after="0" w:line="246" w:lineRule="auto"/>
        <w:rPr>
          <w:sz w:val="20"/>
          <w:szCs w:val="20"/>
          <w:color w:val="auto"/>
        </w:rPr>
      </w:pPr>
      <w:r>
        <w:rPr>
          <w:rFonts w:ascii="Courier New" w:cs="Courier New" w:eastAsia="Courier New" w:hAnsi="Courier New"/>
          <w:sz w:val="15"/>
          <w:szCs w:val="15"/>
          <w:color w:val="auto"/>
        </w:rPr>
        <w:t>Stockholders, hereby appoints A.L.A. Bosnie, Aede Gerbranda, Jan A. Koning, and M.P. Weber-Dommisse and each of them, proxies, with power of</w:t>
      </w:r>
    </w:p>
    <w:p>
      <w:pPr>
        <w:spacing w:after="0" w:line="1" w:lineRule="exact"/>
        <w:rPr>
          <w:sz w:val="20"/>
          <w:szCs w:val="20"/>
          <w:color w:val="auto"/>
        </w:rPr>
      </w:pPr>
    </w:p>
    <w:p>
      <w:pPr>
        <w:ind w:left="447" w:right="2979" w:hanging="447"/>
        <w:spacing w:after="0" w:line="246" w:lineRule="auto"/>
        <w:tabs>
          <w:tab w:leader="none" w:pos="44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to vote in the manner indicated on the reverse side hereof, and with discretionary authority as to any other matters that may properly come before the meeting, all my (our) shares of record of Schlumberger</w:t>
      </w:r>
    </w:p>
    <w:p>
      <w:pPr>
        <w:spacing w:after="0" w:line="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Limited (Schlumberger N.V.) at the Annual General Meeting of Stockholders</w:t>
      </w:r>
    </w:p>
    <w:p>
      <w:pPr>
        <w:spacing w:after="0" w:line="5" w:lineRule="exact"/>
        <w:rPr>
          <w:sz w:val="20"/>
          <w:szCs w:val="20"/>
          <w:color w:val="auto"/>
        </w:rPr>
      </w:pPr>
    </w:p>
    <w:p>
      <w:pPr>
        <w:ind w:left="447" w:right="3159" w:hanging="447"/>
        <w:spacing w:after="0" w:line="246" w:lineRule="auto"/>
        <w:tabs>
          <w:tab w:leader="none" w:pos="4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held at the Avila Beach Hotel, Penstraat 130, Willemstad, Curacao, Netherlands Antilles on April 12, 2000, and at any adjournment or adjournments thereof.</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w:t>
      </w:r>
    </w:p>
    <w:p>
      <w:pPr>
        <w:spacing w:after="0" w:line="17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If no other indication is made, the proxies will vote FOR the election of</w:t>
      </w:r>
    </w:p>
    <w:p>
      <w:pPr>
        <w:spacing w:after="0" w:line="5" w:lineRule="exact"/>
        <w:rPr>
          <w:sz w:val="20"/>
          <w:szCs w:val="20"/>
          <w:color w:val="auto"/>
        </w:rPr>
      </w:pPr>
    </w:p>
    <w:p>
      <w:pPr>
        <w:ind w:left="447" w:hanging="447"/>
        <w:spacing w:after="0"/>
        <w:tabs>
          <w:tab w:leader="none" w:pos="4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 nominees and FOR Proposals 2 and 3.</w:t>
      </w:r>
    </w:p>
    <w:p>
      <w:pPr>
        <w:sectPr>
          <w:pgSz w:w="11900" w:h="16838" w:orient="portrait"/>
          <w:cols w:equalWidth="0" w:num="1">
            <w:col w:w="10146"/>
          </w:cols>
          <w:pgMar w:left="313" w:top="642" w:right="1440"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SEE REVERSE</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REVERSE</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3">
            <w:col w:w="1367" w:space="180"/>
            <w:col w:w="3820" w:space="440"/>
            <w:col w:w="4339"/>
          </w:cols>
          <w:pgMar w:left="313" w:top="642" w:right="1440" w:bottom="1440" w:gutter="0" w:footer="0" w:header="0"/>
          <w:type w:val="continuous"/>
        </w:sectPr>
      </w:pPr>
    </w:p>
    <w:bookmarkStart w:id="22" w:name="page23"/>
    <w:bookmarkEnd w:id="22"/>
    <w:p>
      <w:pPr>
        <w:ind w:left="367" w:right="9800" w:hanging="367"/>
        <w:spacing w:after="0" w:line="246"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votes as in this example.</w:t>
      </w:r>
    </w:p>
    <w:p>
      <w:pPr>
        <w:spacing w:after="0" w:line="176"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Unless you indicate otherwise, this proxy will be voted in accordance with the</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Board of Directors' recommendations.</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Directors recommend a vote FOR items 1, 2 and 3.</w:t>
      </w:r>
    </w:p>
    <w:p>
      <w:pPr>
        <w:spacing w:after="0" w:line="200" w:lineRule="exact"/>
        <w:rPr>
          <w:sz w:val="20"/>
          <w:szCs w:val="20"/>
          <w:color w:val="auto"/>
        </w:rPr>
      </w:pPr>
    </w:p>
    <w:p>
      <w:pPr>
        <w:spacing w:after="0" w:line="329"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1. Election of 12 Directors</w:t>
      </w:r>
    </w:p>
    <w:p>
      <w:pPr>
        <w:sectPr>
          <w:pgSz w:w="11900" w:h="16838" w:orient="portrait"/>
          <w:cols w:equalWidth="0" w:num="1">
            <w:col w:w="11347"/>
          </w:cols>
          <w:pgMar w:left="313" w:top="642" w:right="239" w:bottom="1440" w:gutter="0" w:footer="0" w:header="0"/>
        </w:sectPr>
      </w:pPr>
    </w:p>
    <w:p>
      <w:pPr>
        <w:spacing w:after="0" w:line="5" w:lineRule="exact"/>
        <w:rPr>
          <w:sz w:val="20"/>
          <w:szCs w:val="20"/>
          <w:color w:val="auto"/>
        </w:rPr>
      </w:pPr>
    </w:p>
    <w:p>
      <w:pPr>
        <w:ind w:left="447" w:right="460"/>
        <w:spacing w:after="0" w:line="246" w:lineRule="auto"/>
        <w:rPr>
          <w:sz w:val="20"/>
          <w:szCs w:val="20"/>
          <w:color w:val="auto"/>
        </w:rPr>
      </w:pPr>
      <w:r>
        <w:rPr>
          <w:rFonts w:ascii="Courier New" w:cs="Courier New" w:eastAsia="Courier New" w:hAnsi="Courier New"/>
          <w:sz w:val="15"/>
          <w:szCs w:val="15"/>
          <w:color w:val="auto"/>
        </w:rPr>
        <w:t>Nominees: D.E. Ackerman, D.E. Baird, J. Deutch, V.E. Grijalva, D. Henderson,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 Adoption and approval of Financials [_]</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5"/>
          <w:szCs w:val="15"/>
          <w:color w:val="auto"/>
        </w:rPr>
        <w:t>ABSTAIN</w:t>
      </w:r>
    </w:p>
    <w:p>
      <w:pPr>
        <w:spacing w:after="0" w:line="5"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[_]</w:t>
      </w:r>
    </w:p>
    <w:p>
      <w:pPr>
        <w:spacing w:after="0" w:line="4" w:lineRule="exact"/>
        <w:rPr>
          <w:sz w:val="20"/>
          <w:szCs w:val="20"/>
          <w:color w:val="auto"/>
        </w:rPr>
      </w:pPr>
    </w:p>
    <w:p>
      <w:pPr>
        <w:sectPr>
          <w:pgSz w:w="11900" w:h="16838" w:orient="portrait"/>
          <w:cols w:equalWidth="0" w:num="4">
            <w:col w:w="4467" w:space="720"/>
            <w:col w:w="3800" w:space="280"/>
            <w:col w:w="640" w:space="180"/>
            <w:col w:w="1260"/>
          </w:cols>
          <w:pgMar w:left="313" w:top="642" w:right="239"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A. Levy-Lang, W.T. McCormick,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and Dividends</w:t>
      </w:r>
    </w:p>
    <w:p>
      <w:pPr>
        <w:spacing w:after="0" w:line="5" w:lineRule="exact"/>
        <w:rPr>
          <w:sz w:val="20"/>
          <w:szCs w:val="20"/>
          <w:color w:val="auto"/>
        </w:rPr>
      </w:pPr>
    </w:p>
    <w:p>
      <w:pPr>
        <w:sectPr>
          <w:pgSz w:w="11900" w:h="16838" w:orient="portrait"/>
          <w:cols w:equalWidth="0" w:num="2">
            <w:col w:w="4727" w:space="720"/>
            <w:col w:w="5900"/>
          </w:cols>
          <w:pgMar w:left="313" w:top="642" w:right="239"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D. Primat, N. Seydoux, L.G. Stuntz,</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 Ullring, Y. Wakumoto</w:t>
      </w:r>
    </w:p>
    <w:p>
      <w:pPr>
        <w:sectPr>
          <w:pgSz w:w="11900" w:h="16838" w:orient="portrait"/>
          <w:cols w:equalWidth="0" w:num="1">
            <w:col w:w="11347"/>
          </w:cols>
          <w:pgMar w:left="313" w:top="642" w:right="239" w:bottom="1440" w:gutter="0" w:footer="0" w:header="0"/>
          <w:type w:val="continuous"/>
        </w:sectPr>
      </w:pPr>
    </w:p>
    <w:p>
      <w:pPr>
        <w:spacing w:after="0" w:line="179" w:lineRule="exact"/>
        <w:rPr>
          <w:sz w:val="20"/>
          <w:szCs w:val="20"/>
          <w:color w:val="auto"/>
        </w:rPr>
      </w:pPr>
    </w:p>
    <w:p>
      <w:pPr>
        <w:ind w:left="627" w:right="740" w:firstLine="273"/>
        <w:spacing w:after="0" w:line="247" w:lineRule="auto"/>
        <w:rPr>
          <w:sz w:val="20"/>
          <w:szCs w:val="20"/>
          <w:color w:val="auto"/>
        </w:rPr>
      </w:pPr>
      <w:r>
        <w:rPr>
          <w:rFonts w:ascii="Courier New" w:cs="Courier New" w:eastAsia="Courier New" w:hAnsi="Courier New"/>
          <w:sz w:val="15"/>
          <w:szCs w:val="15"/>
          <w:color w:val="auto"/>
        </w:rPr>
        <w:t>FOR WITHHELD ALL [_] [_] FROM ALL NOMINEES NOMINEES For, except vote withheld from the following nominees(s):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5"/>
          <w:szCs w:val="15"/>
          <w:color w:val="auto"/>
        </w:rPr>
        <w:t>3. Approval of Auditors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729" w:lineRule="exact"/>
        <w:rPr>
          <w:sz w:val="20"/>
          <w:szCs w:val="20"/>
          <w:color w:val="auto"/>
        </w:rPr>
      </w:pPr>
    </w:p>
    <w:p>
      <w:pPr>
        <w:sectPr>
          <w:pgSz w:w="11900" w:h="16838" w:orient="portrait"/>
          <w:cols w:equalWidth="0" w:num="5">
            <w:col w:w="4467" w:space="720"/>
            <w:col w:w="2820" w:space="720"/>
            <w:col w:w="260" w:space="460"/>
            <w:col w:w="280" w:space="540"/>
            <w:col w:w="1080"/>
          </w:cols>
          <w:pgMar w:left="313" w:top="642" w:right="239" w:bottom="1440" w:gutter="0" w:footer="0" w:header="0"/>
          <w:type w:val="continuous"/>
        </w:sectPr>
      </w:pPr>
    </w:p>
    <w:p>
      <w:pPr>
        <w:spacing w:after="0" w:line="149"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[_] ___________________________________</w:t>
      </w:r>
    </w:p>
    <w:p>
      <w:pPr>
        <w:sectPr>
          <w:pgSz w:w="11900" w:h="16838" w:orient="portrait"/>
          <w:cols w:equalWidth="0" w:num="1">
            <w:col w:w="11347"/>
          </w:cols>
          <w:pgMar w:left="313" w:top="642" w:right="2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0" w:lineRule="exact"/>
        <w:rPr>
          <w:sz w:val="20"/>
          <w:szCs w:val="20"/>
          <w:color w:val="auto"/>
        </w:rPr>
      </w:pPr>
    </w:p>
    <w:p>
      <w:pPr>
        <w:sectPr>
          <w:pgSz w:w="11900" w:h="16838" w:orient="portrait"/>
          <w:cols w:equalWidth="0" w:num="2">
            <w:col w:w="9267" w:space="180"/>
            <w:col w:w="1900"/>
          </w:cols>
          <w:pgMar w:left="313" w:top="642" w:right="239" w:bottom="1440" w:gutter="0" w:footer="0" w:header="0"/>
          <w:type w:val="continuous"/>
        </w:sectPr>
      </w:pPr>
    </w:p>
    <w:p>
      <w:pPr>
        <w:spacing w:after="0" w:line="329" w:lineRule="exact"/>
        <w:rPr>
          <w:sz w:val="20"/>
          <w:szCs w:val="20"/>
          <w:color w:val="auto"/>
        </w:rPr>
      </w:pPr>
    </w:p>
    <w:p>
      <w:pPr>
        <w:jc w:val="both"/>
        <w:ind w:left="5187"/>
        <w:spacing w:after="0" w:line="246" w:lineRule="auto"/>
        <w:rPr>
          <w:sz w:val="20"/>
          <w:szCs w:val="20"/>
          <w:color w:val="auto"/>
        </w:rPr>
      </w:pPr>
      <w:r>
        <w:rPr>
          <w:rFonts w:ascii="Courier New" w:cs="Courier New" w:eastAsia="Courier New" w:hAnsi="Courier New"/>
          <w:sz w:val="15"/>
          <w:szCs w:val="15"/>
          <w:color w:val="auto"/>
        </w:rPr>
        <w:t>Please sign names exactly as printed hereon. If signing as attorney, administrator, executor, guardian or trustee, please give full title as such. Please sign, date and return in the enclosed envelope.</w:t>
      </w:r>
    </w:p>
    <w:p>
      <w:pPr>
        <w:spacing w:after="0" w:line="351" w:lineRule="exact"/>
        <w:rPr>
          <w:sz w:val="20"/>
          <w:szCs w:val="20"/>
          <w:color w:val="auto"/>
        </w:rPr>
      </w:pPr>
    </w:p>
    <w:p>
      <w:pPr>
        <w:ind w:left="7"/>
        <w:spacing w:after="0"/>
        <w:tabs>
          <w:tab w:leader="none" w:pos="2886" w:val="left"/>
          <w:tab w:leader="none" w:pos="4706" w:val="left"/>
          <w:tab w:leader="none" w:pos="7966" w:val="left"/>
        </w:tabs>
        <w:rPr>
          <w:sz w:val="20"/>
          <w:szCs w:val="20"/>
          <w:color w:val="auto"/>
        </w:rPr>
      </w:pPr>
      <w:r>
        <w:rPr>
          <w:rFonts w:ascii="Courier New" w:cs="Courier New" w:eastAsia="Courier New" w:hAnsi="Courier New"/>
          <w:sz w:val="15"/>
          <w:szCs w:val="15"/>
          <w:color w:val="auto"/>
        </w:rPr>
        <w:t>Signature:____________________</w:t>
        <w:tab/>
        <w:t>Date:_________</w:t>
      </w:r>
      <w:r>
        <w:rPr>
          <w:sz w:val="20"/>
          <w:szCs w:val="20"/>
          <w:color w:val="auto"/>
        </w:rPr>
        <w:tab/>
      </w:r>
      <w:r>
        <w:rPr>
          <w:rFonts w:ascii="Courier New" w:cs="Courier New" w:eastAsia="Courier New" w:hAnsi="Courier New"/>
          <w:sz w:val="15"/>
          <w:szCs w:val="15"/>
          <w:color w:val="auto"/>
        </w:rPr>
        <w:t>Signature:________________________</w:t>
        <w:tab/>
        <w:t>Date:_____________</w:t>
      </w:r>
    </w:p>
    <w:sectPr>
      <w:pgSz w:w="11900" w:h="16838" w:orient="portrait"/>
      <w:cols w:equalWidth="0" w:num="1">
        <w:col w:w="11347"/>
      </w:cols>
      <w:pgMar w:left="313" w:top="64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
      <w:numFmt w:val="bullet"/>
      <w:start w:val="1"/>
    </w:lvl>
    <w:lvl w:ilvl="1">
      <w:lvlJc w:val="left"/>
      <w:lvlText w:val="(%2)"/>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P"/>
      <w:numFmt w:val="bullet"/>
      <w:start w:val="1"/>
    </w:lvl>
  </w:abstractNum>
  <w:abstractNum w:abstractNumId="15">
    <w:nsid w:val="519B500D"/>
    <w:multiLevelType w:val="hybridMultilevel"/>
    <w:lvl w:ilvl="0">
      <w:lvlJc w:val="left"/>
      <w:lvlText w:val="R"/>
      <w:numFmt w:val="bullet"/>
      <w:start w:val="1"/>
    </w:lvl>
  </w:abstractNum>
  <w:abstractNum w:abstractNumId="16">
    <w:nsid w:val="431BD7B7"/>
    <w:multiLevelType w:val="hybridMultilevel"/>
    <w:lvl w:ilvl="0">
      <w:lvlJc w:val="left"/>
      <w:lvlText w:val="O"/>
      <w:numFmt w:val="bullet"/>
      <w:start w:val="1"/>
    </w:lvl>
  </w:abstractNum>
  <w:abstractNum w:abstractNumId="17">
    <w:nsid w:val="3F2DBA31"/>
    <w:multiLevelType w:val="hybridMultilevel"/>
    <w:lvl w:ilvl="0">
      <w:lvlJc w:val="left"/>
      <w:lvlText w:val="Y"/>
      <w:numFmt w:val="bullet"/>
      <w:start w:val="1"/>
    </w:lvl>
  </w:abstractNum>
  <w:abstractNum w:abstractNumId="18">
    <w:nsid w:val="7C83E458"/>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2020-10-07T19:34:12Z</dcterms:created>
  <dcterms:modified xsi:type="dcterms:W3CDTF">2020-10-07T19:34:12Z</dcterms:modified>
</cp:coreProperties>
</file>