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October 27, 2017</w:t>
      </w:r>
    </w:p>
    <w:p>
      <w:pPr>
        <w:spacing w:after="0" w:line="4" w:lineRule="exact"/>
        <w:rPr>
          <w:sz w:val="24"/>
          <w:szCs w:val="24"/>
          <w:color w:val="auto"/>
        </w:rPr>
      </w:pPr>
    </w:p>
    <w:p>
      <w:pPr>
        <w:ind w:left="93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56515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9"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83185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0"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SCHLUMBERGER N.V.</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(SCHLUMBERGER LIMITED)</w:t>
      </w:r>
    </w:p>
    <w:tbl>
      <w:tblPr>
        <w:tblLayout w:type="fixed"/>
        <w:tblInd w:w="114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4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2160" w:type="dxa"/>
            <w:vAlign w:val="bottom"/>
          </w:tcPr>
          <w:p>
            <w:pPr>
              <w:spacing w:after="0"/>
              <w:rPr>
                <w:sz w:val="16"/>
                <w:szCs w:val="16"/>
                <w:color w:val="auto"/>
              </w:rPr>
            </w:pPr>
          </w:p>
        </w:tc>
      </w:tr>
      <w:tr>
        <w:trPr>
          <w:trHeight w:val="91"/>
        </w:trPr>
        <w:tc>
          <w:tcPr>
            <w:tcW w:w="24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2160" w:type="dxa"/>
            <w:vAlign w:val="bottom"/>
          </w:tcPr>
          <w:p>
            <w:pPr>
              <w:spacing w:after="0"/>
              <w:rPr>
                <w:sz w:val="7"/>
                <w:szCs w:val="7"/>
                <w:color w:val="auto"/>
              </w:rPr>
            </w:pPr>
          </w:p>
        </w:tc>
      </w:tr>
      <w:tr>
        <w:trPr>
          <w:trHeight w:val="227"/>
        </w:trPr>
        <w:tc>
          <w:tcPr>
            <w:tcW w:w="2420" w:type="dxa"/>
            <w:vAlign w:val="bottom"/>
          </w:tcPr>
          <w:p>
            <w:pPr>
              <w:jc w:val="center"/>
              <w:ind w:right="468"/>
              <w:spacing w:after="0"/>
              <w:rPr>
                <w:sz w:val="20"/>
                <w:szCs w:val="20"/>
                <w:color w:val="auto"/>
              </w:rPr>
            </w:pPr>
            <w:r>
              <w:rPr>
                <w:rFonts w:ascii="Arial" w:cs="Arial" w:eastAsia="Arial" w:hAnsi="Arial"/>
                <w:sz w:val="14"/>
                <w:szCs w:val="14"/>
                <w:b w:val="1"/>
                <w:bCs w:val="1"/>
                <w:color w:val="auto"/>
                <w:w w:val="92"/>
              </w:rPr>
              <w:t>Curaçao</w:t>
            </w:r>
          </w:p>
        </w:tc>
        <w:tc>
          <w:tcPr>
            <w:tcW w:w="3300" w:type="dxa"/>
            <w:vAlign w:val="bottom"/>
            <w:gridSpan w:val="2"/>
          </w:tcPr>
          <w:p>
            <w:pPr>
              <w:jc w:val="center"/>
              <w:ind w:left="1168"/>
              <w:spacing w:after="0"/>
              <w:rPr>
                <w:sz w:val="20"/>
                <w:szCs w:val="20"/>
                <w:color w:val="auto"/>
              </w:rPr>
            </w:pPr>
            <w:r>
              <w:rPr>
                <w:rFonts w:ascii="Arial" w:cs="Arial" w:eastAsia="Arial" w:hAnsi="Arial"/>
                <w:sz w:val="14"/>
                <w:szCs w:val="14"/>
                <w:b w:val="1"/>
                <w:bCs w:val="1"/>
                <w:color w:val="auto"/>
                <w:w w:val="96"/>
              </w:rPr>
              <w:t>1389</w:t>
            </w:r>
          </w:p>
        </w:tc>
        <w:tc>
          <w:tcPr>
            <w:tcW w:w="1160" w:type="dxa"/>
            <w:vAlign w:val="bottom"/>
          </w:tcPr>
          <w:p>
            <w:pPr>
              <w:spacing w:after="0"/>
              <w:rPr>
                <w:sz w:val="19"/>
                <w:szCs w:val="19"/>
                <w:color w:val="auto"/>
              </w:rPr>
            </w:pPr>
          </w:p>
        </w:tc>
        <w:tc>
          <w:tcPr>
            <w:tcW w:w="2160" w:type="dxa"/>
            <w:vAlign w:val="bottom"/>
          </w:tcPr>
          <w:p>
            <w:pPr>
              <w:jc w:val="center"/>
              <w:ind w:left="648"/>
              <w:spacing w:after="0"/>
              <w:rPr>
                <w:sz w:val="20"/>
                <w:szCs w:val="20"/>
                <w:color w:val="auto"/>
              </w:rPr>
            </w:pPr>
            <w:r>
              <w:rPr>
                <w:rFonts w:ascii="Arial" w:cs="Arial" w:eastAsia="Arial" w:hAnsi="Arial"/>
                <w:sz w:val="14"/>
                <w:szCs w:val="14"/>
                <w:b w:val="1"/>
                <w:bCs w:val="1"/>
                <w:color w:val="auto"/>
                <w:w w:val="90"/>
              </w:rPr>
              <w:t>52-0684746</w:t>
            </w:r>
          </w:p>
        </w:tc>
      </w:tr>
      <w:tr>
        <w:trPr>
          <w:trHeight w:val="149"/>
        </w:trPr>
        <w:tc>
          <w:tcPr>
            <w:tcW w:w="242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000" w:type="dxa"/>
            <w:vAlign w:val="bottom"/>
          </w:tcPr>
          <w:p>
            <w:pPr>
              <w:spacing w:after="0"/>
              <w:rPr>
                <w:sz w:val="12"/>
                <w:szCs w:val="12"/>
                <w:color w:val="auto"/>
              </w:rPr>
            </w:pPr>
          </w:p>
        </w:tc>
        <w:tc>
          <w:tcPr>
            <w:tcW w:w="34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16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ind w:right="468"/>
              <w:spacing w:after="0"/>
              <w:rPr>
                <w:sz w:val="20"/>
                <w:szCs w:val="20"/>
                <w:color w:val="auto"/>
              </w:rPr>
            </w:pPr>
            <w:r>
              <w:rPr>
                <w:rFonts w:ascii="Arial" w:cs="Arial" w:eastAsia="Arial" w:hAnsi="Arial"/>
                <w:sz w:val="14"/>
                <w:szCs w:val="14"/>
                <w:b w:val="1"/>
                <w:bCs w:val="1"/>
                <w:color w:val="auto"/>
                <w:w w:val="94"/>
              </w:rPr>
              <w:t>incorporation or organization)</w:t>
            </w:r>
          </w:p>
        </w:tc>
        <w:tc>
          <w:tcPr>
            <w:tcW w:w="1000" w:type="dxa"/>
            <w:vAlign w:val="bottom"/>
          </w:tcPr>
          <w:p>
            <w:pPr>
              <w:spacing w:after="0"/>
              <w:rPr>
                <w:sz w:val="16"/>
                <w:szCs w:val="16"/>
                <w:color w:val="auto"/>
              </w:rPr>
            </w:pPr>
          </w:p>
        </w:tc>
        <w:tc>
          <w:tcPr>
            <w:tcW w:w="34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Classification Code Number)</w:t>
            </w:r>
          </w:p>
        </w:tc>
        <w:tc>
          <w:tcPr>
            <w:tcW w:w="2160" w:type="dxa"/>
            <w:vAlign w:val="bottom"/>
          </w:tcPr>
          <w:p>
            <w:pPr>
              <w:jc w:val="center"/>
              <w:ind w:left="648"/>
              <w:spacing w:after="0"/>
              <w:rPr>
                <w:sz w:val="20"/>
                <w:szCs w:val="20"/>
                <w:color w:val="auto"/>
              </w:rPr>
            </w:pPr>
            <w:r>
              <w:rPr>
                <w:rFonts w:ascii="Arial" w:cs="Arial" w:eastAsia="Arial" w:hAnsi="Arial"/>
                <w:sz w:val="14"/>
                <w:szCs w:val="14"/>
                <w:b w:val="1"/>
                <w:bCs w:val="1"/>
                <w:color w:val="auto"/>
                <w:w w:val="96"/>
              </w:rPr>
              <w:t>Identification Number)</w:t>
            </w:r>
          </w:p>
        </w:tc>
      </w:tr>
      <w:tr>
        <w:trPr>
          <w:trHeight w:val="178"/>
        </w:trPr>
        <w:tc>
          <w:tcPr>
            <w:tcW w:w="2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3"/>
              </w:rPr>
              <w:t>42, rue Saint-Dominique</w:t>
            </w:r>
          </w:p>
        </w:tc>
        <w:tc>
          <w:tcPr>
            <w:tcW w:w="2160" w:type="dxa"/>
            <w:vAlign w:val="bottom"/>
          </w:tcPr>
          <w:p>
            <w:pPr>
              <w:spacing w:after="0"/>
              <w:rPr>
                <w:sz w:val="15"/>
                <w:szCs w:val="15"/>
                <w:color w:val="auto"/>
              </w:rPr>
            </w:pPr>
          </w:p>
        </w:tc>
      </w:tr>
      <w:tr>
        <w:trPr>
          <w:trHeight w:val="149"/>
        </w:trPr>
        <w:tc>
          <w:tcPr>
            <w:tcW w:w="2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6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3"/>
              </w:rPr>
              <w:t>Paris, France 75007</w:t>
            </w:r>
          </w:p>
        </w:tc>
        <w:tc>
          <w:tcPr>
            <w:tcW w:w="2160" w:type="dxa"/>
            <w:vAlign w:val="bottom"/>
          </w:tcPr>
          <w:p>
            <w:pPr>
              <w:spacing w:after="0"/>
              <w:rPr>
                <w:sz w:val="12"/>
                <w:szCs w:val="12"/>
                <w:color w:val="auto"/>
              </w:rPr>
            </w:pPr>
          </w:p>
        </w:tc>
      </w:tr>
      <w:tr>
        <w:trPr>
          <w:trHeight w:val="186"/>
        </w:trPr>
        <w:tc>
          <w:tcPr>
            <w:tcW w:w="2420" w:type="dxa"/>
            <w:vAlign w:val="bottom"/>
          </w:tcPr>
          <w:p>
            <w:pPr>
              <w:spacing w:after="0"/>
              <w:rPr>
                <w:sz w:val="16"/>
                <w:szCs w:val="16"/>
                <w:color w:val="auto"/>
              </w:rPr>
            </w:pPr>
          </w:p>
        </w:tc>
        <w:tc>
          <w:tcPr>
            <w:tcW w:w="3300" w:type="dxa"/>
            <w:vAlign w:val="bottom"/>
            <w:gridSpan w:val="2"/>
          </w:tcPr>
          <w:p>
            <w:pPr>
              <w:jc w:val="center"/>
              <w:ind w:left="928"/>
              <w:spacing w:after="0"/>
              <w:rPr>
                <w:sz w:val="20"/>
                <w:szCs w:val="20"/>
                <w:color w:val="auto"/>
              </w:rPr>
            </w:pPr>
            <w:r>
              <w:rPr>
                <w:rFonts w:ascii="Arial" w:cs="Arial" w:eastAsia="Arial" w:hAnsi="Arial"/>
                <w:sz w:val="14"/>
                <w:szCs w:val="14"/>
                <w:b w:val="1"/>
                <w:bCs w:val="1"/>
                <w:color w:val="auto"/>
                <w:w w:val="94"/>
              </w:rPr>
              <w:t>33-1-4062-1000</w:t>
            </w:r>
          </w:p>
        </w:tc>
        <w:tc>
          <w:tcPr>
            <w:tcW w:w="116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65"/>
        </w:trPr>
        <w:tc>
          <w:tcPr>
            <w:tcW w:w="2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5599 San Felipe</w:t>
            </w:r>
          </w:p>
        </w:tc>
        <w:tc>
          <w:tcPr>
            <w:tcW w:w="2160" w:type="dxa"/>
            <w:vAlign w:val="bottom"/>
          </w:tcPr>
          <w:p>
            <w:pPr>
              <w:spacing w:after="0"/>
              <w:rPr>
                <w:sz w:val="14"/>
                <w:szCs w:val="14"/>
                <w:color w:val="auto"/>
              </w:rPr>
            </w:pPr>
          </w:p>
        </w:tc>
      </w:tr>
      <w:tr>
        <w:trPr>
          <w:trHeight w:val="149"/>
        </w:trPr>
        <w:tc>
          <w:tcPr>
            <w:tcW w:w="2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6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1"/>
              </w:rPr>
              <w:t>Houston, Texas 77056</w:t>
            </w:r>
          </w:p>
        </w:tc>
        <w:tc>
          <w:tcPr>
            <w:tcW w:w="2160" w:type="dxa"/>
            <w:vAlign w:val="bottom"/>
          </w:tcPr>
          <w:p>
            <w:pPr>
              <w:spacing w:after="0"/>
              <w:rPr>
                <w:sz w:val="12"/>
                <w:szCs w:val="12"/>
                <w:color w:val="auto"/>
              </w:rPr>
            </w:pPr>
          </w:p>
        </w:tc>
      </w:tr>
      <w:tr>
        <w:trPr>
          <w:trHeight w:val="186"/>
        </w:trPr>
        <w:tc>
          <w:tcPr>
            <w:tcW w:w="2420" w:type="dxa"/>
            <w:vAlign w:val="bottom"/>
          </w:tcPr>
          <w:p>
            <w:pPr>
              <w:spacing w:after="0"/>
              <w:rPr>
                <w:sz w:val="16"/>
                <w:szCs w:val="16"/>
                <w:color w:val="auto"/>
              </w:rPr>
            </w:pPr>
          </w:p>
        </w:tc>
        <w:tc>
          <w:tcPr>
            <w:tcW w:w="3300" w:type="dxa"/>
            <w:vAlign w:val="bottom"/>
            <w:gridSpan w:val="2"/>
          </w:tcPr>
          <w:p>
            <w:pPr>
              <w:jc w:val="center"/>
              <w:ind w:left="928"/>
              <w:spacing w:after="0"/>
              <w:rPr>
                <w:sz w:val="20"/>
                <w:szCs w:val="20"/>
                <w:color w:val="auto"/>
              </w:rPr>
            </w:pPr>
            <w:r>
              <w:rPr>
                <w:rFonts w:ascii="Arial" w:cs="Arial" w:eastAsia="Arial" w:hAnsi="Arial"/>
                <w:sz w:val="14"/>
                <w:szCs w:val="14"/>
                <w:b w:val="1"/>
                <w:bCs w:val="1"/>
                <w:color w:val="auto"/>
                <w:w w:val="93"/>
              </w:rPr>
              <w:t>(713) 513-2000</w:t>
            </w:r>
          </w:p>
        </w:tc>
        <w:tc>
          <w:tcPr>
            <w:tcW w:w="116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65"/>
        </w:trPr>
        <w:tc>
          <w:tcPr>
            <w:tcW w:w="2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3"/>
              </w:rPr>
              <w:t>62 Buckingham Gate</w:t>
            </w:r>
          </w:p>
        </w:tc>
        <w:tc>
          <w:tcPr>
            <w:tcW w:w="2160" w:type="dxa"/>
            <w:vAlign w:val="bottom"/>
          </w:tcPr>
          <w:p>
            <w:pPr>
              <w:spacing w:after="0"/>
              <w:rPr>
                <w:sz w:val="14"/>
                <w:szCs w:val="14"/>
                <w:color w:val="auto"/>
              </w:rPr>
            </w:pPr>
          </w:p>
        </w:tc>
      </w:tr>
      <w:tr>
        <w:trPr>
          <w:trHeight w:val="149"/>
        </w:trPr>
        <w:tc>
          <w:tcPr>
            <w:tcW w:w="2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6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5"/>
              </w:rPr>
              <w:t>London, United Kingdom SW1E 6AJ</w:t>
            </w:r>
          </w:p>
        </w:tc>
        <w:tc>
          <w:tcPr>
            <w:tcW w:w="2160" w:type="dxa"/>
            <w:vAlign w:val="bottom"/>
          </w:tcPr>
          <w:p>
            <w:pPr>
              <w:spacing w:after="0"/>
              <w:rPr>
                <w:sz w:val="12"/>
                <w:szCs w:val="12"/>
                <w:color w:val="auto"/>
              </w:rPr>
            </w:pPr>
          </w:p>
        </w:tc>
      </w:tr>
      <w:tr>
        <w:trPr>
          <w:trHeight w:val="186"/>
        </w:trPr>
        <w:tc>
          <w:tcPr>
            <w:tcW w:w="2420" w:type="dxa"/>
            <w:vAlign w:val="bottom"/>
          </w:tcPr>
          <w:p>
            <w:pPr>
              <w:spacing w:after="0"/>
              <w:rPr>
                <w:sz w:val="16"/>
                <w:szCs w:val="16"/>
                <w:color w:val="auto"/>
              </w:rPr>
            </w:pPr>
          </w:p>
        </w:tc>
        <w:tc>
          <w:tcPr>
            <w:tcW w:w="330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w w:val="93"/>
              </w:rPr>
              <w:t>44-20-7074-3000</w:t>
            </w:r>
          </w:p>
        </w:tc>
        <w:tc>
          <w:tcPr>
            <w:tcW w:w="1160" w:type="dxa"/>
            <w:vAlign w:val="bottom"/>
          </w:tcPr>
          <w:p>
            <w:pPr>
              <w:spacing w:after="0"/>
              <w:rPr>
                <w:sz w:val="16"/>
                <w:szCs w:val="16"/>
                <w:color w:val="auto"/>
              </w:rPr>
            </w:pPr>
          </w:p>
        </w:tc>
        <w:tc>
          <w:tcPr>
            <w:tcW w:w="2160" w:type="dxa"/>
            <w:vAlign w:val="bottom"/>
          </w:tcPr>
          <w:p>
            <w:pPr>
              <w:spacing w:after="0"/>
              <w:rPr>
                <w:sz w:val="16"/>
                <w:szCs w:val="16"/>
                <w:color w:val="auto"/>
              </w:rPr>
            </w:pPr>
          </w:p>
        </w:tc>
      </w:tr>
    </w:tbl>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Parkstraat 83, The Hague</w:t>
      </w:r>
    </w:p>
    <w:p>
      <w:pPr>
        <w:jc w:val="center"/>
        <w:ind w:right="-179"/>
        <w:spacing w:after="0" w:line="226" w:lineRule="auto"/>
        <w:rPr>
          <w:sz w:val="20"/>
          <w:szCs w:val="20"/>
          <w:color w:val="auto"/>
        </w:rPr>
      </w:pPr>
      <w:r>
        <w:rPr>
          <w:rFonts w:ascii="Arial" w:cs="Arial" w:eastAsia="Arial" w:hAnsi="Arial"/>
          <w:sz w:val="14"/>
          <w:szCs w:val="14"/>
          <w:b w:val="1"/>
          <w:bCs w:val="1"/>
          <w:color w:val="auto"/>
        </w:rPr>
        <w:t>The Netherlands, 2514 JG</w:t>
      </w:r>
    </w:p>
    <w:p>
      <w:pPr>
        <w:jc w:val="center"/>
        <w:ind w:right="-179"/>
        <w:spacing w:after="0" w:line="222" w:lineRule="auto"/>
        <w:rPr>
          <w:sz w:val="20"/>
          <w:szCs w:val="20"/>
          <w:color w:val="auto"/>
        </w:rPr>
      </w:pPr>
      <w:r>
        <w:rPr>
          <w:rFonts w:ascii="Arial" w:cs="Arial" w:eastAsia="Arial" w:hAnsi="Arial"/>
          <w:sz w:val="14"/>
          <w:szCs w:val="14"/>
          <w:b w:val="1"/>
          <w:bCs w:val="1"/>
          <w:color w:val="auto"/>
        </w:rPr>
        <w:t>31-70-310-5400</w:t>
      </w: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73660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Saul R. Laureles</w:t>
      </w:r>
    </w:p>
    <w:p>
      <w:pPr>
        <w:jc w:val="center"/>
        <w:ind w:right="-179"/>
        <w:spacing w:after="0" w:line="226" w:lineRule="auto"/>
        <w:rPr>
          <w:sz w:val="20"/>
          <w:szCs w:val="20"/>
          <w:color w:val="auto"/>
        </w:rPr>
      </w:pPr>
      <w:r>
        <w:rPr>
          <w:rFonts w:ascii="Arial" w:cs="Arial" w:eastAsia="Arial" w:hAnsi="Arial"/>
          <w:sz w:val="14"/>
          <w:szCs w:val="14"/>
          <w:b w:val="1"/>
          <w:bCs w:val="1"/>
          <w:color w:val="auto"/>
        </w:rPr>
        <w:t>Director, Corporate Legal</w:t>
      </w:r>
    </w:p>
    <w:p>
      <w:pPr>
        <w:jc w:val="center"/>
        <w:ind w:right="-179"/>
        <w:spacing w:after="0" w:line="222" w:lineRule="auto"/>
        <w:rPr>
          <w:sz w:val="20"/>
          <w:szCs w:val="20"/>
          <w:color w:val="auto"/>
        </w:rPr>
      </w:pPr>
      <w:r>
        <w:rPr>
          <w:rFonts w:ascii="Arial" w:cs="Arial" w:eastAsia="Arial" w:hAnsi="Arial"/>
          <w:sz w:val="14"/>
          <w:szCs w:val="14"/>
          <w:b w:val="1"/>
          <w:bCs w:val="1"/>
          <w:color w:val="auto"/>
        </w:rPr>
        <w:t>Schlumberger Limited</w:t>
      </w:r>
    </w:p>
    <w:p>
      <w:pPr>
        <w:jc w:val="center"/>
        <w:ind w:right="-179"/>
        <w:spacing w:after="0" w:line="221" w:lineRule="auto"/>
        <w:rPr>
          <w:sz w:val="20"/>
          <w:szCs w:val="20"/>
          <w:color w:val="auto"/>
        </w:rPr>
      </w:pPr>
      <w:r>
        <w:rPr>
          <w:rFonts w:ascii="Arial" w:cs="Arial" w:eastAsia="Arial" w:hAnsi="Arial"/>
          <w:sz w:val="14"/>
          <w:szCs w:val="14"/>
          <w:b w:val="1"/>
          <w:bCs w:val="1"/>
          <w:color w:val="auto"/>
        </w:rPr>
        <w:t>5599 San Felipe, 17th Floor</w:t>
      </w:r>
    </w:p>
    <w:p>
      <w:pPr>
        <w:jc w:val="center"/>
        <w:ind w:right="-179"/>
        <w:spacing w:after="0" w:line="222" w:lineRule="auto"/>
        <w:rPr>
          <w:sz w:val="20"/>
          <w:szCs w:val="20"/>
          <w:color w:val="auto"/>
        </w:rPr>
      </w:pPr>
      <w:r>
        <w:rPr>
          <w:rFonts w:ascii="Arial" w:cs="Arial" w:eastAsia="Arial" w:hAnsi="Arial"/>
          <w:sz w:val="14"/>
          <w:szCs w:val="14"/>
          <w:b w:val="1"/>
          <w:bCs w:val="1"/>
          <w:color w:val="auto"/>
        </w:rPr>
        <w:t>Houston, Texas 77056</w:t>
      </w:r>
    </w:p>
    <w:p>
      <w:pPr>
        <w:jc w:val="center"/>
        <w:ind w:right="-179"/>
        <w:spacing w:after="0" w:line="221" w:lineRule="auto"/>
        <w:rPr>
          <w:sz w:val="20"/>
          <w:szCs w:val="20"/>
          <w:color w:val="auto"/>
        </w:rPr>
      </w:pPr>
      <w:r>
        <w:rPr>
          <w:rFonts w:ascii="Arial" w:cs="Arial" w:eastAsia="Arial" w:hAnsi="Arial"/>
          <w:sz w:val="14"/>
          <w:szCs w:val="14"/>
          <w:b w:val="1"/>
          <w:bCs w:val="1"/>
          <w:color w:val="auto"/>
        </w:rPr>
        <w:t>(713) 513-2000</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8" w:lineRule="exact"/>
        <w:rPr>
          <w:sz w:val="24"/>
          <w:szCs w:val="24"/>
          <w:color w:val="auto"/>
        </w:rPr>
      </w:pPr>
    </w:p>
    <w:p>
      <w:pPr>
        <w:ind w:left="200" w:right="480"/>
        <w:spacing w:after="0" w:line="259" w:lineRule="auto"/>
        <w:rPr>
          <w:sz w:val="20"/>
          <w:szCs w:val="20"/>
          <w:color w:val="auto"/>
        </w:rPr>
      </w:pPr>
      <w:r>
        <w:rPr>
          <w:rFonts w:ascii="Arial" w:cs="Arial" w:eastAsia="Arial" w:hAnsi="Arial"/>
          <w:sz w:val="14"/>
          <w:szCs w:val="14"/>
          <w:b w:val="1"/>
          <w:bCs w:val="1"/>
          <w:color w:val="auto"/>
        </w:rPr>
        <w:t xml:space="preserve">Approximate date of commencement of proposed sale of the securities to the public: </w:t>
      </w:r>
      <w:r>
        <w:rPr>
          <w:rFonts w:ascii="Arial" w:cs="Arial" w:eastAsia="Arial" w:hAnsi="Arial"/>
          <w:sz w:val="14"/>
          <w:szCs w:val="14"/>
          <w:color w:val="auto"/>
        </w:rPr>
        <w:t>From time to time after the effective date of this Registration Statement, as determined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93980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3" w:lineRule="exact"/>
        <w:rPr>
          <w:sz w:val="24"/>
          <w:szCs w:val="24"/>
          <w:color w:val="auto"/>
        </w:rPr>
      </w:pPr>
    </w:p>
    <w:p>
      <w:pPr>
        <w:ind w:left="54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2" w:lineRule="exact"/>
        <w:rPr>
          <w:sz w:val="24"/>
          <w:szCs w:val="24"/>
          <w:color w:val="auto"/>
        </w:rPr>
      </w:pPr>
    </w:p>
    <w:p>
      <w:pPr>
        <w:ind w:left="200" w:right="420" w:firstLine="33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700" w:firstLine="33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40" w:firstLine="331"/>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0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66675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4" w:lineRule="exact"/>
        <w:rPr>
          <w:sz w:val="24"/>
          <w:szCs w:val="24"/>
          <w:color w:val="auto"/>
        </w:rPr>
      </w:pPr>
    </w:p>
    <w:p>
      <w:pPr>
        <w:ind w:left="200" w:right="120" w:firstLine="331"/>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81"/>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3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230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5300" w:type="dxa"/>
            <w:vAlign w:val="bottom"/>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020" w:type="dxa"/>
            <w:vAlign w:val="bottom"/>
          </w:tcPr>
          <w:p>
            <w:pPr>
              <w:ind w:left="230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4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4020" w:type="dxa"/>
            <w:vAlign w:val="bottom"/>
          </w:tcPr>
          <w:p>
            <w:pPr>
              <w:ind w:left="230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 w:lineRule="exact"/>
        <w:rPr>
          <w:sz w:val="24"/>
          <w:szCs w:val="24"/>
          <w:color w:val="auto"/>
        </w:rPr>
      </w:pPr>
    </w:p>
    <w:p>
      <w:pPr>
        <w:jc w:val="both"/>
        <w:ind w:left="200" w:right="40" w:firstLine="33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74930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Debt Securities, Common Stock, Guarantees of Debt Securities (1)</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(2)</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(2)</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(2)</w:t>
            </w: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316"/>
        <w:spacing w:after="0" w:line="23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Any securities registered hereunder may be sold separately or as units with other securities registered hereunder.</w:t>
      </w:r>
    </w:p>
    <w:p>
      <w:pPr>
        <w:ind w:left="520" w:right="440" w:hanging="316"/>
        <w:spacing w:after="0" w:line="22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Omitted pursuant to General Instructions II.E of Form S-3. An indeterminate amount of securities of each identified class is being registered as may from time to time be issued at indeterminate prices.</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457(r) of the Securities Act of 1933, as amended, the Registrant is deferring payment of all of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56515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0"/>
          <w:szCs w:val="20"/>
          <w:color w:val="auto"/>
        </w:rPr>
      </w:pPr>
    </w:p>
    <w:p>
      <w:pPr>
        <w:jc w:val="center"/>
        <w:ind w:right="-519"/>
        <w:spacing w:after="0"/>
        <w:rPr>
          <w:sz w:val="20"/>
          <w:szCs w:val="20"/>
          <w:color w:val="auto"/>
        </w:rPr>
      </w:pPr>
      <w:r>
        <w:rPr>
          <w:rFonts w:ascii="Arial" w:cs="Arial" w:eastAsia="Arial" w:hAnsi="Arial"/>
          <w:sz w:val="43"/>
          <w:szCs w:val="43"/>
          <w:b w:val="1"/>
          <w:bCs w:val="1"/>
          <w:color w:val="auto"/>
        </w:rPr>
        <w:t>(Schlumberger Limited)</w:t>
      </w:r>
    </w:p>
    <w:p>
      <w:pPr>
        <w:spacing w:after="0" w:line="192" w:lineRule="exact"/>
        <w:rPr>
          <w:sz w:val="20"/>
          <w:szCs w:val="20"/>
          <w:color w:val="auto"/>
        </w:rPr>
      </w:pPr>
    </w:p>
    <w:p>
      <w:pPr>
        <w:jc w:val="center"/>
        <w:ind w:right="-5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5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519"/>
        <w:spacing w:after="0"/>
        <w:rPr>
          <w:sz w:val="20"/>
          <w:szCs w:val="20"/>
          <w:color w:val="auto"/>
        </w:rPr>
      </w:pPr>
      <w:r>
        <w:rPr>
          <w:rFonts w:ascii="Arial" w:cs="Arial" w:eastAsia="Arial" w:hAnsi="Arial"/>
          <w:sz w:val="25"/>
          <w:szCs w:val="25"/>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We or selling securityholders may, from time to time, offer to sell senior or subordinated debt securities, common stock or guarantees of debt securities. Each time we or a selling securityholder sells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New York Stock Exchange under the symbol “SLB.”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200" w:firstLine="44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See “</w:t>
      </w:r>
      <w:hyperlink w:anchor="page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 and all other information included or incorporated by reference in this prospectus before you decide whether to buy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215265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211455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The date of this prospectus is October 27, 2017</w:t>
      </w:r>
    </w:p>
    <w:p>
      <w:pPr>
        <w:sectPr>
          <w:pgSz w:w="11900" w:h="16838" w:orient="portrait"/>
          <w:cols w:equalWidth="0" w:num="1">
            <w:col w:w="10900"/>
          </w:cols>
          <w:pgMar w:left="240" w:top="459" w:right="7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40" w:type="dxa"/>
            <w:vAlign w:val="bottom"/>
            <w:gridSpan w:val="2"/>
          </w:tcPr>
          <w:p>
            <w:pPr>
              <w:jc w:val="right"/>
              <w:ind w:right="4410"/>
              <w:spacing w:after="0"/>
              <w:rPr>
                <w:sz w:val="20"/>
                <w:szCs w:val="20"/>
                <w:color w:val="auto"/>
              </w:rPr>
            </w:pPr>
            <w:r>
              <w:rPr>
                <w:rFonts w:ascii="Arial" w:cs="Arial" w:eastAsia="Arial" w:hAnsi="Arial"/>
                <w:sz w:val="18"/>
                <w:szCs w:val="18"/>
                <w:b w:val="1"/>
                <w:bCs w:val="1"/>
                <w:color w:val="auto"/>
                <w:w w:val="98"/>
              </w:rPr>
              <w:t>TABLE OF CONTENTS</w:t>
            </w:r>
          </w:p>
        </w:tc>
      </w:tr>
      <w:tr>
        <w:trPr>
          <w:trHeight w:val="392"/>
        </w:trPr>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264"/>
        </w:trPr>
        <w:tc>
          <w:tcPr>
            <w:tcW w:w="454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6140" w:type="dxa"/>
            <w:vAlign w:val="bottom"/>
          </w:tcPr>
          <w:p>
            <w:pPr>
              <w:spacing w:after="0"/>
              <w:rPr>
                <w:sz w:val="22"/>
                <w:szCs w:val="22"/>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640" w:type="dxa"/>
            <w:vAlign w:val="bottom"/>
            <w:tcBorders>
              <w:top w:val="single" w:sz="8" w:color="0000EE"/>
            </w:tcBorders>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the Company</w:t>
              </w:r>
            </w:hyperlink>
          </w:p>
        </w:tc>
        <w:tc>
          <w:tcPr>
            <w:tcW w:w="2900" w:type="dxa"/>
            <w:vAlign w:val="bottom"/>
            <w:gridSpan w:val="9"/>
          </w:tcPr>
          <w:p>
            <w:pPr>
              <w:spacing w:after="0"/>
              <w:rPr>
                <w:sz w:val="24"/>
                <w:szCs w:val="24"/>
                <w:color w:val="auto"/>
              </w:rPr>
            </w:pP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r>
      <w:tr>
        <w:trPr>
          <w:trHeight w:val="304"/>
        </w:trPr>
        <w:tc>
          <w:tcPr>
            <w:tcW w:w="4540" w:type="dxa"/>
            <w:vAlign w:val="bottom"/>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Cautionary Statement Regarding Forward-Looking Statements</w:t>
              </w:r>
            </w:hyperlink>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452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20" w:type="dxa"/>
            <w:vAlign w:val="bottom"/>
          </w:tcPr>
          <w:p>
            <w:pPr>
              <w:spacing w:after="0"/>
              <w:rPr>
                <w:sz w:val="24"/>
                <w:szCs w:val="24"/>
                <w:color w:val="auto"/>
              </w:rPr>
            </w:pP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r>
      <w:tr>
        <w:trPr>
          <w:trHeight w:val="304"/>
        </w:trPr>
        <w:tc>
          <w:tcPr>
            <w:tcW w:w="11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Use of Proceeds</w:t>
              </w:r>
            </w:hyperlink>
          </w:p>
        </w:tc>
        <w:tc>
          <w:tcPr>
            <w:tcW w:w="3360" w:type="dxa"/>
            <w:vAlign w:val="bottom"/>
            <w:gridSpan w:val="11"/>
          </w:tcPr>
          <w:p>
            <w:pPr>
              <w:spacing w:after="0"/>
              <w:rPr>
                <w:sz w:val="24"/>
                <w:szCs w:val="24"/>
                <w:color w:val="auto"/>
              </w:rPr>
            </w:pP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54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Ratio of Earnings to Fixed Charges</w:t>
              </w:r>
            </w:hyperlink>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2540" w:type="dxa"/>
            <w:vAlign w:val="bottom"/>
            <w:tcBorders>
              <w:top w:val="single" w:sz="8" w:color="0000EE"/>
            </w:tcBorders>
            <w:gridSpan w:val="1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Description of Debt Securities</w:t>
              </w:r>
            </w:hyperlink>
          </w:p>
        </w:tc>
        <w:tc>
          <w:tcPr>
            <w:tcW w:w="2000" w:type="dxa"/>
            <w:vAlign w:val="bottom"/>
            <w:gridSpan w:val="4"/>
          </w:tcPr>
          <w:p>
            <w:pPr>
              <w:spacing w:after="0"/>
              <w:rPr>
                <w:sz w:val="24"/>
                <w:szCs w:val="24"/>
                <w:color w:val="auto"/>
              </w:rPr>
            </w:pP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r>
      <w:tr>
        <w:trPr>
          <w:trHeight w:val="304"/>
        </w:trPr>
        <w:tc>
          <w:tcPr>
            <w:tcW w:w="4540" w:type="dxa"/>
            <w:vAlign w:val="bottom"/>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Description of Common Stock</w:t>
              </w:r>
            </w:hyperlink>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r>
      <w:tr>
        <w:trPr>
          <w:trHeight w:val="304"/>
        </w:trPr>
        <w:tc>
          <w:tcPr>
            <w:tcW w:w="32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Description of Guarantees of Debt Securities</w:t>
              </w:r>
            </w:hyperlink>
          </w:p>
        </w:tc>
        <w:tc>
          <w:tcPr>
            <w:tcW w:w="1300" w:type="dxa"/>
            <w:vAlign w:val="bottom"/>
            <w:gridSpan w:val="2"/>
          </w:tcPr>
          <w:p>
            <w:pPr>
              <w:spacing w:after="0"/>
              <w:rPr>
                <w:sz w:val="24"/>
                <w:szCs w:val="24"/>
                <w:color w:val="auto"/>
              </w:rPr>
            </w:pP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4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Plan of Distribution</w:t>
              </w:r>
            </w:hyperlink>
          </w:p>
        </w:tc>
        <w:tc>
          <w:tcPr>
            <w:tcW w:w="3080" w:type="dxa"/>
            <w:vAlign w:val="bottom"/>
            <w:gridSpan w:val="10"/>
          </w:tcPr>
          <w:p>
            <w:pPr>
              <w:spacing w:after="0"/>
              <w:rPr>
                <w:sz w:val="24"/>
                <w:szCs w:val="24"/>
                <w:color w:val="auto"/>
              </w:rPr>
            </w:pP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Experts</w:t>
              </w:r>
            </w:hyperlink>
          </w:p>
        </w:tc>
        <w:tc>
          <w:tcPr>
            <w:tcW w:w="3980" w:type="dxa"/>
            <w:vAlign w:val="bottom"/>
            <w:gridSpan w:val="13"/>
          </w:tcPr>
          <w:p>
            <w:pPr>
              <w:spacing w:after="0"/>
              <w:rPr>
                <w:sz w:val="24"/>
                <w:szCs w:val="24"/>
                <w:color w:val="auto"/>
              </w:rPr>
            </w:pP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454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Validity of the Securities</w:t>
              </w:r>
            </w:hyperlink>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78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r>
      <w:tr>
        <w:trPr>
          <w:trHeight w:val="304"/>
        </w:trPr>
        <w:tc>
          <w:tcPr>
            <w:tcW w:w="288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Where You Can Find More Information</w:t>
              </w:r>
            </w:hyperlink>
          </w:p>
        </w:tc>
        <w:tc>
          <w:tcPr>
            <w:tcW w:w="1660" w:type="dxa"/>
            <w:vAlign w:val="bottom"/>
            <w:gridSpan w:val="3"/>
          </w:tcPr>
          <w:p>
            <w:pPr>
              <w:spacing w:after="0"/>
              <w:rPr>
                <w:sz w:val="24"/>
                <w:szCs w:val="24"/>
                <w:color w:val="auto"/>
              </w:rPr>
            </w:pP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454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Incorporation by Reference</w:t>
              </w:r>
            </w:hyperlink>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and in any accompanying prospectus supplement or in any related free writing prospectus. We have not authorized any other person to provide you with different information with respect to this offering. This document may only be used where it is legal to sell these securities. You should only assume that the information in this prospectus or in any prospectus supplement is accurate as of the date on the front of those documents. Our business, financial condition, results of operations and prospects may have changed since that date. We are not making an offer of these securities in any state where the offer is not permitted.</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This prospectus is part of an automatic shelf registration statement that we filed with the SEC, as a “well-known seasoned issuer” as defined in Rule 405 under the Securities Act of 1933, as amended. By using an automatic shelf registration statement, we may, at any time and from time to time, sell securities under this prospectus in one or more offerings in an unlimited amount. As allowed by the SEC rules,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8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use this prospectus to offer securities, we will provide you with a prospectus supplement that will describe the specific amounts, prices and terms of the securities being offered. The prospectus supplement may also add, update or change information contained in this prospectus. Therefore, if there is any inconsistency between the information in this prospectus and the prospectus supplement, you should rely on the information in the prospectus supplement.</w:t>
      </w:r>
    </w:p>
    <w:p>
      <w:pPr>
        <w:spacing w:after="0" w:line="17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To understand the terms of our securities, you should carefully read this document and the applicable prospectus supplement. Together they give the specific terms of the securities we are offering. You should also read the documents we have referred you to under “Where You Can Find More Information” below for information about us and our financial statements. You can read the registration statement and exhibits on the SEC’s website or at the SEC as described under “Where You Can Find More Information.”</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to “Registrant,” “Company,” “Schlumberger,” “we” or “our” are to Schlumberger Limited and its consolidated subsidiaries.</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THE COMPANY</w:t>
      </w:r>
    </w:p>
    <w:p>
      <w:pPr>
        <w:spacing w:after="0" w:line="22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Schlumberger is incorporated under the laws of Curaçao, and has executive offices in Paris, Houston, London and The Hague. Our executive offices in the United States are at 5599 San Felipe, Houston, Texas 77056, and our telephone number is (713) 513-2000.</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Statements that are predictive in nature, that depend upon or refer to future events or conditions, or that include words such as “would,” “should,” “plans,” “likely,” “expects,” “predicts,” “anticipates,” “intends,” “believes,” “estimates,” “thinks,” “may,” “could,” “should,” “will,” “likely” and similar expressions, are forward-looking statements.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integrate the Cameron business and to realize expected synergies; the inability to retain key employees; and other risks and uncertainties detailed in this prospectus and our most recent Forms 10-K, 10-Q, and 8-K filed with or furnished to the SEC. If one or more of these or other risks or uncertainties materialize (or the consequences of any such development changes), or should our underlying assumptions prove incorrect, actual outcomes may vary materially from those reflected in our forward-looking statements.</w:t>
      </w:r>
    </w:p>
    <w:p>
      <w:pPr>
        <w:spacing w:after="0" w:line="18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Schlumberger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Investing in our securities involves risk. You should carefully consider the risks described in the documents incorporated by reference in this prospectus, including the “Management’s Discussion and Analysis of Financial Condition and Results of Operations” and “Risk Factors” sections of our Annual Report on Form 10-K for the fiscal year ended December 31, 2016 before deciding whether to invest in our securities. These risks could cause our business, properties, assets, financial condition, results of operations, cash flows or prospects to be materially adversely affected. Additional risks and uncertainties not currently known to us or that we currently deem immaterial may also adversely affect our business and operations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Unless we otherwise state in the applicable prospectus supplement, we will use the net proceeds from the sale of the offered securities for general corporate purposes. General corporate purposes may include repayment of debt, additions to working capital, capital expenditures, investments in our subsidiaries, possible acquisitions and the repurchase, redemption or retirement of securities, including our common stock.</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240" w:top="459"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200" w:right="540" w:firstLine="441"/>
        <w:spacing w:after="0" w:line="342" w:lineRule="auto"/>
        <w:rPr>
          <w:sz w:val="20"/>
          <w:szCs w:val="20"/>
          <w:color w:val="auto"/>
        </w:rPr>
      </w:pPr>
      <w:r>
        <w:rPr>
          <w:rFonts w:ascii="Arial" w:cs="Arial" w:eastAsia="Arial" w:hAnsi="Arial"/>
          <w:sz w:val="16"/>
          <w:szCs w:val="16"/>
          <w:color w:val="auto"/>
        </w:rPr>
        <w:t>The following table sets forth our historical ratios of earnings to fixed charges for the periods indicated. You should read this information in conjunction with the consolidated financial statements and the accompanying notes incorporated by reference in this prospectus.</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Nine</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140" w:type="dxa"/>
            <w:vAlign w:val="bottom"/>
            <w:gridSpan w:val="3"/>
          </w:tcPr>
          <w:p>
            <w:pPr>
              <w:jc w:val="center"/>
              <w:ind w:left="1628"/>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6"/>
            <w:vMerge w:val="continue"/>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2000" w:type="dxa"/>
            <w:vAlign w:val="bottom"/>
            <w:shd w:val="clear" w:color="auto" w:fill="CCEEFF"/>
          </w:tcPr>
          <w:p>
            <w:pPr>
              <w:spacing w:after="0"/>
              <w:rPr>
                <w:sz w:val="18"/>
                <w:szCs w:val="18"/>
                <w:color w:val="auto"/>
              </w:rPr>
            </w:pPr>
          </w:p>
        </w:tc>
        <w:tc>
          <w:tcPr>
            <w:tcW w:w="8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2.8x</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(1.6)x</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5.8x</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12.2x</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12.9x</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11.2x</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Earnings available for fixed charges represent earnings before income taxes, noncontrolling interests and fixed charges excluding capitalized interest, net of amortization, reduced by undistributed earnings of our less than 50%-owned affiliates. Fixed charges represent interest expense, capitalized interest, plus that portion of rental expense deemed to be the equivalent of interest. Interest expense excludes interest related to uncertain tax positions, which has been included in the provision for income taxes.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following is a general description of the debt securities that we may offer from time to time. The particular terms of the debt securities offered by any prospectus supplement and the extent, if any, to which the general provisions described below may apply to those securities will be described in the applicable prospectus supplement. We also may sell hybrid securities that combine certain features of debt securities and other securities described in this prospectus.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this description of the debt securities, the words “we,” “us” or “our” refer only to Schlumberger Limited and not to any of our subsidiaries.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Capitalized terms used but not defined in this section have the respective meanings set forth in the applicable indenture.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debt securities that we may offer will be either senior debt securities or subordinated debt securities. Any senior debt securities will be issued under an indenture, which we refer to as the senior indenture, to be entered into between us and the trustee named in the applicable prospectus supplement. Any subordinated debt securities will be issued under a different indenture, which we refer to as the subordinated indenture, to be entered into between us and the trustee named in the applicable prospectus supplement. We refer to both the senior indenture and the subordinated indenture as the indentures, and to each of the trustees under the indentures as a trustee. In addition, the indentures may be supplemented or amended as necessary to set forth the terms of the debt securities issued under the indentures. You should read the indentures, including any amendments or supplements, carefully to fully understand the terms of the debt securities. The forms of the indentures are incorporated by reference as exhibits to the registration statement of which this prospectus is a part. The indentures are subject to, and are governed by, the Trust Indenture Act of 1939, as amended.</w:t>
      </w:r>
    </w:p>
    <w:p>
      <w:pPr>
        <w:spacing w:after="0" w:line="16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Any senior debt securities that we may issue will be our unsubordinated obligations. They will rank equally with each other and all of our other unsubordinated debt, unless otherwise indicated in the applicable prospectus supplement. Any subordinated debt securities that we may issue will be subordinated in right of payment to the prior payment in full of our senior debt. See “Subordination of Subordinated Debt Securities.” The subordinated debt securities will rank equally with each other, unless otherwise indicated in the applicable prospectus supplement. We will indicate in each applicable prospectus supplement, as of the most recent practicable date, the aggregate amount of our outstanding debt that would rank senior to the subordinated debt securities.</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indentures do not limit the amount of debt securities that can be issued thereunder and provide that debt securities of any series may be issued thereunder up to the aggregate principal amount that we may authorize from time to time. Unless otherwise provided in the applicable prospectus supplement, the indentures do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9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76" w:lineRule="exact"/>
        <w:rPr>
          <w:sz w:val="20"/>
          <w:szCs w:val="20"/>
          <w:color w:val="auto"/>
        </w:rPr>
      </w:pPr>
    </w:p>
    <w:p>
      <w:pPr>
        <w:ind w:left="1060" w:hanging="424"/>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1060" w:right="700" w:hanging="424"/>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that series that may be authenticated and delivered under the applicable indenture, except for debt securities authenticated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delivered upon registration of transfer of, or in exchange for or in lieu of, other debt securities of that series;</w:t>
      </w:r>
    </w:p>
    <w:p>
      <w:pPr>
        <w:spacing w:after="0" w:line="131" w:lineRule="exact"/>
        <w:rPr>
          <w:sz w:val="20"/>
          <w:szCs w:val="20"/>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30" w:lineRule="exact"/>
        <w:rPr>
          <w:rFonts w:ascii="Arial" w:cs="Arial" w:eastAsia="Arial" w:hAnsi="Arial"/>
          <w:sz w:val="18"/>
          <w:szCs w:val="18"/>
          <w:color w:val="auto"/>
        </w:rPr>
      </w:pPr>
    </w:p>
    <w:p>
      <w:pPr>
        <w:jc w:val="both"/>
        <w:ind w:left="1060" w:right="160" w:hanging="424"/>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86" w:lineRule="exact"/>
        <w:rPr>
          <w:rFonts w:ascii="Arial" w:cs="Arial" w:eastAsia="Arial" w:hAnsi="Arial"/>
          <w:sz w:val="18"/>
          <w:szCs w:val="18"/>
          <w:color w:val="auto"/>
        </w:rPr>
      </w:pPr>
    </w:p>
    <w:p>
      <w:pPr>
        <w:ind w:left="1060" w:right="20" w:hanging="424"/>
        <w:spacing w:after="0" w:line="25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shall be payable, where the debt securities of such series may be surrendered for registration of transfer or exchange and where notices and demands to or upon us with respect to the debt securities of such series and the applicable indenture may be served, and the method of such payment, if by wire transfer, mail or other means if other than as set forth in the applicable indenture;</w:t>
      </w:r>
    </w:p>
    <w:p>
      <w:pPr>
        <w:spacing w:after="0" w:line="92" w:lineRule="exact"/>
        <w:rPr>
          <w:rFonts w:ascii="Arial" w:cs="Arial" w:eastAsia="Arial" w:hAnsi="Arial"/>
          <w:sz w:val="18"/>
          <w:szCs w:val="18"/>
          <w:color w:val="auto"/>
        </w:rPr>
      </w:pPr>
    </w:p>
    <w:p>
      <w:pPr>
        <w:ind w:left="1060" w:right="240" w:hanging="424"/>
        <w:spacing w:after="0" w:line="308"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trustees, authenticating agents or paying agents with respect to such series, if different from those set forth in the applicable indenture;</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or defer the payment of interest and the duration of such extension or deferral;</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in whole or in part, at our option;</w:t>
      </w:r>
    </w:p>
    <w:p>
      <w:pPr>
        <w:spacing w:after="0" w:line="75" w:lineRule="exact"/>
        <w:rPr>
          <w:rFonts w:ascii="Arial" w:cs="Arial" w:eastAsia="Arial" w:hAnsi="Arial"/>
          <w:sz w:val="18"/>
          <w:szCs w:val="18"/>
          <w:color w:val="auto"/>
        </w:rPr>
      </w:pPr>
    </w:p>
    <w:p>
      <w:pPr>
        <w:ind w:left="1060" w:right="100" w:hanging="424"/>
        <w:spacing w:after="0" w:line="25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shall be redeemed, purchased or repaid, in whole or in part, pursuant to such obligation;</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shall be issuable;</w:t>
      </w:r>
    </w:p>
    <w:p>
      <w:pPr>
        <w:spacing w:after="0" w:line="75" w:lineRule="exact"/>
        <w:rPr>
          <w:rFonts w:ascii="Arial" w:cs="Arial" w:eastAsia="Arial" w:hAnsi="Arial"/>
          <w:sz w:val="18"/>
          <w:szCs w:val="18"/>
          <w:color w:val="auto"/>
        </w:rPr>
      </w:pPr>
    </w:p>
    <w:p>
      <w:pPr>
        <w:ind w:left="1060" w:right="58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or currencies in which payment of the principal of, premium, if any, and interest on, debt securities of the series shall be payable;</w:t>
      </w:r>
    </w:p>
    <w:p>
      <w:pPr>
        <w:spacing w:after="0" w:line="75" w:lineRule="exact"/>
        <w:rPr>
          <w:rFonts w:ascii="Arial" w:cs="Arial" w:eastAsia="Arial" w:hAnsi="Arial"/>
          <w:sz w:val="18"/>
          <w:szCs w:val="18"/>
          <w:color w:val="auto"/>
        </w:rPr>
      </w:pPr>
    </w:p>
    <w:p>
      <w:pPr>
        <w:ind w:left="1060" w:right="80" w:hanging="424"/>
        <w:spacing w:after="0" w:line="25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debt securities of the series will not be determinable as of any one or more dates prior to such stated maturity, the amount which will be deemed to be such principal amount as of any such date for any purpose, including the portion of the principal amount thereof that will be due and payable upon declaration of acceleration of the maturity thereof or upon any maturity other than the stated maturity or that will be deemed to be outstanding as of any such date, or, in any such case, the manner in which such deemed principal amount is to be determined;</w:t>
      </w:r>
    </w:p>
    <w:p>
      <w:pPr>
        <w:spacing w:after="0" w:line="93"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130" w:lineRule="exact"/>
        <w:rPr>
          <w:rFonts w:ascii="Arial" w:cs="Arial" w:eastAsia="Arial" w:hAnsi="Arial"/>
          <w:sz w:val="18"/>
          <w:szCs w:val="18"/>
          <w:color w:val="auto"/>
        </w:rPr>
      </w:pPr>
    </w:p>
    <w:p>
      <w:pPr>
        <w:ind w:left="1060" w:right="140" w:hanging="424"/>
        <w:spacing w:after="0" w:line="31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the debt securities of the series shall be issued in whole or in part in the form of a global security or securities, the type of global security to be issued; the terms and conditions, if different from those contained in the applicable indenture, upon which such global security or securities may be exchanged in whole or in part for other individual securities in definitive registered form; the depositary for such</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spacing w:after="0" w:line="277" w:lineRule="auto"/>
        <w:rPr>
          <w:sz w:val="20"/>
          <w:szCs w:val="20"/>
          <w:color w:val="auto"/>
        </w:rPr>
      </w:pPr>
      <w:r>
        <w:rPr>
          <w:rFonts w:ascii="Arial" w:cs="Arial" w:eastAsia="Arial" w:hAnsi="Arial"/>
          <w:sz w:val="18"/>
          <w:szCs w:val="18"/>
          <w:color w:val="auto"/>
        </w:rPr>
        <w:t>global security or securities; and the form of any legend or legends to be borne by any such global security or securities in addition to or in lieu of the legends referred to in the indenture;</w:t>
      </w:r>
    </w:p>
    <w:p>
      <w:pPr>
        <w:spacing w:after="0" w:line="76" w:lineRule="exact"/>
        <w:rPr>
          <w:sz w:val="20"/>
          <w:szCs w:val="20"/>
          <w:color w:val="auto"/>
        </w:rPr>
      </w:pPr>
    </w:p>
    <w:p>
      <w:pPr>
        <w:ind w:left="1060" w:right="20" w:hanging="424"/>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convertible into or exchangeable for other securities,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93" w:lineRule="exact"/>
        <w:rPr>
          <w:rFonts w:ascii="Arial" w:cs="Arial" w:eastAsia="Arial" w:hAnsi="Arial"/>
          <w:sz w:val="18"/>
          <w:szCs w:val="18"/>
          <w:color w:val="auto"/>
        </w:rPr>
      </w:pPr>
    </w:p>
    <w:p>
      <w:pPr>
        <w:ind w:left="1060" w:right="120" w:hanging="424"/>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set forth in the applicable indenture that will apply to the debt securities of the series, which may consist of establishing different terms or provisions from those set forth in the applicable indenture or eliminating any such restrictive covenant or event of default with respect to the debt securities of the series;</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and upon what terms debt securities of a series may be defeased if different from the provisions set forth in the applicable indenture;</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guarantees on the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applicable indenture;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debt securities are subordinated debt securities, the subordination terms of the debt securities; and</w:t>
      </w:r>
    </w:p>
    <w:p>
      <w:pPr>
        <w:spacing w:after="0" w:line="130" w:lineRule="exact"/>
        <w:rPr>
          <w:rFonts w:ascii="Arial" w:cs="Arial" w:eastAsia="Arial" w:hAnsi="Arial"/>
          <w:sz w:val="18"/>
          <w:szCs w:val="18"/>
          <w:color w:val="auto"/>
        </w:rPr>
      </w:pPr>
    </w:p>
    <w:p>
      <w:pPr>
        <w:ind w:left="1060" w:right="360" w:hanging="424"/>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will comply with Section 14(e) under the Exchange Act, to the extent applicable, and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81"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Unless otherwise described in a prospectus supplement relating to any debt securities, there are no covenants or provisions contained in the indentures that may afford the holders of debt securities protection in the event that we enter into a highly leveraged transaction.</w:t>
      </w:r>
    </w:p>
    <w:p>
      <w:pPr>
        <w:spacing w:after="0" w:line="124"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statements made hereunder relating to the indentures and any debt securities that we may issue are summaries of certain provisions thereof and are qualified in their entirety by reference to all provisions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indentures and the debt securities and the descriptions thereof, if different, in the applicable prospectus supplement.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will set forth in the applicable prospectus supplement the terms and conditions, if any, upon which any series of subordinated debt securities is subordinated to debt securities of another series or to our other indebtedness. The terms will include a description of:</w:t>
      </w:r>
    </w:p>
    <w:p>
      <w:pPr>
        <w:spacing w:after="0" w:line="76" w:lineRule="exact"/>
        <w:rPr>
          <w:sz w:val="20"/>
          <w:szCs w:val="20"/>
          <w:color w:val="auto"/>
        </w:rPr>
      </w:pPr>
    </w:p>
    <w:p>
      <w:pPr>
        <w:ind w:left="1060" w:hanging="424"/>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indebtedness ranking senior to the debt securities being offered;</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restrictions, if any, on payments to the holders of the debt securities being offered while a default with respect to the senior indebtedness is continuing;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provisions requiring holders of the debt securities being offered to remit some payments to the holders of senior indebtedness.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Amounts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All payments made by us under or with respect to the debt securities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we are then incorporated or organized or any political subdivision thereof or therein (each, a “Company Tax Jurisdiction”) or (2) any jurisdiction from or through which payment is made by us or on our behalf (including the jurisdiction of any paying agent for the applicable debt securities) or any political subdivision thereof or therein (each, together with each Company Tax Jurisdiction, a “Tax Jurisdiction”) will at any time be required to be made from any payments made by us under or with respect to any debt securities, including payments of principal, redemption price, interest or premium, we will pay such additional amounts (the “Additional Amounts”) as may be necessary in order that the net amounts received with respect to such payments by each holder of the applicable debt securities after such withholding, deduction or imposition (including any such withholding, deduction or imposition from such Additional Amounts) will equal the respective amounts that would have been received with respect to such payments in the absence of such withholding or deduction;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Additional Amounts will be payable with respect to:</w:t>
      </w:r>
    </w:p>
    <w:p>
      <w:pPr>
        <w:spacing w:after="0" w:line="85" w:lineRule="exact"/>
        <w:rPr>
          <w:sz w:val="20"/>
          <w:szCs w:val="20"/>
          <w:color w:val="auto"/>
        </w:rPr>
      </w:pPr>
    </w:p>
    <w:p>
      <w:pPr>
        <w:ind w:left="1060" w:hanging="424"/>
        <w:spacing w:after="0" w:line="297"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Taxes, to the extent such Taxes would not have been imposed but for the existence of any actual or deemed present or former connection between the holder or the beneficial owner of such debt securities and the relevant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the receipt of any payments with respect to such debt securities;</w:t>
      </w:r>
    </w:p>
    <w:p>
      <w:pPr>
        <w:spacing w:after="0" w:line="63" w:lineRule="exact"/>
        <w:rPr>
          <w:rFonts w:ascii="Arial" w:cs="Arial" w:eastAsia="Arial" w:hAnsi="Arial"/>
          <w:sz w:val="16"/>
          <w:szCs w:val="16"/>
          <w:color w:val="auto"/>
        </w:rPr>
      </w:pPr>
    </w:p>
    <w:p>
      <w:pPr>
        <w:ind w:left="1060" w:right="100" w:hanging="424"/>
        <w:spacing w:after="0" w:line="31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30"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us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20" w:hanging="424"/>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respect to any Taxes imposed by the United States, any such Taxes imposed by reason of the failure of such holder to fulfill the statement requirements of sections 871(h) or 881(c) of the Internal Revenue Code of 1986, as amended;</w:t>
      </w:r>
    </w:p>
    <w:p>
      <w:pPr>
        <w:spacing w:after="0" w:line="51" w:lineRule="exact"/>
        <w:rPr>
          <w:rFonts w:ascii="Arial" w:cs="Arial" w:eastAsia="Arial" w:hAnsi="Arial"/>
          <w:sz w:val="17"/>
          <w:szCs w:val="17"/>
          <w:color w:val="auto"/>
        </w:rPr>
      </w:pPr>
    </w:p>
    <w:p>
      <w:pPr>
        <w:ind w:left="1060" w:right="260" w:hanging="424"/>
        <w:spacing w:after="0" w:line="342"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Taxes imposed on or with respect to a payment made to a holder or beneficial owner of such debt securities who would have been able to avoid such withholding or deduction by presenting such debt securities (where presentation is required) to another paying agent;</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debt securities;</w:t>
      </w:r>
    </w:p>
    <w:p>
      <w:pPr>
        <w:spacing w:after="0" w:line="130" w:lineRule="exact"/>
        <w:rPr>
          <w:rFonts w:ascii="Arial" w:cs="Arial" w:eastAsia="Arial" w:hAnsi="Arial"/>
          <w:sz w:val="18"/>
          <w:szCs w:val="18"/>
          <w:color w:val="auto"/>
        </w:rPr>
      </w:pPr>
    </w:p>
    <w:p>
      <w:pPr>
        <w:ind w:left="1060" w:right="40" w:hanging="424"/>
        <w:spacing w:after="0" w:line="293"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Taxes to the extent such Taxes are imposed or withheld by reason of the failure of the holder or beneficial owner of such debt securities, to comply with any written request by us addressed to the holder or beneficial owner to satisfy any certification, identification, information or other reporting requirements, whether required by statute, treaty, regulation or administrative practice of a relevant Tax Jurisdiction, as a precondition to exemption from, or reduction in the rate of deduction or withholding of, Taxes imposed by the relevant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70" w:lineRule="exact"/>
        <w:rPr>
          <w:rFonts w:ascii="Arial" w:cs="Arial" w:eastAsia="Arial" w:hAnsi="Arial"/>
          <w:sz w:val="16"/>
          <w:szCs w:val="16"/>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addition to the foregoing, we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 relevant Tax Jurisdiction with respect to the execution, delivery, issuance, or registration of the debt securities, or the related indenture or any other document or instrument referred to therein.</w:t>
      </w:r>
    </w:p>
    <w:p>
      <w:pPr>
        <w:spacing w:after="0" w:line="18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we become aware that we will be obligated to pay Additional Amounts with respect to any payment under or with respect to the debt securities, we will deliver to the trustee on a date that is at least 30 days prior to the date of that payment (unless the obligation to pay Additional Amounts arises fewer than 45 days prior to that payment date, in which case we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will make all withholdings and deductions required by law with respect to the debt securities, and will remit the full amount deducted or withheld to the relevant Tax authority in accordance with applicable law. We will use our reasonable efforts to obtain Tax receipts from each Tax authority evidencing the payment of any Taxes so deducted or withheld. Upon reasonable written request, we will furnish to the trustee (or to a holder or beneficial owner upon written request), within a reasonable time after the date the payment of any Taxes so deducted or withheld is made, certified copies of Tax receipts evidencing payment by us, or if, notwithstanding our efforts to obtain receipts, receipts are not obtained, other evidence of such payments (reasonably satisfactory to the trustee).</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Whenever in the indenture, any debt securities, or in this “Description of Debt Securities” there is mentioned, in any context, the payment of amounts based upon the principal amount of the debt securities or of principal, interest or of any other amount payable under, or with respect to, any of the debt securities, such mention shall be deemed to include mention of the payment of Additional Amounts to the extent that, in such context, Additional Amounts are, were or would be payable in respect thereof.</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 xml:space="preserve">The above obligations will survive any termination, defeasance or discharge of each indenture, any transfer by a holder or beneficial owner of the debt securities, and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any jurisdiction in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which any successor person to us is incorporated or organized, or any jurisdiction from or through which payment is made by or on behalf of such person on the applicable debt securities and any political subdivision thereof or therein.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Upon Changes in Tax Law</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may redeem the debt securities of any series, in whole but not in part, at our discretion at any time upon giving not less than 30 nor more than 60 days’ prior notice to the holders of the debt securities of such series (which notice will be irrevocable), at a redemption price equal to 100% of the aggregate principal amount thereof, together with accrued and unpaid interest, if any, to the date fixed by us for redemption (a “Tax Redemption Date”) and all Additional Amounts (if any) then due and which will become due on the Tax Redemption Date as a result of the redemption or otherwise (subject to the right of holders of the debt securities of such series on the relevant record date to receive interest due on the relevant interest payment date and Additional Amounts (if any) in respect thereof), if on the next date on which any amount would be payable with respect to the debt securities of such series, we are or would be required to pay Additional Amounts, and we cannot avoid any such payment obligation by taking reasonable measures available, and the requirement arises as a result of:</w:t>
      </w:r>
    </w:p>
    <w:p>
      <w:pPr>
        <w:spacing w:after="0" w:line="84" w:lineRule="exact"/>
        <w:rPr>
          <w:sz w:val="20"/>
          <w:szCs w:val="20"/>
          <w:color w:val="auto"/>
        </w:rPr>
      </w:pPr>
    </w:p>
    <w:p>
      <w:pPr>
        <w:jc w:val="both"/>
        <w:ind w:left="1060" w:hanging="424"/>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amendment to, or change in, the laws (or any regulations or rulings promulgated thereunder) of a relevant Tax Jurisdiction which change or amendment becomes effective on or after the issue date (or, if the applicable Tax Jurisdiction became a Tax Jurisdiction on a date after the issue date, such later date), or</w:t>
      </w:r>
    </w:p>
    <w:p>
      <w:pPr>
        <w:spacing w:after="0" w:line="86" w:lineRule="exact"/>
        <w:rPr>
          <w:rFonts w:ascii="Arial" w:cs="Arial" w:eastAsia="Arial" w:hAnsi="Arial"/>
          <w:sz w:val="18"/>
          <w:szCs w:val="18"/>
          <w:color w:val="auto"/>
        </w:rPr>
      </w:pPr>
    </w:p>
    <w:p>
      <w:pPr>
        <w:ind w:left="1060" w:right="20" w:hanging="424"/>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Tax Jurisdiction became a Tax Jurisdiction on a date after the issue date, such later date).</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will not give any such notice of redemption earlier than 90 days prior to the earliest date on which we would be obligated to make such payment or withholding if a payment with respect to the debt securities of such series was then due, and the obligation to pay Additional Amounts must be in effect at the time such notice is given. Prior to the publication or, where relevant, mailing of any notice of redemption of the debt securities of such series pursuant to the foregoing, we will deliver to the trustee an opinion of independent tax counsel to the effect that there has been such amendment or change which would entitle us to redeem the debt securities of such series hereunder. In addition, before we publish or mail any notice of redemption as described above, we will deliver to the trustee an officer’s certificate to the effect that we cannot avoid our obligation to pay Additional Amounts by taking reasonable measures available to us.</w:t>
      </w:r>
    </w:p>
    <w:p>
      <w:pPr>
        <w:spacing w:after="0" w:line="18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81"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 foregoing will apply to any jurisdiction in which any successor person to us is incorporated or organized, or any jurisdiction from or through which payment is made by or on behalf of such person on the debt securities of such series and any political subdivision thereof or therein.</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less than all of the debt securities of a series are to be redeemed at any time, the trustee will select the debt securities of such series for redemption on a pro rata basis (or,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87" w:lineRule="exact"/>
        <w:rPr>
          <w:sz w:val="20"/>
          <w:szCs w:val="20"/>
          <w:color w:val="auto"/>
        </w:rPr>
      </w:pPr>
    </w:p>
    <w:p>
      <w:pPr>
        <w:jc w:val="both"/>
        <w:ind w:left="200" w:right="140" w:firstLine="441"/>
        <w:spacing w:after="0" w:line="279" w:lineRule="auto"/>
        <w:rPr>
          <w:sz w:val="20"/>
          <w:szCs w:val="20"/>
          <w:color w:val="auto"/>
        </w:rPr>
      </w:pPr>
      <w:r>
        <w:rPr>
          <w:rFonts w:ascii="Arial" w:cs="Arial" w:eastAsia="Arial" w:hAnsi="Arial"/>
          <w:sz w:val="17"/>
          <w:szCs w:val="17"/>
          <w:color w:val="auto"/>
        </w:rPr>
        <w:t>No debt securities in principal amount of $2,000 or less can be redeemed in part. Notices of redemption will be mailed by first class mail at least 30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or any supplement thereto.</w:t>
      </w:r>
    </w:p>
    <w:p>
      <w:pPr>
        <w:spacing w:after="0" w:line="17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w:t>
      </w:r>
    </w:p>
    <w:p>
      <w:pPr>
        <w:spacing w:after="0" w:line="18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trustee will not be liable for selections made by it as contemplated in this section. For any debt securities which are represented by global securities held on behalf of DTC, Euroclear or Clearstream, notices may be given by delivery of the relevant notices to DTC, Euroclear or Clearstream for communication to entitled account holders in substitution for the aforesaid mailing.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So long as any debt securities are outstanding, we will file with the trustee, within 15 days after we file with the SEC, copies of the annual reports and of the information, documents and other reports (or copies of such portions of any of the forgoing as the SEC may from time to time by rules and regulations prescribe) that we may be required to file with the SEC pursuant to Section 13 or Section 15(d) of the Exchange Act. We will be deemed to have complied with the previous sentence to the extent that such information, documents and reports are filed with the SEC via EDGAR, or any successor electronic delivery procedure. Delivery of such reports, information and documents to the trustee is for informational purposes only and the trustee’s receipt of such shall not constitute constructive notice of any information contained therein or determinable from information contained therein, including our compliance with any covenants under the indenture (as to which the trustee is entitled to rely exclusively on officer’s certificates).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will be “Events of Default” with respect to debt securities of a particular series, except to the extent provided in the supplemental indenture or resolution of our board of directors pursuant to which a series of debt securities is issued:</w:t>
      </w:r>
    </w:p>
    <w:p>
      <w:pPr>
        <w:spacing w:after="0" w:line="76" w:lineRule="exact"/>
        <w:rPr>
          <w:sz w:val="20"/>
          <w:szCs w:val="20"/>
          <w:color w:val="auto"/>
        </w:rPr>
      </w:pPr>
    </w:p>
    <w:p>
      <w:pPr>
        <w:ind w:left="1060" w:hanging="424"/>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to pay any interest on any of the debt securities of such series within 30 days after such interest becomes due and payable;</w:t>
      </w:r>
    </w:p>
    <w:p>
      <w:pPr>
        <w:spacing w:after="0" w:line="142" w:lineRule="exact"/>
        <w:rPr>
          <w:rFonts w:ascii="Arial" w:cs="Arial" w:eastAsia="Arial" w:hAnsi="Arial"/>
          <w:sz w:val="17"/>
          <w:szCs w:val="17"/>
          <w:color w:val="auto"/>
        </w:rPr>
      </w:pPr>
    </w:p>
    <w:p>
      <w:pPr>
        <w:ind w:left="1060" w:right="10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pay principal of any of the debt securities of such series at maturity, or if applicable, the redemption price, when the same become due and payable;</w:t>
      </w:r>
    </w:p>
    <w:p>
      <w:pPr>
        <w:spacing w:after="0" w:line="75"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pay any sinking fund installment as and when the same shall become due and payable by the terms of the debt securities of such series, and continuance of such default for a period of 30 days;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424"/>
        <w:spacing w:after="0" w:line="31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to comply with any of the covenants or agreements in any of the debt securities of such series or the indenture (other than an agreement or covenant that we included in the indenture solely for the benefit of another series of debt securities) for 90 days after written notice by the trustee or by the holders of at least 25% in principal amount of all outstanding debt securities affected by that failure;</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 and</w:t>
      </w:r>
    </w:p>
    <w:p>
      <w:pPr>
        <w:spacing w:after="0" w:line="13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our board of directors under which such series of debt securities is issued or in the form of security for such series.</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 default under one series of debt securities issued under the indenture will not necessarily be a default under another series of debt securities under the indenture. The trustee may withhold notice to the holders of a series of debt securities issued under such indenture of any default or event of default (except in any payment on the debt securities of such series) if the trustee considers it in the interest of the holders of the debt securities of that series to do so.</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an event of default for a series of debt securities occurs and is continuing, the trustee or the holders of at least 25% in principal amount of the debt securities of that series may require us to pay immediately the principal amount plus accrued and unpaid interest on all the debt securities of that series. If an event of default relating to certain events of bankruptcy, insolvency or reorganization occurs with respect to us, the principal amount plus accrued and unpaid interest on the debt securities of that series will become immediately due and payable without any action on the part of the trustee or any holder. The holders of a majority in principal amount of the debt securities of such series then outstanding may in some cases rescind this accelerated payment requirement.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holder of debt securities of any series may pursue any remedy under the indenture applicable to the debt securities of that series only if:</w:t>
      </w:r>
    </w:p>
    <w:p>
      <w:pPr>
        <w:spacing w:after="0" w:line="131"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30"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This provision does not, however, affect the right of any holder to sue for enforcement of any overdue payment with respect to the debt securities of such series. In most cases, holders of a majority in principal amount of the debt securities of any series then outstanding may direct the time, method and place of:</w:t>
      </w:r>
    </w:p>
    <w:p>
      <w:pPr>
        <w:spacing w:after="0" w:line="87"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indenture requires us to file with the trustee each year a written statement as to our compliance with the covenants contained in the indenture.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Other than the restrictions on liens described below, the indenture and the debt securities will not contain any covenants or other provisions designed to protect holders of the debt securities in the event of a highly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42" w:lineRule="auto"/>
        <w:rPr>
          <w:sz w:val="20"/>
          <w:szCs w:val="20"/>
          <w:color w:val="auto"/>
        </w:rPr>
      </w:pPr>
      <w:r>
        <w:rPr>
          <w:rFonts w:ascii="Arial" w:cs="Arial" w:eastAsia="Arial" w:hAnsi="Arial"/>
          <w:sz w:val="16"/>
          <w:szCs w:val="16"/>
          <w:color w:val="auto"/>
        </w:rPr>
        <w:t>leveraged transaction. The indenture and the debt securities also do not contain provisions that give holders of the debt securities the right to require us to repurchase any debt securities in the event of a decline in credit rating resulting from a takeover, recapitalization or similar restructuring or otherwise.</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 on Liens</w:t>
      </w:r>
    </w:p>
    <w:p>
      <w:pPr>
        <w:spacing w:after="0" w:line="11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 xml:space="preserve">We will not, and will not permit any of our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we shall so determine, any of our other indebtedness or the indebtedness of any such restricted subsidiary then existing or thereafter created ranking on a parity with the debt securities)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our most recent consolidated quarterly financial statements;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these provisions shall not apply to:</w:t>
      </w:r>
    </w:p>
    <w:p>
      <w:pPr>
        <w:spacing w:after="0" w:line="103" w:lineRule="exact"/>
        <w:rPr>
          <w:sz w:val="20"/>
          <w:szCs w:val="20"/>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our subsidiary (including a restricted subsidiary);</w:t>
      </w:r>
    </w:p>
    <w:p>
      <w:pPr>
        <w:spacing w:after="0" w:line="75" w:lineRule="exact"/>
        <w:rPr>
          <w:rFonts w:ascii="Arial" w:cs="Arial" w:eastAsia="Arial" w:hAnsi="Arial"/>
          <w:sz w:val="18"/>
          <w:szCs w:val="18"/>
          <w:color w:val="auto"/>
        </w:rPr>
      </w:pPr>
    </w:p>
    <w:p>
      <w:pPr>
        <w:ind w:left="1060" w:right="340" w:hanging="424"/>
        <w:spacing w:after="0" w:line="297"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63" w:lineRule="exact"/>
        <w:rPr>
          <w:rFonts w:ascii="Arial" w:cs="Arial" w:eastAsia="Arial" w:hAnsi="Arial"/>
          <w:sz w:val="16"/>
          <w:szCs w:val="16"/>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in favor of us or any of our subsidiaries;</w:t>
      </w:r>
    </w:p>
    <w:p>
      <w:pPr>
        <w:spacing w:after="0" w:line="130" w:lineRule="exact"/>
        <w:rPr>
          <w:rFonts w:ascii="Arial" w:cs="Arial" w:eastAsia="Arial" w:hAnsi="Arial"/>
          <w:sz w:val="18"/>
          <w:szCs w:val="18"/>
          <w:color w:val="auto"/>
        </w:rPr>
      </w:pPr>
    </w:p>
    <w:p>
      <w:pPr>
        <w:ind w:left="1060" w:right="240" w:hanging="424"/>
        <w:spacing w:after="0" w:line="25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mortgage of any of our property or assets or any property or assets of any of our restricted subsidiaries in favor of the United States of America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mortgage of any property or assets to secure indebtedness of the pollution control, industrial revenue or other revenue bond type;</w:t>
      </w:r>
    </w:p>
    <w:p>
      <w:pPr>
        <w:spacing w:after="0" w:line="142" w:lineRule="exact"/>
        <w:rPr>
          <w:rFonts w:ascii="Arial" w:cs="Arial" w:eastAsia="Arial" w:hAnsi="Arial"/>
          <w:sz w:val="17"/>
          <w:szCs w:val="17"/>
          <w:color w:val="auto"/>
        </w:rPr>
      </w:pPr>
    </w:p>
    <w:p>
      <w:pPr>
        <w:ind w:left="1060" w:hanging="424"/>
        <w:spacing w:after="0" w:line="25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92"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as a whole or in part, of any mortgage referred to in the foregoing clauses, inclusive; provided, that such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80"/>
        <w:spacing w:after="0" w:line="277" w:lineRule="auto"/>
        <w:rPr>
          <w:sz w:val="20"/>
          <w:szCs w:val="20"/>
          <w:color w:val="auto"/>
        </w:rPr>
      </w:pPr>
      <w:r>
        <w:rPr>
          <w:rFonts w:ascii="Arial" w:cs="Arial" w:eastAsia="Arial" w:hAnsi="Arial"/>
          <w:sz w:val="18"/>
          <w:szCs w:val="18"/>
          <w:color w:val="auto"/>
        </w:rPr>
        <w:t>extension, renewal or replacement mortgage shall be limited to all or a part of the same property or assets that secured the mortgage extended, renewed or replaced, plus improvements on such property or assets.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“consolidated net worth” means the amount of total stockholders’ equity shown in our most recent quarterly consolidated statement of financial position.</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“non-recourse debt” means indebtedness as to which (a) neither we nor any of our subsidiaries (x) provides credit support of any kind or (y) is directly or indirectly liable as a guarantor or otherwise and (b) as to which the lenders have been notified in writing that they will not have any recourse to the stock or assets of Schlumberger or any of its subsidiaries.</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70"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“restricted property” means any real property, manufacturing plant, warehouse, office building or other physical facility, or any item of marine, transportation or construction equipment or other like depreciable assets of Schlumberger or any of its restricted subsidiaries, whether owned on or acquired after the original issue date of the debt securities, unless, in the opinion of our board of directors, such plant or facility or other asset is not of material importance to the total business conducted by Schlumberger and its restricted subsidiaries taken as a whole.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“restricted subsidiary” means any of our subsidiaries which owns a restricted property.</w:t>
      </w:r>
    </w:p>
    <w:p>
      <w:pPr>
        <w:spacing w:after="0" w:line="22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Consolidation, Merger or Sale</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We will covenant not to consolidate with or merge into any other person or transfer or lease all or substantially all of our assets to any person unless any successor or purchaser expressly assumes our obligations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40"/>
        <w:spacing w:after="0" w:line="286" w:lineRule="auto"/>
        <w:rPr>
          <w:sz w:val="20"/>
          <w:szCs w:val="20"/>
          <w:color w:val="auto"/>
        </w:rPr>
      </w:pPr>
      <w:r>
        <w:rPr>
          <w:rFonts w:ascii="Arial" w:cs="Arial" w:eastAsia="Arial" w:hAnsi="Arial"/>
          <w:sz w:val="17"/>
          <w:szCs w:val="17"/>
          <w:color w:val="auto"/>
        </w:rPr>
        <w:t>under the debt securities by an indenture supplemental to the indenture,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Except as provided in the next two succeeding paragraphs, the indenture or the debt securities of any series may be amended or supplemented, and waivers may be obtained, with the consent of the holders of at least a majority in aggregate principal amount of the debt securities of each series at the time outstanding that is affected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such indenture or the applicable debt securities may be waived with the consent of the holders of at least a majority in aggregate principal amount of the debt securities of each series at the time outstanding that is affected (including, without limitation, additional debt securities of such series, if any) voting as a single class (including, without limitation, consents obtained in connection with a purchase of, or tender offer or exchange offer for, such series). Without the consent of each holder of outstanding debt securities affected thereby, an amendment, supplement or waiver may not (with respect to any debt securities held by a non-consenting holder):</w:t>
      </w:r>
    </w:p>
    <w:p>
      <w:pPr>
        <w:spacing w:after="0" w:line="78"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any series;</w:t>
      </w:r>
    </w:p>
    <w:p>
      <w:pPr>
        <w:spacing w:after="0" w:line="130" w:lineRule="exact"/>
        <w:rPr>
          <w:rFonts w:ascii="Arial" w:cs="Arial" w:eastAsia="Arial" w:hAnsi="Arial"/>
          <w:sz w:val="18"/>
          <w:szCs w:val="18"/>
          <w:color w:val="auto"/>
        </w:rPr>
      </w:pPr>
    </w:p>
    <w:p>
      <w:pPr>
        <w:ind w:left="1060" w:right="74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any premium payable on the redemption of any debt security or change the time at which any debt security may or must be redeemed;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payments on any debt security payable in currency other than as originally stated in such debt security;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w:t>
      </w:r>
    </w:p>
    <w:p>
      <w:pPr>
        <w:spacing w:after="0" w:line="130" w:lineRule="exact"/>
        <w:rPr>
          <w:rFonts w:ascii="Arial" w:cs="Arial" w:eastAsia="Arial" w:hAnsi="Arial"/>
          <w:sz w:val="18"/>
          <w:szCs w:val="18"/>
          <w:color w:val="auto"/>
        </w:rPr>
      </w:pPr>
    </w:p>
    <w:p>
      <w:pPr>
        <w:ind w:left="1060" w:right="180" w:hanging="424"/>
        <w:spacing w:after="0" w:line="30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make any change in the percentage of principal amount of the debt securities necessary to waive compliance with certain provisions of the indenture such debt securities were issued under or to make any change in this provision for modification; or</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Notwithstanding the preceding, without the consent of any holder of debt securities, we and the trustee may amend or supplement the indenture or the applicable debt securities in certain circumstances, including:</w:t>
      </w:r>
    </w:p>
    <w:p>
      <w:pPr>
        <w:spacing w:after="0" w:line="76" w:lineRule="exact"/>
        <w:rPr>
          <w:sz w:val="20"/>
          <w:szCs w:val="20"/>
          <w:color w:val="auto"/>
        </w:rPr>
      </w:pPr>
    </w:p>
    <w:p>
      <w:pPr>
        <w:ind w:left="1060" w:right="60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or to provide for the assumption of our obligations under the indenture by a successor upon any merger, consolidation or asset transfer;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provide for the assumption of our obligations under the indenture by a successor upon any merger, consolidation or asset transfer;</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75"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of our rights under the indenture;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w:t>
      </w:r>
    </w:p>
    <w:p>
      <w:pPr>
        <w:spacing w:after="0" w:line="130" w:lineRule="exact"/>
        <w:rPr>
          <w:rFonts w:ascii="Arial" w:cs="Arial" w:eastAsia="Arial" w:hAnsi="Arial"/>
          <w:sz w:val="18"/>
          <w:szCs w:val="18"/>
          <w:color w:val="auto"/>
        </w:rPr>
      </w:pPr>
    </w:p>
    <w:p>
      <w:pPr>
        <w:jc w:val="both"/>
        <w:ind w:left="1060" w:right="160" w:hanging="424"/>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not become effective with respect to any outstanding debt security of any series created prior to the execution of such supplemental indenture which is entitled to the benefit of such provision;</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permit or facilitate the defeasance and discharge of the debt securities;</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to issue additional debt securities of any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debt securities have the same terms as, and be deemed part of the same series as, the applicable series of debt securities to the extent required under the indenture;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rights of any holder of outstanding debt securities in any material respect; or</w:t>
      </w:r>
    </w:p>
    <w:p>
      <w:pPr>
        <w:spacing w:after="0" w:line="142" w:lineRule="exact"/>
        <w:rPr>
          <w:rFonts w:ascii="Arial" w:cs="Arial" w:eastAsia="Arial" w:hAnsi="Arial"/>
          <w:sz w:val="17"/>
          <w:szCs w:val="17"/>
          <w:color w:val="auto"/>
        </w:rPr>
      </w:pPr>
    </w:p>
    <w:p>
      <w:pPr>
        <w:ind w:left="1060" w:hanging="424"/>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 by more than one trustee.</w:t>
      </w:r>
    </w:p>
    <w:p>
      <w:pPr>
        <w:spacing w:after="0" w:line="18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holders of a majority in principal amount of the debt securities of each series then outstanding that is affected, voting as a single class, may waive any existing or past default or event of default with respect to those debt securities. Those holders may not, however, waive any default or event of default in any payment on any debt security.</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 supplemental indenture that changes or eliminates any covenant, Event of Default or other provision of the indenture that has been expressly included solely for the benefit of one or more particular series of securities, if any, or which modifies the rights of the holders of securities of such series with respect to such covenant, Event of Default or other provision, shall be deemed not to affect the rights under the indenture of the holders of securities of any other series. It will not be necessary for the consent of the holders to approve the particular form of any proposed supplement, amendment or waiver, but it shall be sufficient if such consent approves the substance of it.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4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If the trustee becomes a creditor of ours,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Paying Agent, Registrar and Transfer Agent</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will maintain one or more paying agents (each, a “Paying Agent”) for any debt securities we issue in the Borough of Manhattan, City of New York. We, upon written notice to the trustee accompanied by an officer’s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certificate, may appoint one or more paying agents, other than the trustee, for all or any series of such debt securities. If we fail to appoint or maintain another entity as paying agent, the trustee shall act as such. We or any of our subsidiaries, upon notice to the trustee, may act as paying agent.</w:t>
      </w:r>
    </w:p>
    <w:p>
      <w:pPr>
        <w:spacing w:after="0" w:line="124"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will also maintain one or more registrars (each, a “Registrar”) with an office in the Borough of Manhattan, City of New York. We, upon written notice to the trustee accompanied by an officer’s certificate, may appoint one or more registrars, other than the trustee, for all or any series of debt securities. If we fail to appoint or maintain another entity as registrar, the trustee shall act as such. We or any of our subsidiaries, upon notice to the trustee, may act as registrar.</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will also maintain a transfer agent with an office in the Borough of Manhattan, City of New York. Each transfer agent shall perform the functions of a transfer agent. We, upon written notice to the trustee accompanied by an officer’s certificate, may appoint one or more transfer agents, other than the trustee, for all or any series of debt securities. If we fail to appoint or maintain another entity as transfer agent, the trustee shall act as such. We or any of our subsidiaries, upon notice to the trustee, may act as transfer agent.</w:t>
      </w:r>
    </w:p>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Agents will make payments on and facilitate transfer of debt securities on our behalf. We may change any Paying Agents, Registrars or transfer agents without prior notice to the holders of debt securities.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indenture and any debt securities issued thereunder will be deemed to be a contract made under the internal laws of the State of New York, and for all purposes will be construed in accordance with the laws of the State of New York without regard to conflicts of laws principles that would require the application of any other law. The indenture is subject to the provisions of the Trust Indenture Act that are required to be part of the indenture and will, to the extent applicable, be governed by such provisions.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shall cease to be of further effect with respect to a series of debt securities when either:</w:t>
      </w:r>
    </w:p>
    <w:p>
      <w:pPr>
        <w:spacing w:after="0" w:line="131" w:lineRule="exact"/>
        <w:rPr>
          <w:sz w:val="20"/>
          <w:szCs w:val="20"/>
          <w:color w:val="auto"/>
        </w:rPr>
      </w:pPr>
    </w:p>
    <w:p>
      <w:pPr>
        <w:ind w:left="1060" w:right="12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delivered to the trustee for cancellation all outstanding securities of such series, other than any securities that have been destroyed, lost or stolen and that have been replaced or paid as provided in the indenture;</w:t>
      </w:r>
    </w:p>
    <w:p>
      <w:pPr>
        <w:spacing w:after="0" w:line="75" w:lineRule="exact"/>
        <w:rPr>
          <w:rFonts w:ascii="Arial" w:cs="Arial" w:eastAsia="Arial" w:hAnsi="Arial"/>
          <w:sz w:val="18"/>
          <w:szCs w:val="18"/>
          <w:color w:val="auto"/>
        </w:rPr>
      </w:pPr>
    </w:p>
    <w:p>
      <w:pPr>
        <w:ind w:left="1060" w:hanging="424"/>
        <w:spacing w:after="0" w:line="25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outstanding securities of such series have become due and payable or are by their terms to become due and payable within one year or are to be called for redemption within one year under arrangements satisfactory to the trustee for the giving of notice of redemption, and we shall have irrevocably deposited with the trustee as trust funds the entire amount, in funds or governmental obligations, or a combination thereof, sufficient, in the opinion of a nationally recognized firm of independent public accountants, to pay at maturity or upon redemption all securities of such series; or</w:t>
      </w:r>
    </w:p>
    <w:p>
      <w:pPr>
        <w:spacing w:after="0" w:line="93"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properly fulfilled any other means of satisfaction and discharge that may be set forth in the terms of the securities of such series.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each case, we will also pay all other sums payable by us under the indenture with respect to the securities of such series.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term defeasance means the discharge of some or all of our obligations under the indenture. If we deposit with the trustee funds or government securities sufficient to make payments on any series of debt securities on the dates those payments are due and payable, then, at our option, either of the following will occur:</w:t>
      </w:r>
    </w:p>
    <w:p>
      <w:pPr>
        <w:spacing w:after="0" w:line="87" w:lineRule="exact"/>
        <w:rPr>
          <w:sz w:val="20"/>
          <w:szCs w:val="20"/>
          <w:color w:val="auto"/>
        </w:rPr>
      </w:pPr>
    </w:p>
    <w:p>
      <w:pPr>
        <w:ind w:left="5620" w:right="1820" w:hanging="4984"/>
        <w:spacing w:after="0" w:line="449" w:lineRule="auto"/>
        <w:tabs>
          <w:tab w:leader="none" w:pos="10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such series (“legal defeasance”); or 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8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the restrictive covenants under the indenture, and the related events of default will no longer apply to us (“covenant defeasance”).</w:t>
      </w:r>
    </w:p>
    <w:p>
      <w:pPr>
        <w:spacing w:after="0" w:line="170"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If we defease any series of debt securities, the holders of the defeased debt securities of such series will not be entitled to the benefits of the indenture under which such series was issued, except for our obligation to register the transfer or exchange of the debt securities of such series, replace stolen, lost or mutilated debt securities or maintain paying agencies and hold moneys for payment in trust. In the case of covenant defeasance, our obligation to pay principal, premium and interest on the debt securities of such series will also survive. We will be required to deliver to the trustee an opinion of counsel that the deposit and related defeasance would not cause the holders of the debt securities of such series to recognize income, gain or loss for federal income tax purposes. If we elect legal defeasance, that opinion of counsel must be based upon a ruling from the United States Internal Revenue Service or a change in law to that effect.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denominations of $1,000 or any integral multiple thereof and will be issued in registered form only, without coupons.</w:t>
      </w:r>
    </w:p>
    <w:p>
      <w:pPr>
        <w:spacing w:after="0" w:line="188"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anticipate that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7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Investors may elect to hold their interests in the global securities through either DTC (in the United States) or (in Europe) through Clearstream or through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denominations of $1,000 and multiples of $1,000 in excess thereof. Except as set forth below, the global securities may be transferred, in whole and not in part, only to another nominee of DTC or to a successor of DTC or its nominee.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131" w:lineRule="exact"/>
        <w:rPr>
          <w:sz w:val="20"/>
          <w:szCs w:val="20"/>
          <w:color w:val="auto"/>
        </w:rPr>
      </w:pPr>
    </w:p>
    <w:p>
      <w:pPr>
        <w:ind w:left="1060" w:right="8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for that global security and we do not appoint a successor depositary within 90 days after receiving that notice;</w:t>
      </w:r>
    </w:p>
    <w:p>
      <w:pPr>
        <w:spacing w:after="0" w:line="75" w:lineRule="exact"/>
        <w:rPr>
          <w:rFonts w:ascii="Arial" w:cs="Arial" w:eastAsia="Arial" w:hAnsi="Arial"/>
          <w:sz w:val="18"/>
          <w:szCs w:val="18"/>
          <w:color w:val="auto"/>
        </w:rPr>
      </w:pPr>
    </w:p>
    <w:p>
      <w:pPr>
        <w:ind w:left="1060" w:right="140" w:hanging="424"/>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Securities Exchange Act of 1934, as amended (the “Exchange Act”), or other applicable statute or regulation and we do not appoint a successor depositary within 90 days after becoming aware that DTC has ceased to be registered as a clearing agency; or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determine that that global security will be exchangeable for definitive securities in registered form and notifies the trustee of its decision.</w:t>
      </w:r>
    </w:p>
    <w:p>
      <w:pPr>
        <w:spacing w:after="0" w:line="24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8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We will make principal and interest payments on all debt securities represented by a global security to the paying agent which in turn will make payment to DTC or its nominee, as the case may be, as the sole registered owner and the sole holder of the debt securities represented by a global security for all purposes under the indenture. Accordingly, we, the trustee and any paying agent will have no responsibility or liability for:</w:t>
      </w:r>
    </w:p>
    <w:p>
      <w:pPr>
        <w:spacing w:after="0" w:line="52" w:lineRule="exact"/>
        <w:rPr>
          <w:sz w:val="20"/>
          <w:szCs w:val="20"/>
          <w:color w:val="auto"/>
        </w:rPr>
      </w:pPr>
    </w:p>
    <w:p>
      <w:pPr>
        <w:ind w:left="1060" w:right="10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75"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8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DTC</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6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Beneficial interests in a global security will be shown on, and transfers of those ownership interests will be effected only through, records maintained by DTC and its participants for that global security. The conveyance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70"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66"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66"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Clearstream</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3"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Euroclear</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2" w:lineRule="auto"/>
        <w:rPr>
          <w:sz w:val="20"/>
          <w:szCs w:val="20"/>
          <w:color w:val="auto"/>
        </w:rPr>
      </w:pPr>
      <w:r>
        <w:rPr>
          <w:rFonts w:ascii="Arial" w:cs="Arial" w:eastAsia="Arial" w:hAnsi="Arial"/>
          <w:sz w:val="17"/>
          <w:szCs w:val="17"/>
          <w:color w:val="auto"/>
        </w:rPr>
        <w:t>countries. The Euroclear System is owned by Euroclear Clearance System Public Limited Company (ECSplc) and operated through Euroclear Bank S.A/N.V., or the Euroclear Operator, a bank incorporated under the laws of the Kingdom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7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70"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7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8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8"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6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Neither we nor any paying agent will have any responsibility for the performance by DTC, Euroclear or Clearstream or their respective direct or indirect participants of their obligations under the rules and procedures governing their operations.</w:t>
      </w:r>
    </w:p>
    <w:p>
      <w:pPr>
        <w:spacing w:after="0" w:line="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240" w:top="459"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following description of our share capital is a summary. This summary is not complete and is subject to the complete text of our Articles of Incorporation and Amended and Restated By-Laws, each as amended to date. Our Articles of Incorporation and Amended and Restated By-Laws, each as amended, are incorporated by reference as exhibits to the registration statement of which this prospectus forms a part.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 Issued and Treasury Shares</w:t>
      </w:r>
    </w:p>
    <w:p>
      <w:pPr>
        <w:spacing w:after="0" w:line="121"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We may issue an aggregate of 4,500,000,000 shares of common stock, par value $0.01 per share. As of September 30, 2017, 1,434,212,164 shares of common stock were issued, of which 1,385,261,690 shares were outstanding and 48,950,474 shares were held by us as treasury stock.</w:t>
      </w:r>
    </w:p>
    <w:p>
      <w:pPr>
        <w:spacing w:after="0" w:line="12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also issue an aggregate of 200,000,000 shares of preferred stock, par value $0.01 per share, which may be issued in one or more separate series. Under our Articles of Incorporation, the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prospectus.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All outstanding shares of common stock (i.e.,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the common stock. The amount of dividends payable with respect to any fiscal year is determined by Schlumberger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our “equity” (i.e., our net asset value) at least equals the nominal capital (i.e., the aggregate par value of our outstanding shares) and as a result of the distribution will not fall below the nominal capital.</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i w:val="1"/>
          <w:iCs w:val="1"/>
          <w:color w:val="auto"/>
        </w:rPr>
        <w:t xml:space="preserve">Entitlement to Vote. </w:t>
      </w:r>
      <w:r>
        <w:rPr>
          <w:rFonts w:ascii="Arial" w:cs="Arial" w:eastAsia="Arial" w:hAnsi="Arial"/>
          <w:sz w:val="18"/>
          <w:szCs w:val="18"/>
          <w:color w:val="auto"/>
        </w:rPr>
        <w:t>Each holder of common stock and each holder of preferred stock (if issued and outstanding) is entitled to one vote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share registered in that holder’s name. Voting rights may be exercised in person or by proxy.</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 xml:space="preserve">Quorum. </w:t>
      </w:r>
      <w:r>
        <w:rPr>
          <w:rFonts w:ascii="Arial" w:cs="Arial" w:eastAsia="Arial" w:hAnsi="Arial"/>
          <w:sz w:val="17"/>
          <w:szCs w:val="17"/>
          <w:color w:val="auto"/>
        </w:rPr>
        <w:t>No action may be taken at any general meeting of Schlumberger stockholders unless a quorum consisting of the holders of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one-half of the outstanding shares 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 disposition of our assets or our liquidation or the amendment of our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178" w:lineRule="exact"/>
        <w:rPr>
          <w:sz w:val="20"/>
          <w:szCs w:val="20"/>
          <w:color w:val="auto"/>
        </w:rPr>
      </w:pPr>
    </w:p>
    <w:p>
      <w:pPr>
        <w:ind w:left="200" w:right="480" w:firstLine="441"/>
        <w:spacing w:after="0" w:line="308" w:lineRule="auto"/>
        <w:rPr>
          <w:sz w:val="20"/>
          <w:szCs w:val="20"/>
          <w:color w:val="auto"/>
        </w:rPr>
      </w:pPr>
      <w:r>
        <w:rPr>
          <w:rFonts w:ascii="Arial" w:cs="Arial" w:eastAsia="Arial" w:hAnsi="Arial"/>
          <w:sz w:val="17"/>
          <w:szCs w:val="17"/>
          <w:i w:val="1"/>
          <w:iCs w:val="1"/>
          <w:color w:val="auto"/>
        </w:rPr>
        <w:t xml:space="preserve">Required Vote. </w:t>
      </w:r>
      <w:r>
        <w:rPr>
          <w:rFonts w:ascii="Arial" w:cs="Arial" w:eastAsia="Arial" w:hAnsi="Arial"/>
          <w:sz w:val="17"/>
          <w:szCs w:val="17"/>
          <w:color w:val="auto"/>
        </w:rPr>
        <w:t>In general, any action requiring the approval of Schlumberger stockholders may be authorized by a majority of the votes cast</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any abstentions) at any meeting at which a quorum is present (subject to the quorum exception described above).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166"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The sale or disposition of all or substantially all of our assets must be approved by the holders of at least a majority of the shares outstanding and entitled to vote, except that under our Articles of Incorporation this requirement does not apply to a reorganization or rearrangement of us or any of our subsidiaries or any of our assets in any transaction that does not result in any diminution of the beneficial interest of Schlumberger stockholders in our assets.</w:t>
      </w:r>
    </w:p>
    <w:p>
      <w:pPr>
        <w:spacing w:after="0" w:line="18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Under our Articles of Incorporation, our board of directors may move our corporate seat to, or convert us into a legal entity under the laws of, another jurisdiction, and may change our corporate domicile from Curaçao to another jurisdiction to the extent allowed by applicable law. In certain cases, stockholder approval of such action may not be required under applicable law.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Preemptive and Other Rights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shares of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may for our own account purchase shares of common stock so long as one share of common stock remains outstanding and our equity before and after such a purchase at least equals its nominal 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and Removal of Directors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Directors are elected at an annual general meeting of stockholders by a majority of votes cast by stockholders entitled to vote, except that directors are to be elected by a plurality of voting power in certain elections where the number of nominees exceeds the number of directors to be elected. The number of directors constituting the whole board of directors may not be fewer than five nor more than 24, as fixed from time to time by the board of directors, subject to approval of stockholders of the Company. The maximum number of persons constituting the whole board of directors will, until changed at any succeeding annual general meeting of stockholders, be the number so fixed. If the number of directors elected by stockholders is smaller than the maximum number of directors as fixed by the board of directors in accordance with our Articles of Incorporation, the board of directors may be authorized, but not obligated, to appoint additional directors such that the total number of directors does not exceed the maximum number of directors as fixed by the board of directors and approved by our stockholders, any such appointment to be effective until the next annual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jc w:val="both"/>
        <w:ind w:left="200" w:right="220" w:firstLine="441"/>
        <w:spacing w:after="0" w:line="312" w:lineRule="auto"/>
        <w:rPr>
          <w:sz w:val="20"/>
          <w:szCs w:val="20"/>
          <w:color w:val="auto"/>
        </w:rPr>
      </w:pPr>
      <w:r>
        <w:rPr>
          <w:rFonts w:ascii="Arial" w:cs="Arial" w:eastAsia="Arial" w:hAnsi="Arial"/>
          <w:sz w:val="16"/>
          <w:szCs w:val="16"/>
          <w:color w:val="auto"/>
        </w:rPr>
        <w:t>In accordance with applicable law, all general meetings of Schlumberger stockholders must be held in Curaçao. The annual general meeting of Schlumberger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auto"/>
        </w:rPr>
        <w:t>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common stock for the purpose of electing a board of directors.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Under Curaçao law, stockholders may not act by written consent without a meeting, unless all stockholders entitled to vote on the matter have cast a vote.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Buy-Out</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Under our Articles of Incorporation, any one person, or any two or more legal entities belonging to the same group, holding shares representing at least 90% of our equity can require the remaining stockholders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Upon Liquidation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the event of liquidation, each share of common stock is entitled to equal rights after satisfaction of any preferred stock liquidation preference.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Transfer Agent and Registrar</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common stock is listed for trading on the NYSE, Euronext Paris, the London Stock Exchange and the SIX Swiss Exchange. The transfer agent and registrar for our common stock is Computershare Trust Company, N.A., Canton, Massachusetts.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DESCRIPTION OF GUARANTEES OF DEBT SECURITIES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guarantees of debt securities that may be offered pursuant to this prospectus.</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240" w:top="459" w:right="7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sell the securities offered pursuant to this prospectus in any of the following ways:</w:t>
      </w:r>
    </w:p>
    <w:p>
      <w:pPr>
        <w:spacing w:after="0" w:line="131"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underwriters, brokers or dealers;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addition, to the extent this prospectus is used by any selling securityholder to resell common stock or other securities, information with respect to the selling securityholder and the plan of distribution will be contained in a supplement to this prospectus, in a post-effective amendment or in filings we make with the SEC under the Exchange Act that are incorporated by reference.</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24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VALIDITY OF THE SECURITIES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Gibson, Dunn &amp; Crutcher LLP, New York, New York, will pass upon the validity of the debt securities and guarantees, and STvB Advocaten (Curaçao) N.V., Curaçao, will pass upon the validity of the common stock.</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00"/>
          </w:cols>
          <w:pgMar w:left="240" w:top="459" w:right="8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You may read and copy any materials we file with the SEC at the SEC’s public reference room:</w:t>
      </w:r>
    </w:p>
    <w:p>
      <w:pPr>
        <w:spacing w:after="0" w:line="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Public Reference Room</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For information regarding the operation of the Public Reference Room, you may call the SEC at 1-800-SEC-0330. The SEC also maintains a website at www.sec.gov that contains reports, proxy and information statements and other information regarding Schlumberger and other companies that file materials with the SEC electronically. Our filings are also available on our website at </w:t>
      </w:r>
      <w:r>
        <w:rPr>
          <w:rFonts w:ascii="Arial" w:cs="Arial" w:eastAsia="Arial" w:hAnsi="Arial"/>
          <w:sz w:val="17"/>
          <w:szCs w:val="17"/>
          <w:i w:val="1"/>
          <w:iCs w:val="1"/>
          <w:color w:val="auto"/>
        </w:rPr>
        <w:t>www.slb.com</w:t>
      </w:r>
      <w:r>
        <w:rPr>
          <w:rFonts w:ascii="Arial" w:cs="Arial" w:eastAsia="Arial" w:hAnsi="Arial"/>
          <w:sz w:val="17"/>
          <w:szCs w:val="17"/>
          <w:color w:val="auto"/>
        </w:rPr>
        <w:t>. You are encouraged to read the materials that we file with the SEC, which disclose important information about us. This information includes any filing we have made with the SEC under Section 13(a), 13(c), 14 or 15(d) of the Exchange Act. The information on our website or any other website is not incorporated by reference in the prospectus and should not be considered part of this prospectus or any other filing we make with the SEC.</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SEC allows us to incorporate information into this prospectus “by reference,” which means that we can disclose important information to you by referring you to another document that we filed separately with the SEC. The information incorporated by reference is deemed to be part of this prospectus, except for any information superseded by information contained directly in this prospectus. These documents contain important information about us and our financial condition, business and results.</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are incorporating by reference our filings listed below and any additional documents that we may file with the SEC pursuant to Section 13(a), 13(c), 14 or 15(d) of the Exchange Act on or after the date we file this prospectus and prior to the termination of any offering; except we are not incorporating by reference any information furnished (but not filed) under Item 2.02 or Item 7.01 of any Current Report on Form 8-K, unless specifically noted below or in a prospectus supplement:</w:t>
      </w:r>
    </w:p>
    <w:p>
      <w:pPr>
        <w:spacing w:after="0" w:line="92" w:lineRule="exact"/>
        <w:rPr>
          <w:sz w:val="20"/>
          <w:szCs w:val="20"/>
          <w:color w:val="auto"/>
        </w:rPr>
      </w:pPr>
    </w:p>
    <w:p>
      <w:pPr>
        <w:ind w:left="1060" w:right="8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(including the portions of our proxy statement for our 2017 annual meeting of stockholders incorporated by reference therein);</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2017, June 30, 2017 and September 30, 2017, filed with the SEC on April 26, 2017, July 26, 2017 and October 25, 2017, respectively;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19, 2017, April 5, 2017, and June 20, 2017;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description of our common stock, par value $0.01 per share, contained in our Current Report on Form 8-K filed on April 29, 2005.</w:t>
      </w:r>
    </w:p>
    <w:p>
      <w:pPr>
        <w:spacing w:after="0" w:line="23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will provide, without charge, to each person to whom a copy of this prospectus has been delivered, including any beneficial owner, a copy of any or all of the information that has been incorporated by reference into this prospectus but not delivered with the prospectus if such person makes a written or oral request directed to:</w:t>
      </w:r>
    </w:p>
    <w:p>
      <w:pPr>
        <w:spacing w:after="0" w:line="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580" w:hanging="428"/>
        <w:spacing w:after="0"/>
        <w:tabs>
          <w:tab w:leader="none" w:pos="5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375-3535</w:t>
      </w:r>
    </w:p>
    <w:p>
      <w:pPr>
        <w:spacing w:after="0" w:line="1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AND ANY ACCOMPANYING PROSPECTUS SUPPLEMENT, OR TO WHICH WE HAVE REFERRED YOU, IN MAKING YOUR DECISIONS WHETHER TO INVEST IN THE SECURITIES. WE HAVE NOT AUTHORIZED ANYONE TO PROVIDE YOU WITH INFORMATION THAT DIFFERS FROM THAT CONTAINED IN THIS PROSPECTUS AND ANY ACCOMPANYING PROSPECTUS SUPPLEMENT. THIS PROSPECTUS IS DATED OCTOBER 27, 2017. YOU SHOULD NOT ASSUME THAT THE INFORMATION CONTAINED IN THIS PROSPECTUS IS ACCURATE AS ANY DATE OTHER THAN THAT DATE, UNLESS WE OTHERWISE NOTE IN THIS PROSPECTUS OR ANY ACCOMPANYING PROSPECTUS SUPPLEMENT.</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following table sets forth the estimated expenses, other than underwriting discounts and commissions, to be paid by Schlumberger in connection with the offering of the securities registered hereby. The assumed amount has been used to demonstrate the expenses of an offering and does not represent an estimate of the amount of securities that may be registered or distributed because such amount is unknown at this time. All amounts shown are estimates, except the registration fee.</w:t>
      </w:r>
    </w:p>
    <w:p>
      <w:pPr>
        <w:spacing w:after="0" w:line="206" w:lineRule="exact"/>
        <w:rPr>
          <w:sz w:val="20"/>
          <w:szCs w:val="20"/>
          <w:color w:val="auto"/>
        </w:rPr>
      </w:pPr>
    </w:p>
    <w:tbl>
      <w:tblPr>
        <w:tblLayout w:type="fixed"/>
        <w:tblInd w:w="1980" w:type="dxa"/>
        <w:tblCellMar>
          <w:top w:w="0" w:type="dxa"/>
          <w:left w:w="0" w:type="dxa"/>
          <w:bottom w:w="0" w:type="dxa"/>
          <w:right w:w="0" w:type="dxa"/>
        </w:tblCellMar>
      </w:tblPr>
      <w:tr>
        <w:trPr>
          <w:trHeight w:val="185"/>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24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47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registration fee</w:t>
            </w:r>
          </w:p>
        </w:tc>
        <w:tc>
          <w:tcPr>
            <w:tcW w:w="18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70"/>
              </w:rPr>
              <w:t>SEC</w:t>
            </w:r>
          </w:p>
        </w:tc>
        <w:tc>
          <w:tcPr>
            <w:tcW w:w="4740" w:type="dxa"/>
            <w:vAlign w:val="bottom"/>
            <w:vMerge w:val="continue"/>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24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4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 and transfer agent fees and expenses</w:t>
            </w:r>
          </w:p>
        </w:tc>
        <w:tc>
          <w:tcPr>
            <w:tcW w:w="2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24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60" w:hanging="436"/>
        <w:spacing w:after="0" w:line="258"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accordance with Rules 456(b) and 457(r) of the Securities Act of 1933, as amended, we are deferring payment of all of the registration fee for the securities offered by this registration statement.</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estimate of the aggregate amount of these expenses will be reflected in the applicable prospectus supplement.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Schlumberger’s Amended and Restated By-laws requires indemnification for current and former directors and officers and permits indemnification for employees and agents as described below.</w:t>
      </w:r>
    </w:p>
    <w:p>
      <w:pPr>
        <w:spacing w:after="0" w:line="165"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 xml:space="preserve">To the fullest extent permitted by applicable law, Schlumberger will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a director of any subsidiary of Schlumberger or an officer appointed or elected by the board of directors of Schlumberger or of a subsidiary, or is or was any such officer or director of Schlumberger or of a subsidiary of Schlumberger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provided, however, that, except with respect to proceedings to enforce rights to indemnification and advancement, Schlumberger will indemnify any such person in connection with a proceeding initiated by that person (including claims and counterclaims) only if such proceeding was authorized by our board of directors. The termination of any action, suit or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does not, of itself, create a presumption that the person did not act in good faith and in a manner which such person reasonably believed to be in or not opposed to the best interests of</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Schlumberger, and, with respect to any criminal action or proceeding, had reasonable cause to believe that such person’s conduct was unlawful.</w:t>
      </w:r>
    </w:p>
    <w:p>
      <w:pPr>
        <w:spacing w:after="0" w:line="23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Schlumberger is required to indemnify any current or former officer or director of Schlumberger to the fullest extent allowed by the preceding paragraphs in the event of a “Change of Control.” “Change of Control” means a change in control of Schlumberger, which will be deemed to have occurred if at any time:</w:t>
      </w:r>
    </w:p>
    <w:p>
      <w:pPr>
        <w:spacing w:after="0" w:line="87" w:lineRule="exact"/>
        <w:rPr>
          <w:sz w:val="20"/>
          <w:szCs w:val="20"/>
          <w:color w:val="auto"/>
        </w:rPr>
      </w:pPr>
    </w:p>
    <w:p>
      <w:pPr>
        <w:ind w:left="1060" w:right="260" w:hanging="424"/>
        <w:spacing w:after="0" w:line="259"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our board of directors in office immediately prior to such entity, person or organization attaining such percentage interest;</w:t>
      </w:r>
    </w:p>
    <w:p>
      <w:pPr>
        <w:spacing w:after="0" w:line="92" w:lineRule="exact"/>
        <w:rPr>
          <w:rFonts w:ascii="Arial" w:cs="Arial" w:eastAsia="Arial" w:hAnsi="Arial"/>
          <w:sz w:val="18"/>
          <w:szCs w:val="18"/>
          <w:color w:val="auto"/>
        </w:rPr>
      </w:pPr>
    </w:p>
    <w:p>
      <w:pPr>
        <w:ind w:left="1060" w:right="480" w:hanging="424"/>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Schlumberger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w:t>
      </w:r>
    </w:p>
    <w:p>
      <w:pPr>
        <w:spacing w:after="0" w:line="86" w:lineRule="exact"/>
        <w:rPr>
          <w:rFonts w:ascii="Arial" w:cs="Arial" w:eastAsia="Arial" w:hAnsi="Arial"/>
          <w:sz w:val="18"/>
          <w:szCs w:val="18"/>
          <w:color w:val="auto"/>
        </w:rPr>
      </w:pPr>
    </w:p>
    <w:p>
      <w:pPr>
        <w:ind w:left="1060" w:hanging="424"/>
        <w:spacing w:after="0" w:line="259"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any 15-month period, individuals who at the beginning of such period constituted our board of directors (including for this purpose any new director whose election or nomination for election by our stockholders was approved by a vote of at least two-thirds of the directors then still in office who were directors at the beginning of such period) cease for any reason to constitute at least a majority of our board of directors.</w:t>
      </w:r>
    </w:p>
    <w:p>
      <w:pPr>
        <w:spacing w:after="0" w:line="18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To the fullest extent permitted by applicable law, Schlumberger will indemnify any current or former director or officer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with respect to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w:t>
      </w:r>
    </w:p>
    <w:p>
      <w:pPr>
        <w:spacing w:after="0" w:line="188"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Any indemnification under the preceding three paragraphs (unless ordered by a court) may be extended to current or former employees or agents of Schlumberger or a subsidiary of Schlumberger only as authorized by the Chief Executive Officer or by contract approved, or by-laws, resolution or other action adopted or taken, by our board of directors or by our stockholders.</w:t>
      </w:r>
    </w:p>
    <w:p>
      <w:pPr>
        <w:spacing w:after="0" w:line="18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Expenses (including attorneys’ fees) incurred by a present or former director or a present officer of Schlumberger or any subsidiary of Schlumberger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Schlumberger may pay such expenses (including attorneys’ fees) incurred by former officers or other employees and agents upon such terms and conditions, if any, it deems appropriate.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8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7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References in this item 15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References in this item 15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Schlumberger.”</w:t>
      </w:r>
    </w:p>
    <w:p>
      <w:pPr>
        <w:spacing w:after="0" w:line="193"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 member of our board of directors, or a member of any committee designated by our board of directors, will, in the performance of such member’s duties, be fully protected in relying in good faith upon the records of Schlumberger and upon such information, opinions, reports or statements presented to Schlumberger by any of Schlumberger’s officers or employees, or committees of our board of directors, or by any other person as to matters the member reasonably believes are within such other person’s professional or expert competence and who has been selected with reasonable care by or on behalf of Schlumberger.</w:t>
      </w:r>
    </w:p>
    <w:p>
      <w:pPr>
        <w:spacing w:after="0" w:line="18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addition, Schlumberger maintains directors’ and officers’ liability insurance that insures against certain liabilities that the officers and directors of Schlumberger may incur in such capacities.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list of exhibits filed herewith or incorporated by reference is contained in the Exhibit Index which is incorporated herein by reference.</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440" w:hanging="2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900" w:hanging="25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280" w:hanging="212"/>
        <w:spacing w:after="0"/>
        <w:tabs>
          <w:tab w:leader="none" w:pos="12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640" w:right="120" w:firstLine="428"/>
        <w:spacing w:after="0" w:line="255" w:lineRule="auto"/>
        <w:tabs>
          <w:tab w:leader="none" w:pos="1328"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640" w:right="140" w:firstLine="428"/>
        <w:spacing w:after="0" w:line="277" w:lineRule="auto"/>
        <w:tabs>
          <w:tab w:leader="none" w:pos="1378"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200" w:right="520" w:firstLine="441"/>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above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left="200" w:right="100" w:firstLine="444"/>
        <w:spacing w:after="0" w:line="264" w:lineRule="auto"/>
        <w:tabs>
          <w:tab w:leader="none" w:pos="8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1" w:lineRule="exact"/>
        <w:rPr>
          <w:rFonts w:ascii="Arial" w:cs="Arial" w:eastAsia="Arial" w:hAnsi="Arial"/>
          <w:sz w:val="18"/>
          <w:szCs w:val="18"/>
          <w:color w:val="auto"/>
        </w:rPr>
      </w:pPr>
    </w:p>
    <w:p>
      <w:pPr>
        <w:ind w:left="200" w:right="640" w:firstLine="444"/>
        <w:spacing w:after="0" w:line="277" w:lineRule="auto"/>
        <w:tabs>
          <w:tab w:leader="none" w:pos="8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00" w:hanging="25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640" w:right="80" w:firstLine="428"/>
        <w:spacing w:after="0" w:line="277" w:lineRule="auto"/>
        <w:tabs>
          <w:tab w:leader="none" w:pos="13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360" w:hanging="292"/>
        <w:spacing w:after="0"/>
        <w:tabs>
          <w:tab w:leader="none" w:pos="13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Rule 430B relating to an offering made pursuant to Rule 415(a)(1)(i), (vii) or (x) for the purpose of providing the information required by</w:t>
      </w:r>
    </w:p>
    <w:p>
      <w:pPr>
        <w:spacing w:after="0" w:line="21" w:lineRule="exact"/>
        <w:rPr>
          <w:sz w:val="20"/>
          <w:szCs w:val="20"/>
          <w:color w:val="auto"/>
        </w:rPr>
      </w:pPr>
    </w:p>
    <w:p>
      <w:pPr>
        <w:ind w:left="640"/>
        <w:spacing w:after="0" w:line="271" w:lineRule="auto"/>
        <w:rPr>
          <w:sz w:val="20"/>
          <w:szCs w:val="20"/>
          <w:color w:val="auto"/>
        </w:rPr>
      </w:pPr>
      <w:r>
        <w:rPr>
          <w:rFonts w:ascii="Arial" w:cs="Arial" w:eastAsia="Arial" w:hAnsi="Arial"/>
          <w:sz w:val="17"/>
          <w:szCs w:val="17"/>
          <w:color w:val="auto"/>
        </w:rPr>
        <w:t xml:space="preserve">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9"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4"/>
        <w:spacing w:after="0" w:line="257" w:lineRule="auto"/>
        <w:tabs>
          <w:tab w:leader="none" w:pos="8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Arial" w:cs="Arial" w:eastAsia="Arial" w:hAnsi="Arial"/>
          <w:sz w:val="18"/>
          <w:szCs w:val="18"/>
          <w:color w:val="auto"/>
        </w:rPr>
      </w:pPr>
    </w:p>
    <w:p>
      <w:pPr>
        <w:ind w:left="1280" w:hanging="212"/>
        <w:spacing w:after="0"/>
        <w:tabs>
          <w:tab w:leader="none" w:pos="1280" w:val="left"/>
        </w:tabs>
        <w:numPr>
          <w:ilvl w:val="2"/>
          <w:numId w:val="3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left="640" w:right="180" w:firstLine="428"/>
        <w:spacing w:after="0" w:line="277" w:lineRule="auto"/>
        <w:tabs>
          <w:tab w:leader="none" w:pos="1318"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640" w:right="740" w:firstLine="428"/>
        <w:spacing w:after="0" w:line="277" w:lineRule="auto"/>
        <w:tabs>
          <w:tab w:leader="none" w:pos="1375"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360" w:hanging="292"/>
        <w:spacing w:after="0"/>
        <w:tabs>
          <w:tab w:leader="none" w:pos="13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200" w:right="200" w:firstLine="4"/>
        <w:spacing w:after="0" w:line="257"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left="200" w:firstLine="4"/>
        <w:spacing w:after="0" w:line="254" w:lineRule="auto"/>
        <w:tabs>
          <w:tab w:leader="none" w:pos="4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92" w:lineRule="exact"/>
        <w:rPr>
          <w:rFonts w:ascii="Arial" w:cs="Arial" w:eastAsia="Arial" w:hAnsi="Arial"/>
          <w:sz w:val="18"/>
          <w:szCs w:val="18"/>
          <w:color w:val="auto"/>
        </w:rPr>
      </w:pPr>
    </w:p>
    <w:p>
      <w:pPr>
        <w:ind w:left="200" w:right="280" w:firstLine="4"/>
        <w:spacing w:after="0" w:line="264" w:lineRule="auto"/>
        <w:tabs>
          <w:tab w:leader="none" w:pos="4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Commission under section 305(b)2 of the Act.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9"/>
          </w:tcPr>
          <w:p>
            <w:pPr>
              <w:ind w:left="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2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Exhibit</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8"/>
              </w:rPr>
              <w:t>Number</w:t>
            </w: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16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24"/>
                <w:szCs w:val="24"/>
                <w:color w:val="auto"/>
              </w:rPr>
            </w:pPr>
          </w:p>
        </w:tc>
        <w:tc>
          <w:tcPr>
            <w:tcW w:w="4520" w:type="dxa"/>
            <w:vAlign w:val="bottom"/>
            <w:gridSpan w:val="10"/>
          </w:tcPr>
          <w:p>
            <w:pPr>
              <w:spacing w:after="0"/>
              <w:rPr>
                <w:sz w:val="20"/>
                <w:szCs w:val="20"/>
                <w:color w:val="auto"/>
              </w:rPr>
            </w:pPr>
            <w:r>
              <w:rPr>
                <w:rFonts w:ascii="Arial" w:cs="Arial" w:eastAsia="Arial" w:hAnsi="Arial"/>
                <w:sz w:val="18"/>
                <w:szCs w:val="18"/>
                <w:color w:val="auto"/>
              </w:rPr>
              <w:t>Form of Underwriting Agreement.*</w:t>
            </w:r>
          </w:p>
        </w:tc>
        <w:tc>
          <w:tcPr>
            <w:tcW w:w="700" w:type="dxa"/>
            <w:vAlign w:val="bottom"/>
            <w:tcBorders>
              <w:top w:val="single" w:sz="8" w:color="auto"/>
            </w:tcBorders>
            <w:gridSpan w:val="3"/>
          </w:tcPr>
          <w:p>
            <w:pPr>
              <w:spacing w:after="0"/>
              <w:rPr>
                <w:sz w:val="24"/>
                <w:szCs w:val="24"/>
                <w:color w:val="auto"/>
              </w:rPr>
            </w:pPr>
          </w:p>
        </w:tc>
        <w:tc>
          <w:tcPr>
            <w:tcW w:w="44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680" w:type="dxa"/>
            <w:vAlign w:val="bottom"/>
            <w:gridSpan w:val="17"/>
          </w:tcPr>
          <w:p>
            <w:pPr>
              <w:spacing w:after="0"/>
              <w:rPr>
                <w:rFonts w:ascii="Arial" w:cs="Arial" w:eastAsia="Arial" w:hAnsi="Arial"/>
                <w:sz w:val="18"/>
                <w:szCs w:val="18"/>
                <w:color w:val="0000EE"/>
                <w:w w:val="93"/>
              </w:rPr>
            </w:pPr>
            <w:hyperlink r:id="rId66">
              <w:r>
                <w:rPr>
                  <w:rFonts w:ascii="Arial" w:cs="Arial" w:eastAsia="Arial" w:hAnsi="Arial"/>
                  <w:sz w:val="18"/>
                  <w:szCs w:val="18"/>
                  <w:color w:val="0000EE"/>
                  <w:w w:val="93"/>
                </w:rPr>
                <w:t>Articles of Incorporation of the Registrant (incorporated by reference to Exhibit 3.1 to Schlumberger’s Current Report on Form 8-K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filed on April 6, 2016).</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320" w:type="dxa"/>
            <w:vAlign w:val="bottom"/>
            <w:tcBorders>
              <w:bottom w:val="single" w:sz="8" w:color="0000EE"/>
            </w:tcBorders>
            <w:gridSpan w:val="14"/>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Amended and Restated By-Laws of the Registrant (incorporated by reference to Exhibit 3.1 to Schlumberger’s Current Report on</w:t>
              </w:r>
            </w:hyperlink>
          </w:p>
        </w:tc>
        <w:tc>
          <w:tcPr>
            <w:tcW w:w="3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Form 8-K filed on January 19, 2017).</w:t>
              </w:r>
            </w:hyperlink>
          </w:p>
        </w:tc>
        <w:tc>
          <w:tcPr>
            <w:tcW w:w="69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420" w:type="dxa"/>
            <w:vAlign w:val="bottom"/>
            <w:tcBorders>
              <w:bottom w:val="single" w:sz="8" w:color="0000EE"/>
            </w:tcBorders>
            <w:gridSpan w:val="15"/>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Form of Senior Indenture (incorporated by reference to Exhibit 4.3 to Schlumberger’s Registration Statement on Form S-3 filed on</w:t>
              </w:r>
            </w:hyperlink>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68">
              <w:r>
                <w:rPr>
                  <w:rFonts w:ascii="Arial" w:cs="Arial" w:eastAsia="Arial" w:hAnsi="Arial"/>
                  <w:sz w:val="18"/>
                  <w:szCs w:val="18"/>
                  <w:color w:val="0000EE"/>
                  <w:w w:val="93"/>
                </w:rPr>
                <w:t>April 17, 2014).</w:t>
              </w:r>
            </w:hyperlink>
          </w:p>
        </w:tc>
        <w:tc>
          <w:tcPr>
            <w:tcW w:w="85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4"/>
                <w:szCs w:val="24"/>
                <w:color w:val="auto"/>
              </w:rPr>
            </w:pPr>
          </w:p>
        </w:tc>
        <w:tc>
          <w:tcPr>
            <w:tcW w:w="9680" w:type="dxa"/>
            <w:vAlign w:val="bottom"/>
            <w:tcBorders>
              <w:bottom w:val="single" w:sz="8" w:color="0000EE"/>
            </w:tcBorders>
            <w:gridSpan w:val="17"/>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Form of Subordinated Indenture (incorporated by reference to Exhibit 4.4 to Schlumberger’s Registration Statement on Form S-3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on April 17, 2014).</w:t>
              </w:r>
            </w:hyperlink>
          </w:p>
        </w:tc>
        <w:tc>
          <w:tcPr>
            <w:tcW w:w="83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4"/>
                <w:szCs w:val="24"/>
                <w:color w:val="auto"/>
              </w:rPr>
            </w:pPr>
          </w:p>
        </w:tc>
        <w:tc>
          <w:tcPr>
            <w:tcW w:w="9680" w:type="dxa"/>
            <w:vAlign w:val="bottom"/>
            <w:gridSpan w:val="17"/>
          </w:tcPr>
          <w:p>
            <w:pPr>
              <w:spacing w:after="0"/>
              <w:rPr>
                <w:sz w:val="20"/>
                <w:szCs w:val="20"/>
                <w:color w:val="auto"/>
              </w:rPr>
            </w:pPr>
            <w:r>
              <w:rPr>
                <w:rFonts w:ascii="Arial" w:cs="Arial" w:eastAsia="Arial" w:hAnsi="Arial"/>
                <w:sz w:val="18"/>
                <w:szCs w:val="18"/>
                <w:color w:val="auto"/>
              </w:rPr>
              <w:t>Form of Debt Securities.*</w:t>
            </w:r>
          </w:p>
        </w:tc>
        <w:tc>
          <w:tcPr>
            <w:tcW w:w="0" w:type="dxa"/>
            <w:vAlign w:val="bottom"/>
          </w:tcPr>
          <w:p>
            <w:pPr>
              <w:spacing w:after="0"/>
              <w:rPr>
                <w:sz w:val="1"/>
                <w:szCs w:val="1"/>
                <w:color w:val="auto"/>
              </w:rPr>
            </w:pPr>
          </w:p>
        </w:tc>
      </w:tr>
      <w:tr>
        <w:trPr>
          <w:trHeight w:val="28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9680" w:type="dxa"/>
            <w:vAlign w:val="bottom"/>
            <w:gridSpan w:val="17"/>
          </w:tcPr>
          <w:p>
            <w:pPr>
              <w:spacing w:after="0"/>
              <w:rPr>
                <w:sz w:val="20"/>
                <w:szCs w:val="20"/>
                <w:color w:val="auto"/>
              </w:rPr>
            </w:pPr>
            <w:r>
              <w:rPr>
                <w:rFonts w:ascii="Arial" w:cs="Arial" w:eastAsia="Arial" w:hAnsi="Arial"/>
                <w:sz w:val="18"/>
                <w:szCs w:val="18"/>
                <w:color w:val="0000EE"/>
              </w:rPr>
              <w:t>Opinion of STvB Advocaten (Curaçao) N.V.</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5.2</w:t>
            </w:r>
          </w:p>
        </w:tc>
        <w:tc>
          <w:tcPr>
            <w:tcW w:w="760" w:type="dxa"/>
            <w:vAlign w:val="bottom"/>
          </w:tcPr>
          <w:p>
            <w:pPr>
              <w:spacing w:after="0"/>
              <w:rPr>
                <w:sz w:val="24"/>
                <w:szCs w:val="24"/>
                <w:color w:val="auto"/>
              </w:rPr>
            </w:pPr>
          </w:p>
        </w:tc>
        <w:tc>
          <w:tcPr>
            <w:tcW w:w="32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w w:val="96"/>
              </w:rPr>
              <w:t>Opinion of Gibson, Dunn &amp; Crutcher LLP.</w:t>
            </w:r>
          </w:p>
        </w:tc>
        <w:tc>
          <w:tcPr>
            <w:tcW w:w="64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12.1</w:t>
            </w:r>
          </w:p>
        </w:tc>
        <w:tc>
          <w:tcPr>
            <w:tcW w:w="760" w:type="dxa"/>
            <w:vAlign w:val="bottom"/>
          </w:tcPr>
          <w:p>
            <w:pPr>
              <w:spacing w:after="0"/>
              <w:rPr>
                <w:sz w:val="24"/>
                <w:szCs w:val="24"/>
                <w:color w:val="auto"/>
              </w:rPr>
            </w:pPr>
          </w:p>
        </w:tc>
        <w:tc>
          <w:tcPr>
            <w:tcW w:w="37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Computation of Ratio of Earnings to Fixed Charges.</w:t>
            </w:r>
          </w:p>
        </w:tc>
        <w:tc>
          <w:tcPr>
            <w:tcW w:w="59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23.1</w:t>
            </w:r>
          </w:p>
        </w:tc>
        <w:tc>
          <w:tcPr>
            <w:tcW w:w="760" w:type="dxa"/>
            <w:vAlign w:val="bottom"/>
          </w:tcPr>
          <w:p>
            <w:pPr>
              <w:spacing w:after="0"/>
              <w:rPr>
                <w:sz w:val="24"/>
                <w:szCs w:val="24"/>
                <w:color w:val="auto"/>
              </w:rPr>
            </w:pPr>
          </w:p>
        </w:tc>
        <w:tc>
          <w:tcPr>
            <w:tcW w:w="9680" w:type="dxa"/>
            <w:vAlign w:val="bottom"/>
            <w:gridSpan w:val="17"/>
          </w:tcPr>
          <w:p>
            <w:pPr>
              <w:spacing w:after="0"/>
              <w:rPr>
                <w:sz w:val="20"/>
                <w:szCs w:val="20"/>
                <w:color w:val="auto"/>
              </w:rPr>
            </w:pPr>
            <w:r>
              <w:rPr>
                <w:rFonts w:ascii="Arial" w:cs="Arial" w:eastAsia="Arial" w:hAnsi="Arial"/>
                <w:sz w:val="18"/>
                <w:szCs w:val="18"/>
                <w:color w:val="0000EE"/>
              </w:rPr>
              <w:t>Consent of PricewaterhouseCoopers LLP.</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23.2</w:t>
            </w:r>
          </w:p>
        </w:tc>
        <w:tc>
          <w:tcPr>
            <w:tcW w:w="760" w:type="dxa"/>
            <w:vAlign w:val="bottom"/>
          </w:tcPr>
          <w:p>
            <w:pPr>
              <w:spacing w:after="0"/>
              <w:rPr>
                <w:sz w:val="24"/>
                <w:szCs w:val="24"/>
                <w:color w:val="auto"/>
              </w:rPr>
            </w:pPr>
          </w:p>
        </w:tc>
        <w:tc>
          <w:tcPr>
            <w:tcW w:w="50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1"/>
              </w:rPr>
              <w:t>Consent of STvB Advocaten (Curaçao) N.V. (set forth in Exhibit 5.1).</w:t>
            </w:r>
          </w:p>
        </w:tc>
        <w:tc>
          <w:tcPr>
            <w:tcW w:w="46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23.3</w:t>
            </w:r>
          </w:p>
        </w:tc>
        <w:tc>
          <w:tcPr>
            <w:tcW w:w="760" w:type="dxa"/>
            <w:vAlign w:val="bottom"/>
          </w:tcPr>
          <w:p>
            <w:pPr>
              <w:spacing w:after="0"/>
              <w:rPr>
                <w:sz w:val="24"/>
                <w:szCs w:val="24"/>
                <w:color w:val="auto"/>
              </w:rPr>
            </w:pPr>
          </w:p>
        </w:tc>
        <w:tc>
          <w:tcPr>
            <w:tcW w:w="49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2"/>
              </w:rPr>
              <w:t>Consent of Gibson, Dunn &amp; Crutcher LLP (set forth in Exhibit 5.2).</w:t>
            </w:r>
          </w:p>
        </w:tc>
        <w:tc>
          <w:tcPr>
            <w:tcW w:w="47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24.1</w:t>
            </w:r>
          </w:p>
        </w:tc>
        <w:tc>
          <w:tcPr>
            <w:tcW w:w="760" w:type="dxa"/>
            <w:vAlign w:val="bottom"/>
          </w:tcPr>
          <w:p>
            <w:pPr>
              <w:spacing w:after="0"/>
              <w:rPr>
                <w:sz w:val="24"/>
                <w:szCs w:val="24"/>
                <w:color w:val="auto"/>
              </w:rPr>
            </w:pPr>
          </w:p>
        </w:tc>
        <w:tc>
          <w:tcPr>
            <w:tcW w:w="9680" w:type="dxa"/>
            <w:vAlign w:val="bottom"/>
            <w:gridSpan w:val="17"/>
          </w:tcPr>
          <w:p>
            <w:pPr>
              <w:spacing w:after="0"/>
              <w:rPr>
                <w:sz w:val="20"/>
                <w:szCs w:val="20"/>
                <w:color w:val="auto"/>
              </w:rPr>
            </w:pPr>
            <w:r>
              <w:rPr>
                <w:rFonts w:ascii="Arial" w:cs="Arial" w:eastAsia="Arial" w:hAnsi="Arial"/>
                <w:sz w:val="18"/>
                <w:szCs w:val="18"/>
                <w:color w:val="0000EE"/>
              </w:rPr>
              <w:t>Power of Attorney.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filed by amendment or via Form 8-K.</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60"/>
          </w:cols>
          <w:pgMar w:left="24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27th day of October, 2017.</w:t>
      </w:r>
    </w:p>
    <w:p>
      <w:pPr>
        <w:spacing w:after="0" w:line="20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SCHLUMBERGER N.V.</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(Schlumberger Limited)</w:t>
      </w:r>
    </w:p>
    <w:p>
      <w:pPr>
        <w:spacing w:after="0" w:line="224" w:lineRule="exact"/>
        <w:rPr>
          <w:sz w:val="20"/>
          <w:szCs w:val="20"/>
          <w:color w:val="auto"/>
        </w:rPr>
      </w:pPr>
    </w:p>
    <w:p>
      <w:pPr>
        <w:ind w:left="682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Alexander C. Juden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Alexander C. Juden</w:t>
      </w:r>
    </w:p>
    <w:p>
      <w:pPr>
        <w:spacing w:after="0" w:line="23" w:lineRule="exact"/>
        <w:rPr>
          <w:sz w:val="20"/>
          <w:szCs w:val="20"/>
          <w:color w:val="auto"/>
        </w:rPr>
      </w:pPr>
    </w:p>
    <w:p>
      <w:pPr>
        <w:ind w:left="7180"/>
        <w:spacing w:after="0"/>
        <w:tabs>
          <w:tab w:leader="none" w:pos="7780" w:val="left"/>
        </w:tabs>
        <w:rPr>
          <w:sz w:val="20"/>
          <w:szCs w:val="20"/>
          <w:color w:val="auto"/>
        </w:rPr>
      </w:pPr>
      <w:r>
        <w:rPr>
          <w:rFonts w:ascii="Arial" w:cs="Arial" w:eastAsia="Arial" w:hAnsi="Arial"/>
          <w:sz w:val="18"/>
          <w:szCs w:val="18"/>
          <w:color w:val="auto"/>
        </w:rPr>
        <w:t>Title:</w:t>
        <w:tab/>
        <w:t>Secretary and General Counsel</w:t>
      </w:r>
    </w:p>
    <w:p>
      <w:pPr>
        <w:spacing w:after="0" w:line="21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19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9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8"/>
        </w:trPr>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Chief Executive Officer and Chairman</w:t>
            </w:r>
          </w:p>
        </w:tc>
        <w:tc>
          <w:tcPr>
            <w:tcW w:w="162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October 27, 2017</w:t>
            </w:r>
          </w:p>
        </w:tc>
      </w:tr>
      <w:tr>
        <w:trPr>
          <w:trHeight w:val="244"/>
        </w:trPr>
        <w:tc>
          <w:tcPr>
            <w:tcW w:w="258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spacing w:after="0"/>
              <w:rPr>
                <w:sz w:val="21"/>
                <w:szCs w:val="21"/>
                <w:color w:val="auto"/>
              </w:rPr>
            </w:pPr>
          </w:p>
        </w:tc>
        <w:tc>
          <w:tcPr>
            <w:tcW w:w="444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(Principal Executive Officer)</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24"/>
        </w:trPr>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(Paal Kibsgaard)</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7"/>
        </w:trPr>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Executive Vice President and Chief Financial Officer</w:t>
            </w:r>
          </w:p>
        </w:tc>
        <w:tc>
          <w:tcPr>
            <w:tcW w:w="162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October 27, 2017</w:t>
            </w:r>
          </w:p>
        </w:tc>
      </w:tr>
      <w:tr>
        <w:trPr>
          <w:trHeight w:val="244"/>
        </w:trPr>
        <w:tc>
          <w:tcPr>
            <w:tcW w:w="258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spacing w:after="0"/>
              <w:rPr>
                <w:sz w:val="21"/>
                <w:szCs w:val="21"/>
                <w:color w:val="auto"/>
              </w:rPr>
            </w:pPr>
          </w:p>
        </w:tc>
        <w:tc>
          <w:tcPr>
            <w:tcW w:w="44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24"/>
        </w:trPr>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(Simon Ayat)</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7"/>
        </w:trPr>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162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October 27, 2017</w:t>
            </w:r>
          </w:p>
        </w:tc>
      </w:tr>
      <w:tr>
        <w:trPr>
          <w:trHeight w:val="244"/>
        </w:trPr>
        <w:tc>
          <w:tcPr>
            <w:tcW w:w="258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spacing w:after="0"/>
              <w:rPr>
                <w:sz w:val="21"/>
                <w:szCs w:val="21"/>
                <w:color w:val="auto"/>
              </w:rPr>
            </w:pPr>
          </w:p>
        </w:tc>
        <w:tc>
          <w:tcPr>
            <w:tcW w:w="444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(Principal Accounting Officer)</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24"/>
        </w:trPr>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(Howard Guild)</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October 27, 2017</w:t>
            </w:r>
          </w:p>
        </w:tc>
      </w:tr>
      <w:tr>
        <w:trPr>
          <w:trHeight w:val="224"/>
        </w:trPr>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(Peter L.S. Currie)</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October 27, 2017</w:t>
            </w:r>
          </w:p>
        </w:tc>
      </w:tr>
      <w:tr>
        <w:trPr>
          <w:trHeight w:val="224"/>
        </w:trPr>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(Miguel M. Galuccio)</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October 27, 2017</w:t>
            </w:r>
          </w:p>
        </w:tc>
      </w:tr>
      <w:tr>
        <w:trPr>
          <w:trHeight w:val="224"/>
        </w:trPr>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(V. Maureen Kempston Darkes)</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October 27, 2017</w:t>
            </w:r>
          </w:p>
        </w:tc>
      </w:tr>
      <w:tr>
        <w:trPr>
          <w:trHeight w:val="224"/>
        </w:trPr>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(Nikolay Kudryavtsev)</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October 27, 2017</w:t>
            </w:r>
          </w:p>
        </w:tc>
      </w:tr>
      <w:tr>
        <w:trPr>
          <w:trHeight w:val="224"/>
        </w:trPr>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(Helge Lund)</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October 27, 2017</w:t>
            </w:r>
          </w:p>
        </w:tc>
      </w:tr>
      <w:tr>
        <w:trPr>
          <w:trHeight w:val="224"/>
        </w:trPr>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(Michael E. Marks)</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jc w:val="center"/>
              <w:ind w:left="18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62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October 27, 2017</w:t>
            </w:r>
          </w:p>
        </w:tc>
      </w:tr>
      <w:tr>
        <w:trPr>
          <w:trHeight w:val="224"/>
        </w:trPr>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6"/>
              </w:rPr>
              <w:t>(Indra K. Nooyi)</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64"/>
        </w:trPr>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40" w:type="dxa"/>
            <w:vAlign w:val="bottom"/>
            <w:gridSpan w:val="3"/>
          </w:tcPr>
          <w:p>
            <w:pPr>
              <w:ind w:left="800"/>
              <w:spacing w:after="0"/>
              <w:rPr>
                <w:sz w:val="20"/>
                <w:szCs w:val="20"/>
                <w:color w:val="auto"/>
              </w:rPr>
            </w:pPr>
            <w:r>
              <w:rPr>
                <w:rFonts w:ascii="Arial" w:cs="Arial" w:eastAsia="Arial" w:hAnsi="Arial"/>
                <w:sz w:val="18"/>
                <w:szCs w:val="18"/>
                <w:color w:val="auto"/>
              </w:rPr>
              <w:t>II-7</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80" w:type="dxa"/>
            <w:vAlign w:val="bottom"/>
            <w:gridSpan w:val="2"/>
          </w:tcPr>
          <w:p>
            <w:pPr>
              <w:spacing w:after="0"/>
              <w:rPr>
                <w:sz w:val="16"/>
                <w:szCs w:val="16"/>
                <w:color w:val="auto"/>
              </w:rPr>
            </w:pPr>
          </w:p>
        </w:tc>
        <w:tc>
          <w:tcPr>
            <w:tcW w:w="200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40" w:type="dxa"/>
            <w:vAlign w:val="bottom"/>
            <w:gridSpan w:val="3"/>
          </w:tcPr>
          <w:p>
            <w:pPr>
              <w:jc w:val="center"/>
              <w:ind w:left="59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090"/>
              <w:spacing w:after="0"/>
              <w:rPr>
                <w:sz w:val="20"/>
                <w:szCs w:val="20"/>
                <w:color w:val="auto"/>
              </w:rPr>
            </w:pPr>
            <w:r>
              <w:rPr>
                <w:rFonts w:ascii="Arial" w:cs="Arial" w:eastAsia="Arial" w:hAnsi="Arial"/>
                <w:sz w:val="18"/>
                <w:szCs w:val="18"/>
                <w:color w:val="auto"/>
                <w:w w:val="89"/>
              </w:rPr>
              <w:t>October 27, 2017</w:t>
            </w:r>
          </w:p>
        </w:tc>
      </w:tr>
      <w:tr>
        <w:trPr>
          <w:trHeight w:val="224"/>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960" w:type="dxa"/>
            <w:vAlign w:val="bottom"/>
            <w:gridSpan w:val="4"/>
          </w:tcPr>
          <w:p>
            <w:pPr>
              <w:jc w:val="center"/>
              <w:ind w:right="620"/>
              <w:spacing w:after="0"/>
              <w:rPr>
                <w:sz w:val="20"/>
                <w:szCs w:val="20"/>
                <w:color w:val="auto"/>
              </w:rPr>
            </w:pPr>
            <w:r>
              <w:rPr>
                <w:rFonts w:ascii="Arial" w:cs="Arial" w:eastAsia="Arial" w:hAnsi="Arial"/>
                <w:sz w:val="18"/>
                <w:szCs w:val="18"/>
                <w:color w:val="auto"/>
                <w:w w:val="91"/>
              </w:rPr>
              <w:t>(Lubna S. Olayan)</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center"/>
              <w:ind w:left="12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40" w:type="dxa"/>
            <w:vAlign w:val="bottom"/>
            <w:gridSpan w:val="3"/>
          </w:tcPr>
          <w:p>
            <w:pPr>
              <w:jc w:val="center"/>
              <w:ind w:left="59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090"/>
              <w:spacing w:after="0"/>
              <w:rPr>
                <w:sz w:val="20"/>
                <w:szCs w:val="20"/>
                <w:color w:val="auto"/>
              </w:rPr>
            </w:pPr>
            <w:r>
              <w:rPr>
                <w:rFonts w:ascii="Arial" w:cs="Arial" w:eastAsia="Arial" w:hAnsi="Arial"/>
                <w:sz w:val="18"/>
                <w:szCs w:val="18"/>
                <w:color w:val="auto"/>
                <w:w w:val="89"/>
              </w:rPr>
              <w:t>October 27, 2017</w:t>
            </w:r>
          </w:p>
        </w:tc>
      </w:tr>
      <w:tr>
        <w:trPr>
          <w:trHeight w:val="224"/>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960" w:type="dxa"/>
            <w:vAlign w:val="bottom"/>
            <w:gridSpan w:val="4"/>
          </w:tcPr>
          <w:p>
            <w:pPr>
              <w:jc w:val="center"/>
              <w:ind w:right="620"/>
              <w:spacing w:after="0"/>
              <w:rPr>
                <w:sz w:val="20"/>
                <w:szCs w:val="20"/>
                <w:color w:val="auto"/>
              </w:rPr>
            </w:pPr>
            <w:r>
              <w:rPr>
                <w:rFonts w:ascii="Arial" w:cs="Arial" w:eastAsia="Arial" w:hAnsi="Arial"/>
                <w:sz w:val="18"/>
                <w:szCs w:val="18"/>
                <w:color w:val="auto"/>
                <w:w w:val="92"/>
              </w:rPr>
              <w:t>(Leo Rafael Reif)</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center"/>
              <w:ind w:left="12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40" w:type="dxa"/>
            <w:vAlign w:val="bottom"/>
            <w:gridSpan w:val="3"/>
          </w:tcPr>
          <w:p>
            <w:pPr>
              <w:jc w:val="center"/>
              <w:ind w:left="59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090"/>
              <w:spacing w:after="0"/>
              <w:rPr>
                <w:sz w:val="20"/>
                <w:szCs w:val="20"/>
                <w:color w:val="auto"/>
              </w:rPr>
            </w:pPr>
            <w:r>
              <w:rPr>
                <w:rFonts w:ascii="Arial" w:cs="Arial" w:eastAsia="Arial" w:hAnsi="Arial"/>
                <w:sz w:val="18"/>
                <w:szCs w:val="18"/>
                <w:color w:val="auto"/>
                <w:w w:val="89"/>
              </w:rPr>
              <w:t>October 27, 2017</w:t>
            </w:r>
          </w:p>
        </w:tc>
      </w:tr>
      <w:tr>
        <w:trPr>
          <w:trHeight w:val="224"/>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960" w:type="dxa"/>
            <w:vAlign w:val="bottom"/>
            <w:gridSpan w:val="4"/>
          </w:tcPr>
          <w:p>
            <w:pPr>
              <w:jc w:val="center"/>
              <w:ind w:right="640"/>
              <w:spacing w:after="0"/>
              <w:rPr>
                <w:sz w:val="20"/>
                <w:szCs w:val="20"/>
                <w:color w:val="auto"/>
              </w:rPr>
            </w:pPr>
            <w:r>
              <w:rPr>
                <w:rFonts w:ascii="Arial" w:cs="Arial" w:eastAsia="Arial" w:hAnsi="Arial"/>
                <w:sz w:val="18"/>
                <w:szCs w:val="18"/>
                <w:color w:val="auto"/>
                <w:w w:val="91"/>
              </w:rPr>
              <w:t>(Tore I. Sandvold)</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center"/>
              <w:ind w:left="12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40" w:type="dxa"/>
            <w:vAlign w:val="bottom"/>
            <w:gridSpan w:val="3"/>
          </w:tcPr>
          <w:p>
            <w:pPr>
              <w:jc w:val="center"/>
              <w:ind w:left="59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090"/>
              <w:spacing w:after="0"/>
              <w:rPr>
                <w:sz w:val="20"/>
                <w:szCs w:val="20"/>
                <w:color w:val="auto"/>
              </w:rPr>
            </w:pPr>
            <w:r>
              <w:rPr>
                <w:rFonts w:ascii="Arial" w:cs="Arial" w:eastAsia="Arial" w:hAnsi="Arial"/>
                <w:sz w:val="18"/>
                <w:szCs w:val="18"/>
                <w:color w:val="auto"/>
                <w:w w:val="89"/>
              </w:rPr>
              <w:t>October 27, 2017</w:t>
            </w:r>
          </w:p>
        </w:tc>
      </w:tr>
      <w:tr>
        <w:trPr>
          <w:trHeight w:val="224"/>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960" w:type="dxa"/>
            <w:vAlign w:val="bottom"/>
            <w:gridSpan w:val="4"/>
          </w:tcPr>
          <w:p>
            <w:pPr>
              <w:jc w:val="center"/>
              <w:ind w:right="640"/>
              <w:spacing w:after="0"/>
              <w:rPr>
                <w:sz w:val="20"/>
                <w:szCs w:val="20"/>
                <w:color w:val="auto"/>
              </w:rPr>
            </w:pPr>
            <w:r>
              <w:rPr>
                <w:rFonts w:ascii="Arial" w:cs="Arial" w:eastAsia="Arial" w:hAnsi="Arial"/>
                <w:sz w:val="18"/>
                <w:szCs w:val="18"/>
                <w:color w:val="auto"/>
                <w:w w:val="92"/>
              </w:rPr>
              <w:t>(Henri Seydoux)</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8"/>
        </w:trPr>
        <w:tc>
          <w:tcPr>
            <w:tcW w:w="620" w:type="dxa"/>
            <w:vAlign w:val="bottom"/>
            <w:gridSpan w:val="2"/>
          </w:tcPr>
          <w:p>
            <w:pPr>
              <w:spacing w:after="0"/>
              <w:rPr>
                <w:sz w:val="20"/>
                <w:szCs w:val="20"/>
                <w:color w:val="auto"/>
              </w:rPr>
            </w:pPr>
            <w:r>
              <w:rPr>
                <w:rFonts w:ascii="Arial" w:cs="Arial" w:eastAsia="Arial" w:hAnsi="Arial"/>
                <w:sz w:val="18"/>
                <w:szCs w:val="18"/>
                <w:color w:val="auto"/>
              </w:rPr>
              <w:t>*By:</w:t>
            </w:r>
          </w:p>
        </w:tc>
        <w:tc>
          <w:tcPr>
            <w:tcW w:w="3960" w:type="dxa"/>
            <w:vAlign w:val="bottom"/>
            <w:gridSpan w:val="4"/>
          </w:tcPr>
          <w:p>
            <w:pPr>
              <w:spacing w:after="0"/>
              <w:rPr>
                <w:sz w:val="20"/>
                <w:szCs w:val="20"/>
                <w:color w:val="auto"/>
              </w:rPr>
            </w:pPr>
            <w:r>
              <w:rPr>
                <w:rFonts w:ascii="Arial" w:cs="Arial" w:eastAsia="Arial" w:hAnsi="Arial"/>
                <w:sz w:val="18"/>
                <w:szCs w:val="18"/>
                <w:color w:val="auto"/>
              </w:rPr>
              <w:t>/s/ Alexander C. Juden</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Alexander C. Juden</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Secretary and General Counsel</w:t>
            </w:r>
          </w:p>
        </w:tc>
        <w:tc>
          <w:tcPr>
            <w:tcW w:w="2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40" w:type="dxa"/>
            <w:vAlign w:val="bottom"/>
            <w:gridSpan w:val="3"/>
          </w:tcPr>
          <w:p>
            <w:pPr>
              <w:ind w:left="800"/>
              <w:spacing w:after="0"/>
              <w:rPr>
                <w:sz w:val="20"/>
                <w:szCs w:val="20"/>
                <w:color w:val="auto"/>
              </w:rPr>
            </w:pPr>
            <w:r>
              <w:rPr>
                <w:rFonts w:ascii="Arial" w:cs="Arial" w:eastAsia="Arial" w:hAnsi="Arial"/>
                <w:sz w:val="18"/>
                <w:szCs w:val="18"/>
                <w:color w:val="auto"/>
              </w:rPr>
              <w:t>II-8</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840"/>
          </w:cols>
          <w:pgMar w:left="240" w:top="459" w:right="8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STvB Advocaten (Curaçao) N.V.]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N.V.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9480"/>
        <w:spacing w:after="0"/>
        <w:rPr>
          <w:sz w:val="20"/>
          <w:szCs w:val="20"/>
          <w:color w:val="auto"/>
        </w:rPr>
      </w:pPr>
      <w:r>
        <w:rPr>
          <w:rFonts w:ascii="Arial" w:cs="Arial" w:eastAsia="Arial" w:hAnsi="Arial"/>
          <w:sz w:val="16"/>
          <w:szCs w:val="16"/>
          <w:color w:val="auto"/>
        </w:rPr>
        <w:t>Curaçao, October 27,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We have acted as Curaçao legal counsel for Schlumberger N.V. (also referred to as Schlumberger Limited), a corporation with limited liability organized and existing under the laws of Curaçao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the proposed issuance and sale from time to time pursuant to Rule 415 under the Securities Act of (i) the Company’s debt securities, which may either be senior debt securities or subordinated debt securities (together the “</w:t>
      </w:r>
      <w:r>
        <w:rPr>
          <w:rFonts w:ascii="Arial" w:cs="Arial" w:eastAsia="Arial" w:hAnsi="Arial"/>
          <w:sz w:val="16"/>
          <w:szCs w:val="16"/>
          <w:b w:val="1"/>
          <w:bCs w:val="1"/>
          <w:color w:val="auto"/>
        </w:rPr>
        <w:t>Debt Securities</w:t>
      </w:r>
      <w:r>
        <w:rPr>
          <w:rFonts w:ascii="Arial" w:cs="Arial" w:eastAsia="Arial" w:hAnsi="Arial"/>
          <w:sz w:val="16"/>
          <w:szCs w:val="16"/>
          <w:color w:val="auto"/>
        </w:rPr>
        <w:t>”), (ii) guarantees of debt securities (the “</w:t>
      </w:r>
      <w:r>
        <w:rPr>
          <w:rFonts w:ascii="Arial" w:cs="Arial" w:eastAsia="Arial" w:hAnsi="Arial"/>
          <w:sz w:val="16"/>
          <w:szCs w:val="16"/>
          <w:b w:val="1"/>
          <w:bCs w:val="1"/>
          <w:color w:val="auto"/>
        </w:rPr>
        <w:t>Guarantees</w:t>
      </w:r>
      <w:r>
        <w:rPr>
          <w:rFonts w:ascii="Arial" w:cs="Arial" w:eastAsia="Arial" w:hAnsi="Arial"/>
          <w:sz w:val="16"/>
          <w:szCs w:val="16"/>
          <w:color w:val="auto"/>
        </w:rPr>
        <w:t>”) and (iii) shares of the Company’s common stock, par value $0.01 per share (the “</w:t>
      </w:r>
      <w:r>
        <w:rPr>
          <w:rFonts w:ascii="Arial" w:cs="Arial" w:eastAsia="Arial" w:hAnsi="Arial"/>
          <w:sz w:val="16"/>
          <w:szCs w:val="16"/>
          <w:b w:val="1"/>
          <w:bCs w:val="1"/>
          <w:color w:val="auto"/>
        </w:rPr>
        <w:t>Shares</w:t>
      </w:r>
      <w:r>
        <w:rPr>
          <w:rFonts w:ascii="Arial" w:cs="Arial" w:eastAsia="Arial" w:hAnsi="Arial"/>
          <w:sz w:val="16"/>
          <w:szCs w:val="16"/>
          <w:color w:val="auto"/>
        </w:rPr>
        <w:t>”) that may be issued by the Company pursuant to applicable provisions of the Articles of Incorporation of the Company. We understand that a registration statement on Form S-3 relating to the Debt Securities, the Guarantees and the Shares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is being filed by the Company with the Securities and Exchange Commission under the Securities Act on October 27, 2017.</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As Curaçao legal counsel for the Company we have examined and relied upon the following documents in original, photo static or facsimile form:</w:t>
      </w:r>
    </w:p>
    <w:p>
      <w:pPr>
        <w:spacing w:after="0" w:line="14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copy of the Registration Statement;</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certified copy of the articles of incorporation of the Company (the “</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as presently in effect;</w:t>
      </w:r>
    </w:p>
    <w:p>
      <w:pPr>
        <w:spacing w:after="0" w:line="134"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extract obtained online on October 27, 2017 from the Curaçao Commercial Register, relating to the registration of the Company;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certified copy of the resolutions of the Board providing for the registration of 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our examination of the documents referred to above and in expressing our opinion, we have assumed without independent verification of any kind:</w:t>
      </w:r>
    </w:p>
    <w:p>
      <w:pPr>
        <w:spacing w:after="0" w:line="14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genuineness of all signatures on all documents we have reviewed;</w:t>
      </w:r>
    </w:p>
    <w:p>
      <w:pPr>
        <w:sectPr>
          <w:pgSz w:w="11900" w:h="16838" w:orient="portrait"/>
          <w:cols w:equalWidth="0" w:num="1">
            <w:col w:w="11420"/>
          </w:cols>
          <w:pgMar w:left="240" w:top="121" w:right="239" w:bottom="1440" w:gutter="0" w:footer="0" w:header="0"/>
        </w:sectPr>
      </w:pPr>
    </w:p>
    <w:bookmarkStart w:id="44" w:name="page45"/>
    <w:bookmarkEnd w:id="44"/>
    <w:p>
      <w:pPr>
        <w:ind w:left="460" w:right="12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authenticity of all such documents submitted to us as originals, and that each of the documents has been duly executed in the form, or substantially in the form submitted to us as execution copies;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conformity with originals of all documents submitted to us as copies.</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(Hoge Raad der Nederlanden).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upon and subject to the foregoing and subject to the qualifications set forth below and having due regard for such legal considerations as we deem relevant, we are of the opinion that:</w:t>
      </w:r>
    </w:p>
    <w:p>
      <w:pPr>
        <w:spacing w:after="0" w:line="76" w:lineRule="exact"/>
        <w:rPr>
          <w:sz w:val="20"/>
          <w:szCs w:val="20"/>
          <w:color w:val="auto"/>
        </w:rPr>
      </w:pPr>
    </w:p>
    <w:p>
      <w:pPr>
        <w:ind w:left="46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has been duly incorporated under the laws of the former Netherlands Antilles, is currently validly existing under the laws of Curaçao and has all requisite corporate power and authority to own its properties, to conduct its business within the limits of its objects clause as set forth in article 2 of the Articles of Incorporation and to execute, deliver and perform its obligations under the Debt Securities and the Guarantees. The Company has been duly registered with the Curaçao Commercial Register under number 1674.</w:t>
      </w:r>
    </w:p>
    <w:p>
      <w:pPr>
        <w:spacing w:after="0" w:line="92" w:lineRule="exact"/>
        <w:rPr>
          <w:rFonts w:ascii="Arial" w:cs="Arial" w:eastAsia="Arial" w:hAnsi="Arial"/>
          <w:sz w:val="18"/>
          <w:szCs w:val="18"/>
          <w:color w:val="auto"/>
        </w:rPr>
      </w:pPr>
    </w:p>
    <w:p>
      <w:pPr>
        <w:ind w:left="460" w:right="140" w:hanging="452"/>
        <w:spacing w:after="0" w:line="286"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With respect to the Shares, when (i) the Board has taken all necessary corporate action to approve the issuance of and the terms of the offering of such Shares and (ii) such Shares have been duly authorized and delivered in accordance with the applicable definitive purchase, underwriting or similar agreement for the consideration provided for therein, such Shares will be validly issued, fully paid and non-assessable.</w:t>
      </w:r>
    </w:p>
    <w:p>
      <w:pPr>
        <w:spacing w:after="0" w:line="70" w:lineRule="exact"/>
        <w:rPr>
          <w:rFonts w:ascii="Arial" w:cs="Arial" w:eastAsia="Arial" w:hAnsi="Arial"/>
          <w:sz w:val="17"/>
          <w:szCs w:val="17"/>
          <w:color w:val="auto"/>
        </w:rPr>
      </w:pPr>
    </w:p>
    <w:p>
      <w:pPr>
        <w:ind w:left="460" w:hanging="452"/>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personal liability will attach to the holders of the Shares under the laws of Curaçao by reason of their being stockholders of the Company.</w:t>
      </w:r>
    </w:p>
    <w:p>
      <w:pPr>
        <w:spacing w:after="0" w:line="142" w:lineRule="exact"/>
        <w:rPr>
          <w:rFonts w:ascii="Arial" w:cs="Arial" w:eastAsia="Arial" w:hAnsi="Arial"/>
          <w:sz w:val="17"/>
          <w:szCs w:val="17"/>
          <w:color w:val="auto"/>
        </w:rPr>
      </w:pPr>
    </w:p>
    <w:p>
      <w:pPr>
        <w:ind w:left="460" w:right="28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consents, approvals, authorizations or other orders of Curaçao governmental authorities are legally required for the issuance of the Shares by the Company.</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opinion is strictly limited to the matters stated herein and may not read as extending by implication to any matters not specifically referred to herein, including tax matters.</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concede that we are within the category of persons whose consent is required under Section 7 of the Securities Act or the rules and regulations of the Securities and Exchange Commission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STvB Advocaten (Curaçao) N.V.</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5.2</w:t>
      </w:r>
    </w:p>
    <w:p>
      <w:pPr>
        <w:spacing w:after="0" w:line="252" w:lineRule="exact"/>
        <w:rPr>
          <w:sz w:val="20"/>
          <w:szCs w:val="20"/>
          <w:color w:val="auto"/>
        </w:rPr>
      </w:pPr>
    </w:p>
    <w:p>
      <w:pPr>
        <w:ind w:left="9360"/>
        <w:spacing w:after="0"/>
        <w:rPr>
          <w:sz w:val="20"/>
          <w:szCs w:val="20"/>
          <w:color w:val="auto"/>
        </w:rPr>
      </w:pPr>
      <w:r>
        <w:rPr>
          <w:rFonts w:ascii="Arial" w:cs="Arial" w:eastAsia="Arial" w:hAnsi="Arial"/>
          <w:sz w:val="14"/>
          <w:szCs w:val="14"/>
          <w:color w:val="auto"/>
        </w:rPr>
        <w:t>Gibson, Dunn &amp; Crutcher LLP</w:t>
      </w:r>
    </w:p>
    <w:p>
      <w:pPr>
        <w:spacing w:after="0" w:line="109" w:lineRule="exact"/>
        <w:rPr>
          <w:sz w:val="20"/>
          <w:szCs w:val="20"/>
          <w:color w:val="auto"/>
        </w:rPr>
      </w:pPr>
    </w:p>
    <w:p>
      <w:pPr>
        <w:ind w:left="9360"/>
        <w:spacing w:after="0"/>
        <w:rPr>
          <w:sz w:val="20"/>
          <w:szCs w:val="20"/>
          <w:color w:val="auto"/>
        </w:rPr>
      </w:pPr>
      <w:r>
        <w:rPr>
          <w:rFonts w:ascii="Arial" w:cs="Arial" w:eastAsia="Arial" w:hAnsi="Arial"/>
          <w:sz w:val="14"/>
          <w:szCs w:val="14"/>
          <w:color w:val="auto"/>
        </w:rPr>
        <w:t>200 Park Avenue</w:t>
      </w:r>
    </w:p>
    <w:p>
      <w:pPr>
        <w:ind w:left="9360"/>
        <w:spacing w:after="0" w:line="221" w:lineRule="auto"/>
        <w:rPr>
          <w:sz w:val="20"/>
          <w:szCs w:val="20"/>
          <w:color w:val="auto"/>
        </w:rPr>
      </w:pPr>
      <w:r>
        <w:rPr>
          <w:rFonts w:ascii="Arial" w:cs="Arial" w:eastAsia="Arial" w:hAnsi="Arial"/>
          <w:sz w:val="14"/>
          <w:szCs w:val="14"/>
          <w:color w:val="auto"/>
        </w:rPr>
        <w:t>New York, NY 10166-0193</w:t>
      </w:r>
    </w:p>
    <w:p>
      <w:pPr>
        <w:ind w:left="9360"/>
        <w:spacing w:after="0" w:line="221" w:lineRule="auto"/>
        <w:rPr>
          <w:sz w:val="20"/>
          <w:szCs w:val="20"/>
          <w:color w:val="auto"/>
        </w:rPr>
      </w:pPr>
      <w:r>
        <w:rPr>
          <w:rFonts w:ascii="Arial" w:cs="Arial" w:eastAsia="Arial" w:hAnsi="Arial"/>
          <w:sz w:val="14"/>
          <w:szCs w:val="14"/>
          <w:color w:val="auto"/>
        </w:rPr>
        <w:t>Tel 212.351.4000</w:t>
      </w:r>
    </w:p>
    <w:p>
      <w:pPr>
        <w:spacing w:after="0" w:line="1" w:lineRule="exact"/>
        <w:rPr>
          <w:sz w:val="20"/>
          <w:szCs w:val="20"/>
          <w:color w:val="auto"/>
        </w:rPr>
      </w:pPr>
    </w:p>
    <w:p>
      <w:pPr>
        <w:ind w:left="9360"/>
        <w:spacing w:after="0"/>
        <w:rPr>
          <w:sz w:val="20"/>
          <w:szCs w:val="20"/>
          <w:color w:val="auto"/>
        </w:rPr>
      </w:pPr>
      <w:r>
        <w:rPr>
          <w:rFonts w:ascii="Arial" w:cs="Arial" w:eastAsia="Arial" w:hAnsi="Arial"/>
          <w:sz w:val="14"/>
          <w:szCs w:val="14"/>
          <w:color w:val="auto"/>
        </w:rPr>
        <w:t>www.gibsondunn.com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38"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Schlumberger N.V. (Schlumberger Limited)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Registration Statement on Form S-3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acted as counsel to Schlumberger N.V. (Schlumberger Limited), a Curaçao company (the “Company”), in connection with the preparation and filing with the Securities and Exchange Commission (the “Commission”) of a Registration Statement on Form S-3 (the “Registration Statement”) under the Securities Act of 1933, as amended (the “Securities Act ”), relating to the registration under the Securities Act and the proposed issuance and sale from time to time pursuant to Rule 415 under the Securities Act, together or separately and in one or more series (if applicable) of:</w:t>
      </w:r>
    </w:p>
    <w:p>
      <w:pPr>
        <w:spacing w:after="0" w:line="63" w:lineRule="exact"/>
        <w:rPr>
          <w:sz w:val="20"/>
          <w:szCs w:val="20"/>
          <w:color w:val="auto"/>
        </w:rPr>
      </w:pPr>
    </w:p>
    <w:p>
      <w:pPr>
        <w:ind w:right="900" w:firstLine="464"/>
        <w:spacing w:after="0" w:line="277" w:lineRule="auto"/>
        <w:tabs>
          <w:tab w:leader="none" w:pos="6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Company’s debt securities, which may either be senior debt securities (“Senior Debt Securities ”) or subordinated debt securities (the “Subordinated Debt Securities” and, collectively with the Senior Debt Securities the “Debt Securities”);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guarantees of debt securities (the “Guarantees”);</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shares of the Company’s common stock, par value $0.01 per share (the “Common Stock”).</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Debt Securities, Guarantees and Common Stock, are collectively referred to herein as the “Securities.” Any Senior Debt Securities are to be issued under an indenture to be entered into between the Company and a financial institution to be named at the time such indenture is executed (the “Trust Company ”), as indenture trustee (the “Senior Base Indenture ”). Any Subordinated Debt Securities are to be issued under an indenture to be entered into between the Company and Trust Company, as indenture trustee (the “Subordinated Base Indenture,” and together with the Senior Base Indenture, the “Base Indentures”).</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arriving at the opinions expressed below, we have examined originals, or copies certified or otherwise identified to our satisfaction as being true and complete copies of the originals, of forms of the Base Indentures and such other documents, corporate records, certificates of officers of the Company and of public officials and other instruments as we have deemed necessary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Beijing </w:t>
      </w:r>
      <w:r>
        <w:rPr>
          <w:rFonts w:ascii="Arial" w:cs="Arial" w:eastAsia="Arial" w:hAnsi="Arial"/>
          <w:sz w:val="14"/>
          <w:szCs w:val="14"/>
          <w:color w:val="auto"/>
        </w:rPr>
        <w:t>●</w:t>
      </w:r>
      <w:r>
        <w:rPr>
          <w:rFonts w:ascii="Arial" w:cs="Arial" w:eastAsia="Arial" w:hAnsi="Arial"/>
          <w:sz w:val="14"/>
          <w:szCs w:val="14"/>
          <w:b w:val="1"/>
          <w:bCs w:val="1"/>
          <w:color w:val="auto"/>
        </w:rPr>
        <w:t xml:space="preserve"> Brussels </w:t>
      </w:r>
      <w:r>
        <w:rPr>
          <w:rFonts w:ascii="Arial" w:cs="Arial" w:eastAsia="Arial" w:hAnsi="Arial"/>
          <w:sz w:val="14"/>
          <w:szCs w:val="14"/>
          <w:color w:val="auto"/>
        </w:rPr>
        <w:t>●</w:t>
      </w:r>
      <w:r>
        <w:rPr>
          <w:rFonts w:ascii="Arial" w:cs="Arial" w:eastAsia="Arial" w:hAnsi="Arial"/>
          <w:sz w:val="14"/>
          <w:szCs w:val="14"/>
          <w:b w:val="1"/>
          <w:bCs w:val="1"/>
          <w:color w:val="auto"/>
        </w:rPr>
        <w:t xml:space="preserve"> Century City </w:t>
      </w:r>
      <w:r>
        <w:rPr>
          <w:rFonts w:ascii="Arial" w:cs="Arial" w:eastAsia="Arial" w:hAnsi="Arial"/>
          <w:sz w:val="14"/>
          <w:szCs w:val="14"/>
          <w:color w:val="auto"/>
        </w:rPr>
        <w:t>●</w:t>
      </w:r>
      <w:r>
        <w:rPr>
          <w:rFonts w:ascii="Arial" w:cs="Arial" w:eastAsia="Arial" w:hAnsi="Arial"/>
          <w:sz w:val="14"/>
          <w:szCs w:val="14"/>
          <w:b w:val="1"/>
          <w:bCs w:val="1"/>
          <w:color w:val="auto"/>
        </w:rPr>
        <w:t xml:space="preserve"> Dallas </w:t>
      </w:r>
      <w:r>
        <w:rPr>
          <w:rFonts w:ascii="Arial" w:cs="Arial" w:eastAsia="Arial" w:hAnsi="Arial"/>
          <w:sz w:val="14"/>
          <w:szCs w:val="14"/>
          <w:color w:val="auto"/>
        </w:rPr>
        <w:t>●</w:t>
      </w:r>
      <w:r>
        <w:rPr>
          <w:rFonts w:ascii="Arial" w:cs="Arial" w:eastAsia="Arial" w:hAnsi="Arial"/>
          <w:sz w:val="14"/>
          <w:szCs w:val="14"/>
          <w:b w:val="1"/>
          <w:bCs w:val="1"/>
          <w:color w:val="auto"/>
        </w:rPr>
        <w:t xml:space="preserve"> Denver </w:t>
      </w:r>
      <w:r>
        <w:rPr>
          <w:rFonts w:ascii="Arial" w:cs="Arial" w:eastAsia="Arial" w:hAnsi="Arial"/>
          <w:sz w:val="14"/>
          <w:szCs w:val="14"/>
          <w:color w:val="auto"/>
        </w:rPr>
        <w:t>●</w:t>
      </w:r>
      <w:r>
        <w:rPr>
          <w:rFonts w:ascii="Arial" w:cs="Arial" w:eastAsia="Arial" w:hAnsi="Arial"/>
          <w:sz w:val="14"/>
          <w:szCs w:val="14"/>
          <w:b w:val="1"/>
          <w:bCs w:val="1"/>
          <w:color w:val="auto"/>
        </w:rPr>
        <w:t xml:space="preserve"> Dubai </w:t>
      </w:r>
      <w:r>
        <w:rPr>
          <w:rFonts w:ascii="Arial" w:cs="Arial" w:eastAsia="Arial" w:hAnsi="Arial"/>
          <w:sz w:val="14"/>
          <w:szCs w:val="14"/>
          <w:color w:val="auto"/>
        </w:rPr>
        <w:t>●</w:t>
      </w:r>
      <w:r>
        <w:rPr>
          <w:rFonts w:ascii="Arial" w:cs="Arial" w:eastAsia="Arial" w:hAnsi="Arial"/>
          <w:sz w:val="14"/>
          <w:szCs w:val="14"/>
          <w:b w:val="1"/>
          <w:bCs w:val="1"/>
          <w:color w:val="auto"/>
        </w:rPr>
        <w:t xml:space="preserve"> Frankfurt </w:t>
      </w:r>
      <w:r>
        <w:rPr>
          <w:rFonts w:ascii="Arial" w:cs="Arial" w:eastAsia="Arial" w:hAnsi="Arial"/>
          <w:sz w:val="14"/>
          <w:szCs w:val="14"/>
          <w:color w:val="auto"/>
        </w:rPr>
        <w:t>●</w:t>
      </w:r>
      <w:r>
        <w:rPr>
          <w:rFonts w:ascii="Arial" w:cs="Arial" w:eastAsia="Arial" w:hAnsi="Arial"/>
          <w:sz w:val="14"/>
          <w:szCs w:val="14"/>
          <w:b w:val="1"/>
          <w:bCs w:val="1"/>
          <w:color w:val="auto"/>
        </w:rPr>
        <w:t xml:space="preserve"> Hong Kong </w:t>
      </w:r>
      <w:r>
        <w:rPr>
          <w:rFonts w:ascii="Arial" w:cs="Arial" w:eastAsia="Arial" w:hAnsi="Arial"/>
          <w:sz w:val="14"/>
          <w:szCs w:val="14"/>
          <w:color w:val="auto"/>
        </w:rPr>
        <w:t>●</w:t>
      </w:r>
      <w:r>
        <w:rPr>
          <w:rFonts w:ascii="Arial" w:cs="Arial" w:eastAsia="Arial" w:hAnsi="Arial"/>
          <w:sz w:val="14"/>
          <w:szCs w:val="14"/>
          <w:b w:val="1"/>
          <w:bCs w:val="1"/>
          <w:color w:val="auto"/>
        </w:rPr>
        <w:t xml:space="preserve"> Houston </w:t>
      </w:r>
      <w:r>
        <w:rPr>
          <w:rFonts w:ascii="Arial" w:cs="Arial" w:eastAsia="Arial" w:hAnsi="Arial"/>
          <w:sz w:val="14"/>
          <w:szCs w:val="14"/>
          <w:color w:val="auto"/>
        </w:rPr>
        <w:t>●</w:t>
      </w:r>
      <w:r>
        <w:rPr>
          <w:rFonts w:ascii="Arial" w:cs="Arial" w:eastAsia="Arial" w:hAnsi="Arial"/>
          <w:sz w:val="14"/>
          <w:szCs w:val="14"/>
          <w:b w:val="1"/>
          <w:bCs w:val="1"/>
          <w:color w:val="auto"/>
        </w:rPr>
        <w:t xml:space="preserve"> London </w:t>
      </w:r>
      <w:r>
        <w:rPr>
          <w:rFonts w:ascii="Arial" w:cs="Arial" w:eastAsia="Arial" w:hAnsi="Arial"/>
          <w:sz w:val="14"/>
          <w:szCs w:val="14"/>
          <w:color w:val="auto"/>
        </w:rPr>
        <w:t>●</w:t>
      </w:r>
      <w:r>
        <w:rPr>
          <w:rFonts w:ascii="Arial" w:cs="Arial" w:eastAsia="Arial" w:hAnsi="Arial"/>
          <w:sz w:val="14"/>
          <w:szCs w:val="14"/>
          <w:b w:val="1"/>
          <w:bCs w:val="1"/>
          <w:color w:val="auto"/>
        </w:rPr>
        <w:t xml:space="preserve"> Los Angeles </w:t>
      </w:r>
      <w:r>
        <w:rPr>
          <w:rFonts w:ascii="Arial" w:cs="Arial" w:eastAsia="Arial" w:hAnsi="Arial"/>
          <w:sz w:val="14"/>
          <w:szCs w:val="14"/>
          <w:color w:val="auto"/>
        </w:rPr>
        <w:t>●</w:t>
      </w:r>
      <w:r>
        <w:rPr>
          <w:rFonts w:ascii="Arial" w:cs="Arial" w:eastAsia="Arial" w:hAnsi="Arial"/>
          <w:sz w:val="14"/>
          <w:szCs w:val="14"/>
          <w:b w:val="1"/>
          <w:bCs w:val="1"/>
          <w:color w:val="auto"/>
        </w:rPr>
        <w:t xml:space="preserve"> Munich</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New York </w:t>
      </w:r>
      <w:r>
        <w:rPr>
          <w:rFonts w:ascii="Arial" w:cs="Arial" w:eastAsia="Arial" w:hAnsi="Arial"/>
          <w:sz w:val="14"/>
          <w:szCs w:val="14"/>
          <w:color w:val="auto"/>
        </w:rPr>
        <w:t>●</w:t>
      </w:r>
      <w:r>
        <w:rPr>
          <w:rFonts w:ascii="Arial" w:cs="Arial" w:eastAsia="Arial" w:hAnsi="Arial"/>
          <w:sz w:val="14"/>
          <w:szCs w:val="14"/>
          <w:b w:val="1"/>
          <w:bCs w:val="1"/>
          <w:color w:val="auto"/>
        </w:rPr>
        <w:t xml:space="preserve"> Orange Country </w:t>
      </w:r>
      <w:r>
        <w:rPr>
          <w:rFonts w:ascii="Arial" w:cs="Arial" w:eastAsia="Arial" w:hAnsi="Arial"/>
          <w:sz w:val="14"/>
          <w:szCs w:val="14"/>
          <w:color w:val="auto"/>
        </w:rPr>
        <w:t>●</w:t>
      </w:r>
      <w:r>
        <w:rPr>
          <w:rFonts w:ascii="Arial" w:cs="Arial" w:eastAsia="Arial" w:hAnsi="Arial"/>
          <w:sz w:val="14"/>
          <w:szCs w:val="14"/>
          <w:b w:val="1"/>
          <w:bCs w:val="1"/>
          <w:color w:val="auto"/>
        </w:rPr>
        <w:t xml:space="preserve"> Palo Alto </w:t>
      </w:r>
      <w:r>
        <w:rPr>
          <w:rFonts w:ascii="Arial" w:cs="Arial" w:eastAsia="Arial" w:hAnsi="Arial"/>
          <w:sz w:val="14"/>
          <w:szCs w:val="14"/>
          <w:color w:val="auto"/>
        </w:rPr>
        <w:t>●</w:t>
      </w:r>
      <w:r>
        <w:rPr>
          <w:rFonts w:ascii="Arial" w:cs="Arial" w:eastAsia="Arial" w:hAnsi="Arial"/>
          <w:sz w:val="14"/>
          <w:szCs w:val="14"/>
          <w:b w:val="1"/>
          <w:bCs w:val="1"/>
          <w:color w:val="auto"/>
        </w:rPr>
        <w:t xml:space="preserve"> Paris </w:t>
      </w:r>
      <w:r>
        <w:rPr>
          <w:rFonts w:ascii="Arial" w:cs="Arial" w:eastAsia="Arial" w:hAnsi="Arial"/>
          <w:sz w:val="14"/>
          <w:szCs w:val="14"/>
          <w:color w:val="auto"/>
        </w:rPr>
        <w:t>●</w:t>
      </w:r>
      <w:r>
        <w:rPr>
          <w:rFonts w:ascii="Arial" w:cs="Arial" w:eastAsia="Arial" w:hAnsi="Arial"/>
          <w:sz w:val="14"/>
          <w:szCs w:val="14"/>
          <w:b w:val="1"/>
          <w:bCs w:val="1"/>
          <w:color w:val="auto"/>
        </w:rPr>
        <w:t xml:space="preserve"> San Francisco </w:t>
      </w:r>
      <w:r>
        <w:rPr>
          <w:rFonts w:ascii="Arial" w:cs="Arial" w:eastAsia="Arial" w:hAnsi="Arial"/>
          <w:sz w:val="14"/>
          <w:szCs w:val="14"/>
          <w:color w:val="auto"/>
        </w:rPr>
        <w:t>●</w:t>
      </w:r>
      <w:r>
        <w:rPr>
          <w:rFonts w:ascii="Arial" w:cs="Arial" w:eastAsia="Arial" w:hAnsi="Arial"/>
          <w:sz w:val="14"/>
          <w:szCs w:val="14"/>
          <w:b w:val="1"/>
          <w:bCs w:val="1"/>
          <w:color w:val="auto"/>
        </w:rPr>
        <w:t xml:space="preserve"> Sáo Paulo </w:t>
      </w:r>
      <w:r>
        <w:rPr>
          <w:rFonts w:ascii="Arial" w:cs="Arial" w:eastAsia="Arial" w:hAnsi="Arial"/>
          <w:sz w:val="14"/>
          <w:szCs w:val="14"/>
          <w:color w:val="auto"/>
        </w:rPr>
        <w:t>●</w:t>
      </w:r>
      <w:r>
        <w:rPr>
          <w:rFonts w:ascii="Arial" w:cs="Arial" w:eastAsia="Arial" w:hAnsi="Arial"/>
          <w:sz w:val="14"/>
          <w:szCs w:val="14"/>
          <w:b w:val="1"/>
          <w:bCs w:val="1"/>
          <w:color w:val="auto"/>
        </w:rPr>
        <w:t xml:space="preserve"> Singapore </w:t>
      </w:r>
      <w:r>
        <w:rPr>
          <w:rFonts w:ascii="Arial" w:cs="Arial" w:eastAsia="Arial" w:hAnsi="Arial"/>
          <w:sz w:val="14"/>
          <w:szCs w:val="14"/>
          <w:color w:val="auto"/>
        </w:rPr>
        <w:t>●</w:t>
      </w:r>
      <w:r>
        <w:rPr>
          <w:rFonts w:ascii="Arial" w:cs="Arial" w:eastAsia="Arial" w:hAnsi="Arial"/>
          <w:sz w:val="14"/>
          <w:szCs w:val="14"/>
          <w:b w:val="1"/>
          <w:bCs w:val="1"/>
          <w:color w:val="auto"/>
        </w:rPr>
        <w:t xml:space="preserve"> Washington, D.C.</w:t>
      </w:r>
    </w:p>
    <w:p>
      <w:pPr>
        <w:sectPr>
          <w:pgSz w:w="11900" w:h="16838" w:orient="portrait"/>
          <w:cols w:equalWidth="0" w:num="1">
            <w:col w:w="11420"/>
          </w:cols>
          <w:pgMar w:left="240" w:top="12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are not admitted or qualified to practice law in Curaçao. Therefore, we have relied upon the opinion of STvB Advocaten (Curaçao) N.V., filed as an exhibit to the Registration Statement, with respect to matters governed by the laws of Curaçao.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assumed without independent investigation that:</w:t>
      </w:r>
    </w:p>
    <w:p>
      <w:pPr>
        <w:spacing w:after="0" w:line="117" w:lineRule="exact"/>
        <w:rPr>
          <w:sz w:val="20"/>
          <w:szCs w:val="20"/>
          <w:color w:val="auto"/>
        </w:rPr>
      </w:pPr>
    </w:p>
    <w:p>
      <w:pPr>
        <w:ind w:firstLine="464"/>
        <w:spacing w:after="0" w:line="277" w:lineRule="auto"/>
        <w:tabs>
          <w:tab w:leader="none" w:pos="6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the time any Securities are sold pursuant to the Registration Statement (the “Relevant Time”), the Registration Statement and any supplements and amendments thereto (including post-effective amendments) will be effective and will comply with all applicable laws;</w:t>
      </w:r>
    </w:p>
    <w:p>
      <w:pPr>
        <w:spacing w:after="0" w:line="62" w:lineRule="exact"/>
        <w:rPr>
          <w:rFonts w:ascii="Arial" w:cs="Arial" w:eastAsia="Arial" w:hAnsi="Arial"/>
          <w:sz w:val="18"/>
          <w:szCs w:val="18"/>
          <w:color w:val="auto"/>
        </w:rPr>
      </w:pPr>
    </w:p>
    <w:p>
      <w:pPr>
        <w:ind w:right="40" w:firstLine="464"/>
        <w:spacing w:after="0" w:line="277" w:lineRule="auto"/>
        <w:tabs>
          <w:tab w:leader="none" w:pos="72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the Relevant Time, a prospectus supplement will have been prepared and filed with the Commission describing the Securities offered thereby and all related documentation and will comply with all applicable laws;</w:t>
      </w:r>
    </w:p>
    <w:p>
      <w:pPr>
        <w:spacing w:after="0" w:line="62" w:lineRule="exact"/>
        <w:rPr>
          <w:rFonts w:ascii="Arial" w:cs="Arial" w:eastAsia="Arial" w:hAnsi="Arial"/>
          <w:sz w:val="18"/>
          <w:szCs w:val="18"/>
          <w:color w:val="auto"/>
        </w:rPr>
      </w:pPr>
    </w:p>
    <w:p>
      <w:pPr>
        <w:ind w:left="780" w:hanging="31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Securities will be issued and sold in the manner stated in the Registration Statement and the applicable prospectus supplement;</w:t>
      </w:r>
    </w:p>
    <w:p>
      <w:pPr>
        <w:spacing w:after="0" w:line="117" w:lineRule="exact"/>
        <w:rPr>
          <w:rFonts w:ascii="Arial" w:cs="Arial" w:eastAsia="Arial" w:hAnsi="Arial"/>
          <w:sz w:val="18"/>
          <w:szCs w:val="18"/>
          <w:color w:val="auto"/>
        </w:rPr>
      </w:pPr>
    </w:p>
    <w:p>
      <w:pPr>
        <w:ind w:right="100" w:firstLine="464"/>
        <w:spacing w:after="0" w:line="286" w:lineRule="auto"/>
        <w:tabs>
          <w:tab w:leader="none" w:pos="761" w:val="left"/>
        </w:tabs>
        <w:numPr>
          <w:ilvl w:val="0"/>
          <w:numId w:val="38"/>
        </w:numPr>
        <w:rPr>
          <w:rFonts w:ascii="Arial" w:cs="Arial" w:eastAsia="Arial" w:hAnsi="Arial"/>
          <w:sz w:val="17"/>
          <w:szCs w:val="17"/>
          <w:color w:val="auto"/>
        </w:rPr>
      </w:pPr>
      <w:r>
        <w:rPr>
          <w:rFonts w:ascii="Arial" w:cs="Arial" w:eastAsia="Arial" w:hAnsi="Arial"/>
          <w:sz w:val="17"/>
          <w:szCs w:val="17"/>
          <w:color w:val="auto"/>
        </w:rPr>
        <w:t>at the Relevant Time, all corporate or other action required to be taken by the Company to duly authorize each proposed issuance of Securities and any related documentation, and (ii) the execution (in the case of certificated Securities), delivery and performance of the Securities and any related documentation referred to in paragraphs 1 and 2 below) shall have been duly completed and shall remain in full force and effect;</w:t>
      </w:r>
    </w:p>
    <w:p>
      <w:pPr>
        <w:spacing w:after="0" w:line="57" w:lineRule="exact"/>
        <w:rPr>
          <w:rFonts w:ascii="Arial" w:cs="Arial" w:eastAsia="Arial" w:hAnsi="Arial"/>
          <w:sz w:val="17"/>
          <w:szCs w:val="17"/>
          <w:color w:val="auto"/>
        </w:rPr>
      </w:pPr>
    </w:p>
    <w:p>
      <w:pPr>
        <w:ind w:right="180" w:firstLine="464"/>
        <w:spacing w:after="0" w:line="312" w:lineRule="auto"/>
        <w:tabs>
          <w:tab w:leader="none" w:pos="711"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the case of Debt Securities and Guarantees, at the Relevant Time, the relevant trustee shall have been qualified under the Trust Indenture Act of 1939, as amended (the “TIA”), a Statement of Eligibility of the Trustee on Form T-1 shall have been properly filed with the Commission and the relevant Base Indenture shall have been duly authorized, executed and delivered by the Company and all other parties thereto and duly qualified under the TIA; and</w:t>
      </w:r>
    </w:p>
    <w:p>
      <w:pPr>
        <w:spacing w:after="0" w:line="38" w:lineRule="exact"/>
        <w:rPr>
          <w:rFonts w:ascii="Arial" w:cs="Arial" w:eastAsia="Arial" w:hAnsi="Arial"/>
          <w:sz w:val="16"/>
          <w:szCs w:val="16"/>
          <w:color w:val="auto"/>
        </w:rPr>
      </w:pPr>
    </w:p>
    <w:p>
      <w:pPr>
        <w:ind w:right="160" w:firstLine="464"/>
        <w:spacing w:after="0" w:line="264" w:lineRule="auto"/>
        <w:tabs>
          <w:tab w:leader="none" w:pos="76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the Relevant Time, a definitive purchase, underwriting or similar agreement and any other necessary agreement with respect to any Securities offered or issued will have been duly authorized by all necessary corporate action of the Company and duly executed and delivered by the Company and the other parties thereto.</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Based on the foregoing and in reliance thereon, and subject to the assumptions, exceptions, qualifications and limitations set forth herein, we are of the opinion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1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any Debt Securities, when: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relevant Base Indenture has been duly executed and delivered by the Company and the trustee,</w:t>
      </w:r>
    </w:p>
    <w:p>
      <w:pPr>
        <w:spacing w:after="0" w:line="130" w:lineRule="exact"/>
        <w:rPr>
          <w:rFonts w:ascii="Arial" w:cs="Arial" w:eastAsia="Arial" w:hAnsi="Arial"/>
          <w:sz w:val="18"/>
          <w:szCs w:val="18"/>
          <w:color w:val="auto"/>
        </w:rPr>
      </w:pPr>
    </w:p>
    <w:p>
      <w:pPr>
        <w:ind w:left="1480" w:right="600" w:hanging="567"/>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terms and conditions of such Debt Securities have been duly established by supplemental indenture or officers’ certificate in accordance with the terms and conditions of the relevant Base Indenture,</w:t>
      </w:r>
    </w:p>
    <w:p>
      <w:pPr>
        <w:spacing w:after="0" w:line="75" w:lineRule="exact"/>
        <w:rPr>
          <w:rFonts w:ascii="Arial" w:cs="Arial" w:eastAsia="Arial" w:hAnsi="Arial"/>
          <w:sz w:val="18"/>
          <w:szCs w:val="18"/>
          <w:color w:val="auto"/>
        </w:rPr>
      </w:pPr>
    </w:p>
    <w:p>
      <w:pPr>
        <w:ind w:left="1480" w:right="440" w:hanging="567"/>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such supplemental indenture has been duly executed and delivered by the Company and the relevant trustee (together with the relevant Base Indenture, the relevant “Indenture”), and</w:t>
      </w:r>
    </w:p>
    <w:p>
      <w:pPr>
        <w:spacing w:after="0" w:line="75" w:lineRule="exact"/>
        <w:rPr>
          <w:rFonts w:ascii="Arial" w:cs="Arial" w:eastAsia="Arial" w:hAnsi="Arial"/>
          <w:sz w:val="18"/>
          <w:szCs w:val="18"/>
          <w:color w:val="auto"/>
        </w:rPr>
      </w:pPr>
    </w:p>
    <w:p>
      <w:pPr>
        <w:ind w:left="1480" w:right="20" w:hanging="567"/>
        <w:spacing w:after="0" w:line="264"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such Debt Securities have been executed (in the case of certificated Debt Securities), delivered and authenticated in accordance with the terms of the relevant Indenture and issued and sold for the consideration set forth in the applicable definitive purchase, underwriting or similar agreement,</w:t>
      </w:r>
    </w:p>
    <w:p>
      <w:pPr>
        <w:spacing w:after="0" w:line="86" w:lineRule="exact"/>
        <w:rPr>
          <w:rFonts w:ascii="Arial" w:cs="Arial" w:eastAsia="Arial" w:hAnsi="Arial"/>
          <w:sz w:val="18"/>
          <w:szCs w:val="18"/>
          <w:color w:val="auto"/>
        </w:rPr>
      </w:pPr>
    </w:p>
    <w:p>
      <w:pPr>
        <w:ind w:left="1480" w:right="120"/>
        <w:spacing w:after="0" w:line="277" w:lineRule="auto"/>
        <w:rPr>
          <w:rFonts w:ascii="Arial" w:cs="Arial" w:eastAsia="Arial" w:hAnsi="Arial"/>
          <w:sz w:val="18"/>
          <w:szCs w:val="18"/>
          <w:color w:val="auto"/>
        </w:rPr>
      </w:pPr>
      <w:r>
        <w:rPr>
          <w:rFonts w:ascii="Arial" w:cs="Arial" w:eastAsia="Arial" w:hAnsi="Arial"/>
          <w:sz w:val="18"/>
          <w:szCs w:val="18"/>
          <w:color w:val="auto"/>
        </w:rPr>
        <w:t>such Debt Securities will be legal, valid and binding obligations of the Company, enforceable against the Company in accordance with their respective terms.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any Guarantees, when:</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guarantee agreement relating to such Guarantees (“Guarantee Agreement”) has been duly executed and delivered by the Company and each other party thereto,</w:t>
      </w:r>
    </w:p>
    <w:p>
      <w:pPr>
        <w:spacing w:after="0" w:line="75" w:lineRule="exact"/>
        <w:rPr>
          <w:rFonts w:ascii="Arial" w:cs="Arial" w:eastAsia="Arial" w:hAnsi="Arial"/>
          <w:sz w:val="18"/>
          <w:szCs w:val="18"/>
          <w:color w:val="auto"/>
        </w:rPr>
      </w:pPr>
    </w:p>
    <w:p>
      <w:pPr>
        <w:ind w:left="1480" w:right="200" w:hanging="567"/>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terms and conditions of such Guarantees have been duly established in accordance with the terms and conditions of the Guarantee Agreement, and</w:t>
      </w:r>
    </w:p>
    <w:p>
      <w:pPr>
        <w:spacing w:after="0" w:line="75" w:lineRule="exact"/>
        <w:rPr>
          <w:rFonts w:ascii="Arial" w:cs="Arial" w:eastAsia="Arial" w:hAnsi="Arial"/>
          <w:sz w:val="18"/>
          <w:szCs w:val="18"/>
          <w:color w:val="auto"/>
        </w:rPr>
      </w:pPr>
    </w:p>
    <w:p>
      <w:pPr>
        <w:ind w:left="1480" w:hanging="567"/>
        <w:spacing w:after="0" w:line="308" w:lineRule="auto"/>
        <w:tabs>
          <w:tab w:leader="none" w:pos="14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such Guarantees have been duly executed and delivered in accordance with the terms of the applicable Guarantee Agreement and issued and sold for the consideration set forth in the applicable definitive purchase, underwriting or similar agreement,</w:t>
      </w:r>
    </w:p>
    <w:p>
      <w:pPr>
        <w:spacing w:after="0" w:line="51" w:lineRule="exact"/>
        <w:rPr>
          <w:rFonts w:ascii="Arial" w:cs="Arial" w:eastAsia="Arial" w:hAnsi="Arial"/>
          <w:sz w:val="17"/>
          <w:szCs w:val="17"/>
          <w:color w:val="auto"/>
        </w:rPr>
      </w:pPr>
    </w:p>
    <w:p>
      <w:pPr>
        <w:ind w:left="1480" w:right="40"/>
        <w:spacing w:after="0" w:line="277" w:lineRule="auto"/>
        <w:rPr>
          <w:rFonts w:ascii="Arial" w:cs="Arial" w:eastAsia="Arial" w:hAnsi="Arial"/>
          <w:sz w:val="17"/>
          <w:szCs w:val="17"/>
          <w:color w:val="auto"/>
        </w:rPr>
      </w:pPr>
      <w:r>
        <w:rPr>
          <w:rFonts w:ascii="Arial" w:cs="Arial" w:eastAsia="Arial" w:hAnsi="Arial"/>
          <w:sz w:val="18"/>
          <w:szCs w:val="18"/>
          <w:color w:val="auto"/>
        </w:rPr>
        <w:t>such Guarantees will be legal, valid and binding obligations of the Company, enforceable against the Company in accordance with their respective terms.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719"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above are subject to the following exceptions, qualifications, limitations and assumptions:</w:t>
      </w:r>
    </w:p>
    <w:p>
      <w:pPr>
        <w:spacing w:after="0" w:line="11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14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B. The opinions above with respect to the Indenture, the Debt Securities and the Guarantees (collectively, the “Documents”)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 We express no opinion regarding the effectiveness of (i) any waiver of stay, extension or usury laws or of unknown future rights, (ii) provisions relating to indemnification, exculpation or contribution, to the extent such provisions may be held unenforceable as contrary to public policy or federal or state securities laws or due to the negligence or willful misconduct of the indemnified party, (iii) any provision in any Document waiving the right to object to venue in any court; (iv) any agreement to submit to the jurisdiction of any Federal court, (v) any waiver of the right to jury trial and (vi) any provision to the effect that every right or remedy is cumulative and may be exercised in addition to any other right or remedy or that the election of some particular remedy does not preclude recourse to one or more others.</w:t>
      </w:r>
    </w:p>
    <w:p>
      <w:pPr>
        <w:spacing w:after="0" w:line="193"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D. To the extent relevant to our opinions in paragraph 2, we have assumed that the debt underlying any Guarantees is a legal, valid and binding obligation of the issuer thereof, enforceable against such issuer in accordance with its terms.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consent to the filing of this opinion as an exhibit to the Registration Statement, and we further consent to the use of our name under the caption “Validity of the Securities”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1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October 27,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Gibson, Dunn &amp; Crutcher LLP</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240" w:top="719" w:right="719" w:bottom="1440" w:gutter="0" w:footer="0" w:header="0"/>
        </w:sectPr>
      </w:pPr>
    </w:p>
    <w:bookmarkStart w:id="50" w:name="page51"/>
    <w:bookmarkEnd w:id="50"/>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Nine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 millions)</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10"/>
            <w:vMerge w:val="restart"/>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10"/>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Sept 30,</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Earnings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Income (Loss) from continuing operations before taxes</w:t>
            </w:r>
          </w:p>
        </w:tc>
        <w:tc>
          <w:tcPr>
            <w:tcW w:w="1220" w:type="dxa"/>
            <w:vAlign w:val="bottom"/>
            <w:gridSpan w:val="2"/>
          </w:tcPr>
          <w:p>
            <w:pPr>
              <w:ind w:left="112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1,027</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($1,905)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2,881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7,639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8,691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Add/(Deduct):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Fixed charges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Distributed income of affiliated companies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Equity income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earnings</w:t>
            </w:r>
          </w:p>
        </w:tc>
        <w:tc>
          <w:tcPr>
            <w:tcW w:w="1220" w:type="dxa"/>
            <w:vAlign w:val="bottom"/>
            <w:gridSpan w:val="2"/>
            <w:shd w:val="clear" w:color="auto" w:fill="CCEEFF"/>
          </w:tcPr>
          <w:p>
            <w:pPr>
              <w:ind w:left="112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1,513</w:t>
            </w: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3,334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8,200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9,345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7,572</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Fixed charges</w:t>
            </w: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4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Add: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component of rental expense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fixed charges</w:t>
            </w:r>
          </w:p>
        </w:tc>
        <w:tc>
          <w:tcPr>
            <w:tcW w:w="1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 to fixed charges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S-3 of our report dated January 25, 2017 relating to the financial statements and the effectiveness of internal control over financial reporting, which appears in Schlumberger Limited’s Annual Report on Form 10-K for the year ended December 31, 2016. We also consent to the reference to us under the heading “Experts” in such Registration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of the undersigned, being a director or officer of Schlumberger Limited, a Curaçao corporation (the “Company”), hereby constitutes and appoints Howard Guild, Alexander C. Juden or Saul R. Laureles, and each of them, his or her true and lawful attorney-in-fact and agent, with full and several power of substitution and resubstitution and to act with or without the others, for him or her and in his or her name, place and stead in any and all capacities: (i) to sign this Registration Statement under the Securities Act of 1933, as amended (the “Securities Act”), on Form S-3, any amendments thereto, and all post-effective amendments and supplements to this Registration Statement for the registration of the Company’s securities,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will constitute an original and all of which, taken together, will constitute one Power of Attorney.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October 18,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248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92"/>
              </w:rPr>
              <w:t>Signature</w:t>
            </w:r>
          </w:p>
        </w:tc>
        <w:tc>
          <w:tcPr>
            <w:tcW w:w="5560" w:type="dxa"/>
            <w:vAlign w:val="bottom"/>
            <w:gridSpan w:val="3"/>
          </w:tcPr>
          <w:p>
            <w:pPr>
              <w:jc w:val="center"/>
              <w:ind w:left="1631"/>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1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1"/>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560" w:type="dxa"/>
            <w:vAlign w:val="bottom"/>
            <w:gridSpan w:val="3"/>
          </w:tcPr>
          <w:p>
            <w:pPr>
              <w:jc w:val="center"/>
              <w:ind w:left="1611"/>
              <w:spacing w:after="0"/>
              <w:rPr>
                <w:sz w:val="20"/>
                <w:szCs w:val="20"/>
                <w:color w:val="auto"/>
              </w:rPr>
            </w:pPr>
            <w:r>
              <w:rPr>
                <w:rFonts w:ascii="Arial" w:cs="Arial" w:eastAsia="Arial" w:hAnsi="Arial"/>
                <w:sz w:val="18"/>
                <w:szCs w:val="18"/>
                <w:color w:val="auto"/>
                <w:w w:val="92"/>
              </w:rPr>
              <w:t>Chief Executive Officer and Chairman</w:t>
            </w:r>
          </w:p>
        </w:tc>
      </w:tr>
      <w:tr>
        <w:trPr>
          <w:trHeight w:val="244"/>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Paal Kibsgaard</w:t>
            </w:r>
          </w:p>
        </w:tc>
        <w:tc>
          <w:tcPr>
            <w:tcW w:w="5560" w:type="dxa"/>
            <w:vAlign w:val="bottom"/>
            <w:gridSpan w:val="3"/>
          </w:tcPr>
          <w:p>
            <w:pPr>
              <w:jc w:val="center"/>
              <w:ind w:left="1611"/>
              <w:spacing w:after="0"/>
              <w:rPr>
                <w:sz w:val="20"/>
                <w:szCs w:val="20"/>
                <w:color w:val="auto"/>
              </w:rPr>
            </w:pPr>
            <w:r>
              <w:rPr>
                <w:rFonts w:ascii="Arial" w:cs="Arial" w:eastAsia="Arial" w:hAnsi="Arial"/>
                <w:sz w:val="18"/>
                <w:szCs w:val="18"/>
                <w:color w:val="auto"/>
                <w:w w:val="94"/>
              </w:rPr>
              <w:t>(Principal Executive Officer)</w:t>
            </w:r>
          </w:p>
        </w:tc>
      </w:tr>
      <w:tr>
        <w:trPr>
          <w:trHeight w:val="224"/>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89"/>
              </w:rPr>
              <w:t>(Paal Kibsgaard)</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7"/>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44"/>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Simon Ayat</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4"/>
              </w:rPr>
              <w:t>(Principal Financial Officer)</w:t>
            </w:r>
          </w:p>
        </w:tc>
      </w:tr>
      <w:tr>
        <w:trPr>
          <w:trHeight w:val="224"/>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2"/>
              </w:rPr>
              <w:t>(Simon Ayat)</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7"/>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4"/>
              </w:rPr>
              <w:t>Chief Accounting Officer</w:t>
            </w:r>
          </w:p>
        </w:tc>
      </w:tr>
      <w:tr>
        <w:trPr>
          <w:trHeight w:val="244"/>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Howard Guild</w:t>
            </w:r>
          </w:p>
        </w:tc>
        <w:tc>
          <w:tcPr>
            <w:tcW w:w="5560" w:type="dxa"/>
            <w:vAlign w:val="bottom"/>
            <w:gridSpan w:val="3"/>
          </w:tcPr>
          <w:p>
            <w:pPr>
              <w:jc w:val="center"/>
              <w:ind w:left="1611"/>
              <w:spacing w:after="0"/>
              <w:rPr>
                <w:sz w:val="20"/>
                <w:szCs w:val="20"/>
                <w:color w:val="auto"/>
              </w:rPr>
            </w:pPr>
            <w:r>
              <w:rPr>
                <w:rFonts w:ascii="Arial" w:cs="Arial" w:eastAsia="Arial" w:hAnsi="Arial"/>
                <w:sz w:val="18"/>
                <w:szCs w:val="18"/>
                <w:color w:val="auto"/>
                <w:w w:val="95"/>
              </w:rPr>
              <w:t>(Principal Accounting Officer)</w:t>
            </w:r>
          </w:p>
        </w:tc>
      </w:tr>
      <w:tr>
        <w:trPr>
          <w:trHeight w:val="224"/>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5"/>
              </w:rPr>
              <w:t>(Howard Guild)</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Peter L.S. Currie</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1"/>
              </w:rPr>
              <w:t>(Peter L.S. Currie)</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Miguel M. Galuccio</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5"/>
              </w:rPr>
              <w:t>(Miguel M. Galuccio)</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V. Maureen Kempston Darkes</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0"/>
              </w:rPr>
              <w:t>(V. Maureen Kempston Darkes)</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Nikolay Kudryavtsev</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4"/>
              </w:rPr>
              <w:t>(Nikolay Kudryavtsev)</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Helge Lund</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2"/>
              </w:rPr>
              <w:t>(Helge Lund)</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E. Marks</w:t>
            </w:r>
          </w:p>
        </w:tc>
        <w:tc>
          <w:tcPr>
            <w:tcW w:w="3940" w:type="dxa"/>
            <w:vAlign w:val="bottom"/>
          </w:tcPr>
          <w:p>
            <w:pPr>
              <w:ind w:left="3340"/>
              <w:spacing w:after="0"/>
              <w:rPr>
                <w:sz w:val="20"/>
                <w:szCs w:val="20"/>
                <w:color w:val="auto"/>
              </w:rPr>
            </w:pPr>
            <w:r>
              <w:rPr>
                <w:rFonts w:ascii="Arial" w:cs="Arial" w:eastAsia="Arial" w:hAnsi="Arial"/>
                <w:sz w:val="18"/>
                <w:szCs w:val="18"/>
                <w:color w:val="auto"/>
                <w:w w:val="91"/>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3"/>
              </w:rPr>
              <w:t>(Michael E. Marks)</w:t>
            </w:r>
          </w:p>
        </w:tc>
        <w:tc>
          <w:tcPr>
            <w:tcW w:w="394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Indra K. Nooyi</w:t>
            </w:r>
          </w:p>
        </w:tc>
        <w:tc>
          <w:tcPr>
            <w:tcW w:w="3940" w:type="dxa"/>
            <w:vAlign w:val="bottom"/>
          </w:tcPr>
          <w:p>
            <w:pPr>
              <w:ind w:left="3340"/>
              <w:spacing w:after="0"/>
              <w:rPr>
                <w:sz w:val="20"/>
                <w:szCs w:val="20"/>
                <w:color w:val="auto"/>
              </w:rPr>
            </w:pPr>
            <w:r>
              <w:rPr>
                <w:rFonts w:ascii="Arial" w:cs="Arial" w:eastAsia="Arial" w:hAnsi="Arial"/>
                <w:sz w:val="18"/>
                <w:szCs w:val="18"/>
                <w:color w:val="auto"/>
                <w:w w:val="91"/>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5"/>
              </w:rPr>
              <w:t>(Indra K. Nooyi)</w:t>
            </w:r>
          </w:p>
        </w:tc>
        <w:tc>
          <w:tcPr>
            <w:tcW w:w="394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Lubna S. Olayan</w:t>
            </w:r>
          </w:p>
        </w:tc>
        <w:tc>
          <w:tcPr>
            <w:tcW w:w="3940" w:type="dxa"/>
            <w:vAlign w:val="bottom"/>
          </w:tcPr>
          <w:p>
            <w:pPr>
              <w:ind w:left="3340"/>
              <w:spacing w:after="0"/>
              <w:rPr>
                <w:sz w:val="20"/>
                <w:szCs w:val="20"/>
                <w:color w:val="auto"/>
              </w:rPr>
            </w:pPr>
            <w:r>
              <w:rPr>
                <w:rFonts w:ascii="Arial" w:cs="Arial" w:eastAsia="Arial" w:hAnsi="Arial"/>
                <w:sz w:val="18"/>
                <w:szCs w:val="18"/>
                <w:color w:val="auto"/>
                <w:w w:val="91"/>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0"/>
              </w:rPr>
              <w:t>(Lubna S. Olayan)</w:t>
            </w:r>
          </w:p>
        </w:tc>
        <w:tc>
          <w:tcPr>
            <w:tcW w:w="394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Leo Rafael Reif</w:t>
            </w:r>
          </w:p>
        </w:tc>
        <w:tc>
          <w:tcPr>
            <w:tcW w:w="3940" w:type="dxa"/>
            <w:vAlign w:val="bottom"/>
          </w:tcPr>
          <w:p>
            <w:pPr>
              <w:ind w:left="3340"/>
              <w:spacing w:after="0"/>
              <w:rPr>
                <w:sz w:val="20"/>
                <w:szCs w:val="20"/>
                <w:color w:val="auto"/>
              </w:rPr>
            </w:pPr>
            <w:r>
              <w:rPr>
                <w:rFonts w:ascii="Arial" w:cs="Arial" w:eastAsia="Arial" w:hAnsi="Arial"/>
                <w:sz w:val="18"/>
                <w:szCs w:val="18"/>
                <w:color w:val="auto"/>
                <w:w w:val="91"/>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4"/>
              </w:rPr>
              <w:t>(Leo Rafael Reif)</w:t>
            </w:r>
          </w:p>
        </w:tc>
        <w:tc>
          <w:tcPr>
            <w:tcW w:w="394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Tore I. Sandvold</w:t>
            </w:r>
          </w:p>
        </w:tc>
        <w:tc>
          <w:tcPr>
            <w:tcW w:w="3940" w:type="dxa"/>
            <w:vAlign w:val="bottom"/>
          </w:tcPr>
          <w:p>
            <w:pPr>
              <w:ind w:left="3340"/>
              <w:spacing w:after="0"/>
              <w:rPr>
                <w:sz w:val="20"/>
                <w:szCs w:val="20"/>
                <w:color w:val="auto"/>
              </w:rPr>
            </w:pPr>
            <w:r>
              <w:rPr>
                <w:rFonts w:ascii="Arial" w:cs="Arial" w:eastAsia="Arial" w:hAnsi="Arial"/>
                <w:sz w:val="18"/>
                <w:szCs w:val="18"/>
                <w:color w:val="auto"/>
                <w:w w:val="91"/>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1"/>
              </w:rPr>
              <w:t>(Tore I. Sandvold)</w:t>
            </w:r>
          </w:p>
        </w:tc>
        <w:tc>
          <w:tcPr>
            <w:tcW w:w="3940" w:type="dxa"/>
            <w:vAlign w:val="bottom"/>
          </w:tcPr>
          <w:p>
            <w:pPr>
              <w:spacing w:after="0"/>
              <w:rPr>
                <w:sz w:val="19"/>
                <w:szCs w:val="19"/>
                <w:color w:val="auto"/>
              </w:rPr>
            </w:pPr>
          </w:p>
        </w:tc>
      </w:tr>
      <w:tr>
        <w:trPr>
          <w:trHeight w:val="43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Henri Seydoux</w:t>
            </w:r>
          </w:p>
        </w:tc>
        <w:tc>
          <w:tcPr>
            <w:tcW w:w="3940" w:type="dxa"/>
            <w:vAlign w:val="bottom"/>
          </w:tcPr>
          <w:p>
            <w:pPr>
              <w:ind w:left="3340"/>
              <w:spacing w:after="0"/>
              <w:rPr>
                <w:sz w:val="20"/>
                <w:szCs w:val="20"/>
                <w:color w:val="auto"/>
              </w:rPr>
            </w:pPr>
            <w:r>
              <w:rPr>
                <w:rFonts w:ascii="Arial" w:cs="Arial" w:eastAsia="Arial" w:hAnsi="Arial"/>
                <w:sz w:val="18"/>
                <w:szCs w:val="18"/>
                <w:color w:val="auto"/>
                <w:w w:val="91"/>
              </w:rPr>
              <w:t>Director</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2"/>
              </w:rPr>
              <w:t>(Henri Seydoux)</w:t>
            </w:r>
          </w:p>
        </w:tc>
        <w:tc>
          <w:tcPr>
            <w:tcW w:w="394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0219"/>
      </w:cols>
      <w:pgMar w:left="240" w:top="4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713"/>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614FD4A1"/>
    <w:multiLevelType w:val="hybridMultilevel"/>
    <w:lvl w:ilvl="0">
      <w:lvlJc w:val="left"/>
      <w:lvlText w:val="(%1)"/>
      <w:numFmt w:val="decimal"/>
      <w:start w:val="2"/>
    </w:lvl>
    <w:lvl w:ilvl="1">
      <w:lvlJc w:val="left"/>
      <w:lvlText w:val="(%2)"/>
      <w:numFmt w:val="upperLetter"/>
      <w:start w:val="1"/>
    </w:lvl>
  </w:abstractNum>
  <w:abstractNum w:abstractNumId="29">
    <w:nsid w:val="419AC241"/>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0">
    <w:nsid w:val="5577F8E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Roman"/>
      <w:start w:val="1"/>
    </w:lvl>
  </w:abstractNum>
  <w:abstractNum w:abstractNumId="34">
    <w:nsid w:val="77465F01"/>
    <w:multiLevelType w:val="hybridMultilevel"/>
    <w:lvl w:ilvl="0">
      <w:lvlJc w:val="left"/>
      <w:lvlText w:val="(%1)"/>
      <w:numFmt w:val="lowerRoman"/>
      <w:start w:val="2"/>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lowerRoman"/>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66" Type="http://schemas.openxmlformats.org/officeDocument/2006/relationships/hyperlink" Target="http://www.sec.gov/Archives/edgar/data/87347/000119312516532046/d176097dex31.htm" TargetMode="External"/><Relationship Id="rId67" Type="http://schemas.openxmlformats.org/officeDocument/2006/relationships/hyperlink" Target="http://www.sec.gov/Archives/edgar/data/87347/000119312517013293/d333168dex31.htm" TargetMode="External"/><Relationship Id="rId68" Type="http://schemas.openxmlformats.org/officeDocument/2006/relationships/hyperlink" Target="http://www.sec.gov/Archives/edgar/data/87347/000119312514147550/d709024dex43.htm" TargetMode="External"/><Relationship Id="rId69" Type="http://schemas.openxmlformats.org/officeDocument/2006/relationships/hyperlink" Target="http://www.sec.gov/Archives/edgar/data/87347/000119312514147550/d70902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2019-12-05T06:53:53Z</dcterms:created>
  <dcterms:modified xsi:type="dcterms:W3CDTF">2019-12-05T06:53:53Z</dcterms:modified>
</cp:coreProperties>
</file>