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333-248675</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 (1)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1.400% Senior Notes due 2025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99.880%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$499,400,000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$64,822.12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Guarantee of Senior Notes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99.880%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$499,400,000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$64,822.12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of the Securities Act of 1933, as amended.</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no separate fee for the guarantee is payable.</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PROSPECTUS</w:t>
      </w:r>
      <w:r>
        <w:rPr>
          <w:sz w:val="20"/>
          <w:szCs w:val="20"/>
          <w:color w:val="auto"/>
        </w:rPr>
        <w:tab/>
      </w:r>
      <w:r>
        <w:rPr>
          <w:rFonts w:ascii="Times New Roman" w:cs="Times New Roman" w:eastAsia="Times New Roman" w:hAnsi="Times New Roman"/>
          <w:sz w:val="17"/>
          <w:szCs w:val="17"/>
          <w:u w:val="single" w:color="auto"/>
          <w:color w:val="auto"/>
        </w:rPr>
        <w:t>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827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13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1.400% Senior Notes due 2025</w:t>
      </w:r>
    </w:p>
    <w:p>
      <w:pPr>
        <w:spacing w:after="0" w:line="11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Schlumberger Finance Canada Ltd. (the “Company”) is offering U.S.$500,000,000 principal amount of its 1.400% Senior Notes due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260" w:firstLine="898"/>
        <w:spacing w:after="0" w:line="282" w:lineRule="auto"/>
        <w:rPr>
          <w:sz w:val="20"/>
          <w:szCs w:val="20"/>
          <w:color w:val="auto"/>
        </w:rPr>
      </w:pPr>
      <w:r>
        <w:rPr>
          <w:rFonts w:ascii="Times New Roman" w:cs="Times New Roman" w:eastAsia="Times New Roman" w:hAnsi="Times New Roman"/>
          <w:sz w:val="18"/>
          <w:szCs w:val="18"/>
          <w:color w:val="auto"/>
        </w:rPr>
        <w:t>The Notes will bear interest at a rate of 1.400% per year. We will pay interest on the Notes semi-annually on March 17 and September 17 of each year, beginning on March 17, 2021.</w:t>
      </w:r>
    </w:p>
    <w:p>
      <w:pPr>
        <w:spacing w:after="0" w:line="162" w:lineRule="exact"/>
        <w:rPr>
          <w:sz w:val="20"/>
          <w:szCs w:val="20"/>
          <w:color w:val="auto"/>
        </w:rPr>
      </w:pPr>
    </w:p>
    <w:p>
      <w:pPr>
        <w:ind w:right="120" w:firstLine="898"/>
        <w:spacing w:after="0" w:line="266" w:lineRule="auto"/>
        <w:rPr>
          <w:sz w:val="20"/>
          <w:szCs w:val="20"/>
          <w:color w:val="auto"/>
        </w:rPr>
      </w:pPr>
      <w:r>
        <w:rPr>
          <w:rFonts w:ascii="Times New Roman" w:cs="Times New Roman" w:eastAsia="Times New Roman" w:hAnsi="Times New Roman"/>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176" w:lineRule="exact"/>
        <w:rPr>
          <w:sz w:val="20"/>
          <w:szCs w:val="20"/>
          <w:color w:val="auto"/>
        </w:rPr>
      </w:pPr>
    </w:p>
    <w:p>
      <w:pPr>
        <w:ind w:right="340" w:firstLine="89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162" w:lineRule="exact"/>
        <w:rPr>
          <w:sz w:val="20"/>
          <w:szCs w:val="20"/>
          <w:color w:val="auto"/>
        </w:rPr>
      </w:pPr>
    </w:p>
    <w:p>
      <w:pPr>
        <w:ind w:right="860" w:firstLine="898"/>
        <w:spacing w:after="0" w:line="282" w:lineRule="auto"/>
        <w:rPr>
          <w:sz w:val="20"/>
          <w:szCs w:val="20"/>
          <w:color w:val="auto"/>
        </w:rPr>
      </w:pPr>
      <w:r>
        <w:rPr>
          <w:rFonts w:ascii="Times New Roman" w:cs="Times New Roman" w:eastAsia="Times New Roman" w:hAnsi="Times New Roman"/>
          <w:sz w:val="18"/>
          <w:szCs w:val="18"/>
          <w:color w:val="auto"/>
        </w:rPr>
        <w:t>The Notes will be the unsecured and unsubordinated obligations of the Company and will rank equally with its other unsecured and unsubordinated indebtedness from time to time outstanding.</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104" w:lineRule="exact"/>
        <w:rPr>
          <w:sz w:val="20"/>
          <w:szCs w:val="20"/>
          <w:color w:val="auto"/>
        </w:rPr>
      </w:pPr>
    </w:p>
    <w:p>
      <w:pPr>
        <w:ind w:right="120" w:firstLine="898"/>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S-5 herein and in the documents we have incorporated by reference.</w:t>
      </w:r>
    </w:p>
    <w:p>
      <w:pPr>
        <w:spacing w:after="0" w:line="159" w:lineRule="exact"/>
        <w:rPr>
          <w:sz w:val="20"/>
          <w:szCs w:val="20"/>
          <w:color w:val="auto"/>
        </w:rPr>
      </w:pPr>
    </w:p>
    <w:p>
      <w:pPr>
        <w:ind w:right="12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9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88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(1)</w:t>
            </w:r>
          </w:p>
        </w:tc>
        <w:tc>
          <w:tcPr>
            <w:tcW w:w="1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99.880%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9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0.350%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29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99.530%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85725</wp:posOffset>
            </wp:positionV>
            <wp:extent cx="779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51" w:lineRule="exact"/>
        <w:rPr>
          <w:sz w:val="20"/>
          <w:szCs w:val="20"/>
          <w:color w:val="auto"/>
        </w:rPr>
      </w:pPr>
    </w:p>
    <w:p>
      <w:pPr>
        <w:ind w:left="1340" w:hanging="441"/>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on the Notes, if any, from September 18, 2020 to the date of delivery.</w:t>
      </w:r>
    </w:p>
    <w:p>
      <w:pPr>
        <w:spacing w:after="0" w:line="225" w:lineRule="exact"/>
        <w:rPr>
          <w:sz w:val="20"/>
          <w:szCs w:val="20"/>
          <w:color w:val="auto"/>
        </w:rPr>
      </w:pPr>
    </w:p>
    <w:p>
      <w:pPr>
        <w:ind w:right="20" w:firstLine="898"/>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against payment on or about September 18, 2020, solely in book-entry form through the facilities of The Depository Trust Company and its participants, including Euroclear Bank S.A./ N.V., as operator of the Euroclear System, and Clearstream Banking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132080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3" w:lineRule="exact"/>
        <w:rPr>
          <w:sz w:val="20"/>
          <w:szCs w:val="20"/>
          <w:color w:val="auto"/>
        </w:rPr>
      </w:pPr>
    </w:p>
    <w:p>
      <w:pPr>
        <w:spacing w:after="0"/>
        <w:tabs>
          <w:tab w:leader="none" w:pos="2900" w:val="left"/>
          <w:tab w:leader="none" w:pos="7320" w:val="left"/>
          <w:tab w:leader="none" w:pos="950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Goldman Sachs &amp; Co. LLC</w:t>
      </w:r>
      <w:r>
        <w:rPr>
          <w:sz w:val="20"/>
          <w:szCs w:val="20"/>
          <w:color w:val="auto"/>
        </w:rPr>
        <w:tab/>
      </w: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Morgan Stanley</w:t>
      </w:r>
    </w:p>
    <w:p>
      <w:pPr>
        <w:spacing w:after="0" w:line="118" w:lineRule="exact"/>
        <w:rPr>
          <w:sz w:val="20"/>
          <w:szCs w:val="20"/>
          <w:color w:val="auto"/>
        </w:rPr>
      </w:pPr>
    </w:p>
    <w:p>
      <w:pPr>
        <w:spacing w:after="0"/>
        <w:tabs>
          <w:tab w:leader="none" w:pos="10360" w:val="left"/>
        </w:tabs>
        <w:rPr>
          <w:sz w:val="20"/>
          <w:szCs w:val="20"/>
          <w:color w:val="auto"/>
        </w:rPr>
      </w:pPr>
      <w:r>
        <w:rPr>
          <w:rFonts w:ascii="Times New Roman" w:cs="Times New Roman" w:eastAsia="Times New Roman" w:hAnsi="Times New Roman"/>
          <w:sz w:val="25"/>
          <w:szCs w:val="25"/>
          <w:b w:val="1"/>
          <w:bCs w:val="1"/>
          <w:color w:val="auto"/>
        </w:rPr>
        <w:t>Deutsche Bank Securities</w:t>
      </w:r>
      <w:r>
        <w:rPr>
          <w:sz w:val="20"/>
          <w:szCs w:val="20"/>
          <w:color w:val="auto"/>
        </w:rPr>
        <w:tab/>
      </w:r>
      <w:r>
        <w:rPr>
          <w:rFonts w:ascii="Times New Roman" w:cs="Times New Roman" w:eastAsia="Times New Roman" w:hAnsi="Times New Roman"/>
          <w:sz w:val="24"/>
          <w:szCs w:val="24"/>
          <w:b w:val="1"/>
          <w:bCs w:val="1"/>
          <w:color w:val="auto"/>
        </w:rPr>
        <w:t>MUFG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351" w:lineRule="exact"/>
        <w:rPr>
          <w:sz w:val="20"/>
          <w:szCs w:val="20"/>
          <w:color w:val="auto"/>
        </w:rPr>
      </w:pPr>
    </w:p>
    <w:p>
      <w:pPr>
        <w:spacing w:after="0"/>
        <w:tabs>
          <w:tab w:leader="none" w:pos="900" w:val="left"/>
          <w:tab w:leader="none" w:pos="2140" w:val="left"/>
          <w:tab w:leader="none" w:pos="3040" w:val="left"/>
          <w:tab w:leader="none" w:pos="7180" w:val="left"/>
        </w:tabs>
        <w:rPr>
          <w:sz w:val="20"/>
          <w:szCs w:val="20"/>
          <w:color w:val="auto"/>
        </w:rPr>
      </w:pPr>
      <w:r>
        <w:rPr>
          <w:rFonts w:ascii="Times New Roman" w:cs="Times New Roman" w:eastAsia="Times New Roman" w:hAnsi="Times New Roman"/>
          <w:sz w:val="25"/>
          <w:szCs w:val="25"/>
          <w:b w:val="1"/>
          <w:bCs w:val="1"/>
          <w:color w:val="auto"/>
        </w:rPr>
        <w:t>HSBC</w:t>
        <w:tab/>
        <w:t>Natixis</w:t>
      </w:r>
      <w:r>
        <w:rPr>
          <w:sz w:val="20"/>
          <w:szCs w:val="20"/>
          <w:color w:val="auto"/>
        </w:rPr>
        <w:tab/>
      </w:r>
      <w:r>
        <w:rPr>
          <w:rFonts w:ascii="Times New Roman" w:cs="Times New Roman" w:eastAsia="Times New Roman" w:hAnsi="Times New Roman"/>
          <w:sz w:val="25"/>
          <w:szCs w:val="25"/>
          <w:b w:val="1"/>
          <w:bCs w:val="1"/>
          <w:color w:val="auto"/>
        </w:rPr>
        <w:t>SEB</w:t>
      </w:r>
      <w:r>
        <w:rPr>
          <w:sz w:val="20"/>
          <w:szCs w:val="20"/>
          <w:color w:val="auto"/>
        </w:rPr>
        <w:tab/>
      </w:r>
      <w:r>
        <w:rPr>
          <w:rFonts w:ascii="Times New Roman" w:cs="Times New Roman" w:eastAsia="Times New Roman" w:hAnsi="Times New Roman"/>
          <w:sz w:val="25"/>
          <w:szCs w:val="25"/>
          <w:b w:val="1"/>
          <w:bCs w:val="1"/>
          <w:color w:val="auto"/>
        </w:rPr>
        <w:t>Standard Chartered Bank</w:t>
      </w:r>
      <w:r>
        <w:rPr>
          <w:sz w:val="20"/>
          <w:szCs w:val="20"/>
          <w:color w:val="auto"/>
        </w:rPr>
        <w:tab/>
      </w:r>
      <w:r>
        <w:rPr>
          <w:rFonts w:ascii="Times New Roman" w:cs="Times New Roman" w:eastAsia="Times New Roman" w:hAnsi="Times New Roman"/>
          <w:sz w:val="25"/>
          <w:szCs w:val="25"/>
          <w:b w:val="1"/>
          <w:bCs w:val="1"/>
          <w:color w:val="auto"/>
        </w:rPr>
        <w:t>UniCredit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55" w:right="339" w:bottom="7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9, 2020</w:t>
      </w:r>
    </w:p>
    <w:p>
      <w:pPr>
        <w:sectPr>
          <w:pgSz w:w="11900" w:h="16838" w:orient="portrait"/>
          <w:cols w:equalWidth="0" w:num="1">
            <w:col w:w="11240"/>
          </w:cols>
          <w:pgMar w:left="320" w:top="455" w:right="339" w:bottom="758"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660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660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391"/>
        </w:trPr>
        <w:tc>
          <w:tcPr>
            <w:tcW w:w="46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Cautionary Statement Regarding Forward-Looking Statements</w:t>
              </w:r>
            </w:hyperlink>
          </w:p>
        </w:tc>
        <w:tc>
          <w:tcPr>
            <w:tcW w:w="61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6180" w:type="dxa"/>
            <w:vAlign w:val="bottom"/>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Summary</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The Offering</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Use of Proceeds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Capitalization</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Description of the Notes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Certain Canadian Federal Income Tax Considerations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Material United States Federal Income Tax Considerations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Underwriting</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Legal Matters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Experts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Where You Can Find More Information</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34"/>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Incorporation of Documents by Reference</w:t>
              </w:r>
            </w:hyperlink>
          </w:p>
        </w:tc>
        <w:tc>
          <w:tcPr>
            <w:tcW w:w="618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6340" w:type="dxa"/>
            <w:vAlign w:val="bottom"/>
            <w:gridSpan w:val="3"/>
          </w:tcPr>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8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this Prospectus</w:t>
              </w:r>
            </w:hyperlink>
          </w:p>
        </w:tc>
        <w:tc>
          <w:tcPr>
            <w:tcW w:w="6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602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the Guarantor</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the Company</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Cautionary Statement Regarding Forward-Looking Statements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Risk Factors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Where You Can Find More Information</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Incorporation of Documents by Reference</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Use of Proceeds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Debt Securities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Plan of Distribution</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Validity of the Securities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Experts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used in this prospectus supplement, unless otherwise stated or the context otherwise requires:</w:t>
      </w:r>
    </w:p>
    <w:p>
      <w:pPr>
        <w:spacing w:after="0" w:line="252" w:lineRule="exact"/>
        <w:rPr>
          <w:sz w:val="20"/>
          <w:szCs w:val="20"/>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Finance Canada Ltd.;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Limited” refers to Schlumberger Limited, the ultimate parent of the Company;</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252" w:lineRule="exact"/>
        <w:rPr>
          <w:rFonts w:ascii="Times New Roman" w:cs="Times New Roman" w:eastAsia="Times New Roman" w:hAnsi="Times New Roman"/>
          <w:sz w:val="18"/>
          <w:szCs w:val="18"/>
          <w:color w:val="auto"/>
        </w:rPr>
      </w:pPr>
    </w:p>
    <w:p>
      <w:pPr>
        <w:ind w:left="1340" w:right="180" w:hanging="33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455" w:right="3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87"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 other person to provide you with information other than that contained or incorporated by reference in this prospectus supplement, the accompanying prospectus and any related free writing prospectus issued by us or on our behalf.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20"/>
          </w:cols>
          <w:pgMar w:left="32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20" w:firstLine="89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7" w:lineRule="exact"/>
        <w:rPr>
          <w:sz w:val="20"/>
          <w:szCs w:val="20"/>
          <w:color w:val="auto"/>
        </w:rPr>
      </w:pPr>
    </w:p>
    <w:p>
      <w:pPr>
        <w:ind w:firstLine="898"/>
        <w:spacing w:after="0" w:line="251"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S-5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pricing; our response to, and preparedness for, the COVID-19 pandemic and other widespread health emergencies; access to raw materials; improvements in operating procedures and technology; capital expenditures by us and the oil and gas industry; our business strategy and the business strategies of our customers; our digital strategy; our restructuring efforts and charges recorded as a result of such efforts; our effective tax rate; our Asset Performance Solutions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our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our inability to recognize intended benefits from our business strategies and initiatives, such as digital or new energy, as well as our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prospectus supplement and in the Guarantor’s most recent Forms 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both the Company and the Guarantor disclaim any intention or obligation to update publicly or revise such statements, whether as a result of new information, future events or otherwise.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00"/>
          </w:cols>
          <w:pgMar w:left="320" w:top="455" w:right="3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813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4813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40" w:firstLine="869"/>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Reports on Form 10-Q for the quarterly periods ended March 31, 2020 and June 30, 2020.</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left="200" w:right="200" w:firstLine="869"/>
        <w:spacing w:after="0" w:line="261" w:lineRule="auto"/>
        <w:rPr>
          <w:sz w:val="20"/>
          <w:szCs w:val="20"/>
          <w:color w:val="auto"/>
        </w:rPr>
      </w:pPr>
      <w:r>
        <w:rPr>
          <w:rFonts w:ascii="Times New Roman" w:cs="Times New Roman" w:eastAsia="Times New Roman" w:hAnsi="Times New Roman"/>
          <w:sz w:val="18"/>
          <w:szCs w:val="18"/>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180" w:lineRule="exact"/>
        <w:rPr>
          <w:sz w:val="20"/>
          <w:szCs w:val="20"/>
          <w:color w:val="auto"/>
        </w:rPr>
      </w:pPr>
    </w:p>
    <w:p>
      <w:pPr>
        <w:ind w:left="200" w:firstLine="869"/>
        <w:spacing w:after="0" w:line="256" w:lineRule="auto"/>
        <w:rPr>
          <w:sz w:val="20"/>
          <w:szCs w:val="20"/>
          <w:color w:val="auto"/>
        </w:rPr>
      </w:pPr>
      <w:r>
        <w:rPr>
          <w:rFonts w:ascii="Times New Roman" w:cs="Times New Roman" w:eastAsia="Times New Roman" w:hAnsi="Times New Roman"/>
          <w:sz w:val="18"/>
          <w:szCs w:val="18"/>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Guarantor was founded in 1926 and is incorporated under the laws of Curaçao. The Guarantor is the ultimate parent of the Company.</w:t>
      </w:r>
    </w:p>
    <w:p>
      <w:pPr>
        <w:spacing w:after="0" w:line="225" w:lineRule="exact"/>
        <w:rPr>
          <w:sz w:val="20"/>
          <w:szCs w:val="20"/>
          <w:color w:val="auto"/>
        </w:rPr>
      </w:pPr>
    </w:p>
    <w:p>
      <w:pPr>
        <w:ind w:left="200" w:right="240" w:firstLine="869"/>
        <w:spacing w:after="0" w:line="282" w:lineRule="auto"/>
        <w:rPr>
          <w:sz w:val="20"/>
          <w:szCs w:val="20"/>
          <w:color w:val="auto"/>
        </w:rPr>
      </w:pPr>
      <w:r>
        <w:rPr>
          <w:rFonts w:ascii="Times New Roman" w:cs="Times New Roman" w:eastAsia="Times New Roman" w:hAnsi="Times New Roman"/>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ind w:left="200" w:right="120" w:firstLine="869"/>
        <w:spacing w:after="0" w:line="266" w:lineRule="auto"/>
        <w:rPr>
          <w:sz w:val="20"/>
          <w:szCs w:val="20"/>
          <w:color w:val="auto"/>
        </w:rPr>
      </w:pPr>
      <w:r>
        <w:rPr>
          <w:rFonts w:ascii="Times New Roman" w:cs="Times New Roman" w:eastAsia="Times New Roman" w:hAnsi="Times New Roman"/>
          <w:sz w:val="18"/>
          <w:szCs w:val="18"/>
          <w:color w:val="auto"/>
        </w:rPr>
        <w:t>Schlumberger Finance Canada Ltd. is incorporated in the Province of Alberta, Canada, and its executive offices are located at 200, 125 – 9th Avenue S.E., Calgary, Alberta. The Company’s principal activities are debt issuance and intercompany group financing. The Company is part of the Schlumberger Group and all of the shares of the Company are owned indirectly by the Guarantor.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04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200" w:right="280" w:firstLine="86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Schlumberger Finance Canada Ltd.</w:t>
            </w:r>
          </w:p>
        </w:tc>
      </w:tr>
      <w:tr>
        <w:trPr>
          <w:trHeight w:val="473"/>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Guarantor</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Schlumberger Limited.</w:t>
            </w:r>
          </w:p>
        </w:tc>
      </w:tr>
      <w:tr>
        <w:trPr>
          <w:trHeight w:val="473"/>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Offered</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U.S.$500,000,000 principal amount of 1.400% Senior Notes due 2025.</w:t>
            </w:r>
          </w:p>
        </w:tc>
      </w:tr>
      <w:tr>
        <w:trPr>
          <w:trHeight w:val="473"/>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Maturity Date</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Notes will mature on September 17, 2025.</w:t>
            </w:r>
          </w:p>
        </w:tc>
      </w:tr>
      <w:tr>
        <w:trPr>
          <w:trHeight w:val="454"/>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Notes will bear interest at 1.400% per annum, and interest will be payable semi-annually</w:t>
            </w:r>
          </w:p>
        </w:tc>
      </w:tr>
      <w:tr>
        <w:trPr>
          <w:trHeight w:val="234"/>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March 17 and September 17 of each year, beginning on March 17, 2021.</w:t>
            </w:r>
          </w:p>
        </w:tc>
      </w:tr>
      <w:tr>
        <w:trPr>
          <w:trHeight w:val="441"/>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Guarantor will fully and unconditionally guarantee the principal of, and any premium</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and interest on, the Notes and the Company’s obligations under the Indenture, as described</w:t>
            </w:r>
          </w:p>
        </w:tc>
      </w:tr>
      <w:tr>
        <w:trPr>
          <w:trHeight w:val="234"/>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under “Description of the Notes—Guarantee.”</w:t>
            </w:r>
          </w:p>
        </w:tc>
      </w:tr>
      <w:tr>
        <w:trPr>
          <w:trHeight w:val="459"/>
        </w:trPr>
        <w:tc>
          <w:tcPr>
            <w:tcW w:w="3420" w:type="dxa"/>
            <w:vAlign w:val="bottom"/>
          </w:tcPr>
          <w:p>
            <w:pPr>
              <w:spacing w:after="0"/>
              <w:rPr>
                <w:sz w:val="24"/>
                <w:szCs w:val="24"/>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Notes will not be guaranteed by any of the Guarantor’s subsidiaries.</w:t>
            </w:r>
          </w:p>
        </w:tc>
      </w:tr>
      <w:tr>
        <w:trPr>
          <w:trHeight w:val="459"/>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Denomination</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U.S.$2,000 and integral multiples of U.S.$1,000 in excess thereof.</w:t>
            </w:r>
          </w:p>
        </w:tc>
      </w:tr>
      <w:tr>
        <w:trPr>
          <w:trHeight w:val="454"/>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redemption prices described in this prospectus supplement plus accrued and unpaid interest</w:t>
            </w:r>
          </w:p>
        </w:tc>
      </w:tr>
      <w:tr>
        <w:trPr>
          <w:trHeight w:val="234"/>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 the redemption date. See “Description of the Notes—Optional Redemption.”</w:t>
            </w:r>
          </w:p>
        </w:tc>
      </w:tr>
      <w:tr>
        <w:trPr>
          <w:trHeight w:val="441"/>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Tax Redemption</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 the event that, as a result of certain tax law changes, the Company (or the Guarantor)</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becomes obligated to pay additional amounts as described under “Description of the Notes—</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Additional Amounts,” the Company (or the Guarantor) may redeem all of the Notes prior to</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maturity at a redemption price equal to 100% of their principal amount plus accrued interest</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 the date of redemption as described under “Description of the Notes—Redemption Upon</w:t>
            </w:r>
          </w:p>
        </w:tc>
      </w:tr>
      <w:tr>
        <w:trPr>
          <w:trHeight w:val="234"/>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Changes in Tax Law.”</w:t>
            </w:r>
          </w:p>
        </w:tc>
      </w:tr>
      <w:tr>
        <w:trPr>
          <w:trHeight w:val="441"/>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Any payments made by the Company, or the Guarantor under the Guarantee, will be made</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without withholding or deduction for taxes imposed by any jurisdiction in which the</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Company or the Guarantor is incorporated, organized or resident for tax purposes or through</w:t>
            </w:r>
          </w:p>
        </w:tc>
      </w:tr>
      <w:tr>
        <w:trPr>
          <w:trHeight w:val="234"/>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which a payment is made on the Notes on their behalf. If any such</w:t>
            </w:r>
          </w:p>
        </w:tc>
      </w:tr>
      <w:tr>
        <w:trPr>
          <w:trHeight w:val="240"/>
        </w:trPr>
        <w:tc>
          <w:tcPr>
            <w:tcW w:w="342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p>
        </w:tc>
      </w:tr>
      <w:tr>
        <w:trPr>
          <w:trHeight w:val="604"/>
        </w:trPr>
        <w:tc>
          <w:tcPr>
            <w:tcW w:w="3420" w:type="dxa"/>
            <w:vAlign w:val="bottom"/>
          </w:tcPr>
          <w:p>
            <w:pPr>
              <w:spacing w:after="0"/>
              <w:rPr>
                <w:sz w:val="24"/>
                <w:szCs w:val="24"/>
                <w:color w:val="auto"/>
              </w:rPr>
            </w:pPr>
          </w:p>
        </w:tc>
        <w:tc>
          <w:tcPr>
            <w:tcW w:w="78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455"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740" w:type="dxa"/>
            <w:vAlign w:val="bottom"/>
            <w:tcBorders>
              <w:top w:val="single" w:sz="8" w:color="auto"/>
              <w:left w:val="single" w:sz="8" w:color="auto"/>
            </w:tcBorders>
          </w:tcPr>
          <w:p>
            <w:pPr>
              <w:spacing w:after="0"/>
              <w:rPr>
                <w:sz w:val="24"/>
                <w:szCs w:val="24"/>
                <w:color w:val="auto"/>
              </w:rPr>
            </w:pPr>
          </w:p>
        </w:tc>
        <w:tc>
          <w:tcPr>
            <w:tcW w:w="750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withholding or deduction is required with respect to Notes, the Company (or the Guarantor,</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if applicable) will pay, subject to certain exceptions, additional amounts necessary so that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net amount received by the beneficial owners after the withholding is not less than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amount that they would have received in the absence of the withholding.</w:t>
            </w:r>
          </w:p>
        </w:tc>
      </w:tr>
      <w:tr>
        <w:trPr>
          <w:trHeight w:val="454"/>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For more information on additional amounts and the situations in which the Company may</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be required to pay additional amounts, see “Description of the Notes—Additional Amounts.”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Ranking</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 will rank equally and ratably with all other unsecured and unsubordinated</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indebtedness of the Company.</w:t>
            </w:r>
          </w:p>
        </w:tc>
      </w:tr>
      <w:tr>
        <w:trPr>
          <w:trHeight w:val="441"/>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Guarantee will rank equally and ratably with all other unsecured and unsubordinated</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indebtedness of the Guarantor.</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See “Description of the Notes—Ranking of the Notes and Guarantee.”</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Covenants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Company will issue the Notes under a base indenture with The Bank of New York</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Mellon, as trustee, as supplemented by a supplemental indenture (as supplemented,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“Indenture”). The Indenture will, among other things, restrict the ability of the Guarantor,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Company and the Guarantor’s other subsidiaries to:</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incur indebtedness secured by liens on specified restricted properties; and</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consolidate or merge under specific circumstances.</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For more details, see “Description of the Notes—Certain Covenants.”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net proceeds from the offering will be used for general corporate purposes, including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repayment of existing indebtedness. See “Use of Proceeds.”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Absence of a Public Market for the Notes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 are new securities and there is currently no existing market for the Notes.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Accordingly, there can be no assurances as to the development or liquidity of any market for</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Further Issuances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registered</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holders of the Notes, create and issue additional Notes having the same terms as, and ranking</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equally and ratably with, any of the outstanding Notes in all respects. Such additional Notes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also be fully and unconditionally guaranteed by the Guarantor (on the same terms and</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with the same ranking as the Guarantee for the Notes). See “Description of the Notes—</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Further Issuances.”</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5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5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455"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41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Assumption by a Subsidiary</w:t>
            </w:r>
          </w:p>
        </w:tc>
        <w:tc>
          <w:tcPr>
            <w:tcW w:w="71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 the issuer of the Notes and the Company will be released from its liability as obligor under</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Notes. See “Description of the Notes—Assumption by a Subsidiary.”</w:t>
            </w:r>
          </w:p>
        </w:tc>
      </w:tr>
      <w:tr>
        <w:trPr>
          <w:trHeight w:val="441"/>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Indenture, including the Guarantee contained therein, and the Notes will be governed by,</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construed in accordance with, the laws of the State of New York.</w:t>
            </w:r>
          </w:p>
        </w:tc>
      </w:tr>
      <w:tr>
        <w:trPr>
          <w:trHeight w:val="459"/>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Trustee, Registrar, Paying Agent and Transfer Agent</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54"/>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 investment in the Notes involves risk. You should carefully consider the information set</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forth in the section entitled “Risk Factors” beginning on page S-5 of this prospectus</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supplement and in the documents we have incorporated by reference before deciding whether</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 invest in the Notes.</w:t>
            </w:r>
          </w:p>
        </w:tc>
      </w:tr>
      <w:tr>
        <w:trPr>
          <w:trHeight w:val="240"/>
        </w:trPr>
        <w:tc>
          <w:tcPr>
            <w:tcW w:w="4140" w:type="dxa"/>
            <w:vAlign w:val="bottom"/>
            <w:tcBorders>
              <w:left w:val="single" w:sz="8" w:color="auto"/>
              <w:bottom w:val="single" w:sz="8" w:color="auto"/>
            </w:tcBorders>
          </w:tcPr>
          <w:p>
            <w:pPr>
              <w:spacing w:after="0"/>
              <w:rPr>
                <w:sz w:val="20"/>
                <w:szCs w:val="20"/>
                <w:color w:val="auto"/>
              </w:rPr>
            </w:pPr>
          </w:p>
        </w:tc>
        <w:tc>
          <w:tcPr>
            <w:tcW w:w="7100" w:type="dxa"/>
            <w:vAlign w:val="bottom"/>
            <w:tcBorders>
              <w:bottom w:val="single" w:sz="8" w:color="auto"/>
              <w:right w:val="single" w:sz="8" w:color="auto"/>
            </w:tcBorders>
          </w:tcPr>
          <w:p>
            <w:pPr>
              <w:spacing w:after="0"/>
              <w:rPr>
                <w:sz w:val="20"/>
                <w:szCs w:val="20"/>
                <w:color w:val="auto"/>
              </w:rPr>
            </w:pPr>
          </w:p>
        </w:tc>
      </w:tr>
      <w:tr>
        <w:trPr>
          <w:trHeight w:val="604"/>
        </w:trPr>
        <w:tc>
          <w:tcPr>
            <w:tcW w:w="4140" w:type="dxa"/>
            <w:vAlign w:val="bottom"/>
          </w:tcPr>
          <w:p>
            <w:pPr>
              <w:spacing w:after="0"/>
              <w:rPr>
                <w:sz w:val="24"/>
                <w:szCs w:val="24"/>
                <w:color w:val="auto"/>
              </w:rPr>
            </w:pPr>
          </w:p>
        </w:tc>
        <w:tc>
          <w:tcPr>
            <w:tcW w:w="7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455"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898"/>
        <w:spacing w:after="0" w:line="27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Reports on Form 10-Q for the quarterly periods ended March 31, 2020 and June 30, 2020, including the risk factor disclosed in Item 8.01 of the Guarantor’s Current Report on Form</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159"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87" w:lineRule="exact"/>
        <w:rPr>
          <w:sz w:val="20"/>
          <w:szCs w:val="20"/>
          <w:color w:val="auto"/>
        </w:rPr>
      </w:pPr>
    </w:p>
    <w:p>
      <w:pPr>
        <w:ind w:right="20" w:firstLine="898"/>
        <w:spacing w:after="0" w:line="261" w:lineRule="auto"/>
        <w:rPr>
          <w:sz w:val="20"/>
          <w:szCs w:val="20"/>
          <w:color w:val="auto"/>
        </w:rPr>
      </w:pPr>
      <w:r>
        <w:rPr>
          <w:rFonts w:ascii="Times New Roman" w:cs="Times New Roman" w:eastAsia="Times New Roman" w:hAnsi="Times New Roman"/>
          <w:sz w:val="18"/>
          <w:szCs w:val="18"/>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80"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159"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and the Guarantee will be subordinated to any secured indebtedness of the Company and the Guarantor.</w:t>
      </w:r>
    </w:p>
    <w:p>
      <w:pPr>
        <w:spacing w:after="0" w:line="229" w:lineRule="exact"/>
        <w:rPr>
          <w:sz w:val="20"/>
          <w:szCs w:val="20"/>
          <w:color w:val="auto"/>
        </w:rPr>
      </w:pPr>
    </w:p>
    <w:p>
      <w:pPr>
        <w:ind w:right="80" w:firstLine="898"/>
        <w:spacing w:after="0" w:line="254" w:lineRule="auto"/>
        <w:rPr>
          <w:sz w:val="20"/>
          <w:szCs w:val="20"/>
          <w:color w:val="auto"/>
        </w:rPr>
      </w:pPr>
      <w:r>
        <w:rPr>
          <w:rFonts w:ascii="Times New Roman" w:cs="Times New Roman" w:eastAsia="Times New Roman" w:hAnsi="Times New Roman"/>
          <w:sz w:val="18"/>
          <w:szCs w:val="18"/>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Guarantee and the Notes will be structurally subordinated to the obligations of the Guarantor’s subsidiaries other than the Company.</w:t>
      </w:r>
    </w:p>
    <w:p>
      <w:pPr>
        <w:spacing w:after="0" w:line="229" w:lineRule="exact"/>
        <w:rPr>
          <w:sz w:val="20"/>
          <w:szCs w:val="20"/>
          <w:color w:val="auto"/>
        </w:rPr>
      </w:pPr>
    </w:p>
    <w:p>
      <w:pPr>
        <w:ind w:right="60" w:firstLine="898"/>
        <w:spacing w:after="0" w:line="255" w:lineRule="auto"/>
        <w:rPr>
          <w:sz w:val="20"/>
          <w:szCs w:val="20"/>
          <w:color w:val="auto"/>
        </w:rPr>
      </w:pPr>
      <w:r>
        <w:rPr>
          <w:rFonts w:ascii="Times New Roman" w:cs="Times New Roman" w:eastAsia="Times New Roman" w:hAnsi="Times New Roman"/>
          <w:sz w:val="18"/>
          <w:szCs w:val="18"/>
          <w:color w:val="auto"/>
        </w:rPr>
        <w:t>The Guarantor currently conducts its operations through its subsidiaries. The Company’s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8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As a result, the Guarantee will be structurally subordinated to the obligations and liabilities of all of the Guarantor’s subsidiaries (other than the Company’s obligations and liabilities with respect to the Notes). As of June 30, 2020, the Guarantor had accounts payable and accrued liabilities of approximately U.S.$9.8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trading market for the Notes and an active trading market for the Notes may not develop, in which case you may not be able to resell the Notes.</w:t>
      </w:r>
    </w:p>
    <w:p>
      <w:pPr>
        <w:spacing w:after="0" w:line="159"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45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unable to recover in civil proceedings for U.S. securities laws violations.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Company is incorporated under the laws of the Province of Alberta, Canada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Canada.</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(after deducting the underwriting discount and the estimated expenses of the offering payable by us) from the sale of the Notes will be approximately U.S.$497,050,000. The net proceeds from the offering will be used for general corporate purposes, including the repayment of existing indebtedness.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455"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Guarantor’s and its consolidated subsidiaries’ unaudited capitalization as of June 30, 2020:</w:t>
      </w:r>
    </w:p>
    <w:p>
      <w:pPr>
        <w:spacing w:after="0" w:line="252" w:lineRule="exact"/>
        <w:rPr>
          <w:sz w:val="20"/>
          <w:szCs w:val="20"/>
          <w:color w:val="auto"/>
        </w:rPr>
      </w:pPr>
    </w:p>
    <w:p>
      <w:pPr>
        <w:ind w:left="1340" w:hanging="333"/>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sale of $350,000,000 of 2.650% Senior Notes due 2030 issued by Schlumberger Investment SA and guaranteed by Schlumberger Limited in August 2020; and</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adjusted to give effect to the sale of the Notes in this offering.</w:t>
      </w:r>
    </w:p>
    <w:p>
      <w:pPr>
        <w:spacing w:after="0" w:line="225"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the Guarantor’s and its consolidated subsidiaries’ unaudited consolidated financial statements and the related notes as reported in the Guarantor’s Quarterly Report on Form 10-Q for the quarterly period ended June 30, 2020, which is incorporated by reference in this prospectus supplement and accompanying prospectus. See “Incorporation of Documents by Reference.”</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Further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8"/>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 term borrowings and current portion of long-term debt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6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offered hereby</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 stockholders’ equity</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29,406</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29,756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660"/>
              <w:spacing w:after="0"/>
              <w:rPr>
                <w:sz w:val="20"/>
                <w:szCs w:val="20"/>
                <w:color w:val="auto"/>
              </w:rPr>
            </w:pPr>
            <w:r>
              <w:rPr>
                <w:rFonts w:ascii="Times New Roman" w:cs="Times New Roman" w:eastAsia="Times New Roman" w:hAnsi="Times New Roman"/>
                <w:sz w:val="18"/>
                <w:szCs w:val="18"/>
                <w:color w:val="auto"/>
              </w:rPr>
              <w:t>S-9</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right="40" w:firstLine="898"/>
        <w:spacing w:after="0" w:line="255" w:lineRule="auto"/>
        <w:rPr>
          <w:sz w:val="20"/>
          <w:szCs w:val="20"/>
          <w:color w:val="auto"/>
        </w:rPr>
      </w:pPr>
      <w:r>
        <w:rPr>
          <w:rFonts w:ascii="Times New Roman" w:cs="Times New Roman" w:eastAsia="Times New Roman" w:hAnsi="Times New Roman"/>
          <w:sz w:val="18"/>
          <w:szCs w:val="18"/>
          <w:color w:val="auto"/>
        </w:rPr>
        <w:t>Schlumberger Finance Canada Ltd. (the “Company”) is offering U.S.$500,000,000 principal amount of its 1.400% Senior Notes due 2025 (the “Notes”). The Notes are to be issued under a base indenture to be dated as of the closing date of this offering (the “Base Indenture”), as supplemented by a supplemental indenture to be dated as of the closing date of this offering (the Base Indenture as so supplemented, the “Indenture”), among the Company, Schlumberger Limited, as guarantor (the “Guarantor”), and The Bank of New York Mellon, as trustee (the “Trustee”). When we refer to the Indenture, we are referring to such Base Indenture, as so supplemented, unless the context requires otherwise. The Guarantor will fully and unconditionally guarantee the Notes under a guarantee contained in the Indenture (the “Guarantee”). The terms of the Notes include those stated in the Indenture. A form of the Base Indenture is filed as an exhibit to the registration statement of which this prospectus supplement and the accompanying prospectus are a part.</w:t>
      </w:r>
    </w:p>
    <w:p>
      <w:pPr>
        <w:spacing w:after="0" w:line="189" w:lineRule="exact"/>
        <w:rPr>
          <w:sz w:val="20"/>
          <w:szCs w:val="20"/>
          <w:color w:val="auto"/>
        </w:rPr>
      </w:pPr>
    </w:p>
    <w:p>
      <w:pPr>
        <w:ind w:right="20" w:firstLine="898"/>
        <w:spacing w:after="0" w:line="266" w:lineRule="auto"/>
        <w:rPr>
          <w:sz w:val="20"/>
          <w:szCs w:val="20"/>
          <w:color w:val="auto"/>
        </w:rPr>
      </w:pPr>
      <w:r>
        <w:rPr>
          <w:rFonts w:ascii="Times New Roman" w:cs="Times New Roman" w:eastAsia="Times New Roman" w:hAnsi="Times New Roman"/>
          <w:sz w:val="18"/>
          <w:szCs w:val="18"/>
          <w:color w:val="auto"/>
        </w:rPr>
        <w:t>The Indenture will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76" w:lineRule="exact"/>
        <w:rPr>
          <w:sz w:val="20"/>
          <w:szCs w:val="20"/>
          <w:color w:val="auto"/>
        </w:rPr>
      </w:pPr>
    </w:p>
    <w:p>
      <w:pPr>
        <w:jc w:val="both"/>
        <w:ind w:right="560" w:firstLine="898"/>
        <w:spacing w:after="0" w:line="266" w:lineRule="auto"/>
        <w:rPr>
          <w:sz w:val="20"/>
          <w:szCs w:val="20"/>
          <w:color w:val="auto"/>
        </w:rPr>
      </w:pPr>
      <w:r>
        <w:rPr>
          <w:rFonts w:ascii="Times New Roman" w:cs="Times New Roman" w:eastAsia="Times New Roman" w:hAnsi="Times New Roman"/>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76"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Notes are initially issuable in an aggregate principal amount of U.S.$500,000,000 and will mature on September 17, 2025.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87" w:lineRule="exact"/>
        <w:rPr>
          <w:sz w:val="20"/>
          <w:szCs w:val="20"/>
          <w:color w:val="auto"/>
        </w:rPr>
      </w:pPr>
    </w:p>
    <w:p>
      <w:pPr>
        <w:ind w:right="120" w:firstLine="898"/>
        <w:spacing w:after="0" w:line="261" w:lineRule="auto"/>
        <w:rPr>
          <w:sz w:val="20"/>
          <w:szCs w:val="20"/>
          <w:color w:val="auto"/>
        </w:rPr>
      </w:pPr>
      <w:r>
        <w:rPr>
          <w:rFonts w:ascii="Times New Roman" w:cs="Times New Roman" w:eastAsia="Times New Roman" w:hAnsi="Times New Roman"/>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80" w:lineRule="exact"/>
        <w:rPr>
          <w:sz w:val="20"/>
          <w:szCs w:val="20"/>
          <w:color w:val="auto"/>
        </w:rPr>
      </w:pPr>
    </w:p>
    <w:p>
      <w:pPr>
        <w:ind w:right="80" w:firstLine="898"/>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registered form without interest coupons, in minimum denominations of U.S.$2,000 and in integral multiples of U.S.$1,000 in excess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20"/>
          </w:cols>
          <w:pgMar w:left="320" w:top="455" w:right="3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898"/>
        <w:spacing w:after="0" w:line="261" w:lineRule="auto"/>
        <w:rPr>
          <w:sz w:val="20"/>
          <w:szCs w:val="20"/>
          <w:color w:val="auto"/>
        </w:rPr>
      </w:pPr>
      <w:r>
        <w:rPr>
          <w:rFonts w:ascii="Times New Roman" w:cs="Times New Roman" w:eastAsia="Times New Roman" w:hAnsi="Times New Roman"/>
          <w:sz w:val="18"/>
          <w:szCs w:val="18"/>
          <w:color w:val="auto"/>
        </w:rPr>
        <w:t>The Notes will bear interest at 1.400% per annum. Interest on the Notes will accrue from September 18, 2020 and will be payable by the Company on March 17 and September 17 of each year, beginning on March 17, 2021 to the person in whose name such Note is registered, subject to certain exceptions as provided in the Indenture, at the close of business on the March 2 and September 2 immediately preceding such interest payment date (whether or not a business day).</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are not subject to any mandatory redemption or any sinking fund provision.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Schlumberger Limited will:</w:t>
      </w:r>
    </w:p>
    <w:p>
      <w:pPr>
        <w:spacing w:after="0" w:line="252" w:lineRule="exact"/>
        <w:rPr>
          <w:sz w:val="20"/>
          <w:szCs w:val="20"/>
          <w:color w:val="auto"/>
        </w:rPr>
      </w:pPr>
    </w:p>
    <w:p>
      <w:pPr>
        <w:ind w:left="1340" w:right="220" w:hanging="333"/>
        <w:spacing w:after="0" w:line="312" w:lineRule="auto"/>
        <w:tabs>
          <w:tab w:leader="none" w:pos="1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66" w:lineRule="exact"/>
        <w:rPr>
          <w:rFonts w:ascii="Times New Roman" w:cs="Times New Roman" w:eastAsia="Times New Roman" w:hAnsi="Times New Roman"/>
          <w:sz w:val="17"/>
          <w:szCs w:val="17"/>
          <w:color w:val="auto"/>
        </w:rPr>
      </w:pPr>
    </w:p>
    <w:p>
      <w:pPr>
        <w:ind w:left="1340" w:right="16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5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17"/>
          <w:szCs w:val="17"/>
          <w:b w:val="1"/>
          <w:bCs w:val="1"/>
          <w:color w:val="auto"/>
        </w:rPr>
        <w:t>Ranking of the Notes and the Guarantee</w:t>
      </w: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252" w:lineRule="exact"/>
        <w:rPr>
          <w:sz w:val="20"/>
          <w:szCs w:val="20"/>
          <w:color w:val="auto"/>
        </w:rPr>
      </w:pPr>
    </w:p>
    <w:p>
      <w:pPr>
        <w:ind w:left="1340" w:right="820" w:hanging="333"/>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188"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229" w:lineRule="exact"/>
        <w:rPr>
          <w:sz w:val="20"/>
          <w:szCs w:val="20"/>
          <w:color w:val="auto"/>
        </w:rPr>
      </w:pPr>
    </w:p>
    <w:p>
      <w:pPr>
        <w:ind w:right="20" w:firstLine="898"/>
        <w:spacing w:after="0" w:line="253" w:lineRule="auto"/>
        <w:rPr>
          <w:sz w:val="20"/>
          <w:szCs w:val="20"/>
          <w:color w:val="auto"/>
        </w:rPr>
      </w:pPr>
      <w:r>
        <w:rPr>
          <w:rFonts w:ascii="Times New Roman" w:cs="Times New Roman" w:eastAsia="Times New Roman" w:hAnsi="Times New Roman"/>
          <w:sz w:val="18"/>
          <w:szCs w:val="18"/>
          <w:color w:val="auto"/>
        </w:rPr>
        <w:t>All payments made by the Company under or with respect to the Notes, or by the Guarantor with respect to its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its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03" w:lineRule="exact"/>
        <w:rPr>
          <w:sz w:val="20"/>
          <w:szCs w:val="20"/>
          <w:color w:val="auto"/>
        </w:rPr>
      </w:pPr>
    </w:p>
    <w:p>
      <w:pPr>
        <w:ind w:left="1340" w:hanging="441"/>
        <w:spacing w:after="0" w:line="25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Notes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14" w:lineRule="exact"/>
        <w:rPr>
          <w:rFonts w:ascii="Times New Roman" w:cs="Times New Roman" w:eastAsia="Times New Roman" w:hAnsi="Times New Roman"/>
          <w:sz w:val="18"/>
          <w:szCs w:val="18"/>
          <w:color w:val="auto"/>
        </w:rPr>
      </w:pPr>
    </w:p>
    <w:p>
      <w:pPr>
        <w:ind w:left="1340" w:right="320" w:hanging="441"/>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such Note been presented on the last day of such 30-day period);</w:t>
      </w:r>
    </w:p>
    <w:p>
      <w:pPr>
        <w:spacing w:after="0" w:line="20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252" w:lineRule="exact"/>
        <w:rPr>
          <w:rFonts w:ascii="Times New Roman" w:cs="Times New Roman" w:eastAsia="Times New Roman" w:hAnsi="Times New Roman"/>
          <w:sz w:val="18"/>
          <w:szCs w:val="18"/>
          <w:color w:val="auto"/>
        </w:rPr>
      </w:pPr>
    </w:p>
    <w:p>
      <w:pPr>
        <w:ind w:left="1340" w:right="40" w:hanging="441"/>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202" w:lineRule="exact"/>
        <w:rPr>
          <w:rFonts w:ascii="Times New Roman" w:cs="Times New Roman" w:eastAsia="Times New Roman" w:hAnsi="Times New Roman"/>
          <w:sz w:val="18"/>
          <w:szCs w:val="18"/>
          <w:color w:val="auto"/>
        </w:rPr>
      </w:pPr>
    </w:p>
    <w:p>
      <w:pPr>
        <w:ind w:left="1340" w:right="200" w:hanging="441"/>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Notes or the Guarantee;</w:t>
      </w:r>
    </w:p>
    <w:p>
      <w:pPr>
        <w:spacing w:after="0" w:line="252" w:lineRule="exact"/>
        <w:rPr>
          <w:rFonts w:ascii="Times New Roman" w:cs="Times New Roman" w:eastAsia="Times New Roman" w:hAnsi="Times New Roman"/>
          <w:sz w:val="18"/>
          <w:szCs w:val="18"/>
          <w:color w:val="auto"/>
        </w:rPr>
      </w:pPr>
    </w:p>
    <w:p>
      <w:pPr>
        <w:ind w:left="1340" w:right="240" w:hanging="441"/>
        <w:spacing w:after="0" w:line="255"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21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Notes with which the Company, the Guarantor or a transferee of the Notes do not deal at arm’s length (within the meaning of the Income Tax Act (Canada)) at the time of making such payment;</w:t>
      </w:r>
    </w:p>
    <w:p>
      <w:pPr>
        <w:spacing w:after="0" w:line="202" w:lineRule="exact"/>
        <w:rPr>
          <w:rFonts w:ascii="Times New Roman" w:cs="Times New Roman" w:eastAsia="Times New Roman" w:hAnsi="Times New Roman"/>
          <w:sz w:val="18"/>
          <w:szCs w:val="18"/>
          <w:color w:val="auto"/>
        </w:rPr>
      </w:pPr>
    </w:p>
    <w:p>
      <w:pPr>
        <w:ind w:left="1340" w:right="580" w:hanging="441"/>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Notes or the Guarantee that is deemed under subsection 214(6) of the Income Tax Act (Canada) to be a dividend; or</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above.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898"/>
        <w:spacing w:after="0" w:line="253" w:lineRule="auto"/>
        <w:rPr>
          <w:sz w:val="20"/>
          <w:szCs w:val="20"/>
          <w:color w:val="auto"/>
        </w:rPr>
      </w:pPr>
      <w:r>
        <w:rPr>
          <w:rFonts w:ascii="Times New Roman" w:cs="Times New Roman" w:eastAsia="Times New Roman" w:hAnsi="Times New Roman"/>
          <w:sz w:val="18"/>
          <w:szCs w:val="18"/>
          <w:color w:val="auto"/>
        </w:rPr>
        <w:t>The Company and the Guarantor, jointly and severally, will indemnify and hold harmless the holders and beneficial owners of the Notes,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Notes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will not extend to Canadian Taxes (a) for which the applicable holder or beneficial owner would not have been eligible to receive payment of Additional Amounts hereunder by virtue of clauses (1) through (5) and (7) through (9) above (or any combination thereof) if the Company or the Guarantor had been required to withhold from such payments, (b) to the extent such holder or beneficial owner received Additional Amounts with respect to such payments or (c) to the extent any such Canadian Taxes are computed by reference to such holder or beneficial owner’s net income, revenue, profits or capital.</w:t>
      </w:r>
    </w:p>
    <w:p>
      <w:pPr>
        <w:spacing w:after="0" w:line="187"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Notes, or the Indenture, Guarantee or any other document or instrument referred to therein.</w:t>
      </w:r>
    </w:p>
    <w:p>
      <w:pPr>
        <w:spacing w:after="0" w:line="180"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the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9" w:lineRule="exact"/>
        <w:rPr>
          <w:sz w:val="20"/>
          <w:szCs w:val="20"/>
          <w:color w:val="auto"/>
        </w:rPr>
      </w:pPr>
    </w:p>
    <w:p>
      <w:pPr>
        <w:ind w:right="140" w:firstLine="898"/>
        <w:spacing w:after="0" w:line="266" w:lineRule="auto"/>
        <w:rPr>
          <w:sz w:val="20"/>
          <w:szCs w:val="20"/>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the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6" w:lineRule="exact"/>
        <w:rPr>
          <w:sz w:val="20"/>
          <w:szCs w:val="20"/>
          <w:color w:val="auto"/>
        </w:rPr>
      </w:pPr>
    </w:p>
    <w:p>
      <w:pPr>
        <w:ind w:right="280" w:firstLine="898"/>
        <w:spacing w:after="0" w:line="261" w:lineRule="auto"/>
        <w:rPr>
          <w:sz w:val="20"/>
          <w:szCs w:val="20"/>
          <w:color w:val="auto"/>
        </w:rPr>
      </w:pPr>
      <w:r>
        <w:rPr>
          <w:rFonts w:ascii="Times New Roman" w:cs="Times New Roman" w:eastAsia="Times New Roman" w:hAnsi="Times New Roman"/>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jc w:val="both"/>
        <w:ind w:right="320" w:firstLine="898"/>
        <w:spacing w:after="0" w:line="261" w:lineRule="auto"/>
        <w:rPr>
          <w:sz w:val="20"/>
          <w:szCs w:val="20"/>
          <w:color w:val="auto"/>
        </w:rPr>
      </w:pPr>
      <w:r>
        <w:rPr>
          <w:rFonts w:ascii="Times New Roman" w:cs="Times New Roman" w:eastAsia="Times New Roman" w:hAnsi="Times New Roman"/>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will be deemed to include mention of the payment of Additional Amounts to the extent that, in such context, Additional Amounts are, were or would be payable in respect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898"/>
        <w:spacing w:after="0" w:line="261"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the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80" w:lineRule="exact"/>
        <w:rPr>
          <w:sz w:val="20"/>
          <w:szCs w:val="20"/>
          <w:color w:val="auto"/>
        </w:rPr>
      </w:pPr>
    </w:p>
    <w:p>
      <w:pPr>
        <w:ind w:right="300" w:firstLine="898"/>
        <w:spacing w:after="0" w:line="266" w:lineRule="auto"/>
        <w:rPr>
          <w:sz w:val="20"/>
          <w:szCs w:val="20"/>
          <w:color w:val="auto"/>
        </w:rPr>
      </w:pPr>
      <w:r>
        <w:rPr>
          <w:rFonts w:ascii="Times New Roman" w:cs="Times New Roman" w:eastAsia="Times New Roman" w:hAnsi="Times New Roman"/>
          <w:sz w:val="18"/>
          <w:szCs w:val="18"/>
          <w:color w:val="auto"/>
        </w:rPr>
        <w:t>Notwithstanding any provision herein or in the Indenture, the Notes or the Guarantee to the contrary, none of the Trustee, the Registrar, any transfer agent or any Paying Agent will be required to determine the identity of a beneficial owner or be liable for any determination thereof by the Company or the Guarantor.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ind w:firstLine="898"/>
        <w:spacing w:after="0" w:line="282" w:lineRule="auto"/>
        <w:rPr>
          <w:sz w:val="20"/>
          <w:szCs w:val="20"/>
          <w:color w:val="auto"/>
        </w:rPr>
      </w:pPr>
      <w:r>
        <w:rPr>
          <w:rFonts w:ascii="Times New Roman" w:cs="Times New Roman" w:eastAsia="Times New Roman" w:hAnsi="Times New Roman"/>
          <w:sz w:val="18"/>
          <w:szCs w:val="18"/>
          <w:color w:val="auto"/>
        </w:rPr>
        <w:t>Prior to August 17, 2025 (one month prior to their maturity date), the Notes may be redeemed in whole at any time or in part from time to time, at the Company’s option, at a redemption price equal to the greater of:</w:t>
      </w:r>
    </w:p>
    <w:p>
      <w:pPr>
        <w:spacing w:after="0" w:line="189" w:lineRule="exact"/>
        <w:rPr>
          <w:sz w:val="20"/>
          <w:szCs w:val="20"/>
          <w:color w:val="auto"/>
        </w:rPr>
      </w:pPr>
    </w:p>
    <w:p>
      <w:pPr>
        <w:ind w:left="1340" w:hanging="333"/>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then outstanding, and</w:t>
      </w:r>
    </w:p>
    <w:p>
      <w:pPr>
        <w:spacing w:after="0" w:line="252" w:lineRule="exact"/>
        <w:rPr>
          <w:rFonts w:ascii="Times New Roman" w:cs="Times New Roman" w:eastAsia="Times New Roman" w:hAnsi="Times New Roman"/>
          <w:sz w:val="18"/>
          <w:szCs w:val="18"/>
          <w:color w:val="auto"/>
        </w:rPr>
      </w:pPr>
    </w:p>
    <w:p>
      <w:pPr>
        <w:ind w:left="1340" w:right="160" w:hanging="333"/>
        <w:spacing w:after="0" w:line="258"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such Notes to be redeemed that would have been payable in respect of such Notes calculated as if the maturity date of such Notes was August 17, 2025 (one month prior to their maturity date) (not including any portion of such payments of interest accrued to the date of redemption) discounted to the date of redemption on a semiannual basis (assuming a 360-day year consisting of twelve 30-day months) at the applicable treasury rate plus 20 basis points, plus accrued and unpaid interest on the principal amount being redeemed to (but not including) the redemption date.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w:t>
      </w:r>
    </w:p>
    <w:p>
      <w:pPr>
        <w:spacing w:after="0" w:line="252" w:lineRule="exact"/>
        <w:rPr>
          <w:sz w:val="20"/>
          <w:szCs w:val="20"/>
          <w:color w:val="auto"/>
        </w:rPr>
      </w:pPr>
    </w:p>
    <w:p>
      <w:pPr>
        <w:ind w:left="1340" w:right="80" w:hanging="333"/>
        <w:spacing w:after="0" w:line="255"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15" w:lineRule="exact"/>
        <w:rPr>
          <w:rFonts w:ascii="Times New Roman" w:cs="Times New Roman" w:eastAsia="Times New Roman" w:hAnsi="Times New Roman"/>
          <w:sz w:val="18"/>
          <w:szCs w:val="18"/>
          <w:color w:val="auto"/>
        </w:rPr>
      </w:pPr>
    </w:p>
    <w:p>
      <w:pPr>
        <w:jc w:val="both"/>
        <w:ind w:left="1340" w:right="60" w:hanging="333"/>
        <w:spacing w:after="0" w:line="261"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treasury rate will be calculated on the third business day preceding the redemption date.</w:t>
      </w:r>
    </w:p>
    <w:p>
      <w:pPr>
        <w:spacing w:after="0" w:line="225" w:lineRule="exact"/>
        <w:rPr>
          <w:sz w:val="20"/>
          <w:szCs w:val="20"/>
          <w:color w:val="auto"/>
        </w:rPr>
      </w:pPr>
    </w:p>
    <w:p>
      <w:pPr>
        <w:jc w:val="both"/>
        <w:ind w:right="580" w:firstLine="898"/>
        <w:spacing w:after="0" w:line="266" w:lineRule="auto"/>
        <w:rPr>
          <w:sz w:val="20"/>
          <w:szCs w:val="20"/>
          <w:color w:val="auto"/>
        </w:rPr>
      </w:pPr>
      <w:r>
        <w:rPr>
          <w:rFonts w:ascii="Times New Roman" w:cs="Times New Roman" w:eastAsia="Times New Roman" w:hAnsi="Times New Roman"/>
          <w:sz w:val="18"/>
          <w:szCs w:val="18"/>
          <w:color w:val="auto"/>
        </w:rPr>
        <w:t>Notwithstanding the foregoing, beginning on August 17, 2025 (one month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176" w:lineRule="exact"/>
        <w:rPr>
          <w:sz w:val="20"/>
          <w:szCs w:val="20"/>
          <w:color w:val="auto"/>
        </w:rPr>
      </w:pPr>
    </w:p>
    <w:p>
      <w:pPr>
        <w:ind w:firstLine="898"/>
        <w:spacing w:after="0" w:line="282" w:lineRule="auto"/>
        <w:rPr>
          <w:sz w:val="20"/>
          <w:szCs w:val="20"/>
          <w:color w:val="auto"/>
        </w:rPr>
      </w:pPr>
      <w:r>
        <w:rPr>
          <w:rFonts w:ascii="Times New Roman" w:cs="Times New Roman" w:eastAsia="Times New Roman" w:hAnsi="Times New Roman"/>
          <w:sz w:val="18"/>
          <w:szCs w:val="18"/>
          <w:color w:val="auto"/>
        </w:rPr>
        <w:t>“comparable treasury issue” means the U.S. Treasury security selected by an independent investment banker as having an actual or interpolated maturity comparable to the remaining term (“remaining life”)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455"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Notes to be redeemed (assuming that such Notes to be redeemed matured on August 17, 2025) that would be utilized, at the time of selection and in accordance with customary financial practice, in pricing new issues of corporate debt securities of comparable maturity to the remaining term of such Notes (assuming that such Notes matured on August 17, 2025).</w:t>
      </w:r>
    </w:p>
    <w:p>
      <w:pPr>
        <w:spacing w:after="0" w:line="176" w:lineRule="exact"/>
        <w:rPr>
          <w:sz w:val="20"/>
          <w:szCs w:val="20"/>
          <w:color w:val="auto"/>
        </w:rPr>
      </w:pPr>
    </w:p>
    <w:p>
      <w:pPr>
        <w:jc w:val="both"/>
        <w:ind w:right="160" w:firstLine="898"/>
        <w:spacing w:after="0" w:line="266" w:lineRule="auto"/>
        <w:rPr>
          <w:sz w:val="20"/>
          <w:szCs w:val="20"/>
          <w:color w:val="auto"/>
        </w:rPr>
      </w:pPr>
      <w:r>
        <w:rPr>
          <w:rFonts w:ascii="Times New Roman" w:cs="Times New Roman" w:eastAsia="Times New Roman" w:hAnsi="Times New Roman"/>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400" w:firstLine="898"/>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either BofA Securities, Inc., Goldman Sachs &amp; Co. LLC, J.P. Morgan Securities LLC or Morgan Stanley &amp; Co. LLC, or, if these firms are unwilling or unable to select the comparable treasury issue, an independent investment banking institution of national standing appointed by the Company.</w:t>
      </w:r>
    </w:p>
    <w:p>
      <w:pPr>
        <w:spacing w:after="0" w:line="176"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“reference treasury dealer” means (1) BofA Securities, Inc., Goldman Sachs &amp; Co. LLC, J.P. Morgan Securities LLC and Morgan Stanley &amp; Co.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80" w:lineRule="exact"/>
        <w:rPr>
          <w:sz w:val="20"/>
          <w:szCs w:val="20"/>
          <w:color w:val="auto"/>
        </w:rPr>
      </w:pPr>
    </w:p>
    <w:p>
      <w:pPr>
        <w:ind w:right="140" w:firstLine="898"/>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0" w:lineRule="exact"/>
        <w:rPr>
          <w:sz w:val="20"/>
          <w:szCs w:val="20"/>
          <w:color w:val="auto"/>
        </w:rPr>
      </w:pPr>
    </w:p>
    <w:p>
      <w:pPr>
        <w:ind w:right="180" w:firstLine="898"/>
        <w:spacing w:after="0" w:line="282" w:lineRule="auto"/>
        <w:rPr>
          <w:sz w:val="20"/>
          <w:szCs w:val="20"/>
          <w:color w:val="auto"/>
        </w:rPr>
      </w:pPr>
      <w:r>
        <w:rPr>
          <w:rFonts w:ascii="Times New Roman" w:cs="Times New Roman" w:eastAsia="Times New Roman" w:hAnsi="Times New Roman"/>
          <w:sz w:val="18"/>
          <w:szCs w:val="18"/>
          <w:color w:val="auto"/>
        </w:rPr>
        <w:t>For the avoidance of doubt, the Trustee shall have no obligation to determine or calculate any rate, price or amount in respect of any optional redemption under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229" w:lineRule="exact"/>
        <w:rPr>
          <w:sz w:val="20"/>
          <w:szCs w:val="20"/>
          <w:color w:val="auto"/>
        </w:rPr>
      </w:pPr>
    </w:p>
    <w:p>
      <w:pPr>
        <w:ind w:right="60" w:firstLine="898"/>
        <w:spacing w:after="0" w:line="254" w:lineRule="auto"/>
        <w:rPr>
          <w:sz w:val="20"/>
          <w:szCs w:val="20"/>
          <w:color w:val="auto"/>
        </w:rPr>
      </w:pPr>
      <w:r>
        <w:rPr>
          <w:rFonts w:ascii="Times New Roman" w:cs="Times New Roman" w:eastAsia="Times New Roman" w:hAnsi="Times New Roman"/>
          <w:sz w:val="18"/>
          <w:szCs w:val="18"/>
          <w:color w:val="auto"/>
        </w:rPr>
        <w:t>The Company or the Guarantor may redeem the Notes, in whole but not in part, at its discretion at any time upon giving not less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15" w:lineRule="exact"/>
        <w:rPr>
          <w:sz w:val="20"/>
          <w:szCs w:val="20"/>
          <w:color w:val="auto"/>
        </w:rPr>
      </w:pPr>
    </w:p>
    <w:p>
      <w:pPr>
        <w:ind w:left="1340" w:right="80" w:hanging="441"/>
        <w:spacing w:after="0" w:line="261"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Notes (the “Issue Date”) (or, if the applicable Relevant Tax Jurisdiction became a Relevant Tax Jurisdiction on a date after the Issue Date, such later date),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340" w:hanging="441"/>
        <w:spacing w:after="0" w:line="261"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the giving of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60" w:lineRule="exact"/>
        <w:rPr>
          <w:sz w:val="20"/>
          <w:szCs w:val="20"/>
          <w:color w:val="auto"/>
        </w:rPr>
      </w:pPr>
    </w:p>
    <w:p>
      <w:pPr>
        <w:ind w:right="440" w:firstLine="898"/>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229" w:lineRule="exact"/>
        <w:rPr>
          <w:sz w:val="20"/>
          <w:szCs w:val="20"/>
          <w:color w:val="auto"/>
        </w:rPr>
      </w:pPr>
    </w:p>
    <w:p>
      <w:pPr>
        <w:ind w:right="220" w:firstLine="898"/>
        <w:spacing w:after="0" w:line="266" w:lineRule="auto"/>
        <w:rPr>
          <w:sz w:val="20"/>
          <w:szCs w:val="20"/>
          <w:color w:val="auto"/>
        </w:rPr>
      </w:pPr>
      <w:r>
        <w:rPr>
          <w:rFonts w:ascii="Times New Roman" w:cs="Times New Roman" w:eastAsia="Times New Roman" w:hAnsi="Times New Roman"/>
          <w:sz w:val="18"/>
          <w:szCs w:val="18"/>
          <w:color w:val="auto"/>
        </w:rPr>
        <w:t>If fewer than all of the Notes are to be redeemed at any time, the Trustee will select Notes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76" w:lineRule="exact"/>
        <w:rPr>
          <w:sz w:val="20"/>
          <w:szCs w:val="20"/>
          <w:color w:val="auto"/>
        </w:rPr>
      </w:pPr>
    </w:p>
    <w:p>
      <w:pPr>
        <w:ind w:right="80" w:firstLine="898"/>
        <w:spacing w:after="0" w:line="266" w:lineRule="auto"/>
        <w:rPr>
          <w:sz w:val="20"/>
          <w:szCs w:val="20"/>
          <w:color w:val="auto"/>
        </w:rPr>
      </w:pPr>
      <w:r>
        <w:rPr>
          <w:rFonts w:ascii="Times New Roman" w:cs="Times New Roman" w:eastAsia="Times New Roman" w:hAnsi="Times New Roman"/>
          <w:sz w:val="18"/>
          <w:szCs w:val="18"/>
          <w:color w:val="auto"/>
        </w:rPr>
        <w:t>No Notes in principal amount of U.S.$2,000 or less can be redeemed in part. Notices of redemption will be given at least 10 but not more than 60 days before the redemption date to each holder of Notes to be redeemed, except that redemption notices may be given more than 60 days prior to a redemption date if the notice is issued in connection with a defeasance of the Notes or a satisfaction and discharge of the Indenture.</w:t>
      </w:r>
    </w:p>
    <w:p>
      <w:pPr>
        <w:spacing w:after="0" w:line="176"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83" w:lineRule="exact"/>
        <w:rPr>
          <w:sz w:val="20"/>
          <w:szCs w:val="20"/>
          <w:color w:val="auto"/>
        </w:rPr>
      </w:pPr>
    </w:p>
    <w:p>
      <w:pPr>
        <w:ind w:right="180" w:firstLine="898"/>
        <w:spacing w:after="0" w:line="281" w:lineRule="auto"/>
        <w:rPr>
          <w:sz w:val="20"/>
          <w:szCs w:val="20"/>
          <w:color w:val="auto"/>
        </w:rPr>
      </w:pPr>
      <w:r>
        <w:rPr>
          <w:rFonts w:ascii="Times New Roman" w:cs="Times New Roman" w:eastAsia="Times New Roman" w:hAnsi="Times New Roman"/>
          <w:sz w:val="17"/>
          <w:szCs w:val="17"/>
          <w:color w:val="auto"/>
        </w:rPr>
        <w:t>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 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right="40" w:firstLine="898"/>
        <w:spacing w:after="0" w:line="258"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Notes will not contain any covenants or other provisions designed to protect holders of the Notes in the event of a highly leveraged transaction. The Indenture and the Notes also will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229"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Guarantee)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215" w:lineRule="exact"/>
        <w:rPr>
          <w:sz w:val="20"/>
          <w:szCs w:val="20"/>
          <w:color w:val="auto"/>
        </w:rPr>
      </w:pPr>
    </w:p>
    <w:p>
      <w:pPr>
        <w:ind w:left="1340" w:hanging="441"/>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the Notes;</w:t>
      </w:r>
    </w:p>
    <w:p>
      <w:pPr>
        <w:spacing w:after="0" w:line="252" w:lineRule="exact"/>
        <w:rPr>
          <w:rFonts w:ascii="Times New Roman" w:cs="Times New Roman" w:eastAsia="Times New Roman" w:hAnsi="Times New Roman"/>
          <w:sz w:val="18"/>
          <w:szCs w:val="18"/>
          <w:color w:val="auto"/>
        </w:rPr>
      </w:pPr>
    </w:p>
    <w:p>
      <w:pPr>
        <w:ind w:left="1340" w:right="200" w:hanging="441"/>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188" w:lineRule="exact"/>
        <w:rPr>
          <w:rFonts w:ascii="Times New Roman" w:cs="Times New Roman" w:eastAsia="Times New Roman" w:hAnsi="Times New Roman"/>
          <w:sz w:val="18"/>
          <w:szCs w:val="18"/>
          <w:color w:val="auto"/>
        </w:rPr>
      </w:pPr>
    </w:p>
    <w:p>
      <w:pPr>
        <w:ind w:left="1340" w:right="80" w:hanging="441"/>
        <w:spacing w:after="0" w:line="258"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210"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252" w:lineRule="exact"/>
        <w:rPr>
          <w:rFonts w:ascii="Times New Roman" w:cs="Times New Roman" w:eastAsia="Times New Roman" w:hAnsi="Times New Roman"/>
          <w:sz w:val="18"/>
          <w:szCs w:val="18"/>
          <w:color w:val="auto"/>
        </w:rPr>
      </w:pPr>
    </w:p>
    <w:p>
      <w:pPr>
        <w:ind w:left="1340" w:right="380" w:hanging="441"/>
        <w:spacing w:after="0" w:line="261"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206"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252" w:lineRule="exact"/>
        <w:rPr>
          <w:rFonts w:ascii="Times New Roman" w:cs="Times New Roman" w:eastAsia="Times New Roman" w:hAnsi="Times New Roman"/>
          <w:sz w:val="18"/>
          <w:szCs w:val="18"/>
          <w:color w:val="auto"/>
        </w:rPr>
      </w:pPr>
    </w:p>
    <w:p>
      <w:pPr>
        <w:ind w:left="1340" w:right="20" w:hanging="441"/>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400"/>
        <w:spacing w:after="0" w:line="282" w:lineRule="auto"/>
        <w:rPr>
          <w:sz w:val="20"/>
          <w:szCs w:val="20"/>
          <w:color w:val="auto"/>
        </w:rPr>
      </w:pPr>
      <w:r>
        <w:rPr>
          <w:rFonts w:ascii="Times New Roman" w:cs="Times New Roman" w:eastAsia="Times New Roman" w:hAnsi="Times New Roman"/>
          <w:sz w:val="18"/>
          <w:szCs w:val="18"/>
          <w:color w:val="auto"/>
        </w:rPr>
        <w:t>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89" w:lineRule="exact"/>
        <w:rPr>
          <w:sz w:val="20"/>
          <w:szCs w:val="20"/>
          <w:color w:val="auto"/>
        </w:rPr>
      </w:pPr>
    </w:p>
    <w:p>
      <w:pPr>
        <w:ind w:left="1340" w:right="240" w:hanging="441"/>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252" w:lineRule="exact"/>
        <w:rPr>
          <w:rFonts w:ascii="Times New Roman" w:cs="Times New Roman" w:eastAsia="Times New Roman" w:hAnsi="Times New Roman"/>
          <w:sz w:val="18"/>
          <w:szCs w:val="18"/>
          <w:color w:val="auto"/>
        </w:rPr>
      </w:pPr>
    </w:p>
    <w:p>
      <w:pPr>
        <w:ind w:left="1340" w:right="120" w:hanging="441"/>
        <w:spacing w:after="0" w:line="261"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225" w:lineRule="exact"/>
        <w:rPr>
          <w:sz w:val="20"/>
          <w:szCs w:val="20"/>
          <w:color w:val="auto"/>
        </w:rPr>
      </w:pPr>
    </w:p>
    <w:p>
      <w:pPr>
        <w:ind w:right="40" w:firstLine="898"/>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7" w:lineRule="exact"/>
        <w:rPr>
          <w:sz w:val="20"/>
          <w:szCs w:val="20"/>
          <w:color w:val="auto"/>
        </w:rPr>
      </w:pPr>
    </w:p>
    <w:p>
      <w:pPr>
        <w:ind w:right="720" w:firstLine="898"/>
        <w:spacing w:after="0" w:line="282"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62" w:lineRule="exact"/>
        <w:rPr>
          <w:sz w:val="20"/>
          <w:szCs w:val="20"/>
          <w:color w:val="auto"/>
        </w:rPr>
      </w:pPr>
    </w:p>
    <w:p>
      <w:pPr>
        <w:ind w:right="60" w:firstLine="898"/>
        <w:spacing w:after="0" w:line="282"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62" w:lineRule="exact"/>
        <w:rPr>
          <w:sz w:val="20"/>
          <w:szCs w:val="20"/>
          <w:color w:val="auto"/>
        </w:rPr>
      </w:pPr>
    </w:p>
    <w:p>
      <w:pPr>
        <w:jc w:val="both"/>
        <w:ind w:firstLine="898"/>
        <w:spacing w:after="0" w:line="266" w:lineRule="auto"/>
        <w:rPr>
          <w:sz w:val="20"/>
          <w:szCs w:val="20"/>
          <w:color w:val="auto"/>
        </w:rPr>
      </w:pPr>
      <w:r>
        <w:rPr>
          <w:rFonts w:ascii="Times New Roman" w:cs="Times New Roman" w:eastAsia="Times New Roman" w:hAnsi="Times New Roman"/>
          <w:sz w:val="18"/>
          <w:szCs w:val="18"/>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6" w:lineRule="exact"/>
        <w:rPr>
          <w:sz w:val="20"/>
          <w:szCs w:val="20"/>
          <w:color w:val="auto"/>
        </w:rPr>
      </w:pPr>
    </w:p>
    <w:p>
      <w:pPr>
        <w:ind w:right="40" w:firstLine="898"/>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62" w:lineRule="exact"/>
        <w:rPr>
          <w:sz w:val="20"/>
          <w:szCs w:val="20"/>
          <w:color w:val="auto"/>
        </w:rPr>
      </w:pPr>
    </w:p>
    <w:p>
      <w:pPr>
        <w:jc w:val="both"/>
        <w:ind w:firstLine="898"/>
        <w:spacing w:after="0" w:line="261"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225"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455"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 of Assets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87" w:lineRule="exact"/>
        <w:rPr>
          <w:sz w:val="20"/>
          <w:szCs w:val="20"/>
          <w:color w:val="auto"/>
        </w:rPr>
      </w:pPr>
    </w:p>
    <w:p>
      <w:pPr>
        <w:ind w:right="80" w:firstLine="898"/>
        <w:spacing w:after="0" w:line="261" w:lineRule="auto"/>
        <w:rPr>
          <w:sz w:val="20"/>
          <w:szCs w:val="20"/>
          <w:color w:val="auto"/>
        </w:rPr>
      </w:pPr>
      <w:r>
        <w:rPr>
          <w:rFonts w:ascii="Times New Roman" w:cs="Times New Roman" w:eastAsia="Times New Roman" w:hAnsi="Times New Roman"/>
          <w:sz w:val="18"/>
          <w:szCs w:val="18"/>
          <w:color w:val="auto"/>
        </w:rPr>
        <w:t>It is possible that a merger, transfer, or other transaction could be treated for U.S. federal income tax purposes as a taxable exchange by the beneficial owners of the Notes for new securities, which could result in beneficial owners of the Notes recognizing taxable gain or loss for U.S. federal income tax purposes. A merger, transfer, lease or other transaction could also have adverse tax consequences to beneficial owners of the Notes under other tax laws to which the beneficial owners are subject.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 by a Subsidiary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Notes, provided that:</w:t>
      </w:r>
    </w:p>
    <w:p>
      <w:pPr>
        <w:spacing w:after="0" w:line="252" w:lineRule="exact"/>
        <w:rPr>
          <w:sz w:val="20"/>
          <w:szCs w:val="20"/>
          <w:color w:val="auto"/>
        </w:rPr>
      </w:pPr>
    </w:p>
    <w:p>
      <w:pPr>
        <w:ind w:left="1340" w:right="120" w:hanging="441"/>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188" w:lineRule="exact"/>
        <w:rPr>
          <w:rFonts w:ascii="Times New Roman" w:cs="Times New Roman" w:eastAsia="Times New Roman" w:hAnsi="Times New Roman"/>
          <w:sz w:val="18"/>
          <w:szCs w:val="18"/>
          <w:color w:val="auto"/>
        </w:rPr>
      </w:pPr>
    </w:p>
    <w:p>
      <w:pPr>
        <w:ind w:left="1340" w:right="80" w:hanging="441"/>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62"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jc w:val="both"/>
        <w:ind w:right="60" w:firstLine="898"/>
        <w:spacing w:after="0" w:line="277" w:lineRule="auto"/>
        <w:rPr>
          <w:sz w:val="20"/>
          <w:szCs w:val="20"/>
          <w:color w:val="auto"/>
        </w:rPr>
      </w:pPr>
      <w:r>
        <w:rPr>
          <w:rFonts w:ascii="Times New Roman" w:cs="Times New Roman" w:eastAsia="Times New Roman" w:hAnsi="Times New Roman"/>
          <w:sz w:val="17"/>
          <w:szCs w:val="17"/>
          <w:i w:val="1"/>
          <w:iCs w:val="1"/>
          <w:color w:val="auto"/>
        </w:rPr>
        <w:t>An assumption of the Company’s obligations as the issuer of the Notes by a subsidiary of the Guarantor may be treated for U.S. and Canadian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We do not expect that a taxable exchange of the Notes for new Notes will generally have any adverse Canadian federal income tax consequences. Beneficial owners of Notes who are U.S. persons for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U.S. federal income tax purposes should consult their tax advisors regarding the U.S. and Canadian federal, state, provincial and local, and any other relevant, income tax consequences of an assumption of the Company’s obligations as issuer of Notes by a subsidiary of the Guarantor.</w:t>
      </w:r>
    </w:p>
    <w:p>
      <w:pPr>
        <w:spacing w:after="0" w:line="266" w:lineRule="exact"/>
        <w:rPr>
          <w:sz w:val="20"/>
          <w:szCs w:val="20"/>
          <w:color w:val="auto"/>
        </w:rPr>
      </w:pPr>
    </w:p>
    <w:p>
      <w:pPr>
        <w:ind w:right="40" w:firstLine="898"/>
        <w:spacing w:after="0" w:line="256" w:lineRule="auto"/>
        <w:rPr>
          <w:sz w:val="20"/>
          <w:szCs w:val="20"/>
          <w:color w:val="auto"/>
        </w:rPr>
      </w:pPr>
      <w:r>
        <w:rPr>
          <w:rFonts w:ascii="Times New Roman" w:cs="Times New Roman" w:eastAsia="Times New Roman" w:hAnsi="Times New Roman"/>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old Notes or the new Notes are “traded on an established market” for purposes of determining the “issue price” of the new Notes for U.S. federal income tax purposes. If such subsidiary determines that either the old Notes or the new Notes are “traded on an established market,” then it will make available to holders on the Guarantor’s website (www.slb.com) within 90 days after an assumption its determination that the old Notes or the new Notes are “traded on an established market” for these purposes and the “issue price” of the new Notes. The information on or accessible through the Guarantor’s website is not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will be “Events of Default” with respect to the Notes:</w:t>
      </w:r>
    </w:p>
    <w:p>
      <w:pPr>
        <w:spacing w:after="0" w:line="252" w:lineRule="exact"/>
        <w:rPr>
          <w:sz w:val="20"/>
          <w:szCs w:val="20"/>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the Notes within 30 days after such interest becomes due and payable;</w:t>
      </w:r>
    </w:p>
    <w:p>
      <w:pPr>
        <w:spacing w:after="0" w:line="252" w:lineRule="exact"/>
        <w:rPr>
          <w:rFonts w:ascii="Times New Roman" w:cs="Times New Roman" w:eastAsia="Times New Roman" w:hAnsi="Times New Roman"/>
          <w:sz w:val="18"/>
          <w:szCs w:val="18"/>
          <w:color w:val="auto"/>
        </w:rPr>
      </w:pPr>
    </w:p>
    <w:p>
      <w:pPr>
        <w:ind w:left="1340" w:right="260" w:hanging="333"/>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of the Notes at maturity, or if applicable, the redemption price, when the same become due and payable;</w:t>
      </w:r>
    </w:p>
    <w:p>
      <w:pPr>
        <w:spacing w:after="0" w:line="188" w:lineRule="exact"/>
        <w:rPr>
          <w:rFonts w:ascii="Times New Roman" w:cs="Times New Roman" w:eastAsia="Times New Roman" w:hAnsi="Times New Roman"/>
          <w:sz w:val="18"/>
          <w:szCs w:val="18"/>
          <w:color w:val="auto"/>
        </w:rPr>
      </w:pPr>
    </w:p>
    <w:p>
      <w:pPr>
        <w:ind w:left="1340" w:right="40" w:hanging="333"/>
        <w:spacing w:after="0" w:line="261"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206" w:lineRule="exact"/>
        <w:rPr>
          <w:rFonts w:ascii="Times New Roman" w:cs="Times New Roman" w:eastAsia="Times New Roman" w:hAnsi="Times New Roman"/>
          <w:sz w:val="18"/>
          <w:szCs w:val="18"/>
          <w:color w:val="auto"/>
        </w:rPr>
      </w:pPr>
    </w:p>
    <w:p>
      <w:pPr>
        <w:ind w:left="1340" w:hanging="333"/>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20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225"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76"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If an Event of Default for the Notes occurs and is continuing, the Trustee or the holders of at least 25% in principal amount of such outstanding Notes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may in some cases rescind this accelerated payment requirement.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45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holder of Notes may pursue any remedy under the Indenture applicable to such Notes only if:</w:t>
      </w:r>
    </w:p>
    <w:p>
      <w:pPr>
        <w:spacing w:after="0" w:line="252" w:lineRule="exact"/>
        <w:rPr>
          <w:sz w:val="20"/>
          <w:szCs w:val="20"/>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such outstanding Notes make a written request to the Trustee to pursue the remedy;</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or security reasonably satisfactory to the Trustee;</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252" w:lineRule="exact"/>
        <w:rPr>
          <w:rFonts w:ascii="Times New Roman" w:cs="Times New Roman" w:eastAsia="Times New Roman" w:hAnsi="Times New Roman"/>
          <w:sz w:val="18"/>
          <w:szCs w:val="18"/>
          <w:color w:val="auto"/>
        </w:rPr>
      </w:pPr>
    </w:p>
    <w:p>
      <w:pPr>
        <w:ind w:left="1340" w:right="320" w:hanging="333"/>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such outstanding Notes do not give the Trustee a direction inconsistent with the request.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Notes to sue for enforcement of any overdue payment with respect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120" w:firstLine="898"/>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Notes issued by the Company (or of all outstanding debt securities under the Indenture affected, voting as one class) may direct the time, method and place of:</w:t>
      </w:r>
    </w:p>
    <w:p>
      <w:pPr>
        <w:spacing w:after="0" w:line="189" w:lineRule="exact"/>
        <w:rPr>
          <w:sz w:val="20"/>
          <w:szCs w:val="20"/>
          <w:color w:val="auto"/>
        </w:rPr>
      </w:pPr>
    </w:p>
    <w:p>
      <w:pPr>
        <w:ind w:left="1340" w:hanging="333"/>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such Notes; and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such Notes.</w:t>
      </w:r>
    </w:p>
    <w:p>
      <w:pPr>
        <w:spacing w:after="0" w:line="225" w:lineRule="exact"/>
        <w:rPr>
          <w:sz w:val="20"/>
          <w:szCs w:val="20"/>
          <w:color w:val="auto"/>
        </w:rPr>
      </w:pPr>
    </w:p>
    <w:p>
      <w:pPr>
        <w:ind w:right="680" w:firstLine="898"/>
        <w:spacing w:after="0" w:line="282"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an Officer’s Certificate as to its compliance with the covenants contained in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ind w:right="100" w:firstLine="898"/>
        <w:spacing w:after="0" w:line="254"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 (other than in respect of a provision contained in the Indenture that cannot be modified or amended without the consent of the holder of each outstanding Note affected thereby).</w:t>
      </w:r>
    </w:p>
    <w:p>
      <w:pPr>
        <w:spacing w:after="0" w:line="188" w:lineRule="exact"/>
        <w:rPr>
          <w:sz w:val="20"/>
          <w:szCs w:val="20"/>
          <w:color w:val="auto"/>
        </w:rPr>
      </w:pPr>
    </w:p>
    <w:p>
      <w:pPr>
        <w:ind w:firstLine="898"/>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Notes affected thereby, an amendment, supplement or waiver may not (with respect to any Notes held by a non-consenting holder):</w:t>
      </w:r>
    </w:p>
    <w:p>
      <w:pPr>
        <w:spacing w:after="0" w:line="189" w:lineRule="exact"/>
        <w:rPr>
          <w:sz w:val="20"/>
          <w:szCs w:val="20"/>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Notes;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Notes or change the time at which the Notes may or must be redeemed;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Notes payable in currency other than as originally stated in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the Notes;</w:t>
      </w:r>
    </w:p>
    <w:p>
      <w:pPr>
        <w:spacing w:after="0" w:line="252" w:lineRule="exact"/>
        <w:rPr>
          <w:rFonts w:ascii="Times New Roman" w:cs="Times New Roman" w:eastAsia="Times New Roman" w:hAnsi="Times New Roman"/>
          <w:sz w:val="18"/>
          <w:szCs w:val="18"/>
          <w:color w:val="auto"/>
        </w:rPr>
      </w:pPr>
    </w:p>
    <w:p>
      <w:pPr>
        <w:ind w:left="1340" w:right="60" w:hanging="333"/>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Notes necessary to waive compliance with certain provisions of the Indenture such Notes were issued under or to make any change in this provision for modification; or</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Notes.</w:t>
      </w:r>
    </w:p>
    <w:p>
      <w:pPr>
        <w:spacing w:after="0" w:line="225" w:lineRule="exact"/>
        <w:rPr>
          <w:sz w:val="20"/>
          <w:szCs w:val="20"/>
          <w:color w:val="auto"/>
        </w:rPr>
      </w:pPr>
    </w:p>
    <w:p>
      <w:pPr>
        <w:ind w:right="580" w:firstLine="89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189" w:lineRule="exact"/>
        <w:rPr>
          <w:sz w:val="20"/>
          <w:szCs w:val="20"/>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52" w:lineRule="exact"/>
        <w:rPr>
          <w:rFonts w:ascii="Times New Roman" w:cs="Times New Roman" w:eastAsia="Times New Roman" w:hAnsi="Times New Roman"/>
          <w:sz w:val="18"/>
          <w:szCs w:val="18"/>
          <w:color w:val="auto"/>
        </w:rPr>
      </w:pPr>
    </w:p>
    <w:p>
      <w:pPr>
        <w:ind w:left="1340" w:hanging="333"/>
        <w:spacing w:after="0" w:line="258"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the Notes or the Guarantee, as applicable, by a successor upon any merger, amalgamation, consolidation or asset transfer in accordance with the requirements under “— Consolidation, Amalgamation, Merger and Sale of Assets” or to provide for the assumption of the Company’s obligations under the Indenture and the Notes by a subsidiary of the Guarantor in accordance with the requirements under “—Assumption by a Subsidiary” above;</w:t>
      </w:r>
    </w:p>
    <w:p>
      <w:pPr>
        <w:spacing w:after="0" w:line="210"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Notes or for the addition of an additional obligor on the Notes;</w:t>
      </w:r>
    </w:p>
    <w:p>
      <w:pPr>
        <w:spacing w:after="0" w:line="252" w:lineRule="exact"/>
        <w:rPr>
          <w:rFonts w:ascii="Times New Roman" w:cs="Times New Roman" w:eastAsia="Times New Roman" w:hAnsi="Times New Roman"/>
          <w:sz w:val="18"/>
          <w:szCs w:val="18"/>
          <w:color w:val="auto"/>
        </w:rPr>
      </w:pPr>
    </w:p>
    <w:p>
      <w:pPr>
        <w:ind w:left="1340" w:right="660" w:hanging="333"/>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 if applicable;</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the outstanding Notes or to surrender any rights the Company has under the Indenture;</w:t>
      </w:r>
    </w:p>
    <w:p>
      <w:pPr>
        <w:spacing w:after="0" w:line="252" w:lineRule="exact"/>
        <w:rPr>
          <w:rFonts w:ascii="Times New Roman" w:cs="Times New Roman" w:eastAsia="Times New Roman" w:hAnsi="Times New Roman"/>
          <w:sz w:val="18"/>
          <w:szCs w:val="18"/>
          <w:color w:val="auto"/>
        </w:rPr>
      </w:pPr>
    </w:p>
    <w:p>
      <w:pPr>
        <w:jc w:val="both"/>
        <w:ind w:left="1340" w:right="300" w:hanging="333"/>
        <w:spacing w:after="0" w:line="266"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will not become effective with respect to any outstanding Notes created prior to the execution of such supplemental indenture which is entitled to the benefit of such provision;</w:t>
      </w:r>
    </w:p>
    <w:p>
      <w:pPr>
        <w:spacing w:after="0" w:line="20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252" w:lineRule="exact"/>
        <w:rPr>
          <w:rFonts w:ascii="Times New Roman" w:cs="Times New Roman" w:eastAsia="Times New Roman" w:hAnsi="Times New Roman"/>
          <w:sz w:val="18"/>
          <w:szCs w:val="18"/>
          <w:color w:val="auto"/>
        </w:rPr>
      </w:pPr>
    </w:p>
    <w:p>
      <w:pPr>
        <w:ind w:left="1340" w:right="100" w:hanging="333"/>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Notes; provided that such additional Notes have the same terms as, and will be deemed part of the same series as, the Notes to the extent required under the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120" w:hanging="333"/>
        <w:spacing w:after="0" w:line="312" w:lineRule="auto"/>
        <w:tabs>
          <w:tab w:leader="none" w:pos="1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and appointment of a successor trustee with respect to the Notes and to add to or change any of the provisions of the Indenture as are necessary to provide for or facilitate the administration of the trust by more than one trustee;</w:t>
      </w:r>
    </w:p>
    <w:p>
      <w:pPr>
        <w:spacing w:after="0" w:line="166" w:lineRule="exact"/>
        <w:rPr>
          <w:rFonts w:ascii="Times New Roman" w:cs="Times New Roman" w:eastAsia="Times New Roman" w:hAnsi="Times New Roman"/>
          <w:sz w:val="17"/>
          <w:szCs w:val="17"/>
          <w:color w:val="auto"/>
        </w:rPr>
      </w:pPr>
    </w:p>
    <w:p>
      <w:pPr>
        <w:ind w:left="1340" w:hanging="333"/>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the Notes; and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the outstanding Notes in any material respect.</w:t>
      </w:r>
    </w:p>
    <w:p>
      <w:pPr>
        <w:spacing w:after="0" w:line="225"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It will not be necessary for the consent of the holders to approve the particular form of any proposed supplement, amendment or waiver, but it will be sufficient if such consent approves the substance of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right="220" w:firstLine="898"/>
        <w:spacing w:after="0" w:line="266"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203" w:lineRule="exact"/>
        <w:rPr>
          <w:sz w:val="20"/>
          <w:szCs w:val="20"/>
          <w:color w:val="auto"/>
        </w:rPr>
      </w:pPr>
    </w:p>
    <w:p>
      <w:pPr>
        <w:ind w:left="1340" w:right="360" w:hanging="333"/>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such Notes, except as described in the paragraph immediately below (“legal defeasance”); or</w:t>
      </w:r>
    </w:p>
    <w:p>
      <w:pPr>
        <w:spacing w:after="0" w:line="188" w:lineRule="exact"/>
        <w:rPr>
          <w:rFonts w:ascii="Times New Roman" w:cs="Times New Roman" w:eastAsia="Times New Roman" w:hAnsi="Times New Roman"/>
          <w:sz w:val="18"/>
          <w:szCs w:val="18"/>
          <w:color w:val="auto"/>
        </w:rPr>
      </w:pPr>
    </w:p>
    <w:p>
      <w:pPr>
        <w:ind w:left="1340" w:right="440" w:hanging="333"/>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Notes, and the related Events of Default will no longer apply to the Company (“covenant defeasance”).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right="20" w:firstLine="898"/>
        <w:spacing w:after="0" w:line="258"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the Notes, the Company and the Guarantor will be deemed to have paid and discharged the entire indebtedness represented by the outstanding Notes and the Guarantee, and to have satisfied all other obligations under such Notes, the Guarantee and the Indenture, except as to (i) the Company’s obligations to register the transfer or exchange of the Notes, replace stolen, lost or mutilated Notes, pay Additional Amounts, maintain paying agencies, and hold moneys for payment in trust, and (ii) the obligation of the Company and the Guarantor to compensate and indemnify the Trustee.</w:t>
      </w:r>
    </w:p>
    <w:p>
      <w:pPr>
        <w:spacing w:after="0" w:line="183" w:lineRule="exact"/>
        <w:rPr>
          <w:sz w:val="20"/>
          <w:szCs w:val="20"/>
          <w:color w:val="auto"/>
        </w:rPr>
      </w:pPr>
    </w:p>
    <w:p>
      <w:pPr>
        <w:ind w:right="20" w:firstLine="898"/>
        <w:spacing w:after="0" w:line="266" w:lineRule="auto"/>
        <w:rPr>
          <w:sz w:val="20"/>
          <w:szCs w:val="20"/>
          <w:color w:val="auto"/>
        </w:rPr>
      </w:pPr>
      <w:r>
        <w:rPr>
          <w:rFonts w:ascii="Times New Roman" w:cs="Times New Roman" w:eastAsia="Times New Roman" w:hAnsi="Times New Roman"/>
          <w:sz w:val="18"/>
          <w:szCs w:val="18"/>
          <w:color w:val="auto"/>
        </w:rPr>
        <w:t>In the case of covenant defeasance, certain Events of Default (not including non-payment, bankruptcy, receivership, rehabilitation and insolvency events) will no longer apply. Except as specified in the Indenture, however, the remainder of the Indenture and the Notes and the Guarantee will be unaffected by the occurrence of covenant defeasance, and the Notes will continue to be deemed “outstanding” for all other purposes under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32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Indenture other than for the purposes of any direction, waiver, consent or declaration or act of holders (and the consequences of any thereof) in connection with any of the defeased covenants.</w:t>
      </w:r>
    </w:p>
    <w:p>
      <w:pPr>
        <w:spacing w:after="0" w:line="162" w:lineRule="exact"/>
        <w:rPr>
          <w:sz w:val="20"/>
          <w:szCs w:val="20"/>
          <w:color w:val="auto"/>
        </w:rPr>
      </w:pPr>
    </w:p>
    <w:p>
      <w:pPr>
        <w:ind w:right="20" w:firstLine="898"/>
        <w:spacing w:after="0" w:line="254"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(i) an opinion of counsel or a tax ruling to the effect that the deposit and related defeasance would not cause the beneficial owners of the Notes to recognize income, gain or loss for U.S. federal income tax purposes, and (ii) an opinion of counsel or an advance tax ruling from the Canada Revenue Agency (or successor agency) to the effect that the beneficial owners of the Notes will not recognize income, gain, or loss for Canadian federal, provincial or territorial income tax purposes as a result of the deposit and related defeasance and will be subject to Canadian federal, provincial or territorial income or other Canadian tax on the same amounts, in the same manner, and at the same times as would have been the case if such deposit and related defeasance had not occurred. If the Company elects legal defeasance, that opinion of counsel must be based upon a ruling from the U.S. Internal Revenue Service and from the Canada Revenue Agency (or successor agency) or changes in law to that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Bank of New York Mellon will be trustee under the Indenture. The Trustee performs services for the Guarantor and its subsidiaries in the ordinary course of business.</w:t>
      </w:r>
    </w:p>
    <w:p>
      <w:pPr>
        <w:spacing w:after="0" w:line="162"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w:t>
      </w:r>
    </w:p>
    <w:p>
      <w:pPr>
        <w:spacing w:after="0" w:line="176" w:lineRule="exact"/>
        <w:rPr>
          <w:sz w:val="20"/>
          <w:szCs w:val="20"/>
          <w:color w:val="auto"/>
        </w:rPr>
      </w:pPr>
    </w:p>
    <w:p>
      <w:pPr>
        <w:ind w:right="160" w:firstLine="898"/>
        <w:spacing w:after="0" w:line="261"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(the “SEC”) permitting it to remain as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229"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We will maintain a paying agent (the “Paying Agent”) for the Notes in the Borough of Manhattan, City of New York.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w:t>
      </w:r>
    </w:p>
    <w:p>
      <w:pPr>
        <w:spacing w:after="0" w:line="180"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80" w:lineRule="exact"/>
        <w:rPr>
          <w:sz w:val="20"/>
          <w:szCs w:val="20"/>
          <w:color w:val="auto"/>
        </w:rPr>
      </w:pPr>
    </w:p>
    <w:p>
      <w:pPr>
        <w:ind w:right="20" w:firstLine="898"/>
        <w:spacing w:after="0" w:line="258" w:lineRule="auto"/>
        <w:rPr>
          <w:sz w:val="20"/>
          <w:szCs w:val="20"/>
          <w:color w:val="auto"/>
        </w:rPr>
      </w:pPr>
      <w:r>
        <w:rPr>
          <w:rFonts w:ascii="Times New Roman" w:cs="Times New Roman" w:eastAsia="Times New Roman" w:hAnsi="Times New Roman"/>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898"/>
        <w:spacing w:after="0" w:line="282"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Notes outstanding from time to time and the Paying Agent will make payments on and facilitate transfer of Notes on our behalf.</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may change any Paying Agents, Registrars or transfer agents without prior notice to the holders of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29"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The Company may, from time to time, without notice to or consent of the registered holders of the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ind w:right="300" w:firstLine="898"/>
        <w:spacing w:after="0" w:line="266" w:lineRule="auto"/>
        <w:rPr>
          <w:sz w:val="20"/>
          <w:szCs w:val="20"/>
          <w:color w:val="auto"/>
        </w:rPr>
      </w:pPr>
      <w:r>
        <w:rPr>
          <w:rFonts w:ascii="Times New Roman" w:cs="Times New Roman" w:eastAsia="Times New Roman" w:hAnsi="Times New Roman"/>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76" w:lineRule="exact"/>
        <w:rPr>
          <w:sz w:val="20"/>
          <w:szCs w:val="20"/>
          <w:color w:val="auto"/>
        </w:rPr>
      </w:pPr>
    </w:p>
    <w:p>
      <w:pPr>
        <w:ind w:right="120" w:firstLine="898"/>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represented by a global Note can be exchanged for definitive securities in registered form only if:</w:t>
      </w:r>
    </w:p>
    <w:p>
      <w:pPr>
        <w:spacing w:after="0" w:line="252" w:lineRule="exact"/>
        <w:rPr>
          <w:sz w:val="20"/>
          <w:szCs w:val="20"/>
          <w:color w:val="auto"/>
        </w:rPr>
      </w:pPr>
    </w:p>
    <w:p>
      <w:pPr>
        <w:ind w:left="1340" w:right="140" w:hanging="333"/>
        <w:spacing w:after="0" w:line="266"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202"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Notes will no longer be represented by a global Note and execute and deliver to the Trustee an Officer’s Certificate to such effect.</w:t>
      </w:r>
    </w:p>
    <w:p>
      <w:pPr>
        <w:spacing w:after="0" w:line="162" w:lineRule="exact"/>
        <w:rPr>
          <w:sz w:val="20"/>
          <w:szCs w:val="20"/>
          <w:color w:val="auto"/>
        </w:rPr>
      </w:pPr>
    </w:p>
    <w:p>
      <w:pPr>
        <w:jc w:val="both"/>
        <w:ind w:right="500" w:firstLine="898"/>
        <w:spacing w:after="0" w:line="266" w:lineRule="auto"/>
        <w:rPr>
          <w:sz w:val="20"/>
          <w:szCs w:val="20"/>
          <w:color w:val="auto"/>
        </w:rPr>
      </w:pPr>
      <w:r>
        <w:rPr>
          <w:rFonts w:ascii="Times New Roman" w:cs="Times New Roman" w:eastAsia="Times New Roman" w:hAnsi="Times New Roman"/>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898"/>
        <w:spacing w:after="0" w:line="266" w:lineRule="auto"/>
        <w:rPr>
          <w:sz w:val="20"/>
          <w:szCs w:val="20"/>
          <w:color w:val="auto"/>
        </w:rPr>
      </w:pPr>
      <w:r>
        <w:rPr>
          <w:rFonts w:ascii="Times New Roman" w:cs="Times New Roman" w:eastAsia="Times New Roman" w:hAnsi="Times New Roman"/>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203" w:lineRule="exact"/>
        <w:rPr>
          <w:sz w:val="20"/>
          <w:szCs w:val="20"/>
          <w:color w:val="auto"/>
        </w:rPr>
      </w:pPr>
    </w:p>
    <w:p>
      <w:pPr>
        <w:ind w:left="1340" w:right="480" w:hanging="333"/>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Note represented by a global Note;</w:t>
      </w:r>
    </w:p>
    <w:p>
      <w:pPr>
        <w:spacing w:after="0" w:line="188" w:lineRule="exact"/>
        <w:rPr>
          <w:rFonts w:ascii="Times New Roman" w:cs="Times New Roman" w:eastAsia="Times New Roman" w:hAnsi="Times New Roman"/>
          <w:sz w:val="18"/>
          <w:szCs w:val="18"/>
          <w:color w:val="auto"/>
        </w:rPr>
      </w:pPr>
    </w:p>
    <w:p>
      <w:pPr>
        <w:ind w:left="1340" w:right="300" w:hanging="333"/>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supervision or review of any of DTC’s records relating to those beneficial ownership interests.</w:t>
      </w:r>
    </w:p>
    <w:p>
      <w:pPr>
        <w:spacing w:after="0" w:line="225"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229"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88"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right="320" w:firstLine="898"/>
        <w:spacing w:after="0" w:line="261" w:lineRule="auto"/>
        <w:rPr>
          <w:sz w:val="20"/>
          <w:szCs w:val="20"/>
          <w:color w:val="auto"/>
        </w:rPr>
      </w:pPr>
      <w:r>
        <w:rPr>
          <w:rFonts w:ascii="Times New Roman" w:cs="Times New Roman" w:eastAsia="Times New Roman" w:hAnsi="Times New Roman"/>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898"/>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right="20" w:firstLine="898"/>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229" w:lineRule="exact"/>
        <w:rPr>
          <w:sz w:val="20"/>
          <w:szCs w:val="20"/>
          <w:color w:val="auto"/>
        </w:rPr>
      </w:pPr>
    </w:p>
    <w:p>
      <w:pPr>
        <w:ind w:right="20" w:firstLine="898"/>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4" w:lineRule="exact"/>
        <w:rPr>
          <w:sz w:val="20"/>
          <w:szCs w:val="20"/>
          <w:color w:val="auto"/>
        </w:rPr>
      </w:pPr>
    </w:p>
    <w:p>
      <w:pPr>
        <w:ind w:right="460" w:firstLine="898"/>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20"/>
          </w:cols>
          <w:pgMar w:left="320" w:top="455" w:right="3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Euroclear Operator advises us that it is regulated and examined by the Belgian banking and Finance Commission and the National Bank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07" w:lineRule="exact"/>
        <w:rPr>
          <w:sz w:val="20"/>
          <w:szCs w:val="20"/>
          <w:color w:val="auto"/>
        </w:rPr>
      </w:pPr>
    </w:p>
    <w:p>
      <w:pPr>
        <w:ind w:right="340" w:firstLine="898"/>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right="540" w:firstLine="898"/>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229" w:lineRule="exact"/>
        <w:rPr>
          <w:sz w:val="20"/>
          <w:szCs w:val="20"/>
          <w:color w:val="auto"/>
        </w:rPr>
      </w:pPr>
    </w:p>
    <w:p>
      <w:pPr>
        <w:ind w:right="40" w:firstLine="898"/>
        <w:spacing w:after="0" w:line="258"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right="80" w:firstLine="898"/>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92" w:lineRule="exact"/>
        <w:rPr>
          <w:sz w:val="20"/>
          <w:szCs w:val="20"/>
          <w:color w:val="auto"/>
        </w:rPr>
      </w:pPr>
    </w:p>
    <w:p>
      <w:pPr>
        <w:ind w:right="760" w:firstLine="898"/>
        <w:spacing w:after="0" w:line="282" w:lineRule="auto"/>
        <w:rPr>
          <w:sz w:val="20"/>
          <w:szCs w:val="20"/>
          <w:color w:val="auto"/>
        </w:rPr>
      </w:pPr>
      <w:r>
        <w:rPr>
          <w:rFonts w:ascii="Times New Roman" w:cs="Times New Roman" w:eastAsia="Times New Roman" w:hAnsi="Times New Roman"/>
          <w:sz w:val="18"/>
          <w:szCs w:val="18"/>
          <w:color w:val="auto"/>
        </w:rPr>
        <w:t>Because of time-zone differences, credits of Notes received through Clearstream or Euroclear as a result of a transaction with a DTC participant will be made during subsequent securities settlement processing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20"/>
          </w:cols>
          <w:pgMar w:left="32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0"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right="60" w:firstLine="898"/>
        <w:spacing w:after="0" w:line="258"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00"/>
          </w:cols>
          <w:pgMar w:left="320" w:top="455" w:right="3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ind w:firstLine="898"/>
        <w:spacing w:after="0" w:line="252"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supplement, a summary of the principal Canadian federal income tax considerations generally applicable to a Non-Canadian Holder (as defined below) who acquires, as beneficial owner, Notes issued hereunder (including entitlement to receive all payments, including interest and principal, made in respect thereof) for cash at their original issue price pursuant to this prospectus supplement and the accompanying prospectus. This summary is based on the facts set out in this prospectus supplement, the accompanying prospectus, the current provisions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relevant jurisprudence, and our counsel’s understanding of the current published administrative policies and assessing practices of the Canada Revenue Agency (the “CRA”), made publicly available in writing, all as in effect as of the date of this prospectus supplement. Except for specifically proposed amendments to the Tax Act that have been publicly announced by or on behalf of the Minister of Finance (Canada) prior to the date of this prospectus supplement (“Tax Proposals”), this summary does not otherwise take into account or anticipate proposed or possible changes in law, whether by judicial, regulatory, legislative or governmental decision or action, or changes in the administrative policies and assessing practices of the CRA, nor does it consider the tax legislation of any province, territory or foreign jurisdiction which may differ from the Canadian federal income tax considerations discussed herein. This summary assumes that all Tax Proposals will be enacted as proposed. No assurances can be given that the Tax Proposals will be enacted as currently proposed, or at all. This summary is not exhaustive of all possible Canadian federal income tax considerations and is of a general nature only and is not intended to be, and should not be construed to be, legal or tax advice to any prospective purchaser of Notes. The tax considerations applicable to a purchaser will depend on such purchaser’s personal circumstances. </w:t>
      </w:r>
      <w:r>
        <w:rPr>
          <w:rFonts w:ascii="Times New Roman" w:cs="Times New Roman" w:eastAsia="Times New Roman" w:hAnsi="Times New Roman"/>
          <w:sz w:val="18"/>
          <w:szCs w:val="18"/>
          <w:b w:val="1"/>
          <w:bCs w:val="1"/>
          <w:color w:val="auto"/>
        </w:rPr>
        <w:t>Accordingly, all prospective purchasers are urged to consult their own tax advisors regarding the income tax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associated with purchasing, holding and disposing of the Notes, having regard to their own particular circumstances.</w:t>
      </w:r>
    </w:p>
    <w:p>
      <w:pPr>
        <w:spacing w:after="0" w:line="195" w:lineRule="exact"/>
        <w:rPr>
          <w:sz w:val="20"/>
          <w:szCs w:val="20"/>
          <w:color w:val="auto"/>
        </w:rPr>
      </w:pPr>
    </w:p>
    <w:p>
      <w:pPr>
        <w:ind w:right="80" w:firstLine="898"/>
        <w:spacing w:after="0" w:line="253" w:lineRule="auto"/>
        <w:rPr>
          <w:sz w:val="20"/>
          <w:szCs w:val="20"/>
          <w:color w:val="auto"/>
        </w:rPr>
      </w:pPr>
      <w:r>
        <w:rPr>
          <w:rFonts w:ascii="Times New Roman" w:cs="Times New Roman" w:eastAsia="Times New Roman" w:hAnsi="Times New Roman"/>
          <w:sz w:val="18"/>
          <w:szCs w:val="18"/>
          <w:color w:val="auto"/>
        </w:rPr>
        <w:t>This summary is only applicable to a purchaser who, at all relevant times, for the purposes of the Tax Act: (i) is not resident in Canada and is not deemed to be resident in Canada; (ii) does not use or hold, and is not deemed to use or hold, Notes in, or in the course of, carrying on a business in Canada; (iii) is not an insurer who carries on an insurance business, or is deemed to carry on an insurance business, in Canada and/or elsewhere; (iv) deals at arm’s length with us, the Guarantor, each of the underwriters, any Subsidiary of the Guarantor that is resident in Canada for purposes of the Tax Act and that assumes the obligations of the issuer under the Notes and the Indenture (a “Substituted Issuer”) and with any transferee who is resident in Canada (or deemed to be resident in Canada) and to whom the purchaser assigns or otherwise transfers Notes; and (v) is not a “specified shareholder” of us or any Substituted Issuer that is a resident of Canada for purposes of the Tax Act within the meaning of subsection 18(5) of the Tax Act or a person that does not deal at arm’s length with any such specified shareholder (each such purchaser is referred to herein as a “Non-Canadian Holder”). Generally, a “specified shareholder” of a corporation is a person that owns or is deemed to own, either alone or together with persons with whom the shareholder does not deal at arm’s length for purposes of the Tax Act, shares of the capital stock of the corporation that either (a) give the holders of such shares 25% or more of the votes that could be cast at an annual meeting of the shareholders of the corporation or (b) have a fair market value of 25% or more of the fair market value of all of the issued and outstanding shares of capital stock of the corporation.</w:t>
      </w:r>
    </w:p>
    <w:p>
      <w:pPr>
        <w:spacing w:after="0" w:line="190"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No Canadian withholding tax will apply to interest, principal, premium, bonus or penalty paid or credited, or deemed to be paid or credited, to a Non-Canadian Holder on the Notes, or the proceeds received by a Non- Canadian Holder on the disposition of a Note, including on a redemption, payment on maturity, repurchase or the assumption of the issuer’s obligations under the Notes and the Indenture by a Substituted Issuer. No other tax on income or gains will be payable under the Tax Act by a Non-Canadian Holder on interest, principal, premium, bonus or penalty paid or credited, or deemed to be paid or credited, or on the proceeds received on the disposition of a Note, including on a redemption, payment on maturity, repurchase or the assumption of the issuer’s obligations under the Notes and the Indenture by a Substituted Issuer.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to U.S. Holders (as defined below)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87"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87" w:lineRule="exact"/>
        <w:rPr>
          <w:sz w:val="20"/>
          <w:szCs w:val="20"/>
          <w:color w:val="auto"/>
        </w:rPr>
      </w:pPr>
    </w:p>
    <w:p>
      <w:pPr>
        <w:ind w:right="100" w:firstLine="898"/>
        <w:spacing w:after="0" w:line="266" w:lineRule="auto"/>
        <w:rPr>
          <w:sz w:val="20"/>
          <w:szCs w:val="20"/>
          <w:color w:val="auto"/>
        </w:rPr>
      </w:pPr>
      <w:r>
        <w:rPr>
          <w:rFonts w:ascii="Times New Roman" w:cs="Times New Roman" w:eastAsia="Times New Roman" w:hAnsi="Times New Roman"/>
          <w:sz w:val="18"/>
          <w:szCs w:val="18"/>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176" w:lineRule="exact"/>
        <w:rPr>
          <w:sz w:val="20"/>
          <w:szCs w:val="20"/>
          <w:color w:val="auto"/>
        </w:rPr>
      </w:pPr>
    </w:p>
    <w:p>
      <w:pPr>
        <w:ind w:right="80" w:firstLine="898"/>
        <w:spacing w:after="0" w:line="252"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(including the alternative minimum tax and timing rules under Section 451(b) of the Code that apply to persons that maintain certain specified financial statements)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a trader in securities that elects to use a mark-to-market method of tax accounting for your securities holdings, a bank or other financial institution, a regulated investment company, a real estate investment trust, an employee stock ownership plan, a pass-through entity (or an owner of a pass-through entity), a corporation that accumulates earnings to avoid tax, an insurance company, a tax-exempt organization, a person that owns Notes as part of a straddle, hedge, constructive sale, conversion, or other integrated transaction for U.S. federal income tax purposes, a person that purchases or sells Notes as part of a wash sale for tax purposes, or a person whose functional currency for tax purposes is not the U.S. dollar). A change in law may alter significantly the tax considerations that we describe in this summary.</w:t>
      </w:r>
    </w:p>
    <w:p>
      <w:pPr>
        <w:spacing w:after="0" w:line="192" w:lineRule="exact"/>
        <w:rPr>
          <w:sz w:val="20"/>
          <w:szCs w:val="20"/>
          <w:color w:val="auto"/>
        </w:rPr>
      </w:pPr>
    </w:p>
    <w:p>
      <w:pPr>
        <w:ind w:right="14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Contingent Payments</w:t>
      </w:r>
    </w:p>
    <w:p>
      <w:pPr>
        <w:spacing w:after="0" w:line="229" w:lineRule="exact"/>
        <w:rPr>
          <w:sz w:val="20"/>
          <w:szCs w:val="20"/>
          <w:color w:val="auto"/>
        </w:rPr>
      </w:pPr>
    </w:p>
    <w:p>
      <w:pPr>
        <w:ind w:firstLine="898"/>
        <w:spacing w:after="0" w:line="269" w:lineRule="auto"/>
        <w:rPr>
          <w:sz w:val="20"/>
          <w:szCs w:val="20"/>
          <w:color w:val="auto"/>
        </w:rPr>
      </w:pPr>
      <w:r>
        <w:rPr>
          <w:rFonts w:ascii="Times New Roman" w:cs="Times New Roman" w:eastAsia="Times New Roman" w:hAnsi="Times New Roman"/>
          <w:sz w:val="17"/>
          <w:szCs w:val="17"/>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believe and intend to take the position that the Notes are not contingent payment debt instruments under United States federal income tax law because the contingency that would require us to make any of these contingent payments is remote, or is incidental. Our determination is binding on you, unless you disclose in the proper manner to the IRS that you are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You should consult your tax advisor about the risk of the Notes being treated as contingent payment debt instruments. The remainder of this discussion assumes that the Notes are not contingent payment debt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Interest on a Note will generally be taxable to you as ordinary interest income as it accrues or is received by you, in accordance with your 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Dispositions of Notes</w:t>
      </w:r>
    </w:p>
    <w:p>
      <w:pPr>
        <w:spacing w:after="0" w:line="229" w:lineRule="exact"/>
        <w:rPr>
          <w:sz w:val="20"/>
          <w:szCs w:val="20"/>
          <w:color w:val="auto"/>
        </w:rPr>
      </w:pPr>
    </w:p>
    <w:p>
      <w:pPr>
        <w:ind w:right="120" w:firstLine="898"/>
        <w:spacing w:after="0" w:line="258" w:lineRule="auto"/>
        <w:rPr>
          <w:sz w:val="20"/>
          <w:szCs w:val="20"/>
          <w:color w:val="auto"/>
        </w:rPr>
      </w:pPr>
      <w:r>
        <w:rPr>
          <w:rFonts w:ascii="Times New Roman" w:cs="Times New Roman" w:eastAsia="Times New Roman" w:hAnsi="Times New Roman"/>
          <w:sz w:val="18"/>
          <w:szCs w:val="18"/>
          <w:color w:val="auto"/>
        </w:rPr>
        <w:t>If, upon the sale, exchange, redemption, 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83"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Tax on Net Investment Income</w:t>
      </w:r>
    </w:p>
    <w:p>
      <w:pPr>
        <w:spacing w:after="0" w:line="229"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U.S. persons that are individuals, estates, or certain trusts are generally subject to a 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you recognize with respect to the Notes, unless such income or gain is derived in the ordinary course of the conduct of your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U.S. federal backup withholding will apply to interest on the Notes and proceeds from the sale or 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83" w:lineRule="exact"/>
        <w:rPr>
          <w:sz w:val="20"/>
          <w:szCs w:val="20"/>
          <w:color w:val="auto"/>
        </w:rPr>
      </w:pPr>
    </w:p>
    <w:p>
      <w:pPr>
        <w:ind w:right="300" w:firstLine="89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6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58" w:lineRule="exact"/>
        <w:rPr>
          <w:sz w:val="20"/>
          <w:szCs w:val="20"/>
          <w:color w:val="auto"/>
        </w:rPr>
      </w:pPr>
    </w:p>
    <w:p>
      <w:pPr>
        <w:ind w:right="36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non-U.S., state, local or other tax laws, and of any pending or subsequent changes in applicable laws.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00"/>
          </w:cols>
          <w:pgMar w:left="32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contained in an underwriting agreement, dated as of the date of this prospectus supplement among us, the Guarantor and the underwriters named below, for whom BofA Securities, Inc., Goldman Sachs &amp; Co. LLC, J.P. Morgan Securities LLC and Morgan Stanley &amp; Co. LLC are acting as representatives, we have agreed to sell to each underwriter, and each underwriter has severally agreed to purchase from us, the principal amount of Notes that appears opposite its name in the table below:</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8"/>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3"/>
        </w:trPr>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gridSpan w:val="2"/>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Skandinaviska Enskilda Banken AB</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500,000,000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898"/>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 The offering of the Notes by the underwriters is subject to receipt and acceptance and subject to the underwriters’ right to reject any order in whole or in part.</w:t>
      </w:r>
    </w:p>
    <w:p>
      <w:pPr>
        <w:spacing w:after="0" w:line="183" w:lineRule="exact"/>
        <w:rPr>
          <w:sz w:val="20"/>
          <w:szCs w:val="20"/>
          <w:color w:val="auto"/>
        </w:rPr>
      </w:pPr>
    </w:p>
    <w:p>
      <w:pPr>
        <w:ind w:right="60" w:firstLine="898"/>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0.200% of the principal amount of the Notes. Any underwriter may allow, and any such dealer may reallow, a concession not in excess of 0.100%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the offering of the Notes:</w:t>
      </w:r>
    </w:p>
    <w:p>
      <w:pPr>
        <w:spacing w:after="0" w:line="246" w:lineRule="exact"/>
        <w:rPr>
          <w:sz w:val="20"/>
          <w:szCs w:val="20"/>
          <w:color w:val="auto"/>
        </w:rPr>
      </w:pPr>
    </w:p>
    <w:tbl>
      <w:tblPr>
        <w:tblLayout w:type="fixed"/>
        <w:tblInd w:w="350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 by Us</w:t>
            </w:r>
          </w:p>
        </w:tc>
      </w:tr>
      <w:tr>
        <w:trPr>
          <w:trHeight w:val="20"/>
        </w:trPr>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0.350%</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$1,750,000</w:t>
            </w:r>
          </w:p>
        </w:tc>
      </w:tr>
    </w:tbl>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Expenses associated with this offering to be paid by us, other than underwriting discounts, are estimated to be approximately U.S.$600,000.</w:t>
      </w:r>
    </w:p>
    <w:p>
      <w:pPr>
        <w:spacing w:after="0" w:line="225" w:lineRule="exact"/>
        <w:rPr>
          <w:sz w:val="20"/>
          <w:szCs w:val="20"/>
          <w:color w:val="auto"/>
        </w:rPr>
      </w:pPr>
    </w:p>
    <w:p>
      <w:pPr>
        <w:ind w:right="20" w:firstLine="898"/>
        <w:spacing w:after="0" w:line="282" w:lineRule="auto"/>
        <w:rPr>
          <w:sz w:val="20"/>
          <w:szCs w:val="20"/>
          <w:color w:val="auto"/>
        </w:rPr>
      </w:pPr>
      <w:r>
        <w:rPr>
          <w:rFonts w:ascii="Times New Roman" w:cs="Times New Roman" w:eastAsia="Times New Roman" w:hAnsi="Times New Roman"/>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898"/>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83"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229" w:lineRule="exact"/>
        <w:rPr>
          <w:sz w:val="20"/>
          <w:szCs w:val="20"/>
          <w:color w:val="auto"/>
        </w:rPr>
      </w:pPr>
    </w:p>
    <w:p>
      <w:pPr>
        <w:ind w:firstLine="898"/>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Luxembourg</w:t>
      </w:r>
    </w:p>
    <w:p>
      <w:pPr>
        <w:spacing w:after="0" w:line="229" w:lineRule="exact"/>
        <w:rPr>
          <w:sz w:val="20"/>
          <w:szCs w:val="20"/>
          <w:color w:val="auto"/>
        </w:rPr>
      </w:pPr>
    </w:p>
    <w:p>
      <w:pPr>
        <w:ind w:right="40" w:firstLine="898"/>
        <w:spacing w:after="0" w:line="255" w:lineRule="auto"/>
        <w:rPr>
          <w:sz w:val="20"/>
          <w:szCs w:val="20"/>
          <w:color w:val="auto"/>
        </w:rPr>
      </w:pPr>
      <w:r>
        <w:rPr>
          <w:rFonts w:ascii="Times New Roman" w:cs="Times New Roman" w:eastAsia="Times New Roman" w:hAnsi="Times New Roman"/>
          <w:sz w:val="18"/>
          <w:szCs w:val="18"/>
          <w:color w:val="auto"/>
        </w:rPr>
        <w:t>The terms and conditions relating to this prospectus supplement have not been approved by and will not be submitted for approval to the Luxembourg Financial Services Authority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for purposes of public offering or sale in the Grand Duchy of Luxembourg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firstLine="898"/>
        <w:spacing w:after="0" w:line="25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180" w:firstLine="898"/>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has been, and neither will be,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invitation for subscription or purchase, of such Notes,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Where any Notes are subscribed or purchased under Section 275 by a relevant person which is:</w:t>
      </w:r>
    </w:p>
    <w:p>
      <w:pPr>
        <w:spacing w:after="0" w:line="252" w:lineRule="exact"/>
        <w:rPr>
          <w:sz w:val="20"/>
          <w:szCs w:val="20"/>
          <w:color w:val="auto"/>
        </w:rPr>
      </w:pPr>
    </w:p>
    <w:p>
      <w:pPr>
        <w:ind w:left="1340" w:right="520" w:hanging="44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340" w:right="140" w:hanging="44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03" w:lineRule="exact"/>
        <w:rPr>
          <w:sz w:val="20"/>
          <w:szCs w:val="20"/>
          <w:color w:val="auto"/>
        </w:rPr>
      </w:pPr>
    </w:p>
    <w:p>
      <w:pPr>
        <w:ind w:left="1340" w:hanging="441"/>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(i)(B) of the SFA;</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5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52" w:lineRule="exact"/>
        <w:rPr>
          <w:rFonts w:ascii="Times New Roman" w:cs="Times New Roman" w:eastAsia="Times New Roman" w:hAnsi="Times New Roman"/>
          <w:sz w:val="18"/>
          <w:szCs w:val="18"/>
          <w:color w:val="auto"/>
        </w:rPr>
      </w:pPr>
    </w:p>
    <w:p>
      <w:pPr>
        <w:ind w:left="1340" w:right="580" w:hanging="441"/>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right="180" w:firstLine="898"/>
        <w:spacing w:after="0" w:line="266" w:lineRule="auto"/>
        <w:rPr>
          <w:sz w:val="20"/>
          <w:szCs w:val="20"/>
          <w:color w:val="auto"/>
        </w:rPr>
      </w:pPr>
      <w:r>
        <w:rPr>
          <w:rFonts w:ascii="Times New Roman" w:cs="Times New Roman" w:eastAsia="Times New Roman" w:hAnsi="Times New Roman"/>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229" w:lineRule="exact"/>
        <w:rPr>
          <w:sz w:val="20"/>
          <w:szCs w:val="20"/>
          <w:color w:val="auto"/>
        </w:rPr>
      </w:pPr>
    </w:p>
    <w:p>
      <w:pPr>
        <w:ind w:right="60" w:firstLine="898"/>
        <w:spacing w:after="0" w:line="282"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and/or any other regulatory authority of Taiwan pursuant to relevant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00"/>
          </w:cols>
          <w:pgMar w:left="320" w:top="455" w:right="3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and Sale of the Notes</w:t>
      </w:r>
    </w:p>
    <w:p>
      <w:pPr>
        <w:spacing w:after="0" w:line="229" w:lineRule="exact"/>
        <w:rPr>
          <w:sz w:val="20"/>
          <w:szCs w:val="20"/>
          <w:color w:val="auto"/>
        </w:rPr>
      </w:pPr>
    </w:p>
    <w:p>
      <w:pPr>
        <w:ind w:right="140" w:firstLine="898"/>
        <w:spacing w:after="0" w:line="261"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seventh business day following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T+7, to specify alternative settlement arrangements to prevent a failed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898"/>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Schlumberger Group and to persons and entities with relationships with the Schlumberger Group, for which they received or will receive customary fees and expenses.</w:t>
      </w:r>
    </w:p>
    <w:p>
      <w:pPr>
        <w:spacing w:after="0" w:line="183" w:lineRule="exact"/>
        <w:rPr>
          <w:sz w:val="20"/>
          <w:szCs w:val="20"/>
          <w:color w:val="auto"/>
        </w:rPr>
      </w:pPr>
    </w:p>
    <w:p>
      <w:pPr>
        <w:ind w:firstLine="898"/>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Standard Chartered Bank will not effect any offers or sales of any notes in the United States unless it is through one or more U.S. registered broker-dealers as permitted by the regulations of FINRA.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Gibson, Dunn &amp; Crutcher LLP, New York, New York, Bennett Jones LLP, Calgary, Alberta and STvB Advocaten (Europe) N.V., Amsterdam, and for the underwriters by Davis Polk &amp; Wardwell LLP, New York, New York.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80" w:firstLine="898"/>
        <w:spacing w:after="0" w:line="282" w:lineRule="auto"/>
        <w:rPr>
          <w:sz w:val="20"/>
          <w:szCs w:val="20"/>
          <w:color w:val="auto"/>
        </w:rPr>
      </w:pPr>
      <w:r>
        <w:rPr>
          <w:rFonts w:ascii="Times New Roman" w:cs="Times New Roman" w:eastAsia="Times New Roman" w:hAnsi="Times New Roman"/>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62" w:lineRule="exact"/>
        <w:rPr>
          <w:sz w:val="20"/>
          <w:szCs w:val="20"/>
          <w:color w:val="auto"/>
        </w:rPr>
      </w:pPr>
    </w:p>
    <w:p>
      <w:pPr>
        <w:ind w:right="160" w:firstLine="898"/>
        <w:spacing w:after="0" w:line="261" w:lineRule="auto"/>
        <w:rPr>
          <w:sz w:val="20"/>
          <w:szCs w:val="20"/>
          <w:color w:val="auto"/>
        </w:rPr>
      </w:pPr>
      <w:r>
        <w:rPr>
          <w:rFonts w:ascii="Times New Roman" w:cs="Times New Roman" w:eastAsia="Times New Roman" w:hAnsi="Times New Roman"/>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on or accessible through such internet addresses is intended or deemed to be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240" w:firstLine="89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83" w:lineRule="exact"/>
        <w:rPr>
          <w:sz w:val="20"/>
          <w:szCs w:val="20"/>
          <w:color w:val="auto"/>
        </w:rPr>
      </w:pPr>
    </w:p>
    <w:p>
      <w:pPr>
        <w:ind w:right="20" w:firstLine="898"/>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207" w:lineRule="exact"/>
        <w:rPr>
          <w:sz w:val="20"/>
          <w:szCs w:val="20"/>
          <w:color w:val="auto"/>
        </w:rPr>
      </w:pPr>
    </w:p>
    <w:p>
      <w:pPr>
        <w:ind w:left="1340" w:right="200" w:hanging="333"/>
        <w:spacing w:after="0" w:line="266"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w:t>
      </w:r>
      <w:hyperlink r:id="rId60">
        <w:r>
          <w:rPr>
            <w:rFonts w:ascii="Times New Roman" w:cs="Times New Roman" w:eastAsia="Times New Roman" w:hAnsi="Times New Roman"/>
            <w:sz w:val="18"/>
            <w:szCs w:val="18"/>
            <w:u w:val="single" w:color="auto"/>
            <w:color w:val="0000EE"/>
          </w:rPr>
          <w:t>Annual Report on Form 10-K for the fiscal year ended December 31, 2019</w:t>
        </w:r>
      </w:hyperlink>
      <w:r>
        <w:rPr>
          <w:rFonts w:ascii="Times New Roman" w:cs="Times New Roman" w:eastAsia="Times New Roman" w:hAnsi="Times New Roman"/>
          <w:sz w:val="18"/>
          <w:szCs w:val="18"/>
          <w:color w:val="auto"/>
        </w:rPr>
        <w:t xml:space="preserve">, as filed with the SEC on January 22, 2020 (including the portions of the </w:t>
      </w:r>
      <w:hyperlink r:id="rId61">
        <w:r>
          <w:rPr>
            <w:rFonts w:ascii="Times New Roman" w:cs="Times New Roman" w:eastAsia="Times New Roman" w:hAnsi="Times New Roman"/>
            <w:sz w:val="18"/>
            <w:szCs w:val="18"/>
            <w:u w:val="single" w:color="auto"/>
            <w:color w:val="0000EE"/>
          </w:rPr>
          <w:t>proxy statement for the Guarantor’s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202" w:lineRule="exact"/>
        <w:rPr>
          <w:rFonts w:ascii="Times New Roman" w:cs="Times New Roman" w:eastAsia="Times New Roman" w:hAnsi="Times New Roman"/>
          <w:sz w:val="18"/>
          <w:szCs w:val="18"/>
          <w:color w:val="auto"/>
        </w:rPr>
      </w:pPr>
    </w:p>
    <w:p>
      <w:pPr>
        <w:ind w:left="1340" w:right="120" w:hanging="333"/>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Quarterly Reports on Form 10-Q for the fiscal quarters ended </w:t>
      </w:r>
      <w:hyperlink r:id="rId62">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June 30, 2020</w:t>
        </w:r>
      </w:hyperlink>
      <w:r>
        <w:rPr>
          <w:rFonts w:ascii="Times New Roman" w:cs="Times New Roman" w:eastAsia="Times New Roman" w:hAnsi="Times New Roman"/>
          <w:sz w:val="18"/>
          <w:szCs w:val="18"/>
          <w:color w:val="auto"/>
        </w:rPr>
        <w:t>, as filed with the SEC on April 22, 2020 and July 29, 2020, respectively; and</w:t>
      </w:r>
    </w:p>
    <w:p>
      <w:pPr>
        <w:spacing w:after="0" w:line="9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120" w:hanging="333"/>
        <w:spacing w:after="0" w:line="282" w:lineRule="auto"/>
        <w:tabs>
          <w:tab w:leader="none" w:pos="1340" w:val="left"/>
        </w:tabs>
        <w:numPr>
          <w:ilvl w:val="0"/>
          <w:numId w:val="28"/>
        </w:numPr>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auto"/>
          </w:rPr>
          <w:t xml:space="preserve">the Guarantor’s Current Reports on Form 8-K as filed with the SEC on </w:t>
        </w:r>
        <w:r>
          <w:rPr>
            <w:rFonts w:ascii="Times New Roman" w:cs="Times New Roman" w:eastAsia="Times New Roman" w:hAnsi="Times New Roman"/>
            <w:sz w:val="18"/>
            <w:szCs w:val="18"/>
            <w:u w:val="single" w:color="auto"/>
            <w:color w:val="0000EE"/>
          </w:rPr>
          <w:t>February 14,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17, 2020 (Item 8.01</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only)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June 16, 2020 (Item 2.05 only)</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June 26, 2020</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 xml:space="preserve">July 24, 2020 (Item 5.02 only) </w:t>
        </w:r>
      </w:hyperlink>
      <w:hyperlink r:id="rId6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11, 2020</w:t>
        </w:r>
      </w:hyperlink>
      <w:hyperlink r:id="rId65">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87" w:lineRule="exact"/>
        <w:rPr>
          <w:rFonts w:ascii="Times New Roman" w:cs="Times New Roman" w:eastAsia="Times New Roman" w:hAnsi="Times New Roman"/>
          <w:sz w:val="18"/>
          <w:szCs w:val="18"/>
          <w:color w:val="0000EE"/>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76" w:lineRule="exact"/>
        <w:rPr>
          <w:rFonts w:ascii="Times New Roman" w:cs="Times New Roman" w:eastAsia="Times New Roman" w:hAnsi="Times New Roman"/>
          <w:sz w:val="18"/>
          <w:szCs w:val="18"/>
          <w:color w:val="0000EE"/>
        </w:rPr>
      </w:pPr>
    </w:p>
    <w:p>
      <w:pPr>
        <w:ind w:right="80" w:firstLine="898"/>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76"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375-3535</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ind w:right="80" w:firstLine="898"/>
        <w:spacing w:after="0" w:line="282"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or accessible through the Guarantor’s website) is incorporated by reference into this prospectus supplement and accompanying prospectus.</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060"/>
          </w:cols>
          <w:pgMar w:left="320" w:top="455" w:right="5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82725" cy="33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Senior Debt Securities</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Schlumberger Finance Canada Ltd. (the “Company”) may, from time to time, offer to sell senior debt securities. Schlumberger Limited (the “Guarantor”), the ultimate parent company of the Company, will fully and unconditionally guarantee such senior debt securities.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securities involves risks. You should carefully consider the information in the “</w:t>
      </w:r>
      <w:hyperlink w:anchor="page51">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4 of this prospectus, including those risks incorporated by reference 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9, 2020</w:t>
      </w:r>
    </w:p>
    <w:p>
      <w:pPr>
        <w:sectPr>
          <w:pgSz w:w="11900" w:h="16838" w:orient="portrait"/>
          <w:cols w:equalWidth="0" w:num="1">
            <w:col w:w="11080"/>
          </w:cols>
          <w:pgMar w:left="320" w:top="455"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Cautionary Statement Regarding Forward-Looking Statements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Risk Factors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Experts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Finance Canada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refers to Schlumberger Limited, the ultimate parent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as described under “Where You Can Find More Information.”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Guarantor, together with its subsidiaries, is the world’s leading provider of technology for reservoir characterization, drilling, production and processing to the oil and gas industry. With product sales and services in more than 120 countries, Schlumberger supplies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Guarantor was founded in 1926 and is incorporated under the laws of Curaçao. The Guarantor is the ultimate parent of the Company.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Guarantor has executive offices in Paris, Houston, London and The Hague. The principal U.S. market for Schlumberger’s common stock is the New York Stock Exchange, where it is traded under the symbol “SLB.”</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Schlumberger Finance Canada Ltd. is incorporated in the Province of Alberta, Canada, and its executive offices are located at 200, 125 – 9th Avenue S.E., Calgary, Alberta. The Company’s principal activities are debt issuance and intercompany group financing. The Company is part of the Schlumberger Group, and all of the shares of the Company are owned indirectly by the Guarantor.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4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forecasts or expectations regarding business outlook;</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for the Schlumberger Group as a whole and for each of its segments (and for specified products or geographic areas within each segment);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response to, and preparedness for, the COVID-19 pandemic and other widespread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operating procedures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the Schlumberger Group and the oil and gas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of the Schlumberger Group and its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digital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restructuring efforts and charges recorded as a result of such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effective tax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Asset Performance Solutions projects, joint ventures and alliances;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economic and geopolitical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of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Schlumberger Group’s customers and changes in the level of oil and natural gas exploration and development;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and financial condition of the Schlumberger Group’s customers and suppliers, particularly during extended periods of low prices for crude oil and natural gas;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sufficiently monetize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future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and business conditions in key regions of the world;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effects of health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modifications, delays or cancellations;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Schlumberger Group’s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recognize intended benefits from its business strategies and initiatives, such as digital or new energy, as well as its restructuring and structural cost reduction plans;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alternative energy sources or product substitutes;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this prospectus and in the Guarantor’s most recent Forms 10-K, 10-Q, and 8-K filed with or furnished to the SEC.</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the consequences of any such development changes), or should our underlying assumptions prove incorrect, actual outcomes may vary materially from those reflected in our forward-looking statements.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both the Company and the Guarantor disclaim any intention or obligation to update publicly or revise such statements, whether as a result of new information, future events or otherwise.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2019 and the Guarantor’s Quarterly Reports on Form 10-Q for the fiscal quarters ended March 31, 2020 and June 30, 2020, respectively,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Schlumberger Investor Relations, 5599 San Felipe, 17th Floor, Houston, Texas 77056.</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80"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70" w:lineRule="exact"/>
        <w:rPr>
          <w:sz w:val="20"/>
          <w:szCs w:val="20"/>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w:t>
      </w:r>
      <w:hyperlink r:id="rId60">
        <w:r>
          <w:rPr>
            <w:rFonts w:ascii="Times New Roman" w:cs="Times New Roman" w:eastAsia="Times New Roman" w:hAnsi="Times New Roman"/>
            <w:sz w:val="18"/>
            <w:szCs w:val="18"/>
            <w:u w:val="single" w:color="auto"/>
            <w:color w:val="0000EE"/>
          </w:rPr>
          <w:t>Annual Report on Form 10-K for the fiscal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January 22, 2020 (including the portions of the </w:t>
      </w:r>
      <w:hyperlink r:id="rId61">
        <w:r>
          <w:rPr>
            <w:rFonts w:ascii="Times New Roman" w:cs="Times New Roman" w:eastAsia="Times New Roman" w:hAnsi="Times New Roman"/>
            <w:sz w:val="18"/>
            <w:szCs w:val="18"/>
            <w:u w:val="single" w:color="auto"/>
            <w:color w:val="0000EE"/>
          </w:rPr>
          <w:t>proxy statement for the Guarantor’s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Quarterly Reports on Form 10-Q for the fiscal quarters ended </w:t>
      </w:r>
      <w:hyperlink r:id="rId62">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April 22, 2020 and July 29, 2020, respectively;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4"/>
        </w:numPr>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auto"/>
          </w:rPr>
          <w:t xml:space="preserve">the Guarantor’s Current Reports on Form 8-K as filed with the SEC on </w:t>
        </w:r>
        <w:r>
          <w:rPr>
            <w:rFonts w:ascii="Times New Roman" w:cs="Times New Roman" w:eastAsia="Times New Roman" w:hAnsi="Times New Roman"/>
            <w:sz w:val="18"/>
            <w:szCs w:val="18"/>
            <w:u w:val="single" w:color="auto"/>
            <w:color w:val="0000EE"/>
          </w:rPr>
          <w:t>February 14, 2020, April 1, 2020, April 17, 2020 (Item 8.01</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 xml:space="preserve">only), </w:t>
        </w:r>
      </w:hyperlink>
      <w:hyperlink r:id="rId66">
        <w:r>
          <w:rPr>
            <w:rFonts w:ascii="Times New Roman" w:cs="Times New Roman" w:eastAsia="Times New Roman" w:hAnsi="Times New Roman"/>
            <w:sz w:val="18"/>
            <w:szCs w:val="18"/>
            <w:u w:val="single" w:color="auto"/>
            <w:color w:val="0000EE"/>
          </w:rPr>
          <w:t xml:space="preserve">June 16, 2020 (Item 2.05 only), </w:t>
        </w:r>
      </w:hyperlink>
      <w:hyperlink r:id="rId67">
        <w:r>
          <w:rPr>
            <w:rFonts w:ascii="Times New Roman" w:cs="Times New Roman" w:eastAsia="Times New Roman" w:hAnsi="Times New Roman"/>
            <w:sz w:val="18"/>
            <w:szCs w:val="18"/>
            <w:u w:val="single" w:color="auto"/>
            <w:color w:val="0000EE"/>
          </w:rPr>
          <w:t xml:space="preserve">June 26, 2020, </w:t>
        </w:r>
      </w:hyperlink>
      <w:hyperlink r:id="rId68">
        <w:r>
          <w:rPr>
            <w:rFonts w:ascii="Times New Roman" w:cs="Times New Roman" w:eastAsia="Times New Roman" w:hAnsi="Times New Roman"/>
            <w:sz w:val="18"/>
            <w:szCs w:val="18"/>
            <w:u w:val="single" w:color="auto"/>
            <w:color w:val="0000EE"/>
          </w:rPr>
          <w:t xml:space="preserve">July 24, 2020 (Item 5.02 only) </w:t>
        </w:r>
      </w:hyperlink>
      <w:hyperlink r:id="rId6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11, 2020</w:t>
        </w:r>
      </w:hyperlink>
      <w:hyperlink r:id="rId65">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87" w:lineRule="exact"/>
        <w:rPr>
          <w:rFonts w:ascii="Times New Roman" w:cs="Times New Roman" w:eastAsia="Times New Roman" w:hAnsi="Times New Roman"/>
          <w:sz w:val="18"/>
          <w:szCs w:val="18"/>
          <w:color w:val="0000EE"/>
        </w:rPr>
      </w:pPr>
    </w:p>
    <w:p>
      <w:pPr>
        <w:jc w:val="both"/>
        <w:ind w:left="120" w:right="840" w:firstLine="440"/>
        <w:spacing w:after="0" w:line="266"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0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375-3535</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or accessible through the Guarantor’s website) is incorporated by reference into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defined terms used in this description but not defined below have the meanings assigned to them in an indenture, which we refer to as the indenture, to be entered into among us, Schlumberger Limited, as guarantor, and The Bank of New York Mellon, as trustee, as may be amended, modified and/or supplemented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that we may issue will be senior debt securities that will be issued under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indenture has been filed as an exhibit to the registration statement of which this prospectus is a part. The indenture is subject to, and is governed by, the Trust Indenture Act of 1939, as amended (the “Trust Indenture Act”).</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for the following and other possible terms of each series of the debt securities with respect to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of the series to be issued;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is payable;</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agents or paying agents with respect to such series, if different from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defer the payment of interest and the duration of such extension or deferral;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by us, in whole or in part, at our option;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trustee’s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integral multiples of $1,000 in excess thereof, the denominations in which the debt securities of the series will be issuable;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of, premium, if any, and interest on, debt securities of the series will be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repurchase or remarketing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of a series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on the debt securities of the series,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debt securities of the series;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debt securities of such series if other than those appointed in the indenture;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the due and punctual payment of the principal of, and any premium and interest on, the debt securities, and all other amounts payable under the indenture when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Guarantor will:</w:t>
      </w:r>
    </w:p>
    <w:p>
      <w:pPr>
        <w:spacing w:after="0" w:line="131" w:lineRule="exact"/>
        <w:rPr>
          <w:sz w:val="20"/>
          <w:szCs w:val="20"/>
          <w:color w:val="auto"/>
        </w:rPr>
      </w:pPr>
    </w:p>
    <w:p>
      <w:pPr>
        <w:ind w:left="1080" w:right="36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of any series will be:</w:t>
      </w:r>
    </w:p>
    <w:p>
      <w:pPr>
        <w:spacing w:after="0" w:line="131" w:lineRule="exact"/>
        <w:rPr>
          <w:sz w:val="20"/>
          <w:szCs w:val="20"/>
          <w:color w:val="auto"/>
        </w:rPr>
      </w:pPr>
    </w:p>
    <w:p>
      <w:pPr>
        <w:ind w:left="1080" w:right="9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All payments made by the Company under or with respect to its debt securities, or by the Guarantor with respect to its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3" w:lineRule="exact"/>
        <w:rPr>
          <w:sz w:val="20"/>
          <w:szCs w:val="20"/>
          <w:color w:val="auto"/>
        </w:rPr>
      </w:pPr>
    </w:p>
    <w:p>
      <w:pPr>
        <w:ind w:left="120" w:hanging="4"/>
        <w:spacing w:after="0" w:line="251" w:lineRule="auto"/>
        <w:tabs>
          <w:tab w:leader="none" w:pos="3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its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8"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debt securities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1"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debt securities or the Guarantee;</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94"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debt securities with which the Company, the Guarantor or a transferee of the debt securities do not deal at arm’s length (within the meaning of the Income Tax Act (Canada)) at the time of making such payment;</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debt securities or the Guarantee that is deemed under subsection 214(6) of the Income Tax Act (Canada) to be a dividend;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above.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Guarantor, jointly and severally, will indemnify and hold harmless the holders and beneficial owners of debt securities,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debt securities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will not extend to Canadian Taxes (a) for which the applicable holder or beneficial owner would not have been eligible to receive payment of Additional Amounts hereunder by virtue of clauses (1) through (5) and (7) through (9) above (or any combination thereof) if the Company or the Guarantor had been required to withhold from such payments, (b) to the extent such holder or beneficial owner received Additional Amounts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with respect to such payments or (c) to the extent any such Canadian Taxes are computed by reference to such holder or beneficial owner’s net income, revenue, profits or capital.</w:t>
      </w:r>
    </w:p>
    <w:p>
      <w:pPr>
        <w:spacing w:after="0" w:line="162" w:lineRule="exact"/>
        <w:rPr>
          <w:sz w:val="20"/>
          <w:szCs w:val="20"/>
          <w:color w:val="auto"/>
        </w:rPr>
      </w:pPr>
    </w:p>
    <w:p>
      <w:pPr>
        <w:jc w:val="both"/>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Guarantee or any other document or instrument referred to therein.</w:t>
      </w:r>
    </w:p>
    <w:p>
      <w:pPr>
        <w:spacing w:after="0" w:line="16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If the Company or the Guarantor, as the case may be, becomes aware that it will be obligated to pay Additional Amounts with respect to any payment under or with respect to the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7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Company or the Guarantor, as the case may be, will make all withholdings and deductions required by law in respect of the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the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provision in the indenture, the debt securities or any Guarantee to the contrary, none</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of the trustee, the Registrar, any transfer agent or any Paying Agent will be required to determine the identity of a beneficial owner or be liable for any determination thereof by the Company or the Guarantor.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may redeem the debt securities (and the Guarantor may redeem any debt securities which it has guaranteed), in whole but not in part, at its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100" w:lineRule="exact"/>
        <w:rPr>
          <w:sz w:val="20"/>
          <w:szCs w:val="20"/>
          <w:color w:val="auto"/>
        </w:rPr>
      </w:pPr>
    </w:p>
    <w:p>
      <w:pPr>
        <w:ind w:left="1080" w:right="6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74"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debt securities of such series (or any Guarantee) and any political subdivision thereof or therein.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If fewer than all of the debt securities of a series are to be redeemed at any time, the trustee will select the debt securities of such series in definitive, non-global form for redemption on a pro rata basis (or, in the case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debt securities issued in global form as discussed under “—Book-Entry, Delivery and Form,” such debt securities of such series to be redeemed will be selected in accordance with the procedures of the depository therefor) unless otherwise required by law or applicable stock exchange.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indenture.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94"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any debt securities;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 of Assets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would become an event of default, shall have happened and be continuing. An officer’s certificate and an opinion of counsel will be delivered to the trustee, which will serve as conclusive evidence of compliance with these provisions.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 merger, transfer, or other transaction could be treated for U.S. federal income tax purposes as a taxable exchange by the beneficial owners of debt securities or guarantees for new securities, which could result in beneficial owners of debt securities or guarantees recognizing taxable gain or loss for U.S. federal income tax purposes. A merger, transfer, lease or other transaction could also have adverse tax consequences to beneficial owners of debt securities or guarantees under other tax laws to which the beneficial owners are subject.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debt securities, provided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w:t>
      </w:r>
    </w:p>
    <w:p>
      <w:pPr>
        <w:spacing w:after="0" w:line="112" w:lineRule="exact"/>
        <w:rPr>
          <w:sz w:val="20"/>
          <w:szCs w:val="20"/>
          <w:color w:val="auto"/>
        </w:rPr>
      </w:pPr>
    </w:p>
    <w:p>
      <w:pPr>
        <w:ind w:left="540" w:right="3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assumption of the Company’s obligations as the issuer of the debt securities by a subsidiary of the Guarantor may be treated for U.S. and Canadian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We do not expect that a taxable exchange of the Company’s debt securities for new debt securities will generally have any adverse Canadian federal income tax consequences. Beneficial owners of debt securities who are U.S. persons for U.S. federal income tax purposes should consult their tax advisors regarding the U.S. and Canadian federal, state, provincial and local, and any other relevant, income tax consequences of an assumption of the Company’s obligations as issuer of debt securities by a subsidiary of the Guarantor.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will be “Events of Default” with respect to debt securities of a particular series, except to the extent provided in the officer’s certificate and resolution of the board of directors or the supplemental indenture pursuant to which a series of debt securities is issued:</w:t>
      </w:r>
    </w:p>
    <w:p>
      <w:pPr>
        <w:spacing w:after="0" w:line="67" w:lineRule="exact"/>
        <w:rPr>
          <w:sz w:val="20"/>
          <w:szCs w:val="20"/>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any of the debt securities of such series within 30 days after such interest becomes due and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on any of the debt securities of such series at maturity, or if applicable, the redemption price, when the same become due and payable;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any of the debt securities of such series or the indenture (other than an agreement or covenant that the Company has included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sz w:val="20"/>
          <w:szCs w:val="20"/>
          <w:color w:val="auto"/>
        </w:rPr>
      </w:pPr>
    </w:p>
    <w:p>
      <w:pPr>
        <w:jc w:val="both"/>
        <w:ind w:left="1080" w:right="4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holder of debt securities of any series may pursue any remedy under the indenture applicable to the debt securities of that series only if:</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debt securities of such series then outstanding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or security reasonably satisfactory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debt securities of that series do not give the trustee a direction inconsistent with the request.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any holder to sue for enforcement of any overdue payment with respect to the debt securities of such series.</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the debt securities of such series;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the debt securities of such series.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an officer’s certificate as to its compliance with the covenants contained in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indenture that cannot be modified or amended without the consent of the holder of each outstanding debt security affected thereby).</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outstanding debt securities of any series, an amendment, supplement or waiver may not (with respect to any debt securities held by a non-consenting holder):</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any debt security of such series or change the time at which any debt security of such series may or must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any debt security of such series payable in currency other than as originally stated in such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any debt security of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such series of debt securities or the Guarantee, as applicable, by a successor upon any merger, amalgamation, consolidation or asset transfer in accordance with the requirements under “—Consolidation, Amalgamation, Merger and Sale of Assets” or to provide for the assumption of the Company’s obligations under the indenture by a subsidiary of the Guarantor in accordance with the requirements under “—Assumption by a Subsidiary” above;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of any series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debt securities or for the addition of an additional obligor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if applicable;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any outstanding series of debt securities or to surrender any rights the Company has under the indenture;</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debt securities of any series; provided that such additional debt securities have the same terms as, and will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any series of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debt securities of such series in any material respect.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81" w:lineRule="exact"/>
        <w:rPr>
          <w:sz w:val="20"/>
          <w:szCs w:val="20"/>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the debt securities of such series, except as described in the paragraph immediately below (“legal defeasance”);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any series of debt securities, the Company and the Guarantor will be deemed to have paid and discharged the entire indebtedness represented by the outstanding debt securities of such series and any related Guarantee, and to have satisfied all other obligations under such debt securities, such Guarantee and the indenture, except as to (i) the Company’s obligations to register the transfer or exchange of debt securities of such series, replace stolen, lost or mutilated debt securities, pay Additional Amounts, maintain paying agencies, and hold moneys for payment in trust, and (ii) the obligation of the Company and the Guarantor to compensate and indemnify the trustee.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covenant defeasance, certain Events of Default (not including non-payment, bankruptcy, receivership, rehabilitation and insolvency events) will no longer apply. Except as specified in the indenture, however, the remainder of the indenture and such debt securities and the related Guarantee will be unaffected by the occurrence of covenant defeasance, and such debt securities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(i) an opinion of counsel or a tax ruling to the effect that the deposit and related defeasance would not cause the beneficial owners of the debt securities of such series to recognize income, gain or loss for U.S. federal income tax purposes, and (ii) an opinion of counsel or an advance tax ruling from the Canada Revenue Agency (or successor agency) to the effect that the beneficial owners of the debt securities will not recognize income, gain, or loss for Canadian federal, provincial or territorial income tax purposes as a result of the deposit and related defeasance and will be subject to Canadian federal, provincial or territorial income or other Canadian tax on the same amounts, in the same manner, and at the same times as would have been the case if such deposit and related defeasance had not occurred. If the Company elects legal defeasance, that opinion of counsel must be based upon a ruling from the U.S. Internal Revenue Service and from the Canada Revenue Agency (or successor agency) or changes in law to that effect.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will be trustee under the indenture. The trustee performs services for the Guarantor and its subsidiaries in the ordinary course of business.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or security reasonably satisfactory to it.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Debt Securities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maintain one or more paying agents (each, a “Paying Agent”) for any debt securities we issue in the Borough of Manhattan, City of New York. Upon written notice to the trustee accompanied by an officer’s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that global security will be exchangeable for definitive securities in registered form and notify the trustee of such decision in writing.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85" w:lineRule="exact"/>
        <w:rPr>
          <w:sz w:val="20"/>
          <w:szCs w:val="20"/>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jc w:val="both"/>
        <w:ind w:left="120" w:right="260" w:firstLine="440"/>
        <w:spacing w:after="0" w:line="270" w:lineRule="auto"/>
        <w:rPr>
          <w:sz w:val="20"/>
          <w:szCs w:val="20"/>
          <w:color w:val="auto"/>
        </w:rPr>
      </w:pPr>
      <w:r>
        <w:rPr>
          <w:rFonts w:ascii="Times New Roman" w:cs="Times New Roman" w:eastAsia="Times New Roman" w:hAnsi="Times New Roman"/>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w:t>
      </w:r>
    </w:p>
    <w:p>
      <w:pPr>
        <w:spacing w:after="0" w:line="3" w:lineRule="exact"/>
        <w:rPr>
          <w:sz w:val="20"/>
          <w:szCs w:val="20"/>
          <w:color w:val="auto"/>
        </w:rPr>
      </w:pPr>
    </w:p>
    <w:p>
      <w:pPr>
        <w:ind w:left="120" w:right="280"/>
        <w:spacing w:after="0" w:line="252" w:lineRule="auto"/>
        <w:rPr>
          <w:sz w:val="20"/>
          <w:szCs w:val="20"/>
          <w:color w:val="auto"/>
        </w:rPr>
      </w:pPr>
      <w:r>
        <w:rPr>
          <w:rFonts w:ascii="Times New Roman" w:cs="Times New Roman" w:eastAsia="Times New Roman" w:hAnsi="Times New Roman"/>
          <w:sz w:val="18"/>
          <w:szCs w:val="18"/>
          <w:color w:val="auto"/>
        </w:rPr>
        <w:t>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Euroclear Operator advises us that it is regulated and examined by the Belgian banking and Finance Commission and the National Bank of Belgium.</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brokers, dealers, agents or direct purchasers and their compensation in a prospectus supplement.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debt securities and guarantees offered hereby will be passed upon for us by Gibson, Dunn &amp; Crutcher LLP, New York, New York. Certain matters of Canadian law will be passed upon by Bennett Jones, LLP, Calgary, Alberta.</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75" w:name="page76"/>
    <w:bookmarkEnd w:id="75"/>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81" w:orient="portrait"/>
          <w:cols w:equalWidth="0" w:num="1">
            <w:col w:w="10139"/>
          </w:cols>
          <w:pgMar w:left="320" w:top="4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2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1.400% Senior Notes due 2025</w:t>
      </w:r>
    </w:p>
    <w:p>
      <w:pPr>
        <w:spacing w:after="0" w:line="22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1905635</wp:posOffset>
            </wp:positionV>
            <wp:extent cx="30003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320040</wp:posOffset>
            </wp:positionV>
            <wp:extent cx="1482725" cy="334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0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PROSPECTUS</w:t>
      </w:r>
      <w:r>
        <w:rPr>
          <w:sz w:val="20"/>
          <w:szCs w:val="20"/>
          <w:color w:val="auto"/>
        </w:rPr>
        <w:tab/>
      </w:r>
      <w:r>
        <w:rPr>
          <w:rFonts w:ascii="Times New Roman" w:cs="Times New Roman" w:eastAsia="Times New Roman" w:hAnsi="Times New Roman"/>
          <w:sz w:val="17"/>
          <w:szCs w:val="17"/>
          <w:b w:val="1"/>
          <w:bCs w:val="1"/>
          <w:color w:val="auto"/>
        </w:rPr>
        <w:t>SUPPLEMENT</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165735</wp:posOffset>
            </wp:positionV>
            <wp:extent cx="3000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Morgan Stanley</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Deutsche Bank Securities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MUFG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31"/>
          <w:szCs w:val="31"/>
          <w:b w:val="1"/>
          <w:bCs w:val="1"/>
          <w:color w:val="auto"/>
        </w:rPr>
        <w:t>HSBC</w:t>
      </w: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31"/>
          <w:szCs w:val="31"/>
          <w:b w:val="1"/>
          <w:bCs w:val="1"/>
          <w:color w:val="auto"/>
        </w:rPr>
        <w:t>Natixis</w:t>
      </w:r>
    </w:p>
    <w:p>
      <w:pPr>
        <w:sectPr>
          <w:pgSz w:w="11900" w:h="16881" w:orient="portrait"/>
          <w:cols w:equalWidth="0" w:num="1">
            <w:col w:w="10139"/>
          </w:cols>
          <w:pgMar w:left="320" w:top="455" w:right="144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31"/>
          <w:szCs w:val="31"/>
          <w:b w:val="1"/>
          <w:bCs w:val="1"/>
          <w:color w:val="auto"/>
        </w:rPr>
        <w:t>SEB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Standard Chartered Bank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UniCredit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1625600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1668145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2"/>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8"/>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713"/>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713"/>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lvl w:ilvl="1">
      <w:lvlJc w:val="left"/>
      <w:lvlText w:val="(%2)"/>
      <w:numFmt w:val="decimal"/>
      <w:start w:val="1"/>
    </w:lvl>
  </w:abstractNum>
  <w:abstractNum w:abstractNumId="41">
    <w:nsid w:val="579478FE"/>
    <w:multiLevelType w:val="hybridMultilevel"/>
    <w:lvl w:ilvl="0">
      <w:lvlJc w:val="left"/>
      <w:lvlText w:val="(%1)"/>
      <w:numFmt w:val="decimal"/>
      <w:start w:val="2"/>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jpe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60" Type="http://schemas.openxmlformats.org/officeDocument/2006/relationships/hyperlink" Target="http://www.sec.gov/ix?doc=/Archives/edgar/data/87347/000156459020001578/slb-10k_20191231.htm" TargetMode="External"/><Relationship Id="rId61" Type="http://schemas.openxmlformats.org/officeDocument/2006/relationships/hyperlink" Target="http://www.sec.gov/Archives/edgar/data/87347/000130817920000009/lslb2020_def14a.htm" TargetMode="External"/><Relationship Id="rId62" Type="http://schemas.openxmlformats.org/officeDocument/2006/relationships/hyperlink" Target="http://www.sec.gov/ix?doc=/Archives/edgar/data/87347/000156459020017823/slb-10q_20200331.htm" TargetMode="External"/><Relationship Id="rId63" Type="http://schemas.openxmlformats.org/officeDocument/2006/relationships/hyperlink" Target="http://www.sec.gov/ix?doc=/Archives/edgar/data/87347/000156459020034137/slb-10q_20200630.htm" TargetMode="External"/><Relationship Id="rId65" Type="http://schemas.openxmlformats.org/officeDocument/2006/relationships/hyperlink" Target="http://www.sec.gov/ix?doc=/Archives/edgar/data/87347/000119312520109899/d905144d8k.htm" TargetMode="External"/><Relationship Id="rId66" Type="http://schemas.openxmlformats.org/officeDocument/2006/relationships/hyperlink" Target="http://www.sec.gov/ix?doc=/Archives/edgar/data/87347/000119312520170138/d944136d8k.htm" TargetMode="External"/><Relationship Id="rId67" Type="http://schemas.openxmlformats.org/officeDocument/2006/relationships/hyperlink" Target="http://www.sec.gov/ix?doc=/Archives/edgar/data/87347/000119312520180957/d925505d8k.htm" TargetMode="External"/><Relationship Id="rId68" Type="http://schemas.openxmlformats.org/officeDocument/2006/relationships/hyperlink" Target="http://www.sec.gov/ix?doc=/Archives/edgar/data/87347/000119312520198628/d79341d8k.htm" TargetMode="External"/><Relationship Id="rId69" Type="http://schemas.openxmlformats.org/officeDocument/2006/relationships/hyperlink" Target="http://www.sec.gov/ix?doc=/Archives/edgar/data/87347/000119312520216304/d92653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2020-09-11T05:13:34Z</dcterms:created>
  <dcterms:modified xsi:type="dcterms:W3CDTF">2020-09-11T05:13:34Z</dcterms:modified>
</cp:coreProperties>
</file>