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191135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900" w:type="dxa"/>
            <w:vAlign w:val="bottom"/>
          </w:tcPr>
          <w:p>
            <w:pPr>
              <w:jc w:val="center"/>
              <w:ind w:right="20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1-4601</w:t>
            </w:r>
          </w:p>
        </w:tc>
        <w:tc>
          <w:tcPr>
            <w:tcW w:w="1580" w:type="dxa"/>
            <w:vAlign w:val="bottom"/>
          </w:tcPr>
          <w:p>
            <w:pPr>
              <w:jc w:val="center"/>
              <w:ind w:left="362"/>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19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58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1900" w:type="dxa"/>
            <w:vAlign w:val="bottom"/>
          </w:tcPr>
          <w:p>
            <w:pPr>
              <w:spacing w:after="0"/>
              <w:rPr>
                <w:sz w:val="24"/>
                <w:szCs w:val="24"/>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80" w:type="dxa"/>
            <w:vAlign w:val="bottom"/>
          </w:tcPr>
          <w:p>
            <w:pPr>
              <w:spacing w:after="0"/>
              <w:rPr>
                <w:sz w:val="24"/>
                <w:szCs w:val="24"/>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80" w:type="dxa"/>
            <w:vAlign w:val="bottom"/>
          </w:tcPr>
          <w:p>
            <w:pPr>
              <w:spacing w:after="0"/>
              <w:rPr>
                <w:sz w:val="18"/>
                <w:szCs w:val="18"/>
                <w:color w:val="auto"/>
              </w:rPr>
            </w:pPr>
          </w:p>
        </w:tc>
      </w:tr>
      <w:tr>
        <w:trPr>
          <w:trHeight w:val="212"/>
        </w:trPr>
        <w:tc>
          <w:tcPr>
            <w:tcW w:w="190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80" w:type="dxa"/>
            <w:vAlign w:val="bottom"/>
          </w:tcPr>
          <w:p>
            <w:pPr>
              <w:spacing w:after="0"/>
              <w:rPr>
                <w:sz w:val="18"/>
                <w:szCs w:val="18"/>
                <w:color w:val="auto"/>
              </w:rPr>
            </w:pPr>
          </w:p>
        </w:tc>
      </w:tr>
      <w:tr>
        <w:trPr>
          <w:trHeight w:val="186"/>
        </w:trPr>
        <w:tc>
          <w:tcPr>
            <w:tcW w:w="1900" w:type="dxa"/>
            <w:vAlign w:val="bottom"/>
          </w:tcPr>
          <w:p>
            <w:pPr>
              <w:spacing w:after="0"/>
              <w:rPr>
                <w:sz w:val="16"/>
                <w:szCs w:val="16"/>
                <w:color w:val="auto"/>
              </w:rPr>
            </w:pPr>
          </w:p>
        </w:tc>
        <w:tc>
          <w:tcPr>
            <w:tcW w:w="5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80" w:type="dxa"/>
            <w:vAlign w:val="bottom"/>
          </w:tcPr>
          <w:p>
            <w:pPr>
              <w:spacing w:after="0"/>
              <w:rPr>
                <w:sz w:val="16"/>
                <w:szCs w:val="16"/>
                <w:color w:val="auto"/>
              </w:rPr>
            </w:pP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197485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On June 26, 2020, Schlumberger Investment SA (the “Issuer”) issued $900,000,000 aggregate principal amount of 2.650% Senior Notes due 2030 (the “Notes”) under a registration statement on Form S-3 under the Securities Act of 1933, as amended (the “Securities Act”). The registration statement was filed with the SEC on April 25, 2019 (Registration No. 333-231029) (the “Registration Statement”).</w:t>
      </w:r>
    </w:p>
    <w:p>
      <w:pPr>
        <w:spacing w:after="0" w:line="18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Notes are fully and unconditionally guaranteed by Schlumberger Limited (“Schlumberger”), and were sold pursuant to an underwriting agreement dated as of June 17, 2020 (the “Underwriting Agreement”), by and among (a) the Issuer and Schlumberger and (b) Citigroup Global Markets Inc., HSBC Securities (USA) Inc., J.P. Morgan Securities LLC and SG Americas Securities, LLC, as representatives of the various underwriters (collectively, the “Underwriters”). The Notes were issued under an Indenture dated as of December 3, 2013, by and among the Issuer, Schlumberger, as guarantor, and The Bank of New York Mellon, as trustee (the “Indenture”), as supplemented by a Second Supplemental Indenture dated as of June 26, 2020 by and among the Issuer, Schlumberger, as guarantor, and The Bank of New York Mellon, as trustee (the “Second Supplemental Indenture”).</w:t>
      </w:r>
    </w:p>
    <w:p>
      <w:pPr>
        <w:spacing w:after="0" w:line="16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relevant terms of the Notes, the Indenture and the Second Supplemental Indenture are further described under the caption “Description of the Notes” in the prospectus supplement dated June 17, 2020, filed with the SEC by Schlumberger on June 18, 2020, pursuant to Rule 424(b)(5) under the Securities Act and in the section entitled “Description of Debt Securities” in the base prospectus dated April 25, 2019, included in the Registration Statement. These descriptions are incorporated in this Item 8.01 by reference.</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Underwriting Agreement and the Second Supplemental Indenture (including the form of the Notes) are filed as exhibits to this Current Report on Form 8-K and incorporated by reference. The descriptions of the Underwriting Agreement and the Second Supplemental Indenture (including the form of the Notes) in this Current Report on Form 8-K are summaries and are qualified in their entirety by the terms of the Underwriting Agreement and the Second Supplemental Indenture (including the form of the Notes). Schlumberger is filing this Current Report on Form 8-K so as to file with the SEC certain items that are to be incorporated by reference into its Registration Statement.</w:t>
      </w:r>
    </w:p>
    <w:p>
      <w:pPr>
        <w:sectPr>
          <w:pgSz w:w="11900" w:h="16838" w:orient="portrait"/>
          <w:cols w:equalWidth="0" w:num="1">
            <w:col w:w="10980"/>
          </w:cols>
          <w:pgMar w:left="440" w:top="297" w:right="47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exhibits listed below are filed pursuant to Item 9.01 of this Form 8-K.</w:t>
      </w:r>
    </w:p>
    <w:p>
      <w:pPr>
        <w:spacing w:after="0" w:line="225" w:lineRule="exact"/>
        <w:rPr>
          <w:sz w:val="20"/>
          <w:szCs w:val="20"/>
          <w:color w:val="auto"/>
        </w:rPr>
      </w:pPr>
    </w:p>
    <w:p>
      <w:pPr>
        <w:ind w:left="764" w:hanging="710"/>
        <w:spacing w:after="0" w:line="277" w:lineRule="auto"/>
        <w:tabs>
          <w:tab w:leader="none" w:pos="764"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Underwriting Agreement dated June 17, 2020, by and among (a) Schlumberger Investment SA and Schlumberger Limited and (b) Citigroup</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Global Markets Inc., HSBC Securities (USA) Inc., J.P. Morgan Securities LLC and SG Americas Securities, LLC.</w:t>
        </w:r>
      </w:hyperlink>
    </w:p>
    <w:p>
      <w:pPr>
        <w:spacing w:after="0" w:line="62" w:lineRule="exact"/>
        <w:rPr>
          <w:rFonts w:ascii="Arial" w:cs="Arial" w:eastAsia="Arial" w:hAnsi="Arial"/>
          <w:sz w:val="18"/>
          <w:szCs w:val="18"/>
          <w:color w:val="auto"/>
        </w:rPr>
      </w:pPr>
    </w:p>
    <w:p>
      <w:pPr>
        <w:ind w:left="764" w:right="220" w:hanging="714"/>
        <w:spacing w:after="0" w:line="277"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41">
        <w:r>
          <w:rPr>
            <w:rFonts w:ascii="Arial" w:cs="Arial" w:eastAsia="Arial" w:hAnsi="Arial"/>
            <w:sz w:val="18"/>
            <w:szCs w:val="18"/>
            <w:u w:val="single" w:color="auto"/>
            <w:color w:val="0000EE"/>
          </w:rPr>
          <w:t>Second Supplemental Indenture dated as of June 26, 2020, among Schlumberger Investment SA, Schlumberger Limited and The Bank of</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New York Mellon, as trustee.</w:t>
        </w:r>
      </w:hyperlink>
    </w:p>
    <w:p>
      <w:pPr>
        <w:spacing w:after="0" w:line="62"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41">
        <w:r>
          <w:rPr>
            <w:rFonts w:ascii="Arial" w:cs="Arial" w:eastAsia="Arial" w:hAnsi="Arial"/>
            <w:sz w:val="16"/>
            <w:szCs w:val="16"/>
            <w:u w:val="single" w:color="auto"/>
            <w:color w:val="0000EE"/>
          </w:rPr>
          <w:t>Form of 2.650% Senior Notes due 2030 (included as Exhibit A to Exhibit 4.1).</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67">
        <w:r>
          <w:rPr>
            <w:rFonts w:ascii="Arial" w:cs="Arial" w:eastAsia="Arial" w:hAnsi="Arial"/>
            <w:sz w:val="16"/>
            <w:szCs w:val="16"/>
            <w:u w:val="single" w:color="auto"/>
            <w:color w:val="0000EE"/>
          </w:rPr>
          <w:t>Opinion of Gibson, Dunn &amp; Crutcher LLP.</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70">
        <w:r>
          <w:rPr>
            <w:rFonts w:ascii="Arial" w:cs="Arial" w:eastAsia="Arial" w:hAnsi="Arial"/>
            <w:sz w:val="16"/>
            <w:szCs w:val="16"/>
            <w:u w:val="single" w:color="auto"/>
            <w:color w:val="0000EE"/>
          </w:rPr>
          <w:t>Opinion of Loyens &amp; Loeff Luxembourg S.à r.l</w:t>
        </w:r>
        <w:r>
          <w:rPr>
            <w:rFonts w:ascii="Arial" w:cs="Arial" w:eastAsia="Arial" w:hAnsi="Arial"/>
            <w:sz w:val="16"/>
            <w:szCs w:val="16"/>
            <w:color w:val="0000EE"/>
          </w:rPr>
          <w:t>.</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5.3</w:t>
      </w:r>
      <w:r>
        <w:rPr>
          <w:sz w:val="20"/>
          <w:szCs w:val="20"/>
          <w:color w:val="auto"/>
        </w:rPr>
        <w:tab/>
      </w:r>
      <w:hyperlink w:anchor="page81">
        <w:r>
          <w:rPr>
            <w:rFonts w:ascii="Arial" w:cs="Arial" w:eastAsia="Arial" w:hAnsi="Arial"/>
            <w:sz w:val="16"/>
            <w:szCs w:val="16"/>
            <w:u w:val="single" w:color="auto"/>
            <w:color w:val="0000EE"/>
          </w:rPr>
          <w:t>Opinion of STvB Advocaten (Europe) N.V.</w:t>
        </w:r>
      </w:hyperlink>
    </w:p>
    <w:p>
      <w:pPr>
        <w:spacing w:after="0" w:line="117" w:lineRule="exact"/>
        <w:rPr>
          <w:sz w:val="20"/>
          <w:szCs w:val="20"/>
          <w:color w:val="auto"/>
        </w:rPr>
      </w:pPr>
    </w:p>
    <w:p>
      <w:pPr>
        <w:ind w:left="764" w:hanging="710"/>
        <w:spacing w:after="0"/>
        <w:tabs>
          <w:tab w:leader="none" w:pos="764" w:val="left"/>
        </w:tabs>
        <w:numPr>
          <w:ilvl w:val="0"/>
          <w:numId w:val="4"/>
        </w:numPr>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Issuer of Registered Guaranteed Debt Securities.</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67">
        <w:r>
          <w:rPr>
            <w:rFonts w:ascii="Arial" w:cs="Arial" w:eastAsia="Arial" w:hAnsi="Arial"/>
            <w:sz w:val="16"/>
            <w:szCs w:val="16"/>
            <w:u w:val="single" w:color="auto"/>
            <w:color w:val="0000EE"/>
          </w:rPr>
          <w:t>Consent of Gibson, Dunn &amp; Crutcher LLP (included in Exhibit 5.1).</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70">
        <w:r>
          <w:rPr>
            <w:rFonts w:ascii="Arial" w:cs="Arial" w:eastAsia="Arial" w:hAnsi="Arial"/>
            <w:sz w:val="16"/>
            <w:szCs w:val="16"/>
            <w:u w:val="single" w:color="auto"/>
            <w:color w:val="0000EE"/>
          </w:rPr>
          <w:t>Consent of Loyens &amp; Loeff Luxembourg S.à r.l. (included in Exhibit 5.2).</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81">
        <w:r>
          <w:rPr>
            <w:rFonts w:ascii="Arial" w:cs="Arial" w:eastAsia="Arial" w:hAnsi="Arial"/>
            <w:sz w:val="16"/>
            <w:szCs w:val="16"/>
            <w:u w:val="single" w:color="auto"/>
            <w:color w:val="0000EE"/>
          </w:rPr>
          <w:t>Consent of STvB Advocaten (Europe) N.V. (included in Exhibit 5.3).</w:t>
        </w:r>
      </w:hyperlink>
    </w:p>
    <w:p>
      <w:pPr>
        <w:spacing w:after="0" w:line="117" w:lineRule="exact"/>
        <w:rPr>
          <w:sz w:val="20"/>
          <w:szCs w:val="20"/>
          <w:color w:val="auto"/>
        </w:rPr>
      </w:pPr>
    </w:p>
    <w:p>
      <w:pPr>
        <w:ind w:left="64"/>
        <w:spacing w:after="0"/>
        <w:tabs>
          <w:tab w:leader="none" w:pos="7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64"/>
          </w:cols>
          <w:pgMar w:left="436" w:top="297" w:right="59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2020</w:t>
      </w:r>
    </w:p>
    <w:p>
      <w:pPr>
        <w:sectPr>
          <w:pgSz w:w="11900" w:h="16838" w:orient="portrait"/>
          <w:cols w:equalWidth="0" w:num="1">
            <w:col w:w="10780"/>
          </w:cols>
          <w:pgMar w:left="440" w:top="297" w:right="679" w:bottom="1440" w:gutter="0" w:footer="0" w:header="0"/>
        </w:sectPr>
      </w:pPr>
    </w:p>
    <w:bookmarkStart w:id="4" w:name="page5"/>
    <w:bookmarkEnd w:id="4"/>
    <w:p>
      <w:pPr>
        <w:spacing w:after="0" w:line="200" w:lineRule="exact"/>
        <w:rPr>
          <w:sz w:val="20"/>
          <w:szCs w:val="20"/>
          <w:color w:val="auto"/>
        </w:rPr>
      </w:pPr>
    </w:p>
    <w:p>
      <w:pPr>
        <w:spacing w:after="0" w:line="236"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SG AMERICAS SECURITIES, LLC</w:t>
      </w:r>
    </w:p>
    <w:p>
      <w:pPr>
        <w:spacing w:after="0" w:line="211"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jc w:val="center"/>
        <w:ind w:left="2800"/>
        <w:spacing w:after="0"/>
        <w:rPr>
          <w:sz w:val="20"/>
          <w:szCs w:val="20"/>
          <w:color w:val="auto"/>
        </w:rPr>
      </w:pPr>
      <w:r>
        <w:rPr>
          <w:rFonts w:ascii="Arial" w:cs="Arial" w:eastAsia="Arial" w:hAnsi="Arial"/>
          <w:sz w:val="16"/>
          <w:szCs w:val="16"/>
          <w:color w:val="auto"/>
        </w:rPr>
        <w:t>$900,000,000 2.650% Senior Notes due 2030</w:t>
      </w:r>
    </w:p>
    <w:p>
      <w:pPr>
        <w:spacing w:after="0" w:line="248"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guaranteed by</w:t>
      </w:r>
    </w:p>
    <w:p>
      <w:pPr>
        <w:spacing w:after="0" w:line="225"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u w:val="single" w:color="auto"/>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HSBC Securities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452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SG Americas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10167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June 17, 2020</w:t>
      </w:r>
    </w:p>
    <w:p>
      <w:pPr>
        <w:sectPr>
          <w:pgSz w:w="11900" w:h="16838" w:orient="portrait"/>
          <w:cols w:equalWidth="0" w:num="2">
            <w:col w:w="8200" w:space="720"/>
            <w:col w:w="210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Investment SA, a public limited liability company (société anonyme) organized under the laws of the Grand Duchy of Luxembourg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having its registered address at 42-44 Avenue de la Gare, L-1610 Luxembourg, and registered with the Luxembourg Register of Commerce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Companies under number B 163.122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issue and sell to the several Underwriters listed in Schedule 1 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Citigroup Global Markets Inc., HSBC Securities (USA) Inc., J.P. Morgan Securities LLC and SG Americas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acting as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$900,000,000 principal amount of its 2.650%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2030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will be issued pursuant to an Indenture dated as of December 3, 2013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Schlumberger Limited, a company incorporated under the laws of Curaçao, as guarantor (the “</w:t>
      </w:r>
      <w:r>
        <w:rPr>
          <w:rFonts w:ascii="Arial" w:cs="Arial" w:eastAsia="Arial" w:hAnsi="Arial"/>
          <w:sz w:val="16"/>
          <w:szCs w:val="16"/>
          <w:u w:val="single" w:color="auto"/>
          <w:color w:val="auto"/>
        </w:rPr>
        <w:t>Guarantor</w:t>
      </w:r>
      <w:r>
        <w:rPr>
          <w:rFonts w:ascii="Arial" w:cs="Arial" w:eastAsia="Arial" w:hAnsi="Arial"/>
          <w:sz w:val="16"/>
          <w:szCs w:val="16"/>
          <w:color w:val="auto"/>
        </w:rPr>
        <w:t>”), and The Bank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Mellon,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amended and supplemented by a supplemental indenture to be dated as of the Closing Date (the “</w:t>
      </w:r>
      <w:r>
        <w:rPr>
          <w:rFonts w:ascii="Arial" w:cs="Arial" w:eastAsia="Arial" w:hAnsi="Arial"/>
          <w:sz w:val="17"/>
          <w:szCs w:val="17"/>
          <w:u w:val="single" w:color="auto"/>
          <w:color w:val="auto"/>
        </w:rPr>
        <w:t>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and will be unconditionally guaranteed on an unsecured senior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Guarantor (the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and the Guarantor hereby confirm their agreement with the several Underwriters concerning the purchase and sale of the Securities, as follows:</w:t>
      </w:r>
    </w:p>
    <w:p>
      <w:pPr>
        <w:spacing w:after="0" w:line="170"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and the Guarantor have prepared and filed with the Securities and Exchange Commission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u w:val="single" w:color="auto"/>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a registration statement on Form S-3 (File No. 333-231029), including a prospectus, relating to the Securities. Such registration statement,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at the time it becomes effective, including the information, if any, deemed pursuant to Rule 430B under the Securities Act to be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as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each preliminary prospectus relating to the Securities filed with the Commission pursuant to Rule 424(b)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and the prospectus included in the Registration Statement at the time of its effectiveness that omits Rule 430 Information,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 the form first used (or made available upon request of purchasers pursuant to Rule 173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in connection with confirmation of sales of the Securities. If the Company and the Guarantor have filed an abbreviated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pursuant to Rule 462(b) under the Securities Act (the “</w:t>
      </w:r>
      <w:r>
        <w:rPr>
          <w:rFonts w:ascii="Arial" w:cs="Arial" w:eastAsia="Arial" w:hAnsi="Arial"/>
          <w:sz w:val="16"/>
          <w:szCs w:val="16"/>
          <w:u w:val="single" w:color="auto"/>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u w:val="single" w:color="auto"/>
          <w:color w:val="auto"/>
        </w:rPr>
        <w:t>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Statement</w:t>
      </w:r>
      <w:r>
        <w:rPr>
          <w:rFonts w:ascii="Arial" w:cs="Arial" w:eastAsia="Arial" w:hAnsi="Arial"/>
          <w:sz w:val="17"/>
          <w:szCs w:val="17"/>
          <w:color w:val="auto"/>
        </w:rPr>
        <w:t>” shall be deemed to include such Rule 462 Registration Statement. Any reference in this Agreement to the Registration Statement,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 or the Prospectus shall be deemed to refer to and include the documents incorporated by reference therein pursuant to Item 12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S-3 under the Securities Act, as of the effective date of the Registration Statement or the date of such Preliminary Prospectus or the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and any reference to “</w:t>
      </w:r>
      <w:r>
        <w:rPr>
          <w:rFonts w:ascii="Arial" w:cs="Arial" w:eastAsia="Arial" w:hAnsi="Arial"/>
          <w:sz w:val="16"/>
          <w:szCs w:val="16"/>
          <w:u w:val="single" w:color="auto"/>
          <w:color w:val="auto"/>
        </w:rPr>
        <w:t>amend</w:t>
      </w:r>
      <w:r>
        <w:rPr>
          <w:rFonts w:ascii="Arial" w:cs="Arial" w:eastAsia="Arial" w:hAnsi="Arial"/>
          <w:sz w:val="16"/>
          <w:szCs w:val="16"/>
          <w:color w:val="auto"/>
        </w:rPr>
        <w:t>”, “</w:t>
      </w:r>
      <w:r>
        <w:rPr>
          <w:rFonts w:ascii="Arial" w:cs="Arial" w:eastAsia="Arial" w:hAnsi="Arial"/>
          <w:sz w:val="16"/>
          <w:szCs w:val="16"/>
          <w:u w:val="single" w:color="auto"/>
          <w:color w:val="auto"/>
        </w:rPr>
        <w:t>amendment</w:t>
      </w:r>
      <w:r>
        <w:rPr>
          <w:rFonts w:ascii="Arial" w:cs="Arial" w:eastAsia="Arial" w:hAnsi="Arial"/>
          <w:sz w:val="16"/>
          <w:szCs w:val="16"/>
          <w:color w:val="auto"/>
        </w:rPr>
        <w:t>” or “</w:t>
      </w:r>
      <w:r>
        <w:rPr>
          <w:rFonts w:ascii="Arial" w:cs="Arial" w:eastAsia="Arial" w:hAnsi="Arial"/>
          <w:sz w:val="16"/>
          <w:szCs w:val="16"/>
          <w:u w:val="single" w:color="auto"/>
          <w:color w:val="auto"/>
        </w:rPr>
        <w:t>supplement</w:t>
      </w:r>
      <w:r>
        <w:rPr>
          <w:rFonts w:ascii="Arial" w:cs="Arial" w:eastAsia="Arial" w:hAnsi="Arial"/>
          <w:sz w:val="16"/>
          <w:szCs w:val="16"/>
          <w:color w:val="auto"/>
        </w:rPr>
        <w:t>” with respect to the Registration Statement, any Preliminary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Prospectus shall be deemed to refer to and include any documents filed after such date under the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meanings given to such terms in the Registration Statement and the Prospectus.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 w:name="page7"/>
    <w:bookmarkEnd w:id="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or prior to the Time of Sale (as defined below), the Company and the Guarantor had prepared the following information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Time of Sale Information</w:t>
      </w:r>
      <w:r>
        <w:rPr>
          <w:rFonts w:ascii="Arial" w:cs="Arial" w:eastAsia="Arial" w:hAnsi="Arial"/>
          <w:sz w:val="16"/>
          <w:szCs w:val="16"/>
          <w:color w:val="auto"/>
        </w:rPr>
        <w:t>”): a Preliminary Prospectus dated June 17, 2020, and each “</w:t>
      </w:r>
      <w:r>
        <w:rPr>
          <w:rFonts w:ascii="Arial" w:cs="Arial" w:eastAsia="Arial" w:hAnsi="Arial"/>
          <w:sz w:val="16"/>
          <w:szCs w:val="16"/>
          <w:u w:val="single" w:color="auto"/>
          <w:color w:val="auto"/>
        </w:rPr>
        <w:t>free-writing prospectus</w:t>
      </w:r>
      <w:r>
        <w:rPr>
          <w:rFonts w:ascii="Arial" w:cs="Arial" w:eastAsia="Arial" w:hAnsi="Arial"/>
          <w:sz w:val="16"/>
          <w:szCs w:val="16"/>
          <w:color w:val="auto"/>
        </w:rPr>
        <w:t>” (as defined pursuant to Rule 405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listed on Annex A hereto.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3:00 p.m., New York City time, on June 17, 2020.</w:t>
      </w:r>
    </w:p>
    <w:p>
      <w:pPr>
        <w:spacing w:after="0" w:line="333" w:lineRule="exact"/>
        <w:rPr>
          <w:sz w:val="20"/>
          <w:szCs w:val="20"/>
          <w:color w:val="auto"/>
        </w:rPr>
      </w:pPr>
    </w:p>
    <w:p>
      <w:pPr>
        <w:ind w:left="760" w:hanging="32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6" w:lineRule="auto"/>
        <w:tabs>
          <w:tab w:leader="none" w:pos="81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99.158% of the principal amount thereof plus accrued interest, if any, from June 26, 2020 to the Closing Date (as defined below). The Company will not be obligated to deliver any of the Securities except upon payment for all the Securities to be purchased as provided herein.</w:t>
      </w:r>
    </w:p>
    <w:p>
      <w:pPr>
        <w:spacing w:after="0" w:line="161" w:lineRule="exact"/>
        <w:rPr>
          <w:rFonts w:ascii="Arial" w:cs="Arial" w:eastAsia="Arial" w:hAnsi="Arial"/>
          <w:sz w:val="16"/>
          <w:szCs w:val="16"/>
          <w:color w:val="auto"/>
        </w:rPr>
      </w:pPr>
    </w:p>
    <w:p>
      <w:pPr>
        <w:ind w:right="20" w:firstLine="436"/>
        <w:spacing w:after="0" w:line="279" w:lineRule="auto"/>
        <w:tabs>
          <w:tab w:leader="none" w:pos="82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w:t>
      </w:r>
    </w:p>
    <w:p>
      <w:pPr>
        <w:spacing w:after="0" w:line="171" w:lineRule="exact"/>
        <w:rPr>
          <w:rFonts w:ascii="Arial" w:cs="Arial" w:eastAsia="Arial" w:hAnsi="Arial"/>
          <w:sz w:val="17"/>
          <w:szCs w:val="17"/>
          <w:color w:val="auto"/>
        </w:rPr>
      </w:pPr>
    </w:p>
    <w:p>
      <w:pPr>
        <w:ind w:firstLine="436"/>
        <w:spacing w:after="0" w:line="311"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Payment for and delivery of the Securities will be made at the offices of Davis Polk &amp; Wardwell LLP at 10:00 A.M., New York City time, on June 26, 2020,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40" w:firstLine="436"/>
        <w:spacing w:after="0" w:line="257" w:lineRule="auto"/>
        <w:tabs>
          <w:tab w:leader="none" w:pos="83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the Underwriters, of one or more global notes representing the Securities (collectively, the “</w:t>
      </w:r>
      <w:r>
        <w:rPr>
          <w:rFonts w:ascii="Arial" w:cs="Arial" w:eastAsia="Arial" w:hAnsi="Arial"/>
          <w:sz w:val="18"/>
          <w:szCs w:val="18"/>
          <w:u w:val="single" w:color="auto"/>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right="80" w:firstLine="436"/>
        <w:spacing w:after="0" w:line="269" w:lineRule="auto"/>
        <w:tabs>
          <w:tab w:leader="none" w:pos="817"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 financial advisor or a fiduciary to, or an agent of, the Company, the Guarantor or any other person. Additionally, neither the Representatives nor any other Underwriter is advising the Company, the Guarantor or any other person as to any legal, tax, investment, accounting or regulatory matters in any jurisdiction. The Company and the 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or the Guarantor or any other person.</w:t>
      </w:r>
    </w:p>
    <w:p>
      <w:pPr>
        <w:spacing w:after="0" w:line="18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3A. </w:t>
      </w:r>
      <w:r>
        <w:rPr>
          <w:rFonts w:ascii="Arial" w:cs="Arial" w:eastAsia="Arial" w:hAnsi="Arial"/>
          <w:sz w:val="18"/>
          <w:szCs w:val="18"/>
          <w:u w:val="single" w:color="auto"/>
          <w:color w:val="auto"/>
        </w:rPr>
        <w:t>Representations and Warranties of the Company and the Guarantor</w:t>
      </w:r>
      <w:r>
        <w:rPr>
          <w:rFonts w:ascii="Arial" w:cs="Arial" w:eastAsia="Arial" w:hAnsi="Arial"/>
          <w:sz w:val="18"/>
          <w:szCs w:val="18"/>
          <w:color w:val="auto"/>
        </w:rPr>
        <w:t>. The Company and the Guarantor jointly and severally represent and warrant to each Underwriter that:</w:t>
      </w:r>
    </w:p>
    <w:p>
      <w:pPr>
        <w:spacing w:after="0" w:line="170" w:lineRule="exact"/>
        <w:rPr>
          <w:sz w:val="20"/>
          <w:szCs w:val="20"/>
          <w:color w:val="auto"/>
        </w:rPr>
      </w:pPr>
    </w:p>
    <w:p>
      <w:pPr>
        <w:ind w:right="40" w:firstLine="436"/>
        <w:spacing w:after="0" w:line="273"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w:t>
      </w:r>
    </w:p>
    <w:p>
      <w:pPr>
        <w:spacing w:after="0" w:line="177" w:lineRule="exact"/>
        <w:rPr>
          <w:rFonts w:ascii="Arial" w:cs="Arial" w:eastAsia="Arial" w:hAnsi="Arial"/>
          <w:sz w:val="17"/>
          <w:szCs w:val="17"/>
          <w:color w:val="auto"/>
        </w:rPr>
      </w:pPr>
    </w:p>
    <w:p>
      <w:pPr>
        <w:ind w:right="20" w:firstLine="436"/>
        <w:spacing w:after="0" w:line="254"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Time of Sale Information</w:t>
      </w:r>
      <w:r>
        <w:rPr>
          <w:rFonts w:ascii="Arial" w:cs="Arial" w:eastAsia="Arial" w:hAnsi="Arial"/>
          <w:sz w:val="18"/>
          <w:szCs w:val="18"/>
          <w:color w:val="auto"/>
        </w:rPr>
        <w:t>. The Time of Sale Information, at the Time of Sale did not, and at the Closing Date will not, contain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94" w:lineRule="exact"/>
        <w:rPr>
          <w:rFonts w:ascii="Arial" w:cs="Arial" w:eastAsia="Arial" w:hAnsi="Arial"/>
          <w:sz w:val="18"/>
          <w:szCs w:val="18"/>
          <w:color w:val="auto"/>
        </w:rPr>
      </w:pPr>
    </w:p>
    <w:p>
      <w:pPr>
        <w:ind w:firstLine="436"/>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The Company (including its agents and representatives, other than the Underwriters in their capacity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prepared, made, used, authorized, approved or referred to and will not prepare, make, use, authorize, approve or refer to any “</w:t>
      </w:r>
      <w:r>
        <w:rPr>
          <w:rFonts w:ascii="Arial" w:cs="Arial" w:eastAsia="Arial" w:hAnsi="Arial"/>
          <w:sz w:val="17"/>
          <w:szCs w:val="17"/>
          <w:u w:val="single" w:color="auto"/>
          <w:color w:val="auto"/>
        </w:rPr>
        <w:t>written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communication</w:t>
      </w:r>
      <w:r>
        <w:rPr>
          <w:rFonts w:ascii="Arial" w:cs="Arial" w:eastAsia="Arial" w:hAnsi="Arial"/>
          <w:sz w:val="17"/>
          <w:szCs w:val="17"/>
          <w:color w:val="auto"/>
        </w:rPr>
        <w:t>” (as defined in Rule 405 under the Securities Act) that constitutes an offer to sell or solicitation of an offer to buy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(each such communication by the Company or its agents and representatives (other than a communication referred to in clauses (i), (ii), (iii) and (iv) below)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w:t>
      </w:r>
    </w:p>
    <w:p>
      <w:pPr>
        <w:spacing w:after="0" w:line="172" w:lineRule="exact"/>
        <w:rPr>
          <w:sz w:val="20"/>
          <w:szCs w:val="20"/>
          <w:color w:val="auto"/>
        </w:rPr>
      </w:pPr>
    </w:p>
    <w:p>
      <w:pPr>
        <w:ind w:firstLine="436"/>
        <w:spacing w:after="0" w:line="285" w:lineRule="auto"/>
        <w:tabs>
          <w:tab w:leader="none" w:pos="83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is an “automatic shelf registration statement” as defined under Rule 405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left="-40" w:firstLine="436"/>
        <w:spacing w:after="0" w:line="273"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Organization and Good Standing of the Company</w:t>
      </w:r>
      <w:r>
        <w:rPr>
          <w:rFonts w:ascii="Arial" w:cs="Arial" w:eastAsia="Arial" w:hAnsi="Arial"/>
          <w:sz w:val="17"/>
          <w:szCs w:val="17"/>
          <w:color w:val="auto"/>
        </w:rPr>
        <w:t>. The Company has been duly incorporated, is validly existing as a corporation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to the extent applicable,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0" w:right="20" w:firstLine="436"/>
        <w:spacing w:after="0" w:line="30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Due Authorization</w:t>
      </w:r>
      <w:r>
        <w:rPr>
          <w:rFonts w:ascii="Arial" w:cs="Arial" w:eastAsia="Arial" w:hAnsi="Arial"/>
          <w:sz w:val="16"/>
          <w:szCs w:val="16"/>
          <w:color w:val="auto"/>
        </w:rPr>
        <w:t>. The Company has all requisite right, power and authority to execute and deliver the Securities, and the Company has all</w:t>
      </w:r>
      <w:r>
        <w:rPr>
          <w:rFonts w:ascii="Arial" w:cs="Arial" w:eastAsia="Arial" w:hAnsi="Arial"/>
          <w:sz w:val="16"/>
          <w:szCs w:val="16"/>
          <w:i w:val="1"/>
          <w:iCs w:val="1"/>
          <w:color w:val="auto"/>
        </w:rPr>
        <w:t xml:space="preserve"> </w:t>
      </w:r>
      <w:r>
        <w:rPr>
          <w:rFonts w:ascii="Arial" w:cs="Arial" w:eastAsia="Arial" w:hAnsi="Arial"/>
          <w:sz w:val="16"/>
          <w:szCs w:val="16"/>
          <w:color w:val="auto"/>
        </w:rPr>
        <w:t>requisite right, power and authority to execute and deliver this Agreement and the Indenture (collectively,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w:t>
      </w:r>
    </w:p>
    <w:p>
      <w:pPr>
        <w:spacing w:after="0" w:line="157" w:lineRule="exact"/>
        <w:rPr>
          <w:rFonts w:ascii="Arial" w:cs="Arial" w:eastAsia="Arial" w:hAnsi="Arial"/>
          <w:sz w:val="16"/>
          <w:szCs w:val="16"/>
          <w:color w:val="auto"/>
        </w:rPr>
      </w:pPr>
    </w:p>
    <w:p>
      <w:pPr>
        <w:ind w:left="-40" w:right="180" w:firstLine="436"/>
        <w:spacing w:after="0" w:line="259" w:lineRule="auto"/>
        <w:tabs>
          <w:tab w:leader="none" w:pos="79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Base Indenture. </w:t>
      </w:r>
      <w:r>
        <w:rPr>
          <w:rFonts w:ascii="Arial" w:cs="Arial" w:eastAsia="Arial" w:hAnsi="Arial"/>
          <w:sz w:val="18"/>
          <w:szCs w:val="18"/>
          <w:color w:val="auto"/>
        </w:rPr>
        <w:t>The Base Indenture has been duly authorized, executed and delivered by, and is a valid and binding agreement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0" w:firstLine="436"/>
        <w:spacing w:after="0" w:line="263" w:lineRule="auto"/>
        <w:tabs>
          <w:tab w:leader="none" w:pos="79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Second Supplemental Indenture. </w:t>
      </w:r>
      <w:r>
        <w:rPr>
          <w:rFonts w:ascii="Arial" w:cs="Arial" w:eastAsia="Arial" w:hAnsi="Arial"/>
          <w:sz w:val="18"/>
          <w:szCs w:val="18"/>
          <w:color w:val="auto"/>
        </w:rPr>
        <w:t>The Second Supplemental Indenture has been duly authorized and, when executed and delivered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be a valid and binding agreement of the Company (assuming the due authorization, execution and delivery of the other parties thereto), enforceable in accordance with its terms, subject to the Enforceability Exceptions.</w:t>
      </w:r>
    </w:p>
    <w:p>
      <w:pPr>
        <w:spacing w:after="0" w:line="183" w:lineRule="exact"/>
        <w:rPr>
          <w:rFonts w:ascii="Arial" w:cs="Arial" w:eastAsia="Arial" w:hAnsi="Arial"/>
          <w:sz w:val="18"/>
          <w:szCs w:val="18"/>
          <w:color w:val="auto"/>
        </w:rPr>
      </w:pPr>
    </w:p>
    <w:p>
      <w:pPr>
        <w:ind w:left="-40" w:right="80" w:firstLine="436"/>
        <w:spacing w:after="0" w:line="259" w:lineRule="auto"/>
        <w:tabs>
          <w:tab w:leader="none" w:pos="75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have been duly authorized by the Company and, when executed and authenticated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w:t>
      </w:r>
    </w:p>
    <w:p>
      <w:pPr>
        <w:spacing w:after="0" w:line="186" w:lineRule="exact"/>
        <w:rPr>
          <w:rFonts w:ascii="Arial" w:cs="Arial" w:eastAsia="Arial" w:hAnsi="Arial"/>
          <w:sz w:val="18"/>
          <w:szCs w:val="18"/>
          <w:color w:val="auto"/>
        </w:rPr>
      </w:pPr>
    </w:p>
    <w:p>
      <w:pPr>
        <w:ind w:left="740" w:hanging="344"/>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left="-40" w:right="640" w:firstLine="436"/>
        <w:spacing w:after="0" w:line="277" w:lineRule="auto"/>
        <w:tabs>
          <w:tab w:leader="none" w:pos="79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each of the Registration Statement, the Time of Sale Information and the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4" w:right="499" w:bottom="1440" w:gutter="0" w:footer="0" w:header="0"/>
        </w:sectPr>
      </w:pPr>
    </w:p>
    <w:bookmarkStart w:id="10" w:name="page11"/>
    <w:bookmarkEnd w:id="10"/>
    <w:p>
      <w:pPr>
        <w:ind w:left="-60" w:right="20" w:firstLine="436"/>
        <w:spacing w:after="0" w:line="293" w:lineRule="auto"/>
        <w:tabs>
          <w:tab w:leader="none" w:pos="73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Violation or Default</w:t>
      </w:r>
      <w:r>
        <w:rPr>
          <w:rFonts w:ascii="Arial" w:cs="Arial" w:eastAsia="Arial" w:hAnsi="Arial"/>
          <w:sz w:val="16"/>
          <w:szCs w:val="16"/>
          <w:color w:val="auto"/>
        </w:rPr>
        <w:t>. The Company is not (i) in violation of its charter or by-laws or similar organizational documents; (ii) in default, and</w:t>
      </w:r>
      <w:r>
        <w:rPr>
          <w:rFonts w:ascii="Arial" w:cs="Arial" w:eastAsia="Arial" w:hAnsi="Arial"/>
          <w:sz w:val="16"/>
          <w:szCs w:val="16"/>
          <w:i w:val="1"/>
          <w:iCs w:val="1"/>
          <w:color w:val="auto"/>
        </w:rPr>
        <w:t xml:space="preserve"> </w:t>
      </w:r>
      <w:r>
        <w:rPr>
          <w:rFonts w:ascii="Arial" w:cs="Arial" w:eastAsia="Arial" w:hAnsi="Arial"/>
          <w:sz w:val="16"/>
          <w:szCs w:val="16"/>
          <w:color w:val="auto"/>
        </w:rPr>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64" w:lineRule="exact"/>
        <w:rPr>
          <w:rFonts w:ascii="Arial" w:cs="Arial" w:eastAsia="Arial" w:hAnsi="Arial"/>
          <w:sz w:val="16"/>
          <w:szCs w:val="16"/>
          <w:color w:val="auto"/>
        </w:rPr>
      </w:pPr>
    </w:p>
    <w:p>
      <w:pPr>
        <w:ind w:left="-60" w:right="20" w:firstLine="436"/>
        <w:spacing w:after="0" w:line="290"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No Conflicts; No Consents Required</w:t>
      </w:r>
      <w:r>
        <w:rPr>
          <w:rFonts w:ascii="Arial" w:cs="Arial" w:eastAsia="Arial" w:hAnsi="Arial"/>
          <w:sz w:val="16"/>
          <w:szCs w:val="16"/>
          <w:color w:val="auto"/>
        </w:rPr>
        <w:t>. The execution and delivery by the Company of, and the performance by the Company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this Agreement, the Indenture and the Securities will not contravene (i) any provision of applicable law; (ii) the articles of incorporation or by-laws of the Company; (iii) any agreement or other instrument binding upon the Company; or (iv) any judgment, order or decree of any governmental body, agency or court having jurisdiction over the Company,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such as may be required by the securities or Blue Sky laws of the various states of the United States of America or comparable laws of other jurisdictions in connection with the offer and sale of the Securities.</w:t>
      </w:r>
    </w:p>
    <w:p>
      <w:pPr>
        <w:spacing w:after="0" w:line="165" w:lineRule="exact"/>
        <w:rPr>
          <w:rFonts w:ascii="Arial" w:cs="Arial" w:eastAsia="Arial" w:hAnsi="Arial"/>
          <w:sz w:val="16"/>
          <w:szCs w:val="16"/>
          <w:color w:val="auto"/>
        </w:rPr>
      </w:pPr>
    </w:p>
    <w:p>
      <w:pPr>
        <w:ind w:left="-60" w:firstLine="436"/>
        <w:spacing w:after="0" w:line="257" w:lineRule="auto"/>
        <w:tabs>
          <w:tab w:leader="none" w:pos="77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There are no legal or governmental proceedings pending or, to the knowledge of the Company, threatened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a party or to which any of the properties of the Company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Prospectus.</w:t>
      </w:r>
    </w:p>
    <w:p>
      <w:pPr>
        <w:spacing w:after="0" w:line="187" w:lineRule="exact"/>
        <w:rPr>
          <w:rFonts w:ascii="Arial" w:cs="Arial" w:eastAsia="Arial" w:hAnsi="Arial"/>
          <w:sz w:val="18"/>
          <w:szCs w:val="18"/>
          <w:color w:val="auto"/>
        </w:rPr>
      </w:pPr>
    </w:p>
    <w:p>
      <w:pPr>
        <w:ind w:left="-60" w:right="40" w:firstLine="436"/>
        <w:spacing w:after="0" w:line="263" w:lineRule="auto"/>
        <w:tabs>
          <w:tab w:leader="none" w:pos="77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and, after giving effect to the offering and sale of the Securities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each of the Registration Statement, the Time of Sale Information and the Prospectus, will be exempt from regulation as an “investment company” as such term is defined in the Investment Company Act of 1940, as amended.</w:t>
      </w:r>
    </w:p>
    <w:p>
      <w:pPr>
        <w:spacing w:after="0" w:line="183" w:lineRule="exact"/>
        <w:rPr>
          <w:rFonts w:ascii="Arial" w:cs="Arial" w:eastAsia="Arial" w:hAnsi="Arial"/>
          <w:sz w:val="18"/>
          <w:szCs w:val="18"/>
          <w:color w:val="auto"/>
        </w:rPr>
      </w:pPr>
    </w:p>
    <w:p>
      <w:pPr>
        <w:ind w:left="-60" w:right="40" w:firstLine="436"/>
        <w:spacing w:after="0" w:line="277" w:lineRule="auto"/>
        <w:tabs>
          <w:tab w:leader="none" w:pos="77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has not taken, directly or indirectly, any action designed to or that would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500" w:top="274" w:right="499" w:bottom="1440" w:gutter="0" w:footer="0" w:header="0"/>
        </w:sectPr>
      </w:pPr>
    </w:p>
    <w:bookmarkStart w:id="11" w:name="page12"/>
    <w:bookmarkEnd w:id="11"/>
    <w:p>
      <w:pPr>
        <w:ind w:left="42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3B.</w:t>
      </w:r>
      <w:r>
        <w:rPr>
          <w:sz w:val="20"/>
          <w:szCs w:val="20"/>
          <w:color w:val="auto"/>
        </w:rPr>
        <w:tab/>
      </w:r>
      <w:r>
        <w:rPr>
          <w:rFonts w:ascii="Arial" w:cs="Arial" w:eastAsia="Arial" w:hAnsi="Arial"/>
          <w:sz w:val="16"/>
          <w:szCs w:val="16"/>
          <w:u w:val="single" w:color="auto"/>
          <w:color w:val="auto"/>
        </w:rPr>
        <w:t>Representations and Warranties of the Guarantor</w:t>
      </w:r>
      <w:r>
        <w:rPr>
          <w:rFonts w:ascii="Arial" w:cs="Arial" w:eastAsia="Arial" w:hAnsi="Arial"/>
          <w:sz w:val="16"/>
          <w:szCs w:val="16"/>
          <w:color w:val="auto"/>
        </w:rPr>
        <w:t>. The Guarantor represents and warrants to each Underwriter that:</w:t>
      </w:r>
    </w:p>
    <w:p>
      <w:pPr>
        <w:spacing w:after="0" w:line="225" w:lineRule="exact"/>
        <w:rPr>
          <w:sz w:val="20"/>
          <w:szCs w:val="20"/>
          <w:color w:val="auto"/>
        </w:rPr>
      </w:pPr>
    </w:p>
    <w:p>
      <w:pPr>
        <w:ind w:left="-20" w:right="20" w:firstLine="436"/>
        <w:spacing w:after="0" w:line="273"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w:t>
      </w:r>
    </w:p>
    <w:p>
      <w:pPr>
        <w:spacing w:after="0" w:line="177" w:lineRule="exact"/>
        <w:rPr>
          <w:rFonts w:ascii="Arial" w:cs="Arial" w:eastAsia="Arial" w:hAnsi="Arial"/>
          <w:sz w:val="17"/>
          <w:szCs w:val="17"/>
          <w:color w:val="auto"/>
        </w:rPr>
      </w:pPr>
    </w:p>
    <w:p>
      <w:pPr>
        <w:ind w:left="-20" w:firstLine="436"/>
        <w:spacing w:after="0" w:line="254" w:lineRule="auto"/>
        <w:tabs>
          <w:tab w:leader="none" w:pos="81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Time of Sale Information</w:t>
      </w:r>
      <w:r>
        <w:rPr>
          <w:rFonts w:ascii="Arial" w:cs="Arial" w:eastAsia="Arial" w:hAnsi="Arial"/>
          <w:sz w:val="18"/>
          <w:szCs w:val="18"/>
          <w:color w:val="auto"/>
        </w:rPr>
        <w:t>. The Time of Sale Information, at the Time of Sale did not, and at the Closing Date will not, contain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94" w:lineRule="exact"/>
        <w:rPr>
          <w:rFonts w:ascii="Arial" w:cs="Arial" w:eastAsia="Arial" w:hAnsi="Arial"/>
          <w:sz w:val="18"/>
          <w:szCs w:val="18"/>
          <w:color w:val="auto"/>
        </w:rPr>
      </w:pPr>
    </w:p>
    <w:p>
      <w:pPr>
        <w:ind w:left="-20" w:right="60" w:firstLine="436"/>
        <w:spacing w:after="0" w:line="287"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The Company and the Guarantor (including their agents and representatives, other than the Underwriters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capacity as such) have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12" w:name="page13"/>
    <w:bookmarkEnd w:id="12"/>
    <w:p>
      <w:pPr>
        <w:ind w:firstLine="436"/>
        <w:spacing w:after="0" w:line="268" w:lineRule="auto"/>
        <w:tabs>
          <w:tab w:leader="none" w:pos="83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Registration Statement and Prospectus. </w:t>
      </w:r>
      <w:r>
        <w:rPr>
          <w:rFonts w:ascii="Arial" w:cs="Arial" w:eastAsia="Arial" w:hAnsi="Arial"/>
          <w:sz w:val="17"/>
          <w:szCs w:val="17"/>
          <w:color w:val="auto"/>
        </w:rPr>
        <w:t>The Registration Statement is an “automatic shelf registration statement” as defined under Rule 405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w:t>
      </w:r>
    </w:p>
    <w:p>
      <w:pPr>
        <w:spacing w:after="0" w:line="181" w:lineRule="exact"/>
        <w:rPr>
          <w:rFonts w:ascii="Arial" w:cs="Arial" w:eastAsia="Arial" w:hAnsi="Arial"/>
          <w:sz w:val="17"/>
          <w:szCs w:val="17"/>
          <w:color w:val="auto"/>
        </w:rPr>
      </w:pPr>
    </w:p>
    <w:p>
      <w:pPr>
        <w:ind w:right="20" w:firstLine="436"/>
        <w:spacing w:after="0" w:line="293"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Incorporated Documents. </w:t>
      </w:r>
      <w:r>
        <w:rPr>
          <w:rFonts w:ascii="Arial" w:cs="Arial" w:eastAsia="Arial" w:hAnsi="Arial"/>
          <w:sz w:val="16"/>
          <w:szCs w:val="16"/>
          <w:color w:val="auto"/>
        </w:rPr>
        <w:t>The documents incorporated by reference in each of the Registration Statement, the Prospectus and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Sale Information, when filed with the Commission, conformed or will conform, as the case may be, in all material respects to the requirements of the Securities Act or the Exchange Act, as applicable, and, when read together with the other information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right="40" w:firstLine="436"/>
        <w:spacing w:after="0" w:line="255"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and the related notes thereto of the Guarantor and its consolidated subsidiaries included or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 each of the Registration Statement, the Time of Sale Information and the Prospectus comply as to form in all material respects with the applicable accounting requirements of the Securities Act and the Securities Exchange Act of 1934, as amended, and the rules and regulations of the Commission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as applicable, and present fairly in all material respects the financial position of the Guarantor and its consolidated subsidiaries as of the dates indicated and the results of their operations and the changes in their cash flows for the periods specified; such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statements have been prepared in conformity with generally accepted accounting principles applied on a consistent basis throughout the periods covered 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w:t>
      </w:r>
    </w:p>
    <w:p>
      <w:pPr>
        <w:spacing w:after="0" w:line="178" w:lineRule="exact"/>
        <w:rPr>
          <w:sz w:val="20"/>
          <w:szCs w:val="20"/>
          <w:color w:val="auto"/>
        </w:rPr>
      </w:pPr>
    </w:p>
    <w:p>
      <w:pPr>
        <w:ind w:right="80" w:firstLine="436"/>
        <w:spacing w:after="0" w:line="259" w:lineRule="auto"/>
        <w:tabs>
          <w:tab w:leader="none" w:pos="83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There has not occurred any material adverse change, in the financial condition, or in the earnings, business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w:t>
      </w:r>
    </w:p>
    <w:p>
      <w:pPr>
        <w:spacing w:after="0" w:line="186" w:lineRule="exact"/>
        <w:rPr>
          <w:rFonts w:ascii="Arial" w:cs="Arial" w:eastAsia="Arial" w:hAnsi="Arial"/>
          <w:sz w:val="18"/>
          <w:szCs w:val="18"/>
          <w:color w:val="auto"/>
        </w:rPr>
      </w:pPr>
    </w:p>
    <w:p>
      <w:pPr>
        <w:ind w:firstLine="436"/>
        <w:spacing w:after="0" w:line="255" w:lineRule="auto"/>
        <w:tabs>
          <w:tab w:leader="none" w:pos="83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of the Company and the Guarantor. </w:t>
      </w:r>
      <w:r>
        <w:rPr>
          <w:rFonts w:ascii="Arial" w:cs="Arial" w:eastAsia="Arial" w:hAnsi="Arial"/>
          <w:sz w:val="18"/>
          <w:szCs w:val="18"/>
          <w:color w:val="auto"/>
        </w:rPr>
        <w:t>Each of the Company and the Guarantor has been duly incorporated, is</w:t>
      </w:r>
      <w:r>
        <w:rPr>
          <w:rFonts w:ascii="Arial" w:cs="Arial" w:eastAsia="Arial" w:hAnsi="Arial"/>
          <w:sz w:val="18"/>
          <w:szCs w:val="18"/>
          <w:i w:val="1"/>
          <w:iCs w:val="1"/>
          <w:color w:val="auto"/>
        </w:rPr>
        <w:t xml:space="preserve"> </w:t>
      </w:r>
      <w:r>
        <w:rPr>
          <w:rFonts w:ascii="Arial" w:cs="Arial" w:eastAsia="Arial" w:hAnsi="Arial"/>
          <w:sz w:val="18"/>
          <w:szCs w:val="18"/>
          <w:color w:val="auto"/>
        </w:rPr>
        <w:t>validly existing as a corporation in good standing, to the extent applicable, under the laws of the jurisdiction of its incorporation, has the corporate power and authority to own its respective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w:t>
      </w:r>
    </w:p>
    <w:p>
      <w:pPr>
        <w:spacing w:after="0" w:line="192" w:lineRule="exact"/>
        <w:rPr>
          <w:rFonts w:ascii="Arial" w:cs="Arial" w:eastAsia="Arial" w:hAnsi="Arial"/>
          <w:sz w:val="18"/>
          <w:szCs w:val="18"/>
          <w:color w:val="auto"/>
        </w:rPr>
      </w:pPr>
    </w:p>
    <w:p>
      <w:pPr>
        <w:ind w:right="20" w:firstLine="436"/>
        <w:spacing w:after="0" w:line="269" w:lineRule="auto"/>
        <w:tabs>
          <w:tab w:leader="none" w:pos="79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of the Guarantor’s Significant Subsidiaries; Capitalization. </w:t>
      </w:r>
      <w:r>
        <w:rPr>
          <w:rFonts w:ascii="Arial" w:cs="Arial" w:eastAsia="Arial" w:hAnsi="Arial"/>
          <w:sz w:val="17"/>
          <w:szCs w:val="17"/>
          <w:color w:val="auto"/>
        </w:rPr>
        <w:t>Each significant subsidiary of the Guarantor</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have been duly and validly authorized and issued, are fully paid and non-assessable and are owned directly or indirectly by the Guarantor, free and clear of all liens, encumbrances, equities or claims (except for such liens, encumbrances, equities or claims as are not, individually or in the aggregate, material to the ownership, use or value thereof or as disclosed in the Registration Statement, the Time of Sale Information and the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4" w:name="page15"/>
    <w:bookmarkEnd w:id="14"/>
    <w:p>
      <w:pPr>
        <w:ind w:left="-60" w:right="40" w:firstLine="436"/>
        <w:spacing w:after="0" w:line="279" w:lineRule="auto"/>
        <w:tabs>
          <w:tab w:leader="none" w:pos="73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Due Authorization. </w:t>
      </w:r>
      <w:r>
        <w:rPr>
          <w:rFonts w:ascii="Arial" w:cs="Arial" w:eastAsia="Arial" w:hAnsi="Arial"/>
          <w:sz w:val="17"/>
          <w:szCs w:val="17"/>
          <w:color w:val="auto"/>
        </w:rPr>
        <w:t>The Company has all requisite right, power and authority to execute and deliver the Securities, and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have all requisite right, power and authority to execute and deliver the Transaction Documents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w:t>
      </w:r>
    </w:p>
    <w:p>
      <w:pPr>
        <w:spacing w:after="0" w:line="171" w:lineRule="exact"/>
        <w:rPr>
          <w:rFonts w:ascii="Arial" w:cs="Arial" w:eastAsia="Arial" w:hAnsi="Arial"/>
          <w:sz w:val="17"/>
          <w:szCs w:val="17"/>
          <w:color w:val="auto"/>
        </w:rPr>
      </w:pPr>
    </w:p>
    <w:p>
      <w:pPr>
        <w:ind w:left="-60" w:right="160" w:firstLine="436"/>
        <w:spacing w:after="0" w:line="263" w:lineRule="auto"/>
        <w:tabs>
          <w:tab w:leader="none" w:pos="7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Base Indenture</w:t>
      </w:r>
      <w:r>
        <w:rPr>
          <w:rFonts w:ascii="Arial" w:cs="Arial" w:eastAsia="Arial" w:hAnsi="Arial"/>
          <w:sz w:val="18"/>
          <w:szCs w:val="18"/>
          <w:color w:val="auto"/>
        </w:rPr>
        <w:t>. The Base Indenture has been duly authorized, executed and delivered by, and is a valid and binding agreement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 Guarantor (assuming the due authorization, execution and delivery of the other parties thereto), enforceable in accordance with its terms, subject to the Enforceability Exceptions.</w:t>
      </w:r>
    </w:p>
    <w:p>
      <w:pPr>
        <w:spacing w:after="0" w:line="183" w:lineRule="exact"/>
        <w:rPr>
          <w:rFonts w:ascii="Arial" w:cs="Arial" w:eastAsia="Arial" w:hAnsi="Arial"/>
          <w:sz w:val="18"/>
          <w:szCs w:val="18"/>
          <w:color w:val="auto"/>
        </w:rPr>
      </w:pPr>
    </w:p>
    <w:p>
      <w:pPr>
        <w:ind w:left="-60" w:right="20" w:firstLine="436"/>
        <w:spacing w:after="0" w:line="311" w:lineRule="auto"/>
        <w:tabs>
          <w:tab w:leader="none" w:pos="73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The Second Supplemental Indenture. </w:t>
      </w:r>
      <w:r>
        <w:rPr>
          <w:rFonts w:ascii="Arial" w:cs="Arial" w:eastAsia="Arial" w:hAnsi="Arial"/>
          <w:sz w:val="16"/>
          <w:szCs w:val="16"/>
          <w:color w:val="auto"/>
        </w:rPr>
        <w:t>The Second Supplemental Indenture has been duly authorized and, when executed and delivered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Guarantor, will be a valid and binding agreement of the Company and the Guarantor (assuming the due authorization, execution and delivery of the other parties thereto), enforceable in accordance with its terms, subject to the Enforceability Exceptions.</w:t>
      </w:r>
    </w:p>
    <w:p>
      <w:pPr>
        <w:spacing w:after="0" w:line="148" w:lineRule="exact"/>
        <w:rPr>
          <w:rFonts w:ascii="Arial" w:cs="Arial" w:eastAsia="Arial" w:hAnsi="Arial"/>
          <w:sz w:val="16"/>
          <w:szCs w:val="16"/>
          <w:color w:val="auto"/>
        </w:rPr>
      </w:pPr>
    </w:p>
    <w:p>
      <w:pPr>
        <w:ind w:left="-60" w:right="20" w:firstLine="436"/>
        <w:spacing w:after="0" w:line="272"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The Securities and the Guarantee</w:t>
      </w:r>
      <w:r>
        <w:rPr>
          <w:rFonts w:ascii="Arial" w:cs="Arial" w:eastAsia="Arial" w:hAnsi="Arial"/>
          <w:sz w:val="17"/>
          <w:szCs w:val="17"/>
          <w:color w:val="auto"/>
        </w:rPr>
        <w:t>. The Securities have been duly authorized by the Company and, when executed and authenticated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 has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w:t>
      </w:r>
    </w:p>
    <w:p>
      <w:pPr>
        <w:spacing w:after="0" w:line="177" w:lineRule="exact"/>
        <w:rPr>
          <w:rFonts w:ascii="Arial" w:cs="Arial" w:eastAsia="Arial" w:hAnsi="Arial"/>
          <w:sz w:val="17"/>
          <w:szCs w:val="17"/>
          <w:color w:val="auto"/>
        </w:rPr>
      </w:pPr>
    </w:p>
    <w:p>
      <w:pPr>
        <w:ind w:left="760" w:hanging="384"/>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Underwriting Agreement</w:t>
      </w:r>
      <w:r>
        <w:rPr>
          <w:rFonts w:ascii="Arial" w:cs="Arial" w:eastAsia="Arial" w:hAnsi="Arial"/>
          <w:sz w:val="17"/>
          <w:szCs w:val="17"/>
          <w:color w:val="auto"/>
        </w:rPr>
        <w:t>. This Agreement has been duly authorized, executed and delivered by the Company and the Guarantor.</w:t>
      </w:r>
    </w:p>
    <w:p>
      <w:pPr>
        <w:spacing w:after="0" w:line="236" w:lineRule="exact"/>
        <w:rPr>
          <w:rFonts w:ascii="Arial" w:cs="Arial" w:eastAsia="Arial" w:hAnsi="Arial"/>
          <w:sz w:val="17"/>
          <w:szCs w:val="17"/>
          <w:color w:val="auto"/>
        </w:rPr>
      </w:pPr>
    </w:p>
    <w:p>
      <w:pPr>
        <w:ind w:left="-60" w:right="620" w:firstLine="436"/>
        <w:spacing w:after="0" w:line="277" w:lineRule="auto"/>
        <w:tabs>
          <w:tab w:leader="none" w:pos="7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each of the Registration Statement, the Time of Sale Information and the Prospectus.</w:t>
      </w:r>
    </w:p>
    <w:p>
      <w:pPr>
        <w:spacing w:after="0" w:line="170" w:lineRule="exact"/>
        <w:rPr>
          <w:rFonts w:ascii="Arial" w:cs="Arial" w:eastAsia="Arial" w:hAnsi="Arial"/>
          <w:sz w:val="18"/>
          <w:szCs w:val="18"/>
          <w:color w:val="auto"/>
        </w:rPr>
      </w:pPr>
    </w:p>
    <w:p>
      <w:pPr>
        <w:ind w:left="-60" w:firstLine="436"/>
        <w:spacing w:after="0" w:line="257" w:lineRule="auto"/>
        <w:tabs>
          <w:tab w:leader="none" w:pos="7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None of the Company, the Guarantor, nor any of the Guarantor’s significant subsidiaries is (i) in violation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00" w:top="274" w:right="519" w:bottom="1440" w:gutter="0" w:footer="0" w:header="0"/>
        </w:sectPr>
      </w:pPr>
    </w:p>
    <w:bookmarkStart w:id="15" w:name="page16"/>
    <w:bookmarkEnd w:id="15"/>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the Guarantor or any of the Guarantor’s significant subsidiaries is bound or to which any of the property or assets of the Company, the Guarantor or any of the 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71" w:lineRule="exact"/>
        <w:rPr>
          <w:sz w:val="20"/>
          <w:szCs w:val="20"/>
          <w:color w:val="auto"/>
        </w:rPr>
      </w:pPr>
    </w:p>
    <w:p>
      <w:pPr>
        <w:ind w:right="20" w:firstLine="436"/>
        <w:spacing w:after="0" w:line="288" w:lineRule="auto"/>
        <w:tabs>
          <w:tab w:leader="none" w:pos="83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No Consents Required. </w:t>
      </w:r>
      <w:r>
        <w:rPr>
          <w:rFonts w:ascii="Arial" w:cs="Arial" w:eastAsia="Arial" w:hAnsi="Arial"/>
          <w:sz w:val="16"/>
          <w:szCs w:val="16"/>
          <w:color w:val="auto"/>
        </w:rPr>
        <w:t>The execution and delivery by the Company and by the Guarantor of, and the performance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by the Guarantor of their obligations under, this Agreement, the Indenture (including the Guarantee set forth therein) and the Securities will not contravene (i) any provision of applicable law; (ii) the articles of incorporation or by-laws of the Company and of the Guarantor; (iii) any agreement or other instrument binding upon the Company, the Guarantor or any of the Guarantor’s significant subsidiaries; or (iv) any judgment, order or decree of any governmental body, agency or court having jurisdiction over the 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obligations under this Agreement, the Indenture (including the Guarantee set forth therein) or the Securities, except such as may be required by the securities or Blue Sky laws of the various states of the United States of America or comparable laws of other jurisdictions in connection with the offer and sale of the Securities.</w:t>
      </w:r>
    </w:p>
    <w:p>
      <w:pPr>
        <w:spacing w:after="0" w:line="168" w:lineRule="exact"/>
        <w:rPr>
          <w:rFonts w:ascii="Arial" w:cs="Arial" w:eastAsia="Arial" w:hAnsi="Arial"/>
          <w:sz w:val="16"/>
          <w:szCs w:val="16"/>
          <w:color w:val="auto"/>
        </w:rPr>
      </w:pPr>
    </w:p>
    <w:p>
      <w:pPr>
        <w:ind w:right="20" w:firstLine="436"/>
        <w:spacing w:after="0" w:line="293"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There are no legal or governmental proceedings pending or, to the knowledge of the Company or the Guarantor,</w:t>
      </w:r>
      <w:r>
        <w:rPr>
          <w:rFonts w:ascii="Arial" w:cs="Arial" w:eastAsia="Arial" w:hAnsi="Arial"/>
          <w:sz w:val="16"/>
          <w:szCs w:val="16"/>
          <w:i w:val="1"/>
          <w:iCs w:val="1"/>
          <w:color w:val="auto"/>
        </w:rPr>
        <w:t xml:space="preserve"> </w:t>
      </w:r>
      <w:r>
        <w:rPr>
          <w:rFonts w:ascii="Arial" w:cs="Arial" w:eastAsia="Arial" w:hAnsi="Arial"/>
          <w:sz w:val="16"/>
          <w:szCs w:val="16"/>
          <w:color w:val="auto"/>
        </w:rPr>
        <w:t>threatened to 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 set forth therein) or the Securities or to consummate the transactions contemplated by the Prospectus.</w:t>
      </w:r>
    </w:p>
    <w:p>
      <w:pPr>
        <w:spacing w:after="0" w:line="164" w:lineRule="exact"/>
        <w:rPr>
          <w:rFonts w:ascii="Arial" w:cs="Arial" w:eastAsia="Arial" w:hAnsi="Arial"/>
          <w:sz w:val="16"/>
          <w:szCs w:val="16"/>
          <w:color w:val="auto"/>
        </w:rPr>
      </w:pPr>
    </w:p>
    <w:p>
      <w:pPr>
        <w:ind w:firstLine="436"/>
        <w:spacing w:after="0" w:line="311" w:lineRule="auto"/>
        <w:tabs>
          <w:tab w:leader="none" w:pos="81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Accountants. </w:t>
      </w:r>
      <w:r>
        <w:rPr>
          <w:rFonts w:ascii="Arial" w:cs="Arial" w:eastAsia="Arial" w:hAnsi="Arial"/>
          <w:sz w:val="16"/>
          <w:szCs w:val="16"/>
          <w:color w:val="auto"/>
        </w:rPr>
        <w:t>PricewaterhouseCoopers LLP, who have certified certain financial statements of the Guarantor and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firstLine="436"/>
        <w:spacing w:after="0" w:line="259" w:lineRule="auto"/>
        <w:tabs>
          <w:tab w:leader="none" w:pos="79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Undisclosed Relationships. </w:t>
      </w:r>
      <w:r>
        <w:rPr>
          <w:rFonts w:ascii="Arial" w:cs="Arial" w:eastAsia="Arial" w:hAnsi="Arial"/>
          <w:sz w:val="18"/>
          <w:szCs w:val="18"/>
          <w:color w:val="auto"/>
        </w:rPr>
        <w:t>No relationship, direct or indirect, exists between the Guarantor or any of its subsidiaries, on the one hand,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directors, officers, stockholders or other affiliates of the Guarantor or any of its subsidiaries, on the other, that would be required by the Securities Act to be described in each of the Registration Statement and the Prospectus and that is not so described in such documents and in the Time of Sale Information.</w:t>
      </w:r>
    </w:p>
    <w:p>
      <w:pPr>
        <w:spacing w:after="0" w:line="186" w:lineRule="exact"/>
        <w:rPr>
          <w:rFonts w:ascii="Arial" w:cs="Arial" w:eastAsia="Arial" w:hAnsi="Arial"/>
          <w:sz w:val="18"/>
          <w:szCs w:val="18"/>
          <w:color w:val="auto"/>
        </w:rPr>
      </w:pPr>
    </w:p>
    <w:p>
      <w:pPr>
        <w:ind w:right="80" w:firstLine="436"/>
        <w:spacing w:after="0" w:line="263" w:lineRule="auto"/>
        <w:tabs>
          <w:tab w:leader="none" w:pos="83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Guarantor is and, after giving effect to the offering and sale of the Securities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each of the Registration Statement, the Time of Sale Information and the Prospectus, will be exempt from regulation as an “investment company” as such term is defined in the Investment Company Act of 1940, as amended.</w:t>
      </w:r>
    </w:p>
    <w:p>
      <w:pPr>
        <w:spacing w:after="0" w:line="183" w:lineRule="exact"/>
        <w:rPr>
          <w:rFonts w:ascii="Arial" w:cs="Arial" w:eastAsia="Arial" w:hAnsi="Arial"/>
          <w:sz w:val="18"/>
          <w:szCs w:val="18"/>
          <w:color w:val="auto"/>
        </w:rPr>
      </w:pPr>
    </w:p>
    <w:p>
      <w:pPr>
        <w:ind w:firstLine="436"/>
        <w:spacing w:after="0" w:line="291" w:lineRule="auto"/>
        <w:tabs>
          <w:tab w:leader="none" w:pos="83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Environmental Laws. </w:t>
      </w:r>
      <w:r>
        <w:rPr>
          <w:rFonts w:ascii="Arial" w:cs="Arial" w:eastAsia="Arial" w:hAnsi="Arial"/>
          <w:sz w:val="16"/>
          <w:szCs w:val="16"/>
          <w:color w:val="auto"/>
        </w:rPr>
        <w:t>The Guarantor and its significant subsidiaries (i) are in compliance with any and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Registration Statement,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w:t>
      </w:r>
    </w:p>
    <w:p>
      <w:pPr>
        <w:spacing w:after="0" w:line="166" w:lineRule="exact"/>
        <w:rPr>
          <w:rFonts w:ascii="Arial" w:cs="Arial" w:eastAsia="Arial" w:hAnsi="Arial"/>
          <w:sz w:val="16"/>
          <w:szCs w:val="16"/>
          <w:color w:val="auto"/>
        </w:rPr>
      </w:pPr>
    </w:p>
    <w:p>
      <w:pPr>
        <w:ind w:firstLine="436"/>
        <w:spacing w:after="0" w:line="257" w:lineRule="auto"/>
        <w:tabs>
          <w:tab w:leader="none" w:pos="87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 Liabilities Associated with Environmental Laws</w:t>
      </w:r>
      <w:r>
        <w:rPr>
          <w:rFonts w:ascii="Arial" w:cs="Arial" w:eastAsia="Arial" w:hAnsi="Arial"/>
          <w:sz w:val="18"/>
          <w:szCs w:val="18"/>
          <w:color w:val="auto"/>
        </w:rPr>
        <w:t>. There are no costs or liabilities associated with Environmental Laws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Registration Statement, the Time of Sale Information and the Prospectus or which would not, singly or in the aggregate, be reasonably expected to have a Material Adverse Effect.</w:t>
      </w:r>
    </w:p>
    <w:p>
      <w:pPr>
        <w:spacing w:after="0" w:line="187" w:lineRule="exact"/>
        <w:rPr>
          <w:rFonts w:ascii="Arial" w:cs="Arial" w:eastAsia="Arial" w:hAnsi="Arial"/>
          <w:sz w:val="18"/>
          <w:szCs w:val="18"/>
          <w:color w:val="auto"/>
        </w:rPr>
      </w:pPr>
    </w:p>
    <w:p>
      <w:pPr>
        <w:ind w:right="180" w:firstLine="436"/>
        <w:spacing w:after="0" w:line="273" w:lineRule="auto"/>
        <w:tabs>
          <w:tab w:leader="none" w:pos="83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Guarantor maintains an effective system of “disclosure controls and procedures” (as defined in Rule 13a-15(e)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left="-20" w:right="20" w:firstLine="436"/>
        <w:spacing w:after="0" w:line="288" w:lineRule="auto"/>
        <w:tabs>
          <w:tab w:leader="none" w:pos="81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Accounting Controls. </w:t>
      </w:r>
      <w:r>
        <w:rPr>
          <w:rFonts w:ascii="Arial" w:cs="Arial" w:eastAsia="Arial" w:hAnsi="Arial"/>
          <w:sz w:val="16"/>
          <w:szCs w:val="16"/>
          <w:color w:val="auto"/>
        </w:rPr>
        <w:t>The Guarantor maintains systems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Guarantor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w:t>
      </w:r>
    </w:p>
    <w:p>
      <w:pPr>
        <w:spacing w:after="0" w:line="168" w:lineRule="exact"/>
        <w:rPr>
          <w:rFonts w:ascii="Arial" w:cs="Arial" w:eastAsia="Arial" w:hAnsi="Arial"/>
          <w:sz w:val="16"/>
          <w:szCs w:val="16"/>
          <w:color w:val="auto"/>
        </w:rPr>
      </w:pPr>
    </w:p>
    <w:p>
      <w:pPr>
        <w:ind w:left="-20" w:right="100" w:firstLine="436"/>
        <w:spacing w:after="0" w:line="286"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OFAC. </w:t>
      </w:r>
      <w:r>
        <w:rPr>
          <w:rFonts w:ascii="Arial" w:cs="Arial" w:eastAsia="Arial" w:hAnsi="Arial"/>
          <w:sz w:val="17"/>
          <w:szCs w:val="17"/>
          <w:color w:val="auto"/>
        </w:rPr>
        <w:t>The Guarantor will not directly or indirectly use the proceeds of the offering, or lend, contribute or otherwise make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such proceeds to any subsidiary, joint venture partner or other person or entity, for the purpose of financing the activities of any person currently subject to any U.S. sanctions administered by the Office of Foreign Assets Control of the U.S. Treasury Department.</w:t>
      </w:r>
    </w:p>
    <w:p>
      <w:pPr>
        <w:spacing w:after="0" w:line="165" w:lineRule="exact"/>
        <w:rPr>
          <w:sz w:val="20"/>
          <w:szCs w:val="20"/>
          <w:color w:val="auto"/>
        </w:rPr>
      </w:pPr>
    </w:p>
    <w:p>
      <w:pPr>
        <w:ind w:left="-20" w:right="180" w:firstLine="436"/>
        <w:spacing w:after="0" w:line="263"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Guarantor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any Underwriter for a brokerage commission, finder’s fee or like payment in connection with the offering and sale of the Securities.</w:t>
      </w:r>
    </w:p>
    <w:p>
      <w:pPr>
        <w:spacing w:after="0" w:line="183" w:lineRule="exact"/>
        <w:rPr>
          <w:rFonts w:ascii="Arial" w:cs="Arial" w:eastAsia="Arial" w:hAnsi="Arial"/>
          <w:sz w:val="18"/>
          <w:szCs w:val="18"/>
          <w:color w:val="auto"/>
        </w:rPr>
      </w:pPr>
    </w:p>
    <w:p>
      <w:pPr>
        <w:ind w:left="-20" w:right="140" w:firstLine="43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the Guarantor has taken, directly or indirectly, any action designed to or that would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be 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left="-20" w:right="280" w:firstLine="436"/>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Guarantor is in compliance in all material respects with the applicable provisions of the Sarbanes-Oxley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firstLine="436"/>
        <w:spacing w:after="0" w:line="27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Cybersecurity</w:t>
      </w:r>
      <w:r>
        <w:rPr>
          <w:rFonts w:ascii="Arial" w:cs="Arial" w:eastAsia="Arial" w:hAnsi="Arial"/>
          <w:sz w:val="17"/>
          <w:szCs w:val="17"/>
          <w:color w:val="auto"/>
        </w:rPr>
        <w:t>;</w:t>
      </w:r>
      <w:r>
        <w:rPr>
          <w:rFonts w:ascii="Arial" w:cs="Arial" w:eastAsia="Arial" w:hAnsi="Arial"/>
          <w:sz w:val="17"/>
          <w:szCs w:val="17"/>
          <w:i w:val="1"/>
          <w:iCs w:val="1"/>
          <w:color w:val="auto"/>
        </w:rPr>
        <w:t xml:space="preserve"> Data Protection</w:t>
      </w:r>
      <w:r>
        <w:rPr>
          <w:rFonts w:ascii="Arial" w:cs="Arial" w:eastAsia="Arial" w:hAnsi="Arial"/>
          <w:sz w:val="17"/>
          <w:szCs w:val="17"/>
          <w:color w:val="auto"/>
        </w:rPr>
        <w:t>. Except as described in each of the Registration Statement, the Time of Sale Information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or as would not, singly or in the aggregate, be reasonably expected to have a Material Adverse Effect, the Company and its significant subsidiaries are in compliance with all applicable laws or statutes, all applicable judgments, orders, rules and regulations of any court or arbitrator or governmental or regulatory authority, and applicable internal policies and contractual obligations, in each case relating to (i) the privacy and security of the Company’s and its significant subsidiaries’ information technology assets and equipment, computers,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18" w:name="page19"/>
    <w:bookmarkEnd w:id="1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systems, networks, hardware, software, websites, applications and databases (collectively, “</w:t>
      </w:r>
      <w:r>
        <w:rPr>
          <w:rFonts w:ascii="Arial" w:cs="Arial" w:eastAsia="Arial" w:hAnsi="Arial"/>
          <w:sz w:val="18"/>
          <w:szCs w:val="18"/>
          <w:u w:val="single" w:color="auto"/>
          <w:color w:val="auto"/>
        </w:rPr>
        <w:t>IT Systems</w:t>
      </w:r>
      <w:r>
        <w:rPr>
          <w:rFonts w:ascii="Arial" w:cs="Arial" w:eastAsia="Arial" w:hAnsi="Arial"/>
          <w:sz w:val="18"/>
          <w:szCs w:val="18"/>
          <w:color w:val="auto"/>
        </w:rPr>
        <w:t>”), (ii) personal, personally identifiable, sensitive, confidential or regulated data (“</w:t>
      </w:r>
      <w:r>
        <w:rPr>
          <w:rFonts w:ascii="Arial" w:cs="Arial" w:eastAsia="Arial" w:hAnsi="Arial"/>
          <w:sz w:val="18"/>
          <w:szCs w:val="18"/>
          <w:u w:val="single" w:color="auto"/>
          <w:color w:val="auto"/>
        </w:rPr>
        <w:t>Personal Data</w:t>
      </w:r>
      <w:r>
        <w:rPr>
          <w:rFonts w:ascii="Arial" w:cs="Arial" w:eastAsia="Arial" w:hAnsi="Arial"/>
          <w:sz w:val="18"/>
          <w:szCs w:val="18"/>
          <w:color w:val="auto"/>
        </w:rPr>
        <w:t>”) used in their businesses, and (iii) the protection of such IT Systems and Personal Data from unauthorized use, access, misappropriation or modification.</w:t>
      </w:r>
    </w:p>
    <w:p>
      <w:pPr>
        <w:spacing w:after="0" w:line="184" w:lineRule="exact"/>
        <w:rPr>
          <w:sz w:val="20"/>
          <w:szCs w:val="20"/>
          <w:color w:val="auto"/>
        </w:rPr>
      </w:pPr>
    </w:p>
    <w:p>
      <w:pPr>
        <w:ind w:right="120" w:firstLine="436"/>
        <w:spacing w:after="0" w:line="277" w:lineRule="auto"/>
        <w:tabs>
          <w:tab w:leader="none" w:pos="75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 and the Guarantor</w:t>
      </w:r>
      <w:r>
        <w:rPr>
          <w:rFonts w:ascii="Arial" w:cs="Arial" w:eastAsia="Arial" w:hAnsi="Arial"/>
          <w:sz w:val="18"/>
          <w:szCs w:val="18"/>
          <w:color w:val="auto"/>
        </w:rPr>
        <w:t>. The Company and the Guarantor jointly and severally covenant and agree with each Underwriter that:</w:t>
      </w:r>
    </w:p>
    <w:p>
      <w:pPr>
        <w:spacing w:after="0" w:line="170" w:lineRule="exact"/>
        <w:rPr>
          <w:sz w:val="20"/>
          <w:szCs w:val="20"/>
          <w:color w:val="auto"/>
        </w:rPr>
      </w:pPr>
    </w:p>
    <w:p>
      <w:pPr>
        <w:ind w:firstLine="436"/>
        <w:spacing w:after="0" w:line="269"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and the Guarantor will file the final Prospectus with the Commission within the time periods specified by</w:t>
      </w:r>
      <w:r>
        <w:rPr>
          <w:rFonts w:ascii="Arial" w:cs="Arial" w:eastAsia="Arial" w:hAnsi="Arial"/>
          <w:sz w:val="17"/>
          <w:szCs w:val="17"/>
          <w:i w:val="1"/>
          <w:iCs w:val="1"/>
          <w:color w:val="auto"/>
        </w:rPr>
        <w:t xml:space="preserve"> </w:t>
      </w:r>
      <w:r>
        <w:rPr>
          <w:rFonts w:ascii="Arial" w:cs="Arial" w:eastAsia="Arial" w:hAnsi="Arial"/>
          <w:sz w:val="17"/>
          <w:szCs w:val="17"/>
          <w:color w:val="auto"/>
        </w:rPr>
        <w:t>Rule 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5" w:lineRule="exact"/>
        <w:rPr>
          <w:rFonts w:ascii="Arial" w:cs="Arial" w:eastAsia="Arial" w:hAnsi="Arial"/>
          <w:sz w:val="17"/>
          <w:szCs w:val="17"/>
          <w:color w:val="auto"/>
        </w:rPr>
      </w:pPr>
    </w:p>
    <w:p>
      <w:pPr>
        <w:ind w:right="80" w:firstLine="436"/>
        <w:spacing w:after="0" w:line="270" w:lineRule="auto"/>
        <w:tabs>
          <w:tab w:leader="none" w:pos="83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Delivery of Copies. </w:t>
      </w:r>
      <w:r>
        <w:rPr>
          <w:rFonts w:ascii="Arial" w:cs="Arial" w:eastAsia="Arial" w:hAnsi="Arial"/>
          <w:sz w:val="17"/>
          <w:szCs w:val="17"/>
          <w:color w:val="auto"/>
        </w:rPr>
        <w:t>The Company and the Guarantor will deliver upon request, without charge, (i) to the Representatives, a conformed copy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Arial" w:cs="Arial" w:eastAsia="Arial" w:hAnsi="Arial"/>
          <w:sz w:val="17"/>
          <w:szCs w:val="17"/>
          <w:u w:val="single" w:color="auto"/>
          <w:color w:val="auto"/>
        </w:rPr>
        <w:t>Prospectus Delivery Period</w:t>
      </w:r>
      <w:r>
        <w:rPr>
          <w:rFonts w:ascii="Arial" w:cs="Arial" w:eastAsia="Arial" w:hAnsi="Arial"/>
          <w:sz w:val="17"/>
          <w:szCs w:val="17"/>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80" w:lineRule="exact"/>
        <w:rPr>
          <w:rFonts w:ascii="Arial" w:cs="Arial" w:eastAsia="Arial" w:hAnsi="Arial"/>
          <w:sz w:val="17"/>
          <w:szCs w:val="17"/>
          <w:color w:val="auto"/>
        </w:rPr>
      </w:pPr>
    </w:p>
    <w:p>
      <w:pPr>
        <w:ind w:right="180" w:firstLine="436"/>
        <w:spacing w:after="0" w:line="311"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using, authorizing, approving, referring to or filing any Issuer Free</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Prospectus, and before filing any amendment or supplement to the Registration Statement or the Prospectus, whether before or after the time that the Registration Statement becomes effective, the Company and the Guarantor will furnish, or cause to be furnished, to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 w:name="page20"/>
    <w:bookmarkEnd w:id="1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w:t>
      </w:r>
    </w:p>
    <w:p>
      <w:pPr>
        <w:spacing w:after="0" w:line="184" w:lineRule="exact"/>
        <w:rPr>
          <w:sz w:val="20"/>
          <w:szCs w:val="20"/>
          <w:color w:val="auto"/>
        </w:rPr>
      </w:pPr>
    </w:p>
    <w:p>
      <w:pPr>
        <w:ind w:right="60" w:firstLine="436"/>
        <w:spacing w:after="0" w:line="285" w:lineRule="auto"/>
        <w:tabs>
          <w:tab w:leader="none" w:pos="83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From the date hereof until the end of the Prospectus Delivery Period, the Company and the Guarantor will</w:t>
      </w:r>
      <w:r>
        <w:rPr>
          <w:rFonts w:ascii="Arial" w:cs="Arial" w:eastAsia="Arial" w:hAnsi="Arial"/>
          <w:sz w:val="16"/>
          <w:szCs w:val="16"/>
          <w:i w:val="1"/>
          <w:iCs w:val="1"/>
          <w:color w:val="auto"/>
        </w:rPr>
        <w:t xml:space="preserve"> </w:t>
      </w:r>
      <w:r>
        <w:rPr>
          <w:rFonts w:ascii="Arial" w:cs="Arial" w:eastAsia="Arial" w:hAnsi="Arial"/>
          <w:sz w:val="16"/>
          <w:szCs w:val="16"/>
          <w:color w:val="auto"/>
        </w:rPr>
        <w:t>advise the 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 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w:t>
      </w:r>
    </w:p>
    <w:p>
      <w:pPr>
        <w:spacing w:after="0" w:line="173" w:lineRule="exact"/>
        <w:rPr>
          <w:rFonts w:ascii="Arial" w:cs="Arial" w:eastAsia="Arial" w:hAnsi="Arial"/>
          <w:sz w:val="16"/>
          <w:szCs w:val="16"/>
          <w:color w:val="auto"/>
        </w:rPr>
      </w:pPr>
    </w:p>
    <w:p>
      <w:pPr>
        <w:ind w:firstLine="436"/>
        <w:spacing w:after="0" w:line="291"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Time of Sale Information. </w:t>
      </w:r>
      <w:r>
        <w:rPr>
          <w:rFonts w:ascii="Arial" w:cs="Arial" w:eastAsia="Arial" w:hAnsi="Arial"/>
          <w:sz w:val="16"/>
          <w:szCs w:val="16"/>
          <w:color w:val="auto"/>
        </w:rPr>
        <w:t>If at any time prior to the Closing Date (i) any event shall occur or condition shall exist as a result of which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 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w:t>
      </w:r>
    </w:p>
    <w:p>
      <w:pPr>
        <w:spacing w:after="0" w:line="184" w:lineRule="exact"/>
        <w:rPr>
          <w:sz w:val="20"/>
          <w:szCs w:val="20"/>
          <w:color w:val="auto"/>
        </w:rPr>
      </w:pPr>
    </w:p>
    <w:p>
      <w:pPr>
        <w:jc w:val="both"/>
        <w:ind w:left="4" w:right="400" w:firstLine="436"/>
        <w:spacing w:after="0" w:line="287" w:lineRule="auto"/>
        <w:tabs>
          <w:tab w:leader="none" w:pos="804"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If during the Prospectus Delivery Period (i) any event shall occur or condition shall exist as a result of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w:t>
      </w:r>
    </w:p>
    <w:p>
      <w:pPr>
        <w:spacing w:after="0" w:line="2" w:lineRule="exact"/>
        <w:rPr>
          <w:rFonts w:ascii="Arial" w:cs="Arial" w:eastAsia="Arial" w:hAnsi="Arial"/>
          <w:sz w:val="16"/>
          <w:szCs w:val="16"/>
          <w:color w:val="auto"/>
        </w:rPr>
      </w:pPr>
    </w:p>
    <w:p>
      <w:pPr>
        <w:ind w:left="4" w:right="20" w:hanging="4"/>
        <w:spacing w:after="0" w:line="252"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necessary, in the opinion of counsel to the Guarantor or counsel to the Underwriters, to amend or supplement the Prospectus to comply with law, the Company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Arial" w:cs="Arial" w:eastAsia="Arial" w:hAnsi="Arial"/>
          <w:sz w:val="18"/>
          <w:szCs w:val="18"/>
          <w:i w:val="1"/>
          <w:iCs w:val="1"/>
          <w:color w:val="auto"/>
        </w:rPr>
        <w:t>.</w:t>
      </w:r>
    </w:p>
    <w:p>
      <w:pPr>
        <w:spacing w:after="0" w:line="193" w:lineRule="exact"/>
        <w:rPr>
          <w:rFonts w:ascii="Arial" w:cs="Arial" w:eastAsia="Arial" w:hAnsi="Arial"/>
          <w:sz w:val="18"/>
          <w:szCs w:val="18"/>
          <w:color w:val="auto"/>
        </w:rPr>
      </w:pPr>
    </w:p>
    <w:p>
      <w:pPr>
        <w:ind w:left="4" w:firstLine="436"/>
        <w:spacing w:after="0" w:line="296" w:lineRule="auto"/>
        <w:tabs>
          <w:tab w:leader="none" w:pos="834"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and the Guarantor will cooperate with the Underwriters to qualify the Securities for offer and sale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Company nor the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61" w:lineRule="exact"/>
        <w:rPr>
          <w:rFonts w:ascii="Arial" w:cs="Arial" w:eastAsia="Arial" w:hAnsi="Arial"/>
          <w:sz w:val="16"/>
          <w:szCs w:val="16"/>
          <w:color w:val="auto"/>
        </w:rPr>
      </w:pPr>
    </w:p>
    <w:p>
      <w:pPr>
        <w:jc w:val="both"/>
        <w:ind w:left="4" w:right="60" w:firstLine="436"/>
        <w:spacing w:after="0" w:line="259" w:lineRule="auto"/>
        <w:tabs>
          <w:tab w:leader="none" w:pos="834"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Guarantor will make generally available to its security holders and the Representatives as soon as practicable, but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w:t>
      </w:r>
    </w:p>
    <w:p>
      <w:pPr>
        <w:spacing w:after="0" w:line="186" w:lineRule="exact"/>
        <w:rPr>
          <w:rFonts w:ascii="Arial" w:cs="Arial" w:eastAsia="Arial" w:hAnsi="Arial"/>
          <w:sz w:val="18"/>
          <w:szCs w:val="18"/>
          <w:color w:val="auto"/>
        </w:rPr>
      </w:pPr>
    </w:p>
    <w:p>
      <w:pPr>
        <w:ind w:left="4" w:right="240" w:firstLine="436"/>
        <w:spacing w:after="0" w:line="263" w:lineRule="auto"/>
        <w:tabs>
          <w:tab w:leader="none" w:pos="794"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Closing Date, the Company and the Guarantor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consent of the Representatives, offer, sell, contract to sell or otherwise dispose of any debt securities issued or guaranteed by the Company or the Guarantor and having a tenor of more than one year.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1" w:name="page22"/>
    <w:bookmarkEnd w:id="21"/>
    <w:p>
      <w:pPr>
        <w:ind w:left="-20" w:right="40" w:firstLine="436"/>
        <w:spacing w:after="0" w:line="277" w:lineRule="auto"/>
        <w:tabs>
          <w:tab w:leader="none" w:pos="77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Use of Proceeds. </w:t>
      </w:r>
      <w:r>
        <w:rPr>
          <w:rFonts w:ascii="Arial" w:cs="Arial" w:eastAsia="Arial" w:hAnsi="Arial"/>
          <w:sz w:val="18"/>
          <w:szCs w:val="18"/>
          <w:color w:val="auto"/>
        </w:rPr>
        <w:t>The Company will apply the net proceeds from the sale of the Securities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Sale Information and the Prospectus under the heading “Use of Proceeds”.</w:t>
      </w:r>
    </w:p>
    <w:p>
      <w:pPr>
        <w:spacing w:after="0" w:line="170" w:lineRule="exact"/>
        <w:rPr>
          <w:rFonts w:ascii="Arial" w:cs="Arial" w:eastAsia="Arial" w:hAnsi="Arial"/>
          <w:sz w:val="18"/>
          <w:szCs w:val="18"/>
          <w:color w:val="auto"/>
        </w:rPr>
      </w:pPr>
    </w:p>
    <w:p>
      <w:pPr>
        <w:ind w:left="800" w:hanging="38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DTC</w:t>
      </w:r>
      <w:r>
        <w:rPr>
          <w:rFonts w:ascii="Arial" w:cs="Arial" w:eastAsia="Arial" w:hAnsi="Arial"/>
          <w:sz w:val="17"/>
          <w:szCs w:val="17"/>
          <w:color w:val="auto"/>
        </w:rPr>
        <w:t>. The Company will assist the Underwriters in arranging for the Securities to be eligible for clearance and settlement through DTC.</w:t>
      </w:r>
    </w:p>
    <w:p>
      <w:pPr>
        <w:spacing w:after="0" w:line="236" w:lineRule="exact"/>
        <w:rPr>
          <w:rFonts w:ascii="Arial" w:cs="Arial" w:eastAsia="Arial" w:hAnsi="Arial"/>
          <w:sz w:val="17"/>
          <w:szCs w:val="17"/>
          <w:color w:val="auto"/>
        </w:rPr>
      </w:pPr>
    </w:p>
    <w:p>
      <w:pPr>
        <w:ind w:left="-20" w:right="100" w:firstLine="436"/>
        <w:spacing w:after="0" w:line="277" w:lineRule="auto"/>
        <w:tabs>
          <w:tab w:leader="none" w:pos="77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the Guarantor will take, directly or indirectly, any action designed to or that would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left="-20" w:right="120" w:firstLine="436"/>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17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u w:val="single" w:color="auto"/>
          <w:color w:val="auto"/>
        </w:rPr>
        <w:t>Certain Agreements of the Underwriters</w:t>
      </w:r>
      <w:r>
        <w:rPr>
          <w:rFonts w:ascii="Arial" w:cs="Arial" w:eastAsia="Arial" w:hAnsi="Arial"/>
          <w:sz w:val="16"/>
          <w:szCs w:val="16"/>
          <w:color w:val="auto"/>
        </w:rPr>
        <w:t>. Each Underwriter hereby represents to the Company and the Guarantor and agrees that:</w:t>
      </w:r>
    </w:p>
    <w:p>
      <w:pPr>
        <w:spacing w:after="0" w:line="225" w:lineRule="exact"/>
        <w:rPr>
          <w:sz w:val="20"/>
          <w:szCs w:val="20"/>
          <w:color w:val="auto"/>
        </w:rPr>
      </w:pPr>
    </w:p>
    <w:p>
      <w:pPr>
        <w:ind w:left="-20" w:right="40" w:firstLine="436"/>
        <w:spacing w:after="0" w:line="290"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3A(c) or 3B(c) or Section 4(c) above (including any electronic road show), or (iii) any free writing prospectus prepared by such Underwriter and approved by the Guarantor in advance in writing (each such free writing prospectus referred to in clauses (i) or (iii), an “</w:t>
      </w:r>
      <w:r>
        <w:rPr>
          <w:rFonts w:ascii="Arial" w:cs="Arial" w:eastAsia="Arial" w:hAnsi="Arial"/>
          <w:sz w:val="16"/>
          <w:szCs w:val="16"/>
          <w:u w:val="single" w:color="auto"/>
          <w:color w:val="auto"/>
        </w:rPr>
        <w:t>Underwriter Free Writing Prospectus</w:t>
      </w:r>
      <w:r>
        <w:rPr>
          <w:rFonts w:ascii="Arial" w:cs="Arial" w:eastAsia="Arial" w:hAnsi="Arial"/>
          <w:sz w:val="16"/>
          <w:szCs w:val="16"/>
          <w:color w:val="auto"/>
        </w:rPr>
        <w:t>”). Notwithstanding the foregoing, the Underwriters may use the Pricing Term Sheet referred to in Annex A hereto without the consent of the Guarantor.</w:t>
      </w:r>
    </w:p>
    <w:p>
      <w:pPr>
        <w:spacing w:after="0" w:line="165" w:lineRule="exact"/>
        <w:rPr>
          <w:rFonts w:ascii="Arial" w:cs="Arial" w:eastAsia="Arial" w:hAnsi="Arial"/>
          <w:sz w:val="16"/>
          <w:szCs w:val="16"/>
          <w:color w:val="auto"/>
        </w:rPr>
      </w:pPr>
    </w:p>
    <w:p>
      <w:pPr>
        <w:ind w:left="-20" w:right="140" w:firstLine="436"/>
        <w:spacing w:after="0" w:line="277" w:lineRule="auto"/>
        <w:tabs>
          <w:tab w:leader="none" w:pos="8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and the Guarantor if any such proceeding against it is initiated during the Prospectus Delivery Period).</w:t>
      </w:r>
    </w:p>
    <w:p>
      <w:pPr>
        <w:spacing w:after="0" w:line="170" w:lineRule="exact"/>
        <w:rPr>
          <w:sz w:val="20"/>
          <w:szCs w:val="20"/>
          <w:color w:val="auto"/>
        </w:rPr>
      </w:pPr>
    </w:p>
    <w:p>
      <w:pPr>
        <w:ind w:left="-20" w:right="20" w:firstLine="436"/>
        <w:spacing w:after="0" w:line="263"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w:t>
      </w:r>
    </w:p>
    <w:p>
      <w:pPr>
        <w:spacing w:after="0" w:line="184" w:lineRule="exact"/>
        <w:rPr>
          <w:sz w:val="20"/>
          <w:szCs w:val="20"/>
          <w:color w:val="auto"/>
        </w:rPr>
      </w:pPr>
    </w:p>
    <w:p>
      <w:pPr>
        <w:ind w:left="-20" w:firstLine="436"/>
        <w:spacing w:after="0" w:line="263"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shall be in effect, and no</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for such purpose, pursuant to Rule 401(g)(2) or pursuant to Section 8A under the Securities Act, shall be pending before or threatened by the Commission; the Prospectus and each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22" w:name="page23"/>
    <w:bookmarkEnd w:id="22"/>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65" w:lineRule="exact"/>
        <w:rPr>
          <w:sz w:val="20"/>
          <w:szCs w:val="20"/>
          <w:color w:val="auto"/>
        </w:rPr>
      </w:pPr>
    </w:p>
    <w:p>
      <w:pPr>
        <w:ind w:right="240" w:firstLine="436"/>
        <w:spacing w:after="0" w:line="259"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Guarantor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and the statements of the Company, the Guarantor and their respective officers or authorized signatories, as the case may be, made in any certificates delivered pursuant to this Agreement shall be true and correct on and as of the Closing Date.</w:t>
      </w:r>
    </w:p>
    <w:p>
      <w:pPr>
        <w:spacing w:after="0" w:line="186" w:lineRule="exact"/>
        <w:rPr>
          <w:rFonts w:ascii="Arial" w:cs="Arial" w:eastAsia="Arial" w:hAnsi="Arial"/>
          <w:sz w:val="18"/>
          <w:szCs w:val="18"/>
          <w:color w:val="auto"/>
        </w:rPr>
      </w:pPr>
    </w:p>
    <w:p>
      <w:pPr>
        <w:ind w:firstLine="436"/>
        <w:spacing w:after="0" w:line="255"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 downgrading</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occurred in the rating accorded the Securities or any other debt securities or preferred stock issued or guaranteed by the Guarantor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w:t>
      </w:r>
    </w:p>
    <w:p>
      <w:pPr>
        <w:spacing w:after="0" w:line="192" w:lineRule="exact"/>
        <w:rPr>
          <w:rFonts w:ascii="Arial" w:cs="Arial" w:eastAsia="Arial" w:hAnsi="Arial"/>
          <w:sz w:val="18"/>
          <w:szCs w:val="18"/>
          <w:color w:val="auto"/>
        </w:rPr>
      </w:pPr>
    </w:p>
    <w:p>
      <w:pPr>
        <w:ind w:right="40" w:firstLine="436"/>
        <w:spacing w:after="0" w:line="257"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3B(g) hereof shall have occurred or shall exist, which</w:t>
      </w:r>
      <w:r>
        <w:rPr>
          <w:rFonts w:ascii="Arial" w:cs="Arial" w:eastAsia="Arial" w:hAnsi="Arial"/>
          <w:sz w:val="18"/>
          <w:szCs w:val="18"/>
          <w:i w:val="1"/>
          <w:iCs w:val="1"/>
          <w:color w:val="auto"/>
        </w:rPr>
        <w:t xml:space="preserve"> </w:t>
      </w:r>
      <w:r>
        <w:rPr>
          <w:rFonts w:ascii="Arial" w:cs="Arial" w:eastAsia="Arial" w:hAnsi="Arial"/>
          <w:sz w:val="18"/>
          <w:szCs w:val="18"/>
          <w:color w:val="auto"/>
        </w:rPr>
        <w:t>event or 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87" w:lineRule="exact"/>
        <w:rPr>
          <w:rFonts w:ascii="Arial" w:cs="Arial" w:eastAsia="Arial" w:hAnsi="Arial"/>
          <w:sz w:val="18"/>
          <w:szCs w:val="18"/>
          <w:color w:val="auto"/>
        </w:rPr>
      </w:pPr>
    </w:p>
    <w:p>
      <w:pPr>
        <w:ind w:right="20" w:firstLine="436"/>
        <w:spacing w:after="0" w:line="253"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The Representatives shall have received on and as of the Closing Date a certificate of an officer or authorized signatory,</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case may be, of the Company and an executive officer or authorized signatory, as the case may be, of the Guarantor reasonably satisfactory to the Representatives (i) confirming that each such officer or authorized signatory, as the case may be, has carefully reviewed the Registration Statement, the Time of Sale Information and the Prospectus and, to the best knowledge of each such officer or authorized signatory, as the case may be, the representations made by the Company or the Guarantor, as applicable, set forth in Sections 3A(b) and 3A(d) with respect to the Company and Sections 3B(b) and 3B(d) with respect to the Guarantor hereof are true and correct, (ii) confirming that, to the best knowledge of each such officer or authorized signatory, as the case may be, the other representations and warranties made by the Company or the Guarantor, as applicable, in this Agreement are true and correct and that the Company or the Guarantor, as applicable, has complied with all agreements and satisfied all conditions on its part to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performed or satisfied hereunder at or prior to the Closing Date and (iii) to the effect set forth in paragraph (b) above with respect to the Company or the Guarantor, as applicable, and to the effect that no event or condition of a type described in Section 3B(g) hereof shall have occurred or shall exist.</w:t>
      </w:r>
    </w:p>
    <w:p>
      <w:pPr>
        <w:spacing w:after="0" w:line="124" w:lineRule="exact"/>
        <w:rPr>
          <w:sz w:val="20"/>
          <w:szCs w:val="20"/>
          <w:color w:val="auto"/>
        </w:rPr>
      </w:pPr>
    </w:p>
    <w:p>
      <w:pPr>
        <w:ind w:right="20" w:firstLine="436"/>
        <w:spacing w:after="0" w:line="27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On the date of this Agreement and on the Closing Date, PricewaterhouseCoopers LLP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provided that the letter delivered on the Closing Date shall use a “cut-off” date no more than three business days prior to the Closing Date.</w:t>
      </w:r>
    </w:p>
    <w:p>
      <w:pPr>
        <w:spacing w:after="0" w:line="177" w:lineRule="exact"/>
        <w:rPr>
          <w:rFonts w:ascii="Arial" w:cs="Arial" w:eastAsia="Arial" w:hAnsi="Arial"/>
          <w:sz w:val="17"/>
          <w:szCs w:val="17"/>
          <w:color w:val="auto"/>
        </w:rPr>
      </w:pPr>
    </w:p>
    <w:p>
      <w:pPr>
        <w:ind w:firstLine="436"/>
        <w:spacing w:after="0" w:line="270" w:lineRule="auto"/>
        <w:tabs>
          <w:tab w:leader="none" w:pos="83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w:t>
      </w:r>
      <w:r>
        <w:rPr>
          <w:rFonts w:ascii="Arial" w:cs="Arial" w:eastAsia="Arial" w:hAnsi="Arial"/>
          <w:sz w:val="17"/>
          <w:szCs w:val="17"/>
          <w:color w:val="auto"/>
        </w:rPr>
        <w:t>(i) Gibson Dunn &amp; Crutcher LLP, U.S. counsel for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shall have furnished to the Representatives, at the request of the Company and the Guarantor, their written opinion and 10b-5 statement, dated the Closing Date and addressed to the Underwriters, covering the matters reasonably requested by the Representatives substantially to the effect set forth in Annex C hereto; (ii) Loyens &amp; Loeff Luxembourg S.à r.l., Luxembourg counsel for the Company, shall have furnished to the Representatives as well as to Bank of New York Mellon, at the request of the Company, their written opinion, dated the Closing Date and addressed to the Underwriters, covering the matters reasonably requested by the Representatives substantively to the effect set forth in Annex D hereto; and (iii) STvB Advocaten, Curaçao counsel for the Guarantor, shall have furnished to the Representatives, at the request of the Guarantor, their written opinion, dated the Closing Date and addressed to the Underwriters, covering the matters reasonably requested by to the Representatives substantively to the effect set forth in Annex E hereto.</w:t>
      </w:r>
    </w:p>
    <w:p>
      <w:pPr>
        <w:spacing w:after="0" w:line="180" w:lineRule="exact"/>
        <w:rPr>
          <w:rFonts w:ascii="Arial" w:cs="Arial" w:eastAsia="Arial" w:hAnsi="Arial"/>
          <w:sz w:val="17"/>
          <w:szCs w:val="17"/>
          <w:color w:val="auto"/>
        </w:rPr>
      </w:pPr>
    </w:p>
    <w:p>
      <w:pPr>
        <w:ind w:right="160" w:firstLine="436"/>
        <w:spacing w:after="0" w:line="259" w:lineRule="auto"/>
        <w:tabs>
          <w:tab w:leader="none" w:pos="83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6" w:lineRule="exact"/>
        <w:rPr>
          <w:rFonts w:ascii="Arial" w:cs="Arial" w:eastAsia="Arial" w:hAnsi="Arial"/>
          <w:sz w:val="18"/>
          <w:szCs w:val="18"/>
          <w:color w:val="auto"/>
        </w:rPr>
      </w:pPr>
    </w:p>
    <w:p>
      <w:pPr>
        <w:ind w:right="140" w:firstLine="436"/>
        <w:spacing w:after="0" w:line="279" w:lineRule="auto"/>
        <w:tabs>
          <w:tab w:leader="none" w:pos="79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w:t>
      </w:r>
      <w:r>
        <w:rPr>
          <w:rFonts w:ascii="Arial" w:cs="Arial" w:eastAsia="Arial" w:hAnsi="Arial"/>
          <w:sz w:val="17"/>
          <w:szCs w:val="17"/>
          <w:color w:val="auto"/>
        </w:rPr>
        <w:t>No action shall have been taken and no statute, rule, regulation or order shall have been enacted, adopted</w:t>
      </w:r>
      <w:r>
        <w:rPr>
          <w:rFonts w:ascii="Arial" w:cs="Arial" w:eastAsia="Arial" w:hAnsi="Arial"/>
          <w:sz w:val="17"/>
          <w:szCs w:val="17"/>
          <w:i w:val="1"/>
          <w:iCs w:val="1"/>
          <w:color w:val="auto"/>
        </w:rPr>
        <w:t xml:space="preserve"> </w:t>
      </w:r>
      <w:r>
        <w:rPr>
          <w:rFonts w:ascii="Arial" w:cs="Arial" w:eastAsia="Arial" w:hAnsi="Arial"/>
          <w:sz w:val="17"/>
          <w:szCs w:val="17"/>
          <w:color w:val="auto"/>
        </w:rPr>
        <w:t>or issued by any federal, state or foreign governmental or regulatory authority that would, as of the Closing Date, prevent the issuance or sale of the Securities or the issuance of the Guarantee; and no injunction or order of any federal, state or foreign court shall have been issued that would, as of the Closing Date, prevent the issuance or sale of the Securities or the issuance of the Guarantee.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4" w:name="page25"/>
    <w:bookmarkEnd w:id="24"/>
    <w:p>
      <w:pPr>
        <w:ind w:right="320" w:firstLine="436"/>
        <w:spacing w:after="0" w:line="311" w:lineRule="auto"/>
        <w:tabs>
          <w:tab w:leader="none" w:pos="79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Good Standing</w:t>
      </w:r>
      <w:r>
        <w:rPr>
          <w:rFonts w:ascii="Arial" w:cs="Arial" w:eastAsia="Arial" w:hAnsi="Arial"/>
          <w:sz w:val="16"/>
          <w:szCs w:val="16"/>
          <w:color w:val="auto"/>
        </w:rPr>
        <w:t>. The Representatives shall have received on and as of the Closing Date satisfactory evidence of the good standing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Guarantor in their respective jurisdictions of organization (as of the closest practical date prior to the Closing Date as possible), in each case in writing or any standard form of telecommunication, from the appropriate governmental authorities of such jurisdictions.</w:t>
      </w:r>
    </w:p>
    <w:p>
      <w:pPr>
        <w:spacing w:after="0" w:line="148" w:lineRule="exact"/>
        <w:rPr>
          <w:rFonts w:ascii="Arial" w:cs="Arial" w:eastAsia="Arial" w:hAnsi="Arial"/>
          <w:sz w:val="16"/>
          <w:szCs w:val="16"/>
          <w:color w:val="auto"/>
        </w:rPr>
      </w:pPr>
    </w:p>
    <w:p>
      <w:pPr>
        <w:ind w:left="820" w:hanging="38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Securities shall be eligible for clearance and settlement through DTC.</w:t>
      </w:r>
    </w:p>
    <w:p>
      <w:pPr>
        <w:spacing w:after="0" w:line="225" w:lineRule="exact"/>
        <w:rPr>
          <w:rFonts w:ascii="Arial" w:cs="Arial" w:eastAsia="Arial" w:hAnsi="Arial"/>
          <w:sz w:val="18"/>
          <w:szCs w:val="18"/>
          <w:color w:val="auto"/>
        </w:rPr>
      </w:pPr>
    </w:p>
    <w:p>
      <w:pPr>
        <w:ind w:right="340" w:firstLine="436"/>
        <w:spacing w:after="0" w:line="277" w:lineRule="auto"/>
        <w:tabs>
          <w:tab w:leader="none" w:pos="79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and the Guarantor shall have furnished to the Representatives such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certificates and documents as the Representatives may reasonably request.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278" w:lineRule="exact"/>
        <w:rPr>
          <w:sz w:val="20"/>
          <w:szCs w:val="20"/>
          <w:color w:val="auto"/>
        </w:rPr>
      </w:pPr>
    </w:p>
    <w:p>
      <w:pPr>
        <w:ind w:left="760" w:hanging="32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and the Guarantor jointly and severally agree to indemnify and hold harmless each</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they were made, not misleading, in each case except (x)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by such Underwriter through the Representatives expressly for use therein and (y) insofar as such losses, claims, damages or liabilities arise out of, or are based upon, any untrue statement or omission or alleged untrue statement or omission which pertains exclusively to the Company, only the Company and the Guarantor shall be obligated to indemnify and hold harmless as set forth in this Section 7(a).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5" w:name="page26"/>
    <w:bookmarkEnd w:id="25"/>
    <w:p>
      <w:pPr>
        <w:ind w:left="-20" w:firstLine="436"/>
        <w:spacing w:after="0" w:line="269" w:lineRule="auto"/>
        <w:tabs>
          <w:tab w:leader="none" w:pos="81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Indemnification of the Company and the Guarantor. </w:t>
      </w:r>
      <w:r>
        <w:rPr>
          <w:rFonts w:ascii="Arial" w:cs="Arial" w:eastAsia="Arial" w:hAnsi="Arial"/>
          <w:sz w:val="17"/>
          <w:szCs w:val="17"/>
          <w:color w:val="auto"/>
        </w:rPr>
        <w:t>Each Underwriter agrees, severally and not jointly,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Guarantor, each of their respective affiliates, agents, directors, authorized signatories and officers who signed the Registration Statement and each person, if any, who controls the 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by such Underwriter in writing through the Representatives expressly for use in the Registration Statement, the Prospectus (or any amendment or supplement thereto), any Issuer Free Writing Prospectus or the Time of Sale Information, it being understood and agreed that the only such information consists of the following information set forth in the Preliminary Prospectus and the Prospectus under the caption “Underwriting”: the names of the Underwriters provided in paragraph 1 and the table immediately following paragraph 1, paragraph 3, sentences 3 and 4 in paragraph 7 and paragraph 8.</w:t>
      </w:r>
    </w:p>
    <w:p>
      <w:pPr>
        <w:spacing w:after="0" w:line="185" w:lineRule="exact"/>
        <w:rPr>
          <w:rFonts w:ascii="Arial" w:cs="Arial" w:eastAsia="Arial" w:hAnsi="Arial"/>
          <w:sz w:val="17"/>
          <w:szCs w:val="17"/>
          <w:color w:val="auto"/>
        </w:rPr>
      </w:pPr>
    </w:p>
    <w:p>
      <w:pPr>
        <w:ind w:left="-20" w:firstLine="436"/>
        <w:spacing w:after="0" w:line="267"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or asserted against any person in respect of which indemnification may be sought pursuant to either paragraph (a) or (b) above, such person (the “</w:t>
      </w:r>
      <w:r>
        <w:rPr>
          <w:rFonts w:ascii="Arial" w:cs="Arial" w:eastAsia="Arial" w:hAnsi="Arial"/>
          <w:sz w:val="17"/>
          <w:szCs w:val="17"/>
          <w:u w:val="single" w:color="auto"/>
          <w:color w:val="auto"/>
        </w:rPr>
        <w:t>Indemnified Person</w:t>
      </w:r>
      <w:r>
        <w:rPr>
          <w:rFonts w:ascii="Arial" w:cs="Arial" w:eastAsia="Arial" w:hAnsi="Arial"/>
          <w:sz w:val="17"/>
          <w:szCs w:val="17"/>
          <w:color w:val="auto"/>
        </w:rPr>
        <w:t>”) shall promptly notify the person against whom such indemnification may be sought (the “</w:t>
      </w:r>
      <w:r>
        <w:rPr>
          <w:rFonts w:ascii="Arial" w:cs="Arial" w:eastAsia="Arial" w:hAnsi="Arial"/>
          <w:sz w:val="17"/>
          <w:szCs w:val="17"/>
          <w:u w:val="single" w:color="auto"/>
          <w:color w:val="auto"/>
        </w:rPr>
        <w:t>Indemnifying Person</w:t>
      </w:r>
      <w:r>
        <w:rPr>
          <w:rFonts w:ascii="Arial" w:cs="Arial" w:eastAsia="Arial" w:hAnsi="Arial"/>
          <w:sz w:val="17"/>
          <w:szCs w:val="17"/>
          <w:color w:val="auto"/>
        </w:rPr>
        <w:t xml:space="preserv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26" w:name="page27"/>
    <w:bookmarkEnd w:id="26"/>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all Indemnified Persons, and that all such fees and expenses reasonably incurred shall be reimbursed as they are incurred. Any such separate firm for any Underwriter, its affiliates, directors and officers and any control persons of such Underwriter shall be designated in writing by the Representatives and any such separate firm for the Company, the Guarantor, their respective directors, authorized signatories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spacing w:after="0" w:line="1" w:lineRule="exact"/>
        <w:rPr>
          <w:sz w:val="20"/>
          <w:szCs w:val="20"/>
          <w:color w:val="auto"/>
        </w:rPr>
      </w:pP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include any statement as to or any admission of fault, culpability or a failure to act by or on behalf of any Indemnified Person.</w:t>
      </w:r>
    </w:p>
    <w:p>
      <w:pPr>
        <w:spacing w:after="0" w:line="210" w:lineRule="exact"/>
        <w:rPr>
          <w:rFonts w:ascii="Arial" w:cs="Arial" w:eastAsia="Arial" w:hAnsi="Arial"/>
          <w:sz w:val="18"/>
          <w:szCs w:val="18"/>
          <w:color w:val="auto"/>
        </w:rPr>
      </w:pPr>
    </w:p>
    <w:p>
      <w:pPr>
        <w:ind w:left="4" w:right="40" w:firstLine="436"/>
        <w:spacing w:after="0" w:line="287" w:lineRule="auto"/>
        <w:tabs>
          <w:tab w:leader="none" w:pos="83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damages or liabilities, as well as any other relevant equitable considerations. The relative benefits received by the Company and the Guarantor on the one hand and the Underwriters on the other shall be deemed to be in the same respective proportions as 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7" w:name="page28"/>
    <w:bookmarkEnd w:id="27"/>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Company and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120" w:firstLine="436"/>
        <w:spacing w:after="0" w:line="269" w:lineRule="auto"/>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the Guarantor and the Underwriters agree that it would not be just and equitable if contribution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this Section 7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81" w:lineRule="exact"/>
        <w:rPr>
          <w:rFonts w:ascii="Arial" w:cs="Arial" w:eastAsia="Arial" w:hAnsi="Arial"/>
          <w:sz w:val="17"/>
          <w:szCs w:val="17"/>
          <w:color w:val="auto"/>
        </w:rPr>
      </w:pPr>
    </w:p>
    <w:p>
      <w:pPr>
        <w:ind w:right="300" w:firstLine="436"/>
        <w:spacing w:after="0" w:line="277"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firstLine="436"/>
        <w:spacing w:after="0" w:line="271" w:lineRule="auto"/>
        <w:tabs>
          <w:tab w:leader="none" w:pos="75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8" w:name="page29"/>
    <w:bookmarkEnd w:id="28"/>
    <w:p>
      <w:pPr>
        <w:ind w:left="760" w:hanging="32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on the Closing Date, any one or more Underwriters defaults on its obligation to purchase the Securities that it has agreed to purchase hereunder and the default exceeds one-eleventh of the aggregate amount of the Securities to be purchased hereunder, the 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Arial" w:cs="Arial" w:eastAsia="Arial" w:hAnsi="Arial"/>
          <w:sz w:val="17"/>
          <w:szCs w:val="17"/>
          <w:u w:val="single" w:color="auto"/>
          <w:color w:val="auto"/>
        </w:rPr>
        <w:t>Underwriter</w:t>
      </w:r>
      <w:r>
        <w:rPr>
          <w:rFonts w:ascii="Arial" w:cs="Arial" w:eastAsia="Arial" w:hAnsi="Arial"/>
          <w:sz w:val="17"/>
          <w:szCs w:val="17"/>
          <w:color w:val="auto"/>
        </w:rPr>
        <w:t>” includes, for all purposes of this Agreement unless the context otherwise requires, any person not listed in Schedule 1 hereto that, pursuant to this Section 9, purchases Securities that one or more defaulting Underwriter agreed but failed to purchase.</w:t>
      </w:r>
    </w:p>
    <w:p>
      <w:pPr>
        <w:spacing w:after="0" w:line="186" w:lineRule="exact"/>
        <w:rPr>
          <w:rFonts w:ascii="Arial" w:cs="Arial" w:eastAsia="Arial" w:hAnsi="Arial"/>
          <w:sz w:val="17"/>
          <w:szCs w:val="17"/>
          <w:color w:val="auto"/>
        </w:rPr>
      </w:pPr>
    </w:p>
    <w:p>
      <w:pPr>
        <w:ind w:right="100" w:firstLine="436"/>
        <w:spacing w:after="0" w:line="257" w:lineRule="auto"/>
        <w:tabs>
          <w:tab w:leader="none" w:pos="8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87" w:lineRule="exact"/>
        <w:rPr>
          <w:rFonts w:ascii="Arial" w:cs="Arial" w:eastAsia="Arial" w:hAnsi="Arial"/>
          <w:sz w:val="18"/>
          <w:szCs w:val="18"/>
          <w:color w:val="auto"/>
        </w:rPr>
      </w:pPr>
    </w:p>
    <w:p>
      <w:pPr>
        <w:ind w:left="820" w:hanging="38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the</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w:t>
      </w:r>
    </w:p>
    <w:p>
      <w:pPr>
        <w:spacing w:after="0" w:line="194" w:lineRule="exact"/>
        <w:rPr>
          <w:sz w:val="20"/>
          <w:szCs w:val="20"/>
          <w:color w:val="auto"/>
        </w:rPr>
      </w:pPr>
    </w:p>
    <w:p>
      <w:pPr>
        <w:ind w:right="860" w:firstLine="436"/>
        <w:spacing w:after="0" w:line="277" w:lineRule="auto"/>
        <w:tabs>
          <w:tab w:leader="none" w:pos="8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Guarantor or any non-defaulting Underwriter for damages caused by its default.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9" w:name="page30"/>
    <w:bookmarkEnd w:id="29"/>
    <w:p>
      <w:pPr>
        <w:ind w:right="200" w:firstLine="436"/>
        <w:spacing w:after="0" w:line="25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avoidance of doubt, to the extent an Underwriter’s obligation to purchase Securities hereunder constitutes a BRRD Liability (as defined below) and such Underwriter does not, at the Closing Date, purchase the full amount of the Securities that it has agreed to purchase hereunder due to the exercise by the Relevant Resolution Authority (as defined below) of its powers under the relevant Bail-in Legislation as set forth in Section 12 below with respect to such BRRD Liability, such Underwriter shall be deemed, for all purposes of this Section 9, to have defaulted on its obligation to purchase such Securities that it has agreed to purchase hereunder but has not purchased, and this Section 9 shall remain in full force and effect with respect to the obligations of the other Underwriters.</w:t>
      </w:r>
    </w:p>
    <w:p>
      <w:pPr>
        <w:spacing w:after="0" w:line="300" w:lineRule="exact"/>
        <w:rPr>
          <w:sz w:val="20"/>
          <w:szCs w:val="20"/>
          <w:color w:val="auto"/>
        </w:rPr>
      </w:pPr>
    </w:p>
    <w:p>
      <w:pPr>
        <w:ind w:left="840" w:hanging="404"/>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firstLine="436"/>
        <w:spacing w:after="0" w:line="286" w:lineRule="auto"/>
        <w:tabs>
          <w:tab w:leader="none" w:pos="81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and the Guarantor jointly and severally agree to pay or cause to be paid all out-of-pocket costs and expenses incident to the performance of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w:t>
      </w:r>
    </w:p>
    <w:p>
      <w:pPr>
        <w:spacing w:after="0" w:line="170" w:lineRule="exact"/>
        <w:rPr>
          <w:rFonts w:ascii="Arial" w:cs="Arial" w:eastAsia="Arial" w:hAnsi="Arial"/>
          <w:sz w:val="16"/>
          <w:szCs w:val="16"/>
          <w:color w:val="auto"/>
        </w:rPr>
      </w:pPr>
    </w:p>
    <w:p>
      <w:pPr>
        <w:ind w:right="20" w:firstLine="436"/>
        <w:spacing w:after="0" w:line="273" w:lineRule="auto"/>
        <w:tabs>
          <w:tab w:leader="none" w:pos="83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8,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the Agreement or termination is by reason of a default by any of the Underwriters.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840" w:hanging="404"/>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9"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180" w:firstLine="436"/>
        <w:spacing w:after="0" w:line="259"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any BHC Act Affiliate of such Underwriter becomes subject to a proceeding under a U.S. Special Resolution Regime, the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95" w:lineRule="exact"/>
        <w:rPr>
          <w:sz w:val="20"/>
          <w:szCs w:val="20"/>
          <w:color w:val="auto"/>
        </w:rPr>
      </w:pPr>
    </w:p>
    <w:p>
      <w:pPr>
        <w:ind w:left="840" w:hanging="40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Contractual Recognition of Bail-In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the parties to this Agreement acknowledges, accepts and agrees that a BRRD Liability arising under this Agreement may be subject to the exercise of Bail-in Powers by the Relevant Resolution Authority, and acknowledges, accepts and agrees to be bound by: (i) the effect of the exercise of Bail-in Powers by the Relevant Resolution Authority in relation to any BRRD Liability of the Underwriters to the Company or the Guarantor under this Agreement, which (without limitation) may include and result in any of the following or some combination thereof: (w) the reduction of all, or a portion, of the BRRD Liability or outstanding amounts due thereon; (x) the conversion of all, or a portion, of the BRRD Liability into shares, other securities or other obligations of the Underwriters or another person, and the issue to or conferral on each of the Company and the Guarantor of such shares, securities or obligations; (y) the cancellation of the BRRD Liability; and (z) 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Bail-in Powers by the Relevant Resolution Authority.</w:t>
      </w:r>
    </w:p>
    <w:p>
      <w:pPr>
        <w:spacing w:after="0" w:line="185" w:lineRule="exact"/>
        <w:rPr>
          <w:rFonts w:ascii="Arial" w:cs="Arial" w:eastAsia="Arial" w:hAnsi="Arial"/>
          <w:sz w:val="17"/>
          <w:szCs w:val="17"/>
          <w:color w:val="auto"/>
        </w:rPr>
      </w:pPr>
    </w:p>
    <w:p>
      <w:pPr>
        <w:jc w:val="both"/>
        <w:ind w:right="460" w:firstLine="436"/>
        <w:spacing w:after="0" w:line="263" w:lineRule="auto"/>
        <w:tabs>
          <w:tab w:leader="none" w:pos="8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 parties to this Agreement acknowledges and accepts that this provision is exhaustive on the matters described herein to the exclusion of any other term of this Agreement or any other agreements, arrangements, or understandings between the parties hereto, relating to the subject matter of this Agreement.</w:t>
      </w:r>
    </w:p>
    <w:p>
      <w:pPr>
        <w:spacing w:after="0" w:line="291" w:lineRule="exact"/>
        <w:rPr>
          <w:rFonts w:ascii="Arial" w:cs="Arial" w:eastAsia="Arial" w:hAnsi="Arial"/>
          <w:sz w:val="18"/>
          <w:szCs w:val="18"/>
          <w:color w:val="auto"/>
        </w:rPr>
      </w:pPr>
    </w:p>
    <w:p>
      <w:pPr>
        <w:ind w:left="800" w:hanging="36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used in this Section 12:</w:t>
      </w:r>
    </w:p>
    <w:p>
      <w:pPr>
        <w:spacing w:after="0" w:line="11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in relation to the UK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 w:name="page32"/>
    <w:bookmarkEnd w:id="31"/>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Bail-in Powers</w:t>
      </w:r>
      <w:r>
        <w:rPr>
          <w:rFonts w:ascii="Arial" w:cs="Arial" w:eastAsia="Arial" w:hAnsi="Arial"/>
          <w:sz w:val="18"/>
          <w:szCs w:val="18"/>
          <w:color w:val="auto"/>
        </w:rPr>
        <w:t>” means any Write-down and Conversion Powers as defined in the EU Bail-in Legislation Schedule, in relation to the relevant Bail-in Legislation.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BRRD</w:t>
      </w:r>
      <w:r>
        <w:rPr>
          <w:rFonts w:ascii="Arial" w:cs="Arial" w:eastAsia="Arial" w:hAnsi="Arial"/>
          <w:sz w:val="17"/>
          <w:szCs w:val="17"/>
          <w:color w:val="auto"/>
        </w:rPr>
        <w:t>” means Directive 2014/59/EU establishing a framework for the recovery and resolution of credit institutions and investment firms.</w:t>
      </w:r>
    </w:p>
    <w:p>
      <w:pPr>
        <w:spacing w:after="0" w:line="23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BRRD Liability</w:t>
      </w:r>
      <w:r>
        <w:rPr>
          <w:rFonts w:ascii="Arial" w:cs="Arial" w:eastAsia="Arial" w:hAnsi="Arial"/>
          <w:sz w:val="18"/>
          <w:szCs w:val="18"/>
          <w:color w:val="auto"/>
        </w:rPr>
        <w:t>” has the same meaning as in such laws, regulations, rules or requirements implementing the BRRD under the applicable Bail-in Legislation.</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document described as such, then in effect, and published by the Loan Market Association (or any successor person) from time to time at http://www.lma.eu.com/pages.aspx?p=499.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Resolution Authority</w:t>
      </w:r>
      <w:r>
        <w:rPr>
          <w:rFonts w:ascii="Arial" w:cs="Arial" w:eastAsia="Arial" w:hAnsi="Arial"/>
          <w:sz w:val="17"/>
          <w:szCs w:val="17"/>
          <w:color w:val="auto"/>
        </w:rPr>
        <w:t>” means the resolution authority with the ability to exercise any Bail-in Powers in relation to the Underwriters.</w:t>
      </w:r>
    </w:p>
    <w:p>
      <w:pPr>
        <w:spacing w:after="0" w:line="237" w:lineRule="exact"/>
        <w:rPr>
          <w:sz w:val="20"/>
          <w:szCs w:val="20"/>
          <w:color w:val="auto"/>
        </w:rPr>
      </w:pPr>
    </w:p>
    <w:p>
      <w:pPr>
        <w:ind w:right="20" w:firstLine="436"/>
        <w:spacing w:after="0" w:line="257" w:lineRule="auto"/>
        <w:tabs>
          <w:tab w:leader="none" w:pos="84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7" w:lineRule="exact"/>
        <w:rPr>
          <w:rFonts w:ascii="Arial" w:cs="Arial" w:eastAsia="Arial" w:hAnsi="Arial"/>
          <w:sz w:val="18"/>
          <w:szCs w:val="18"/>
          <w:color w:val="auto"/>
        </w:rPr>
      </w:pPr>
    </w:p>
    <w:p>
      <w:pPr>
        <w:ind w:firstLine="436"/>
        <w:spacing w:after="0" w:line="301" w:lineRule="auto"/>
        <w:tabs>
          <w:tab w:leader="none" w:pos="84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w:t>
      </w:r>
    </w:p>
    <w:p>
      <w:pPr>
        <w:spacing w:after="0" w:line="157" w:lineRule="exact"/>
        <w:rPr>
          <w:rFonts w:ascii="Arial" w:cs="Arial" w:eastAsia="Arial" w:hAnsi="Arial"/>
          <w:sz w:val="16"/>
          <w:szCs w:val="16"/>
          <w:color w:val="auto"/>
        </w:rPr>
      </w:pPr>
    </w:p>
    <w:p>
      <w:pPr>
        <w:ind w:left="840" w:hanging="40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except where otherwise expressly provided:</w:t>
      </w:r>
    </w:p>
    <w:p>
      <w:pPr>
        <w:spacing w:after="0" w:line="117" w:lineRule="exact"/>
        <w:rPr>
          <w:sz w:val="20"/>
          <w:szCs w:val="20"/>
          <w:color w:val="auto"/>
        </w:rPr>
      </w:pPr>
    </w:p>
    <w:p>
      <w:pPr>
        <w:ind w:left="820" w:hanging="384"/>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405 under the Securities Act;</w:t>
      </w:r>
    </w:p>
    <w:p>
      <w:pPr>
        <w:spacing w:after="0" w:line="225" w:lineRule="exact"/>
        <w:rPr>
          <w:rFonts w:ascii="Arial" w:cs="Arial" w:eastAsia="Arial" w:hAnsi="Arial"/>
          <w:sz w:val="18"/>
          <w:szCs w:val="18"/>
          <w:color w:val="auto"/>
        </w:rPr>
      </w:pPr>
    </w:p>
    <w:p>
      <w:pPr>
        <w:ind w:right="240" w:firstLine="436"/>
        <w:spacing w:after="0" w:line="277" w:lineRule="auto"/>
        <w:tabs>
          <w:tab w:leader="none" w:pos="8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day on which banks are permitted or required to be closed in New York City;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2" w:name="page33"/>
    <w:bookmarkEnd w:id="32"/>
    <w:p>
      <w:pPr>
        <w:ind w:left="740" w:hanging="384"/>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rFonts w:ascii="Arial" w:cs="Arial" w:eastAsia="Arial" w:hAnsi="Arial"/>
          <w:sz w:val="18"/>
          <w:szCs w:val="18"/>
          <w:color w:val="auto"/>
        </w:rPr>
      </w:pPr>
    </w:p>
    <w:p>
      <w:pPr>
        <w:ind w:left="1260" w:hanging="353"/>
        <w:spacing w:after="0"/>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entity</w:t>
      </w:r>
      <w:r>
        <w:rPr>
          <w:rFonts w:ascii="Arial" w:cs="Arial" w:eastAsia="Arial" w:hAnsi="Arial"/>
          <w:sz w:val="18"/>
          <w:szCs w:val="18"/>
          <w:color w:val="auto"/>
        </w:rPr>
        <w:t>” as that term is defined in, and interpreted in accordance with, 12 C.F.R. § 252.82(b);</w:t>
      </w:r>
    </w:p>
    <w:p>
      <w:pPr>
        <w:spacing w:after="0" w:line="225" w:lineRule="exact"/>
        <w:rPr>
          <w:rFonts w:ascii="Arial" w:cs="Arial" w:eastAsia="Arial" w:hAnsi="Arial"/>
          <w:sz w:val="18"/>
          <w:szCs w:val="18"/>
          <w:color w:val="auto"/>
        </w:rPr>
      </w:pPr>
    </w:p>
    <w:p>
      <w:pPr>
        <w:ind w:left="1300" w:hanging="393"/>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bank</w:t>
      </w:r>
      <w:r>
        <w:rPr>
          <w:rFonts w:ascii="Arial" w:cs="Arial" w:eastAsia="Arial" w:hAnsi="Arial"/>
          <w:sz w:val="18"/>
          <w:szCs w:val="18"/>
          <w:color w:val="auto"/>
        </w:rPr>
        <w:t>” as that term is defined in, and interpreted in accordance with, 12 C.F.R. § 47.3(b); or</w:t>
      </w:r>
    </w:p>
    <w:p>
      <w:pPr>
        <w:spacing w:after="0" w:line="225" w:lineRule="exact"/>
        <w:rPr>
          <w:rFonts w:ascii="Arial" w:cs="Arial" w:eastAsia="Arial" w:hAnsi="Arial"/>
          <w:sz w:val="18"/>
          <w:szCs w:val="18"/>
          <w:color w:val="auto"/>
        </w:rPr>
      </w:pPr>
    </w:p>
    <w:p>
      <w:pPr>
        <w:ind w:left="1360" w:hanging="453"/>
        <w:spacing w:after="0"/>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FSI</w:t>
      </w:r>
      <w:r>
        <w:rPr>
          <w:rFonts w:ascii="Arial" w:cs="Arial" w:eastAsia="Arial" w:hAnsi="Arial"/>
          <w:sz w:val="18"/>
          <w:szCs w:val="18"/>
          <w:color w:val="auto"/>
        </w:rPr>
        <w:t>” as that term is defined in, and interpreted in accordance with, 12 C.F.R. § 382.2(b);</w:t>
      </w:r>
    </w:p>
    <w:p>
      <w:pPr>
        <w:spacing w:after="0" w:line="225" w:lineRule="exact"/>
        <w:rPr>
          <w:rFonts w:ascii="Arial" w:cs="Arial" w:eastAsia="Arial" w:hAnsi="Arial"/>
          <w:sz w:val="18"/>
          <w:szCs w:val="18"/>
          <w:color w:val="auto"/>
        </w:rPr>
      </w:pPr>
    </w:p>
    <w:p>
      <w:pPr>
        <w:ind w:left="-80" w:right="80" w:firstLine="436"/>
        <w:spacing w:after="0" w:line="277"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rFonts w:ascii="Arial" w:cs="Arial" w:eastAsia="Arial" w:hAnsi="Arial"/>
          <w:sz w:val="18"/>
          <w:szCs w:val="18"/>
          <w:color w:val="auto"/>
        </w:rPr>
      </w:pPr>
    </w:p>
    <w:p>
      <w:pPr>
        <w:ind w:left="720" w:hanging="364"/>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80" w:right="100" w:firstLine="436"/>
        <w:spacing w:after="0" w:line="263" w:lineRule="auto"/>
        <w:tabs>
          <w:tab w:leader="none" w:pos="7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has the meaning set forth in Rule 1-02 of Regulation S-X under the Exchange Act and refers only to those significant subsidiaries listed on Exhibit 21 to the Guarantor’s Annual Report on Form 10-K for the year ended December 31, 2019 as filed with the Commission on January 22, 2020;</w:t>
      </w:r>
    </w:p>
    <w:p>
      <w:pPr>
        <w:spacing w:after="0" w:line="183" w:lineRule="exact"/>
        <w:rPr>
          <w:rFonts w:ascii="Arial" w:cs="Arial" w:eastAsia="Arial" w:hAnsi="Arial"/>
          <w:sz w:val="18"/>
          <w:szCs w:val="18"/>
          <w:color w:val="auto"/>
        </w:rPr>
      </w:pPr>
    </w:p>
    <w:p>
      <w:pPr>
        <w:ind w:left="740" w:hanging="384"/>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set forth in Rule 405 under the Securities Act; and</w:t>
      </w:r>
    </w:p>
    <w:p>
      <w:pPr>
        <w:spacing w:after="0" w:line="225" w:lineRule="exact"/>
        <w:rPr>
          <w:rFonts w:ascii="Arial" w:cs="Arial" w:eastAsia="Arial" w:hAnsi="Arial"/>
          <w:sz w:val="18"/>
          <w:szCs w:val="18"/>
          <w:color w:val="auto"/>
        </w:rPr>
      </w:pPr>
    </w:p>
    <w:p>
      <w:pPr>
        <w:ind w:left="-80" w:right="60" w:firstLine="436"/>
        <w:spacing w:after="0" w:line="308" w:lineRule="auto"/>
        <w:tabs>
          <w:tab w:leader="none" w:pos="71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54" w:lineRule="exact"/>
        <w:rPr>
          <w:sz w:val="20"/>
          <w:szCs w:val="20"/>
          <w:color w:val="auto"/>
        </w:rPr>
      </w:pPr>
    </w:p>
    <w:p>
      <w:pPr>
        <w:ind w:left="760" w:hanging="40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80" w:right="820" w:firstLine="436"/>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Representatives. </w:t>
      </w:r>
      <w:r>
        <w:rPr>
          <w:rFonts w:ascii="Arial" w:cs="Arial" w:eastAsia="Arial" w:hAnsi="Arial"/>
          <w:sz w:val="18"/>
          <w:szCs w:val="18"/>
          <w:color w:val="auto"/>
        </w:rPr>
        <w:t>Any action by the Underwriters hereunder may be taken by the Representatives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and any such action taken by the Representatives shall be binding upon the Underwriters.</w:t>
      </w:r>
    </w:p>
    <w:p>
      <w:pPr>
        <w:spacing w:after="0" w:line="170" w:lineRule="exact"/>
        <w:rPr>
          <w:rFonts w:ascii="Arial" w:cs="Arial" w:eastAsia="Arial" w:hAnsi="Arial"/>
          <w:sz w:val="18"/>
          <w:szCs w:val="18"/>
          <w:color w:val="auto"/>
        </w:rPr>
      </w:pPr>
    </w:p>
    <w:p>
      <w:pPr>
        <w:ind w:left="-80" w:firstLine="436"/>
        <w:spacing w:after="0" w:line="271" w:lineRule="auto"/>
        <w:tabs>
          <w:tab w:leader="none" w:pos="75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Representatives c/o Citigroup Global Markets Inc., 388 Greenwich Street, New York, New York 10013 (fax: 646-291-1469), Attention: General Counsel; c/o HSBC Securities (USA) Inc. 452 Fifth Avenue, New York, New York 10018, Attention: Transaction Management Group; c/o J.P. Morgan Securities LLC, 383 Madison Avenue, New York, New York 10179, Attention: Investment Grade Syndicate Desk, Fax: (212) 834-6081; and c/o SG Americas Securities, LLC, 245 Park Avenue, 11th Floor, New York, New York 10167, Attention: General Counsel or if by e-mail to US-Glfi-Abp-Cmbs-Notices@sgcib.com. Notices to the Company and the Guarantor shall be given to them at Parkstraat 83, The Hague, The Netherlands, Attention: Director of Treasury Operations, and 5599 San Felipe, Houston, TX 77056, Fax: (713) 513-2006, Attention: Vice President &amp; Treasurer.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60"/>
          </w:cols>
          <w:pgMar w:left="520" w:top="274" w:right="519" w:bottom="1440" w:gutter="0" w:footer="0" w:header="0"/>
        </w:sectPr>
      </w:pPr>
    </w:p>
    <w:bookmarkStart w:id="33" w:name="page34"/>
    <w:bookmarkEnd w:id="33"/>
    <w:p>
      <w:pPr>
        <w:ind w:left="820" w:hanging="384"/>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Governing Law. </w:t>
      </w:r>
      <w:r>
        <w:rPr>
          <w:rFonts w:ascii="Arial" w:cs="Arial" w:eastAsia="Arial" w:hAnsi="Arial"/>
          <w:sz w:val="18"/>
          <w:szCs w:val="18"/>
          <w:color w:val="auto"/>
        </w:rPr>
        <w:t>This Agreement shall be governed by and construed in accordance with the laws of the State of New York.</w:t>
      </w:r>
    </w:p>
    <w:p>
      <w:pPr>
        <w:spacing w:after="0" w:line="225" w:lineRule="exact"/>
        <w:rPr>
          <w:rFonts w:ascii="Arial" w:cs="Arial" w:eastAsia="Arial" w:hAnsi="Arial"/>
          <w:sz w:val="18"/>
          <w:szCs w:val="18"/>
          <w:color w:val="auto"/>
        </w:rPr>
      </w:pPr>
    </w:p>
    <w:p>
      <w:pPr>
        <w:ind w:right="140" w:firstLine="436"/>
        <w:spacing w:after="0" w:line="277"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firstLine="436"/>
        <w:spacing w:after="0" w:line="254"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counterparts (which may include counterparts delivered by any standard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each of which shall be an original and all of which together shall constitute one and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rFonts w:ascii="Arial" w:cs="Arial" w:eastAsia="Arial" w:hAnsi="Arial"/>
          <w:sz w:val="18"/>
          <w:szCs w:val="18"/>
          <w:color w:val="auto"/>
        </w:rPr>
      </w:pPr>
    </w:p>
    <w:p>
      <w:pPr>
        <w:ind w:right="660" w:firstLine="436"/>
        <w:spacing w:after="0" w:line="27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100" w:firstLine="436"/>
        <w:spacing w:after="0" w:line="277"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 w:name="page35"/>
    <w:bookmarkEnd w:id="3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Joanna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Joanna Todd</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Class B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Claudia Jaramillo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Claudia Jaramillo</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Treasurer</w:t>
      </w:r>
    </w:p>
    <w:p>
      <w:pPr>
        <w:sectPr>
          <w:pgSz w:w="11900" w:h="16838" w:orient="portrait"/>
          <w:cols w:equalWidth="0" w:num="1">
            <w:col w:w="10660"/>
          </w:cols>
          <w:pgMar w:left="440" w:top="274" w:right="7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June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D. Bednarski</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Diane Kenna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Diane Kenna</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Som Bhattacharyya</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Menzies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Menzies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ectPr>
          <w:pgSz w:w="11900" w:h="16838" w:orient="portrait"/>
          <w:cols w:equalWidth="0" w:num="1">
            <w:col w:w="10019"/>
          </w:cols>
          <w:pgMar w:left="440" w:top="274"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57"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Underwriter</w:t>
            </w:r>
          </w:p>
        </w:tc>
        <w:tc>
          <w:tcPr>
            <w:tcW w:w="54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w w:val="97"/>
              </w:rPr>
              <w:t>Principal Amount</w:t>
            </w: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135,000,000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135,000,000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135,000,000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135,000,000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90,000,000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90,000,000</w:t>
            </w:r>
          </w:p>
        </w:tc>
      </w:tr>
      <w:tr>
        <w:trPr>
          <w:trHeight w:val="27"/>
        </w:trPr>
        <w:tc>
          <w:tcPr>
            <w:tcW w:w="8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900,000,000</w:t>
            </w:r>
          </w:p>
        </w:tc>
      </w:tr>
    </w:tbl>
    <w:p>
      <w:pPr>
        <w:sectPr>
          <w:pgSz w:w="11900" w:h="16838" w:orient="portrait"/>
          <w:cols w:equalWidth="0" w:num="1">
            <w:col w:w="10020"/>
          </w:cols>
          <w:pgMar w:left="1440" w:top="274"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Sale Information</w:t>
      </w:r>
    </w:p>
    <w:p>
      <w:pPr>
        <w:spacing w:after="0" w:line="135" w:lineRule="exact"/>
        <w:rPr>
          <w:sz w:val="20"/>
          <w:szCs w:val="20"/>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Pricing Term Sheet, dated June 17, 2020, substantially in the form of Annex B.</w:t>
      </w:r>
    </w:p>
    <w:p>
      <w:pPr>
        <w:sectPr>
          <w:pgSz w:w="11900" w:h="16838" w:orient="portrait"/>
          <w:cols w:equalWidth="0" w:num="1">
            <w:col w:w="11020"/>
          </w:cols>
          <w:pgMar w:left="440" w:top="274" w:right="439" w:bottom="1440" w:gutter="0" w:footer="0" w:header="0"/>
        </w:sectPr>
      </w:pPr>
    </w:p>
    <w:bookmarkStart w:id="38" w:name="page39"/>
    <w:bookmarkEnd w:id="38"/>
    <w:p>
      <w:pPr>
        <w:ind w:left="103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233"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Filed Pursuant to Rule 433</w:t>
      </w:r>
    </w:p>
    <w:p>
      <w:pPr>
        <w:spacing w:after="0" w:line="50"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Registration Statement No. 333-231029</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Schlumberger Investment SA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$900,000,000 2.650% Senior Notes due 2030</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17, 2020</w:t>
      </w:r>
    </w:p>
    <w:p>
      <w:pPr>
        <w:sectPr>
          <w:pgSz w:w="11900" w:h="16838" w:orient="portrait"/>
          <w:cols w:equalWidth="0" w:num="1">
            <w:col w:w="11020"/>
          </w:cols>
          <w:pgMar w:left="440" w:top="274"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Investment SA</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Schlumberger Limited</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2.650% Senior Notes due 2030</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Issue Format: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 registered</w:t>
      </w:r>
    </w:p>
    <w:p>
      <w:pPr>
        <w:spacing w:after="0" w:line="151"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Principal Amount:</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6"/>
          <w:szCs w:val="16"/>
          <w:color w:val="auto"/>
        </w:rPr>
        <w:t>$900,000,000</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0"/>
          <w:szCs w:val="20"/>
          <w:color w:val="auto"/>
        </w:rPr>
      </w:pPr>
      <w:r>
        <w:rPr>
          <w:sz w:val="20"/>
          <w:szCs w:val="20"/>
          <w:color w:val="auto"/>
        </w:rPr>
        <w:br w:type="column"/>
      </w:r>
    </w:p>
    <w:p>
      <w:pPr>
        <w:jc w:val="center"/>
        <w:ind w:right="4740"/>
        <w:spacing w:after="0"/>
        <w:rPr>
          <w:sz w:val="20"/>
          <w:szCs w:val="20"/>
          <w:color w:val="auto"/>
        </w:rPr>
      </w:pPr>
      <w:r>
        <w:rPr>
          <w:rFonts w:ascii="Arial" w:cs="Arial" w:eastAsia="Arial" w:hAnsi="Arial"/>
          <w:sz w:val="15"/>
          <w:szCs w:val="15"/>
          <w:color w:val="auto"/>
        </w:rPr>
        <w:t>2.650%</w:t>
      </w:r>
    </w:p>
    <w:p>
      <w:pPr>
        <w:spacing w:after="0" w:line="151"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jc w:val="center"/>
        <w:ind w:right="4640"/>
        <w:spacing w:after="0"/>
        <w:rPr>
          <w:sz w:val="20"/>
          <w:szCs w:val="20"/>
          <w:color w:val="auto"/>
        </w:rPr>
      </w:pPr>
      <w:r>
        <w:rPr>
          <w:rFonts w:ascii="Arial" w:cs="Arial" w:eastAsia="Arial" w:hAnsi="Arial"/>
          <w:sz w:val="16"/>
          <w:szCs w:val="16"/>
          <w:color w:val="auto"/>
        </w:rPr>
        <w:t>99.608%</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26 and December 26, beginning December 26, 2020</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17, 2020</w:t>
      </w:r>
    </w:p>
    <w:p>
      <w:pPr>
        <w:spacing w:after="0" w:line="152"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5"/>
          <w:szCs w:val="15"/>
          <w:color w:val="auto"/>
        </w:rPr>
        <w:t>June 26, 2020</w:t>
      </w:r>
    </w:p>
    <w:p>
      <w:pPr>
        <w:spacing w:after="0" w:line="151"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5"/>
          <w:szCs w:val="15"/>
          <w:color w:val="auto"/>
        </w:rPr>
        <w:t>June 26, 2030</w:t>
      </w:r>
    </w:p>
    <w:p>
      <w:pPr>
        <w:spacing w:after="0" w:line="151"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 + 30 basis points</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on or after March 26, 2030</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UST 0.625% due May 15, 2030</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Treasury Yield:</w:t>
      </w:r>
    </w:p>
    <w:p>
      <w:pPr>
        <w:spacing w:after="0" w:line="20" w:lineRule="exact"/>
        <w:rPr>
          <w:sz w:val="20"/>
          <w:szCs w:val="20"/>
          <w:color w:val="auto"/>
        </w:rPr>
      </w:pPr>
      <w:r>
        <w:rPr>
          <w:sz w:val="20"/>
          <w:szCs w:val="20"/>
          <w:color w:val="auto"/>
        </w:rPr>
        <w:br w:type="column"/>
      </w:r>
    </w:p>
    <w:p>
      <w:pPr>
        <w:jc w:val="center"/>
        <w:ind w:right="4740"/>
        <w:spacing w:after="0"/>
        <w:rPr>
          <w:sz w:val="20"/>
          <w:szCs w:val="20"/>
          <w:color w:val="auto"/>
        </w:rPr>
      </w:pPr>
      <w:r>
        <w:rPr>
          <w:rFonts w:ascii="Arial" w:cs="Arial" w:eastAsia="Arial" w:hAnsi="Arial"/>
          <w:sz w:val="15"/>
          <w:szCs w:val="15"/>
          <w:color w:val="auto"/>
        </w:rPr>
        <w:t>0.745%</w:t>
      </w:r>
    </w:p>
    <w:p>
      <w:pPr>
        <w:spacing w:after="0" w:line="151"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+195 basis points</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Reoffer Yield:</w:t>
      </w:r>
    </w:p>
    <w:p>
      <w:pPr>
        <w:spacing w:after="0" w:line="20" w:lineRule="exact"/>
        <w:rPr>
          <w:sz w:val="20"/>
          <w:szCs w:val="20"/>
          <w:color w:val="auto"/>
        </w:rPr>
      </w:pPr>
      <w:r>
        <w:rPr>
          <w:sz w:val="20"/>
          <w:szCs w:val="20"/>
          <w:color w:val="auto"/>
        </w:rPr>
        <w:br w:type="column"/>
      </w:r>
    </w:p>
    <w:p>
      <w:pPr>
        <w:jc w:val="center"/>
        <w:ind w:right="4740"/>
        <w:spacing w:after="0"/>
        <w:rPr>
          <w:sz w:val="20"/>
          <w:szCs w:val="20"/>
          <w:color w:val="auto"/>
        </w:rPr>
      </w:pPr>
      <w:r>
        <w:rPr>
          <w:rFonts w:ascii="Arial" w:cs="Arial" w:eastAsia="Arial" w:hAnsi="Arial"/>
          <w:sz w:val="15"/>
          <w:szCs w:val="15"/>
          <w:color w:val="auto"/>
        </w:rPr>
        <w:t>2.695%</w:t>
      </w:r>
    </w:p>
    <w:p>
      <w:pPr>
        <w:spacing w:after="0" w:line="151"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806854 AJ4</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US806854AJ48</w:t>
      </w:r>
    </w:p>
    <w:p>
      <w:pPr>
        <w:spacing w:after="0" w:line="14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Citigroup Global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SG Americas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BNP Paribas Securities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and Sale of the Notes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Issuer expects to deliver the Notes against payment for the Notes on or about June 26, 2020 which will be the seventh business day following June 17, 2020, the date of the pricing of the Notes. Since trades in the secondary market generally settle in two business days, purchasers who wish to trade Notes on the date of pricing or the next four succeeding business days will be required, by virtue of the fact that the Notes initially will settle in T+7, to specify alternative settlement arrangements to prevent a failed settlement.</w:t>
      </w:r>
    </w:p>
    <w:p>
      <w:pPr>
        <w:sectPr>
          <w:pgSz w:w="11900" w:h="16838" w:orient="portrait"/>
          <w:cols w:equalWidth="0" w:num="1">
            <w:col w:w="11020"/>
          </w:cols>
          <w:pgMar w:left="440" w:top="274" w:right="439" w:bottom="1440" w:gutter="0" w:footer="0" w:header="0"/>
          <w:type w:val="continuous"/>
        </w:sectPr>
      </w:pPr>
    </w:p>
    <w:bookmarkStart w:id="39" w:name="page40"/>
    <w:bookmarkEnd w:id="39"/>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Citigroup Global Markets Inc. toll-free at 1-800-831-9146, HSBC Securities (USA) Inc. toll-free at 1-866-811-8049, J.P. Morgan Securities LLC collect at 1-212-834-4533 and SG Americas Securities, LLC toll-free at 1-855-881-2108.</w:t>
      </w:r>
    </w:p>
    <w:p>
      <w:pPr>
        <w:sectPr>
          <w:pgSz w:w="11900" w:h="16838" w:orient="portrait"/>
          <w:cols w:equalWidth="0" w:num="1">
            <w:col w:w="10980"/>
          </w:cols>
          <w:pgMar w:left="440" w:top="270"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2.650% Senior Notes due 2030</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Irrevocably and Unconditionally Guaranteed by</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SECOND SUPPLEMENTAL INDENTURE</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 Registrar, Paying Agent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1" w:name="page42"/>
    <w:bookmarkEnd w:id="41"/>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Second Supplemental Indenture (this “</w:t>
      </w:r>
      <w:r>
        <w:rPr>
          <w:rFonts w:ascii="Arial" w:cs="Arial" w:eastAsia="Arial" w:hAnsi="Arial"/>
          <w:sz w:val="18"/>
          <w:szCs w:val="18"/>
          <w:i w:val="1"/>
          <w:iCs w:val="1"/>
          <w:color w:val="auto"/>
        </w:rPr>
        <w:t>Second Supplemental Indenture</w:t>
      </w:r>
      <w:r>
        <w:rPr>
          <w:rFonts w:ascii="Arial" w:cs="Arial" w:eastAsia="Arial" w:hAnsi="Arial"/>
          <w:sz w:val="18"/>
          <w:szCs w:val="18"/>
          <w:color w:val="auto"/>
        </w:rPr>
        <w:t>”) dated as of June 26, 2020 by and among 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the Grand Duchy of Luxembourg having its registered address at 42-44 Avenue de la Gare, L-1610 Luxembourg and registered with the Luxembourg Register of Commerce and Companies under number B 163.122 (the “</w:t>
      </w:r>
      <w:r>
        <w:rPr>
          <w:rFonts w:ascii="Arial" w:cs="Arial" w:eastAsia="Arial" w:hAnsi="Arial"/>
          <w:sz w:val="18"/>
          <w:szCs w:val="18"/>
          <w:i w:val="1"/>
          <w:iCs w:val="1"/>
          <w:color w:val="auto"/>
        </w:rPr>
        <w:t>Company</w:t>
      </w:r>
      <w:r>
        <w:rPr>
          <w:rFonts w:ascii="Arial" w:cs="Arial" w:eastAsia="Arial" w:hAnsi="Arial"/>
          <w:sz w:val="18"/>
          <w:szCs w:val="18"/>
          <w:color w:val="auto"/>
        </w:rPr>
        <w:t>”), Schlumberger Limited (the “</w:t>
      </w:r>
      <w:r>
        <w:rPr>
          <w:rFonts w:ascii="Arial" w:cs="Arial" w:eastAsia="Arial" w:hAnsi="Arial"/>
          <w:sz w:val="18"/>
          <w:szCs w:val="18"/>
          <w:i w:val="1"/>
          <w:iCs w:val="1"/>
          <w:color w:val="auto"/>
        </w:rPr>
        <w:t>Guarantor</w:t>
      </w:r>
      <w:r>
        <w:rPr>
          <w:rFonts w:ascii="Arial" w:cs="Arial" w:eastAsia="Arial" w:hAnsi="Arial"/>
          <w:sz w:val="18"/>
          <w:szCs w:val="18"/>
          <w:color w:val="auto"/>
        </w:rPr>
        <w:t>”), and The Bank of New York Mellon,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registrar, paying agent, and transfer agent.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80" w:firstLine="987"/>
        <w:spacing w:after="0" w:line="311" w:lineRule="auto"/>
        <w:tabs>
          <w:tab w:leader="none" w:pos="13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the Guarantor, and the Trustee, executed and delivered an Indenture, dated as of December 3, 2013 (the “</w:t>
      </w:r>
      <w:r>
        <w:rPr>
          <w:rFonts w:ascii="Arial" w:cs="Arial" w:eastAsia="Arial" w:hAnsi="Arial"/>
          <w:sz w:val="16"/>
          <w:szCs w:val="16"/>
          <w:i w:val="1"/>
          <w:iCs w:val="1"/>
          <w:color w:val="auto"/>
        </w:rPr>
        <w:t>Base</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to provide for the issuance by the Company from time to time of debentures, notes or other debt instruments evidencing its 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 Indenture, as supplemented and amended by this Second Supplemental Indenture, is herein referred to as the “</w:t>
      </w:r>
      <w:r>
        <w:rPr>
          <w:rFonts w:ascii="Arial" w:cs="Arial" w:eastAsia="Arial" w:hAnsi="Arial"/>
          <w:sz w:val="16"/>
          <w:szCs w:val="16"/>
          <w:i w:val="1"/>
          <w:iCs w:val="1"/>
          <w:color w:val="auto"/>
        </w:rPr>
        <w:t>Indenture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320" w:hanging="333"/>
        <w:spacing w:after="0"/>
        <w:tabs>
          <w:tab w:leader="none" w:pos="1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has authorized the issuance of $900,000,000 principal amount of 2.650% Senior Notes due 2030 (the “</w:t>
      </w:r>
      <w:r>
        <w:rPr>
          <w:rFonts w:ascii="Arial" w:cs="Arial" w:eastAsia="Arial" w:hAnsi="Arial"/>
          <w:sz w:val="17"/>
          <w:szCs w:val="17"/>
          <w:i w:val="1"/>
          <w:iCs w:val="1"/>
          <w:color w:val="auto"/>
        </w:rPr>
        <w:t>Notes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right="240" w:firstLine="987"/>
        <w:spacing w:after="0" w:line="259" w:lineRule="auto"/>
        <w:tabs>
          <w:tab w:leader="none" w:pos="13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and the Guarantor desire to enter into this Second Supplemental Indenture pursuant to Section 9.1 of the Base Indenture to (i) establish the terms of the Notes and in accordance with Section 2.2 of the Base Indenture, (ii) establish the form of the Notes in accordance with Sections 2.2.13 and 2.3 of the Base Indenture and (iii) change certain provisions of the Base Indenture with respect to the Notes and any Series of Securities created after the date hereof.</w:t>
      </w:r>
    </w:p>
    <w:p>
      <w:pPr>
        <w:spacing w:after="0" w:line="186" w:lineRule="exact"/>
        <w:rPr>
          <w:rFonts w:ascii="Arial" w:cs="Arial" w:eastAsia="Arial" w:hAnsi="Arial"/>
          <w:sz w:val="18"/>
          <w:szCs w:val="18"/>
          <w:color w:val="auto"/>
        </w:rPr>
      </w:pPr>
    </w:p>
    <w:p>
      <w:pPr>
        <w:ind w:left="1340" w:hanging="353"/>
        <w:spacing w:after="0"/>
        <w:tabs>
          <w:tab w:leader="none" w:pos="1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things necessary to make this Second Supplemental Indenture a valid and legally binding agreement according to its terms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done.</w:t>
      </w:r>
    </w:p>
    <w:p>
      <w:pPr>
        <w:spacing w:after="0" w:line="21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NOW, THEREFORE, for and in consideration of the foregoing premises, the Company, the Guarantor and the Trustee mutually covenant and agree for the equal and proportionate benefit of the Holders from time to time of the Notes as follows: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Additional Defined Terms</w:t>
      </w:r>
      <w:r>
        <w:rPr>
          <w:rFonts w:ascii="Arial" w:cs="Arial" w:eastAsia="Arial" w:hAnsi="Arial"/>
          <w:sz w:val="16"/>
          <w:szCs w:val="16"/>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 the following defined terms shall have the following meanings with respect to the Notes only:</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 at the relevant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Note</w:t>
      </w:r>
      <w:r>
        <w:rPr>
          <w:rFonts w:ascii="Arial" w:cs="Arial" w:eastAsia="Arial" w:hAnsi="Arial"/>
          <w:sz w:val="18"/>
          <w:szCs w:val="18"/>
          <w:color w:val="auto"/>
        </w:rPr>
        <w:t>” means a definitive note in registered non-global certificated form.</w:t>
      </w:r>
    </w:p>
    <w:p>
      <w:pPr>
        <w:sectPr>
          <w:pgSz w:w="11900" w:h="16838" w:orient="portrait"/>
          <w:cols w:equalWidth="0" w:num="1">
            <w:col w:w="10960"/>
          </w:cols>
          <w:pgMar w:left="440" w:top="274" w:right="499" w:bottom="1440" w:gutter="0" w:footer="0" w:header="0"/>
        </w:sectPr>
      </w:pPr>
    </w:p>
    <w:bookmarkStart w:id="42" w:name="page43"/>
    <w:bookmarkEnd w:id="42"/>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1.4.1 hereof, which is required to be placed on all Global Notes issued under the Indenture.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global notes, substantially in the form of Exhibit A hereto and that bears the Global Note Legend, issued in accordance with Sections 2.1 of the Base Indenture and 1.3 hereof.</w:t>
      </w:r>
    </w:p>
    <w:p>
      <w:pPr>
        <w:spacing w:after="0" w:line="170"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any entity that, with respect to the Depositary, clears through or maintains a direct or indirect custodial relationship with a Participant.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the stated due date of an installment of interest on the Notes set forth in the Notes.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the Guarantor of the Company’s obligations under the Indenture and the Notes, pursuant to the provisions of the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Date</w:t>
      </w:r>
      <w:r>
        <w:rPr>
          <w:rFonts w:ascii="Arial" w:cs="Arial" w:eastAsia="Arial" w:hAnsi="Arial"/>
          <w:sz w:val="16"/>
          <w:szCs w:val="16"/>
          <w:color w:val="auto"/>
        </w:rPr>
        <w:t>” means, when used with respect to any Note to be redeemed, the date fixed for such redemption by or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Terms of the Notes</w:t>
      </w:r>
      <w:r>
        <w:rPr>
          <w:rFonts w:ascii="Arial" w:cs="Arial" w:eastAsia="Arial" w:hAnsi="Arial"/>
          <w:sz w:val="16"/>
          <w:szCs w:val="16"/>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terms relate to the Notes:</w:t>
      </w:r>
    </w:p>
    <w:p>
      <w:pPr>
        <w:spacing w:after="0" w:line="225" w:lineRule="exact"/>
        <w:rPr>
          <w:sz w:val="20"/>
          <w:szCs w:val="20"/>
          <w:color w:val="auto"/>
        </w:rPr>
      </w:pPr>
    </w:p>
    <w:p>
      <w:pPr>
        <w:ind w:left="1380" w:hanging="393"/>
        <w:spacing w:after="0"/>
        <w:tabs>
          <w:tab w:leader="none" w:pos="1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Notes shall constitute a separate Series of Securities under the Base Indenture having the title “2.650% Senior Notes due 2030.”</w:t>
      </w:r>
    </w:p>
    <w:p>
      <w:pPr>
        <w:spacing w:after="0" w:line="248" w:lineRule="exact"/>
        <w:rPr>
          <w:rFonts w:ascii="Arial" w:cs="Arial" w:eastAsia="Arial" w:hAnsi="Arial"/>
          <w:sz w:val="16"/>
          <w:szCs w:val="16"/>
          <w:color w:val="auto"/>
        </w:rPr>
      </w:pPr>
    </w:p>
    <w:p>
      <w:pPr>
        <w:ind w:right="20" w:firstLine="987"/>
        <w:spacing w:after="0" w:line="289" w:lineRule="auto"/>
        <w:tabs>
          <w:tab w:leader="none" w:pos="13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aggregate principal amount of the Notes (the “</w:t>
      </w:r>
      <w:r>
        <w:rPr>
          <w:rFonts w:ascii="Arial" w:cs="Arial" w:eastAsia="Arial" w:hAnsi="Arial"/>
          <w:sz w:val="16"/>
          <w:szCs w:val="16"/>
          <w:i w:val="1"/>
          <w:iCs w:val="1"/>
          <w:color w:val="auto"/>
        </w:rPr>
        <w:t>Initial Notes</w:t>
      </w:r>
      <w:r>
        <w:rPr>
          <w:rFonts w:ascii="Arial" w:cs="Arial" w:eastAsia="Arial" w:hAnsi="Arial"/>
          <w:sz w:val="16"/>
          <w:szCs w:val="16"/>
          <w:color w:val="auto"/>
        </w:rPr>
        <w:t>”) that may be initially authenticated and delivered under the Indenture shall be $900,000,000 of Notes. The Company may from time to time, without the consent of the Holders of Notes, issue additional Notes (in any such case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the same forms and terms (other than the date of issuance and, under certain circumstances, the date from which interest thereon will begin to accrue), and will carry the same right to receive accrued and unpaid interest, as the Notes previously outstanding. Any Additional Notes and the Initial Notes shall constitute a single Series of Securities under the Indenture, including for purposes of voting and redemptions, and all references to the “Notes” shall include the Initial Notes and any Additional Notes, unless the context otherwise requires, provided, however, that a separate CUSIP or ISIN shall be issued for the Additional Notes, unless the Initial Notes and the Additional Notes are fungible for U.S. federal income tax purposes. Such Additional Notes will also be guaranteed by the Guarantor (with the same ranking as the Note Guarantee for the Initial Notes). The aggregate principal amount of the Additional Notes that may be issued shall be unlimited.</w:t>
      </w:r>
    </w:p>
    <w:p>
      <w:pPr>
        <w:spacing w:after="0" w:line="166" w:lineRule="exact"/>
        <w:rPr>
          <w:rFonts w:ascii="Arial" w:cs="Arial" w:eastAsia="Arial" w:hAnsi="Arial"/>
          <w:sz w:val="16"/>
          <w:szCs w:val="16"/>
          <w:color w:val="auto"/>
        </w:rPr>
      </w:pPr>
    </w:p>
    <w:p>
      <w:pPr>
        <w:ind w:left="1380" w:hanging="39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entire outstanding principal of the Notes shall be payable on June 26, 2030.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43" w:name="page44"/>
    <w:bookmarkEnd w:id="43"/>
    <w:p>
      <w:pPr>
        <w:ind w:right="100" w:firstLine="987"/>
        <w:spacing w:after="0" w:line="296" w:lineRule="auto"/>
        <w:tabs>
          <w:tab w:leader="none" w:pos="1378"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rate at which the Notes shall bear interest shall be 2.650% per year. The date from which interest shall accrue on the Notes shall be June 26, 2020, or the most recent Interest Payment Date to which interest has been paid or provided for. The Interest Payment Dates for each of the Notes shall be June 26 and December 26 of each year, beginning December 26, 2020. Interest shall be payable on each Interest Payment Date to the Holders of record at the close of business on the June 11 and December 11 prior to each Interest Payment Date (whether or not a Business Day). The basis upon which interest shall be calculated shall be that of a 360-day year consisting of twelve 30-day months.</w:t>
      </w:r>
    </w:p>
    <w:p>
      <w:pPr>
        <w:spacing w:after="0" w:line="161" w:lineRule="exact"/>
        <w:rPr>
          <w:rFonts w:ascii="Arial" w:cs="Arial" w:eastAsia="Arial" w:hAnsi="Arial"/>
          <w:sz w:val="16"/>
          <w:szCs w:val="16"/>
          <w:color w:val="auto"/>
        </w:rPr>
      </w:pPr>
    </w:p>
    <w:p>
      <w:pPr>
        <w:jc w:val="both"/>
        <w:ind w:right="180" w:firstLine="987"/>
        <w:spacing w:after="0" w:line="259" w:lineRule="auto"/>
        <w:tabs>
          <w:tab w:leader="none" w:pos="13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Notes shall be issuable in whole in the form of one or more registered Global Notes, and the Depositary for such Global Notes shall be The Depository Trust Company, New York, New York (“</w:t>
      </w:r>
      <w:r>
        <w:rPr>
          <w:rFonts w:ascii="Arial" w:cs="Arial" w:eastAsia="Arial" w:hAnsi="Arial"/>
          <w:sz w:val="18"/>
          <w:szCs w:val="18"/>
          <w:i w:val="1"/>
          <w:iCs w:val="1"/>
          <w:color w:val="auto"/>
        </w:rPr>
        <w:t>DTC</w:t>
      </w:r>
      <w:r>
        <w:rPr>
          <w:rFonts w:ascii="Arial" w:cs="Arial" w:eastAsia="Arial" w:hAnsi="Arial"/>
          <w:sz w:val="18"/>
          <w:szCs w:val="18"/>
          <w:color w:val="auto"/>
        </w:rPr>
        <w:t>”). The Notes shall be substantially in the form attached hereto as Exhibit A, the terms of which are herein incorporated by reference. The Notes shall be denominated and payable in Dollars and shall be issuable in minimum denominations of $2,000 and any integral multiple of $1,000 in excess thereof.</w:t>
      </w:r>
    </w:p>
    <w:p>
      <w:pPr>
        <w:spacing w:after="0" w:line="186" w:lineRule="exact"/>
        <w:rPr>
          <w:rFonts w:ascii="Arial" w:cs="Arial" w:eastAsia="Arial" w:hAnsi="Arial"/>
          <w:sz w:val="18"/>
          <w:szCs w:val="18"/>
          <w:color w:val="auto"/>
        </w:rPr>
      </w:pPr>
    </w:p>
    <w:p>
      <w:pPr>
        <w:ind w:firstLine="987"/>
        <w:spacing w:after="0" w:line="308" w:lineRule="auto"/>
        <w:tabs>
          <w:tab w:leader="none" w:pos="137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Notes may be redeemed at the option of the Company or the Guarantor prior to the Maturity date, as provided in Article III of the Base Indenture, as amended by this Second Supplemental Indenture, and under the caption “Optional Redemption” in the Notes.</w:t>
      </w:r>
    </w:p>
    <w:p>
      <w:pPr>
        <w:spacing w:after="0" w:line="146" w:lineRule="exact"/>
        <w:rPr>
          <w:rFonts w:ascii="Arial" w:cs="Arial" w:eastAsia="Arial" w:hAnsi="Arial"/>
          <w:sz w:val="17"/>
          <w:szCs w:val="17"/>
          <w:color w:val="auto"/>
        </w:rPr>
      </w:pPr>
    </w:p>
    <w:p>
      <w:pPr>
        <w:ind w:left="1380" w:hanging="393"/>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Notes will not have the benefit of any sinking fund.</w:t>
      </w:r>
    </w:p>
    <w:p>
      <w:pPr>
        <w:spacing w:after="0" w:line="225" w:lineRule="exact"/>
        <w:rPr>
          <w:rFonts w:ascii="Arial" w:cs="Arial" w:eastAsia="Arial" w:hAnsi="Arial"/>
          <w:sz w:val="18"/>
          <w:szCs w:val="18"/>
          <w:color w:val="auto"/>
        </w:rPr>
      </w:pPr>
    </w:p>
    <w:p>
      <w:pPr>
        <w:ind w:right="100" w:firstLine="987"/>
        <w:spacing w:after="0" w:line="277" w:lineRule="auto"/>
        <w:tabs>
          <w:tab w:leader="none" w:pos="13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provided in Sections 1.3 and 1.5 hereof, the Holders of the Notes shall have no special rights in addition to those provided in the Base Indenture upon the occurrence of any particular events.</w:t>
      </w:r>
    </w:p>
    <w:p>
      <w:pPr>
        <w:spacing w:after="0" w:line="170" w:lineRule="exact"/>
        <w:rPr>
          <w:rFonts w:ascii="Arial" w:cs="Arial" w:eastAsia="Arial" w:hAnsi="Arial"/>
          <w:sz w:val="18"/>
          <w:szCs w:val="18"/>
          <w:color w:val="auto"/>
        </w:rPr>
      </w:pPr>
    </w:p>
    <w:p>
      <w:pPr>
        <w:ind w:right="320" w:firstLine="987"/>
        <w:spacing w:after="0" w:line="277" w:lineRule="auto"/>
        <w:tabs>
          <w:tab w:leader="none" w:pos="13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Notes will be senior unsecured obligations of the Company and will rank equally and ratably in right of payment to all of the Company’s other unsecured indebtedness.</w:t>
      </w:r>
    </w:p>
    <w:p>
      <w:pPr>
        <w:spacing w:after="0" w:line="170" w:lineRule="exact"/>
        <w:rPr>
          <w:rFonts w:ascii="Arial" w:cs="Arial" w:eastAsia="Arial" w:hAnsi="Arial"/>
          <w:sz w:val="18"/>
          <w:szCs w:val="18"/>
          <w:color w:val="auto"/>
        </w:rPr>
      </w:pPr>
    </w:p>
    <w:p>
      <w:pPr>
        <w:ind w:left="1460" w:hanging="473"/>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Notes are not convertible into shares of common stock or other securities of the Company.</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restrictive covenants set forth in Article IV of the Base Indenture shall be applicable to the Notes.</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Notes shall be issued as Unrestricted Securities.</w:t>
      </w:r>
    </w:p>
    <w:p>
      <w:pPr>
        <w:spacing w:after="0" w:line="225"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Transfer and Exchange of Global Notes</w:t>
      </w:r>
      <w:r>
        <w:rPr>
          <w:rFonts w:ascii="Arial" w:cs="Arial" w:eastAsia="Arial" w:hAnsi="Arial"/>
          <w:sz w:val="18"/>
          <w:szCs w:val="18"/>
          <w:color w:val="auto"/>
        </w:rPr>
        <w:t>. This Section 1.3.1 replaces the second paragraph of Section 2.14.2 of the Base Indenture with respect to the Notes only.</w:t>
      </w:r>
    </w:p>
    <w:p>
      <w:pPr>
        <w:spacing w:after="0" w:line="170" w:lineRule="exact"/>
        <w:rPr>
          <w:sz w:val="20"/>
          <w:szCs w:val="20"/>
          <w:color w:val="auto"/>
        </w:rPr>
      </w:pPr>
    </w:p>
    <w:p>
      <w:pPr>
        <w:ind w:right="140" w:firstLine="1432"/>
        <w:spacing w:after="0" w:line="263" w:lineRule="auto"/>
        <w:rPr>
          <w:sz w:val="20"/>
          <w:szCs w:val="20"/>
          <w:color w:val="auto"/>
        </w:rPr>
      </w:pPr>
      <w:r>
        <w:rPr>
          <w:rFonts w:ascii="Arial" w:cs="Arial" w:eastAsia="Arial" w:hAnsi="Arial"/>
          <w:sz w:val="18"/>
          <w:szCs w:val="18"/>
          <w:color w:val="auto"/>
        </w:rPr>
        <w:t>Except as provided in Section 2.14.2 of the Base Indenture,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 w:name="page45"/>
    <w:bookmarkEnd w:id="44"/>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 nominee of such a successor Depositary; however, beneficial interests in a Global Note may be transferred and exchanged as provided in Section 2.7 of the Base Indenture, as amended by this Second Supplemental Indenture and this Section 1.3.</w:t>
      </w:r>
    </w:p>
    <w:p>
      <w:pPr>
        <w:spacing w:after="0" w:line="170"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Transfer and Exchange of Beneficial Interests in the Global Notes</w:t>
      </w:r>
      <w:r>
        <w:rPr>
          <w:rFonts w:ascii="Arial" w:cs="Arial" w:eastAsia="Arial" w:hAnsi="Arial"/>
          <w:sz w:val="16"/>
          <w:szCs w:val="16"/>
          <w:color w:val="auto"/>
        </w:rPr>
        <w:t>. This Section 1.3.2 shall apply with respect to the Notes only.</w:t>
      </w:r>
    </w:p>
    <w:p>
      <w:pPr>
        <w:spacing w:after="0" w:line="225" w:lineRule="exact"/>
        <w:rPr>
          <w:sz w:val="20"/>
          <w:szCs w:val="20"/>
          <w:color w:val="auto"/>
        </w:rPr>
      </w:pPr>
    </w:p>
    <w:p>
      <w:pPr>
        <w:jc w:val="both"/>
        <w:ind w:right="60" w:firstLine="1432"/>
        <w:spacing w:after="0" w:line="286" w:lineRule="auto"/>
        <w:rPr>
          <w:sz w:val="20"/>
          <w:szCs w:val="20"/>
          <w:color w:val="auto"/>
        </w:rPr>
      </w:pPr>
      <w:r>
        <w:rPr>
          <w:rFonts w:ascii="Arial" w:cs="Arial" w:eastAsia="Arial" w:hAnsi="Arial"/>
          <w:sz w:val="17"/>
          <w:szCs w:val="17"/>
          <w:color w:val="auto"/>
        </w:rPr>
        <w:t>The transfer and exchange of beneficial interests in the Global Notes will be effected through the Depositary, in accordance with the provisions of the Indenture and the Applicable Procedures. Transfers of beneficial interests in the Global Notes also will require compliance with either subparagraph (a) or (b) below, as applicable, as well as one or more of the other following subparagraphs, as applicable.</w:t>
      </w:r>
    </w:p>
    <w:p>
      <w:pPr>
        <w:spacing w:after="0" w:line="57" w:lineRule="exact"/>
        <w:rPr>
          <w:sz w:val="20"/>
          <w:szCs w:val="20"/>
          <w:color w:val="auto"/>
        </w:rPr>
      </w:pPr>
    </w:p>
    <w:p>
      <w:pPr>
        <w:ind w:left="440" w:firstLine="419"/>
        <w:spacing w:after="0" w:line="263" w:lineRule="auto"/>
        <w:tabs>
          <w:tab w:leader="none" w:pos="124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in the Same Global Note</w:t>
      </w:r>
      <w:r>
        <w:rPr>
          <w:rFonts w:ascii="Arial" w:cs="Arial" w:eastAsia="Arial" w:hAnsi="Arial"/>
          <w:sz w:val="18"/>
          <w:szCs w:val="18"/>
          <w:color w:val="auto"/>
        </w:rPr>
        <w:t>.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w:t>
      </w:r>
    </w:p>
    <w:p>
      <w:pPr>
        <w:spacing w:after="0" w:line="75" w:lineRule="exact"/>
        <w:rPr>
          <w:rFonts w:ascii="Arial" w:cs="Arial" w:eastAsia="Arial" w:hAnsi="Arial"/>
          <w:sz w:val="18"/>
          <w:szCs w:val="18"/>
          <w:color w:val="auto"/>
        </w:rPr>
      </w:pPr>
    </w:p>
    <w:p>
      <w:pPr>
        <w:ind w:left="440" w:right="20" w:firstLine="419"/>
        <w:spacing w:after="0" w:line="342" w:lineRule="auto"/>
        <w:tabs>
          <w:tab w:leader="none" w:pos="125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All Other Transfers and Exchanges of Beneficial Interests in Global Notes</w:t>
      </w:r>
      <w:r>
        <w:rPr>
          <w:rFonts w:ascii="Arial" w:cs="Arial" w:eastAsia="Arial" w:hAnsi="Arial"/>
          <w:sz w:val="16"/>
          <w:szCs w:val="16"/>
          <w:color w:val="auto"/>
        </w:rPr>
        <w:t>. In connection with all transfers and exchanges of beneficial interests that are not subject to Section 1.3.2(a) above, the transferor of such beneficial interest must deliver to the Registrar either:</w:t>
      </w:r>
    </w:p>
    <w:p>
      <w:pPr>
        <w:spacing w:after="0" w:line="15" w:lineRule="exact"/>
        <w:rPr>
          <w:rFonts w:ascii="Arial" w:cs="Arial" w:eastAsia="Arial" w:hAnsi="Arial"/>
          <w:sz w:val="16"/>
          <w:szCs w:val="16"/>
          <w:color w:val="auto"/>
        </w:rPr>
      </w:pPr>
    </w:p>
    <w:p>
      <w:pPr>
        <w:ind w:left="1740" w:hanging="352"/>
        <w:spacing w:after="0"/>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20" w:right="120" w:firstLine="391"/>
        <w:spacing w:after="0" w:line="263" w:lineRule="auto"/>
        <w:tabs>
          <w:tab w:leader="none" w:pos="2193"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1420" w:right="140" w:firstLine="391"/>
        <w:spacing w:after="0" w:line="277" w:lineRule="auto"/>
        <w:tabs>
          <w:tab w:leader="none" w:pos="2193"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instructions given by the Depositary in accordance with the Applicable Procedures containing information regarding the Participant account to be credited with such increase;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20" w:right="320" w:firstLine="391"/>
        <w:spacing w:after="0" w:line="263" w:lineRule="auto"/>
        <w:tabs>
          <w:tab w:leader="none" w:pos="2193"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Certificated Note in an amount equal to the beneficial interest to be transferred or exchanged; and</w:t>
      </w:r>
    </w:p>
    <w:p>
      <w:pPr>
        <w:spacing w:after="0" w:line="75" w:lineRule="exact"/>
        <w:rPr>
          <w:rFonts w:ascii="Arial" w:cs="Arial" w:eastAsia="Arial" w:hAnsi="Arial"/>
          <w:sz w:val="18"/>
          <w:szCs w:val="18"/>
          <w:color w:val="auto"/>
        </w:rPr>
      </w:pPr>
    </w:p>
    <w:p>
      <w:pPr>
        <w:ind w:left="1420" w:right="300" w:firstLine="391"/>
        <w:spacing w:after="0" w:line="277" w:lineRule="auto"/>
        <w:tabs>
          <w:tab w:leader="none" w:pos="2193"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Certificated Note shall be registered.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5" w:name="page46"/>
    <w:bookmarkEnd w:id="45"/>
    <w:p>
      <w:pPr>
        <w:ind w:left="440"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satisfaction of all of the requirements for transfer or exchange of beneficial interests in Global Notes contained in the Indenture and the Notes, the Trustee shall adjust the principal amount of the relevant Global Note(s) pursuant to Section 1.3.4 of this Second Supplemental Indenture.</w:t>
      </w:r>
    </w:p>
    <w:p>
      <w:pPr>
        <w:spacing w:after="0" w:line="18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Transfer and Exchange of Certificated Notes for Certificated Notes</w:t>
      </w:r>
      <w:r>
        <w:rPr>
          <w:rFonts w:ascii="Arial" w:cs="Arial" w:eastAsia="Arial" w:hAnsi="Arial"/>
          <w:sz w:val="16"/>
          <w:szCs w:val="16"/>
          <w:color w:val="auto"/>
        </w:rPr>
        <w:t>. This Section 1.3.3 shall apply with respect to the Notes only.</w:t>
      </w:r>
    </w:p>
    <w:p>
      <w:pPr>
        <w:spacing w:after="0" w:line="225"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Upon request by a Holder of Certificated Notes and such Holder’s compliance with the provisions of this Section 1.3.3, the Registrar will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reasonably required by the Registrar.</w:t>
      </w:r>
    </w:p>
    <w:p>
      <w:pPr>
        <w:spacing w:after="0" w:line="188"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Cancellation and/or Adjustment of Global Notes</w:t>
      </w:r>
      <w:r>
        <w:rPr>
          <w:rFonts w:ascii="Arial" w:cs="Arial" w:eastAsia="Arial" w:hAnsi="Arial"/>
          <w:sz w:val="16"/>
          <w:szCs w:val="16"/>
          <w:color w:val="auto"/>
        </w:rPr>
        <w:t>. This Section 1.3.4 shall apply with respect to the Notes only.</w:t>
      </w:r>
    </w:p>
    <w:p>
      <w:pPr>
        <w:spacing w:after="0" w:line="225"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6"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 This Section 1.3.5 shall replace Section 2.7 of the Base Indenture with respect to the Notes only.</w:t>
      </w:r>
    </w:p>
    <w:p>
      <w:pPr>
        <w:spacing w:after="0" w:line="62" w:lineRule="exact"/>
        <w:rPr>
          <w:sz w:val="20"/>
          <w:szCs w:val="20"/>
          <w:color w:val="auto"/>
        </w:rPr>
      </w:pPr>
    </w:p>
    <w:p>
      <w:pPr>
        <w:ind w:left="440" w:right="500" w:firstLine="419"/>
        <w:spacing w:after="0" w:line="277" w:lineRule="auto"/>
        <w:tabs>
          <w:tab w:leader="none" w:pos="12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Certificated Notes upon receipt of a Company Order in accordance with Section 2.3 of the Base Indenture.</w:t>
      </w:r>
    </w:p>
    <w:p>
      <w:pPr>
        <w:spacing w:after="0" w:line="62" w:lineRule="exact"/>
        <w:rPr>
          <w:rFonts w:ascii="Arial" w:cs="Arial" w:eastAsia="Arial" w:hAnsi="Arial"/>
          <w:sz w:val="18"/>
          <w:szCs w:val="18"/>
          <w:color w:val="auto"/>
        </w:rPr>
      </w:pPr>
    </w:p>
    <w:p>
      <w:pPr>
        <w:ind w:left="440" w:right="100" w:firstLine="419"/>
        <w:spacing w:after="0" w:line="301" w:lineRule="auto"/>
        <w:tabs>
          <w:tab w:leader="none" w:pos="125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3.6 or 9.6 of the Base Indenture).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6" w:name="page47"/>
    <w:bookmarkEnd w:id="46"/>
    <w:p>
      <w:pPr>
        <w:ind w:left="440" w:firstLine="419"/>
        <w:spacing w:after="0" w:line="277" w:lineRule="auto"/>
        <w:tabs>
          <w:tab w:leader="none" w:pos="1239"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2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980" w:right="40" w:firstLine="408"/>
        <w:spacing w:after="0" w:line="263" w:lineRule="auto"/>
        <w:tabs>
          <w:tab w:leader="none" w:pos="17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any selection of Notes for redemption under Section 3.2 of the Base Indenture, as amended by this Second Supplemental Indenture, and ending at the close of business on the day of selection;</w:t>
      </w:r>
    </w:p>
    <w:p>
      <w:pPr>
        <w:spacing w:after="0" w:line="75" w:lineRule="exact"/>
        <w:rPr>
          <w:rFonts w:ascii="Arial" w:cs="Arial" w:eastAsia="Arial" w:hAnsi="Arial"/>
          <w:sz w:val="18"/>
          <w:szCs w:val="18"/>
          <w:color w:val="auto"/>
        </w:rPr>
      </w:pPr>
    </w:p>
    <w:p>
      <w:pPr>
        <w:ind w:left="980" w:firstLine="408"/>
        <w:spacing w:after="0" w:line="277" w:lineRule="auto"/>
        <w:tabs>
          <w:tab w:leader="none" w:pos="178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840" w:hanging="452"/>
        <w:spacing w:after="0"/>
        <w:tabs>
          <w:tab w:leader="none" w:pos="1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register the transfer of or to exchange a Note between a record date and the next succeeding Interest Payment Date.</w:t>
      </w:r>
    </w:p>
    <w:p>
      <w:pPr>
        <w:spacing w:after="0" w:line="23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Holders</w:t>
      </w:r>
      <w:r>
        <w:rPr>
          <w:rFonts w:ascii="Arial" w:cs="Arial" w:eastAsia="Arial" w:hAnsi="Arial"/>
          <w:sz w:val="16"/>
          <w:szCs w:val="16"/>
          <w:color w:val="auto"/>
        </w:rPr>
        <w:t>. This Section 1.3.6 shall replace Section 2.14.6 of the Base Indenture with respect to the Notes only.</w:t>
      </w:r>
    </w:p>
    <w:p>
      <w:pPr>
        <w:spacing w:after="0" w:line="225" w:lineRule="exact"/>
        <w:rPr>
          <w:sz w:val="20"/>
          <w:szCs w:val="20"/>
          <w:color w:val="auto"/>
        </w:rPr>
      </w:pPr>
    </w:p>
    <w:p>
      <w:pPr>
        <w:jc w:val="both"/>
        <w:ind w:right="240" w:firstLine="1432"/>
        <w:spacing w:after="0" w:line="259" w:lineRule="auto"/>
        <w:rPr>
          <w:sz w:val="20"/>
          <w:szCs w:val="20"/>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premium, if any, and interest and Additional Amounts, if any, on such Securities and for all other purposes, and none of the Trustee, any Agent or the Company shall be affected by notice to the contrary.</w:t>
      </w:r>
    </w:p>
    <w:p>
      <w:pPr>
        <w:spacing w:after="0" w:line="187"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Legend</w:t>
      </w:r>
      <w:r>
        <w:rPr>
          <w:rFonts w:ascii="Arial" w:cs="Arial" w:eastAsia="Arial" w:hAnsi="Arial"/>
          <w:sz w:val="16"/>
          <w:szCs w:val="16"/>
          <w:color w:val="auto"/>
        </w:rPr>
        <w:t>. This Section 1.4 shall replace Section 2.14.3 of the Base Indenture with respect to the Notes only.</w:t>
      </w:r>
    </w:p>
    <w:p>
      <w:pPr>
        <w:spacing w:after="0" w:line="225"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The following legend will appear in substantially the following form on the face of each Global Note issued under the Indenture unless specifically stated otherwise in the applicable provisions of the Indenture.</w:t>
      </w:r>
    </w:p>
    <w:p>
      <w:pPr>
        <w:spacing w:after="0" w:line="62"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7" w:name="page48"/>
    <w:bookmarkEnd w:id="47"/>
    <w:p>
      <w:pPr>
        <w:ind w:left="540"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IS NOT TRANSFERABLE TO ANY PERSON UNDER ANY CIRCUMSTANCES EXCEPT THAT (1) THE TRUSTEE MAY MAKE SUCH NOTATIONS HEREON AS MAY BE REQUIRED PURSUANT TO SECTION 1.3 OF THE SECOND SUPPLEMENTAL INDENTURE, (2) THIS GLOBAL NOTE MAY BE EXCHANGED IN WHOLE BUT NOT IN PART PURSUANT TO SECTION 1.3 OF THE SECOND SUPPLEMENTAL INDENTURE, (3) THIS GLOBAL NOTE MAY BE DELIVERED TO THE TRUSTEE FOR CANCELLATION PURSUANT TO SECTION 2.12 OF THE BASE INDENTURE AND (4) THIS GLOBAL NOTE MAY BE TRANSFERRED TO A SUCCESSOR DEPOSITARY WITH THE PRIOR WRITTEN CONSENT OF THE COMPANY.</w:t>
      </w:r>
    </w:p>
    <w:p>
      <w:pPr>
        <w:spacing w:after="0" w:line="70"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 THEREOF. ACCORDINGLY,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ind w:left="540"/>
        <w:spacing w:after="0"/>
        <w:tabs>
          <w:tab w:leader="none" w:pos="15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5"/>
          <w:szCs w:val="15"/>
          <w:u w:val="single" w:color="auto"/>
          <w:color w:val="auto"/>
        </w:rPr>
        <w:t>Note Guarantee</w:t>
      </w:r>
      <w:r>
        <w:rPr>
          <w:rFonts w:ascii="Arial" w:cs="Arial" w:eastAsia="Arial" w:hAnsi="Arial"/>
          <w:sz w:val="15"/>
          <w:szCs w:val="15"/>
          <w:color w:val="auto"/>
        </w:rPr>
        <w:t>.</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5"/>
          <w:szCs w:val="15"/>
          <w:color w:val="auto"/>
        </w:rPr>
        <w:t>.</w:t>
      </w:r>
    </w:p>
    <w:p>
      <w:pPr>
        <w:spacing w:after="0" w:line="117" w:lineRule="exact"/>
        <w:rPr>
          <w:sz w:val="20"/>
          <w:szCs w:val="20"/>
          <w:color w:val="auto"/>
        </w:rPr>
      </w:pPr>
    </w:p>
    <w:p>
      <w:pPr>
        <w:ind w:right="20" w:firstLine="419"/>
        <w:spacing w:after="0" w:line="263" w:lineRule="auto"/>
        <w:tabs>
          <w:tab w:leader="none" w:pos="8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this Section 1.5.1, the Guarantor hereby unconditionally guarantees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75" w:lineRule="exact"/>
        <w:rPr>
          <w:rFonts w:ascii="Arial" w:cs="Arial" w:eastAsia="Arial" w:hAnsi="Arial"/>
          <w:sz w:val="18"/>
          <w:szCs w:val="18"/>
          <w:color w:val="auto"/>
        </w:rPr>
      </w:pPr>
    </w:p>
    <w:p>
      <w:pPr>
        <w:ind w:left="540" w:right="40" w:firstLine="408"/>
        <w:spacing w:after="0" w:line="257" w:lineRule="auto"/>
        <w:tabs>
          <w:tab w:leader="none" w:pos="1291"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principal of, premium on, if any, and interest, if any, on, the Notes and all other amounts payable by the Company under the Indenture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48" w:name="page49"/>
    <w:bookmarkEnd w:id="48"/>
    <w:p>
      <w:pPr>
        <w:ind w:left="540" w:right="360" w:firstLine="408"/>
        <w:spacing w:after="0" w:line="263" w:lineRule="auto"/>
        <w:tabs>
          <w:tab w:leader="none" w:pos="1341"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 will be obligated to pay the same immediately. The Guarantor agrees that its Note Guarantee is a guarantee of payment and not a guarantee of collection.</w:t>
      </w:r>
    </w:p>
    <w:p>
      <w:pPr>
        <w:spacing w:after="0" w:line="16" w:lineRule="exact"/>
        <w:rPr>
          <w:sz w:val="20"/>
          <w:szCs w:val="20"/>
          <w:color w:val="auto"/>
        </w:rPr>
      </w:pPr>
    </w:p>
    <w:p>
      <w:pPr>
        <w:ind w:right="20" w:firstLine="419"/>
        <w:spacing w:after="0" w:line="291" w:lineRule="auto"/>
        <w:tabs>
          <w:tab w:leader="none" w:pos="80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Guarantor hereby agrees that its obligations under its Note Guarantee are unconditional, irrespective of the validity, regularity or enforceability of the Notes or the Indenture, the absence of any action to enforce the same, any waiver or consent by any Holder of the Notes or the Trustee with respect to any provisions hereof or thereof, the recovery of any judgment against the Company, any action to enforce the same or any other circumstance which might otherwise constitute a legal or equitable discharge or defense of the Guarantor. The Guarantor hereby waives diligence, presentment, demand of payment, filing of claims with a court in the event of insolvency or bankruptcy of the Company, any right to require a proceeding first against the Company, protest, notice and all demands whatsoever and covenants that its Note Guarantee will not be discharged with respect to the Notes except by complete performance of the obligations contained in the Notes and the Indenture.</w:t>
      </w:r>
    </w:p>
    <w:p>
      <w:pPr>
        <w:spacing w:after="0" w:line="58" w:lineRule="exact"/>
        <w:rPr>
          <w:rFonts w:ascii="Arial" w:cs="Arial" w:eastAsia="Arial" w:hAnsi="Arial"/>
          <w:sz w:val="16"/>
          <w:szCs w:val="16"/>
          <w:color w:val="auto"/>
        </w:rPr>
      </w:pPr>
    </w:p>
    <w:p>
      <w:pPr>
        <w:ind w:right="40" w:firstLine="419"/>
        <w:spacing w:after="0" w:line="286" w:lineRule="auto"/>
        <w:tabs>
          <w:tab w:leader="none" w:pos="803"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any Holder or the Trustee is required by any court or otherwise to return to the Company, the Guarantor or any custodian, trustee, liquidator or other similar official acting in relation to either the Company or the Guarantor, any amount paid either to the Trustee or such Holder, the Guarantor’s Note Guarantee, to the extent theretofore discharged, will be reinstated in full force and effect.</w:t>
      </w:r>
    </w:p>
    <w:p>
      <w:pPr>
        <w:spacing w:after="0" w:line="57" w:lineRule="exact"/>
        <w:rPr>
          <w:rFonts w:ascii="Arial" w:cs="Arial" w:eastAsia="Arial" w:hAnsi="Arial"/>
          <w:sz w:val="17"/>
          <w:szCs w:val="17"/>
          <w:color w:val="auto"/>
        </w:rPr>
      </w:pPr>
    </w:p>
    <w:p>
      <w:pPr>
        <w:ind w:right="80" w:firstLine="419"/>
        <w:spacing w:after="0" w:line="291" w:lineRule="auto"/>
        <w:tabs>
          <w:tab w:leader="none" w:pos="80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Guarantor agrees that it will not be entitled to any right of subrogation in relation to the Holders with respect to the Notes in respect of any obligations guaranteed hereby until payment in full of all obligations guaranteed hereby with respect to the Notes. The Guarantor further agrees that, as between the Guarantor, on the one hand, and the Holders and the Trustee, on the other hand, (1) the maturity of the obligations guaranteed hereby may be accelerated as provided in Article VI of the Base Indenture for the purposes of the Guarantor’s Note Guarantee, notwithstanding any stay, injunction or other prohibition preventing such acceleration in respect of the obligations guaranteed hereby, and (2) in the event of any declaration of acceleration of such obligations as provided in Article VI of the Base Indenture, such obligations (whether or not due and payable) will forthwith become due and payable by the Guarantor for the purpose of the Guarantor’s Note Guarantee.</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20"/>
          </w:cols>
          <w:pgMar w:left="880" w:top="274" w:right="499" w:bottom="1440" w:gutter="0" w:footer="0" w:header="0"/>
        </w:sectPr>
      </w:pPr>
    </w:p>
    <w:bookmarkStart w:id="49" w:name="page50"/>
    <w:bookmarkEnd w:id="49"/>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1.5.2 </w:t>
      </w:r>
      <w:r>
        <w:rPr>
          <w:rFonts w:ascii="Arial" w:cs="Arial" w:eastAsia="Arial" w:hAnsi="Arial"/>
          <w:sz w:val="18"/>
          <w:szCs w:val="18"/>
          <w:u w:val="single" w:color="auto"/>
          <w:color w:val="auto"/>
        </w:rPr>
        <w:t>Limitation on Guarantor Liability</w:t>
      </w:r>
      <w:r>
        <w:rPr>
          <w:rFonts w:ascii="Arial" w:cs="Arial" w:eastAsia="Arial" w:hAnsi="Arial"/>
          <w:sz w:val="18"/>
          <w:szCs w:val="18"/>
          <w:color w:val="auto"/>
        </w:rPr>
        <w:t>. The Guarantor, and by its acceptance of Notes, each Holder, hereby confirms that it is the intention of all such parties that the Note Guarantee of the Guarantor not constitute a fraudulent transfer or conveyance for purposes of Bankruptcy Law, the Uniform Fraudulent Conveyance Act, the Uniform Fraudulent Transfer Act or any similar federal or state law to the extent applicable to its Note Guarantee. To effectuate the foregoing intention, the Trustee, the Holders and the Guarantor hereby irrevocably agree that the obligations of the Guarantor will be limited to the maximum amount that will, after giving effect to such maximum amount and all other contingent and fixed liabilities of the Guarantor that are relevant under such laws, result in the obligations of the Guarantor under its Note Guarantee not constituting a fraudulent transfer or conveyance.</w:t>
      </w:r>
    </w:p>
    <w:p>
      <w:pPr>
        <w:spacing w:after="0" w:line="19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Execution and Delivery of Note Guarantee</w:t>
      </w:r>
      <w:r>
        <w:rPr>
          <w:rFonts w:ascii="Arial" w:cs="Arial" w:eastAsia="Arial" w:hAnsi="Arial"/>
          <w:sz w:val="16"/>
          <w:szCs w:val="16"/>
          <w:color w:val="auto"/>
        </w:rPr>
        <w:t>. The terms of the Note Guarantee set forth in Section 1.5.1 do not require the Guarantor to evidence its Note Guarantee through any notation of such Note Guarantee endorsed by an Officer of the Guarantor on each Note authenticated and delivered by the Trustee. This Second Supplemental Indenture will be executed on behalf of the Guarantor by one of its Officers.</w:t>
      </w:r>
    </w:p>
    <w:p>
      <w:pPr>
        <w:spacing w:after="0" w:line="14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Note Guarantee set forth in Section 1.5.1 hereof will remain in full force and effect without any requirement to endorse on each Note a notation of such Note Guarantee.</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If an Officer of the Guarantor whose signature is on this Second Supplemental Indenture no longer holds that office at the time the Trustee authenticates any Note, the Note Guarantee will be valid nevertheless.</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will constitute due delivery of the Note Guarantee set forth in this Second Supplemental Indenture on behalf of the Guarantor.</w:t>
      </w:r>
    </w:p>
    <w:p>
      <w:pPr>
        <w:spacing w:after="0" w:line="170"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u w:val="single" w:color="auto"/>
          <w:color w:val="auto"/>
        </w:rPr>
        <w:t>Releases</w:t>
      </w:r>
      <w:r>
        <w:rPr>
          <w:rFonts w:ascii="Arial" w:cs="Arial" w:eastAsia="Arial" w:hAnsi="Arial"/>
          <w:sz w:val="15"/>
          <w:szCs w:val="15"/>
          <w:color w:val="auto"/>
        </w:rPr>
        <w:t>.</w:t>
      </w:r>
    </w:p>
    <w:p>
      <w:pPr>
        <w:spacing w:after="0" w:line="225" w:lineRule="exact"/>
        <w:rPr>
          <w:sz w:val="20"/>
          <w:szCs w:val="20"/>
          <w:color w:val="auto"/>
        </w:rPr>
      </w:pPr>
    </w:p>
    <w:p>
      <w:pPr>
        <w:ind w:right="520" w:firstLine="991"/>
        <w:spacing w:after="0" w:line="263" w:lineRule="auto"/>
        <w:rPr>
          <w:sz w:val="20"/>
          <w:szCs w:val="20"/>
          <w:color w:val="auto"/>
        </w:rPr>
      </w:pPr>
      <w:r>
        <w:rPr>
          <w:rFonts w:ascii="Arial" w:cs="Arial" w:eastAsia="Arial" w:hAnsi="Arial"/>
          <w:sz w:val="18"/>
          <w:szCs w:val="18"/>
          <w:color w:val="auto"/>
        </w:rPr>
        <w:t>Upon legal defeasance or covenant defeasance with respect to the Notes in accordance with Article VIII of the Base Indenture or satisfaction and discharge of the Indenture, the Guarantor will be released and relieved of any obligations with respect to the Notes under its Note Guarantee to the extent set forth in the Indenture.</w:t>
      </w:r>
    </w:p>
    <w:p>
      <w:pPr>
        <w:spacing w:after="0" w:line="184"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If the Guarantor is not released from its obligations under its Note Guarantee as provided in this Section 1.5.4 the Guarantor will remain liable for the full amount of principal of, premium on, if any, and interest, if any, on, the Notes and for the other obligations of the Guarantor under the Indenture as provided in this Section 1.5.</w:t>
      </w:r>
    </w:p>
    <w:p>
      <w:pPr>
        <w:spacing w:after="0" w:line="184"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Selection of Notes to be Redeemed</w:t>
      </w:r>
      <w:r>
        <w:rPr>
          <w:rFonts w:ascii="Arial" w:cs="Arial" w:eastAsia="Arial" w:hAnsi="Arial"/>
          <w:sz w:val="16"/>
          <w:szCs w:val="16"/>
          <w:color w:val="auto"/>
        </w:rPr>
        <w:t>. This Section 1.6 shall replace Section 3.2 of the Base Indenture with respect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only.</w:t>
      </w:r>
    </w:p>
    <w:p>
      <w:pPr>
        <w:spacing w:after="0" w:line="211" w:lineRule="exact"/>
        <w:rPr>
          <w:sz w:val="20"/>
          <w:szCs w:val="20"/>
          <w:color w:val="auto"/>
        </w:rPr>
      </w:pPr>
    </w:p>
    <w:p>
      <w:pPr>
        <w:jc w:val="both"/>
        <w:ind w:right="280" w:firstLine="1432"/>
        <w:spacing w:after="0" w:line="259" w:lineRule="auto"/>
        <w:rPr>
          <w:sz w:val="20"/>
          <w:szCs w:val="20"/>
          <w:color w:val="auto"/>
        </w:rPr>
      </w:pPr>
      <w:r>
        <w:rPr>
          <w:rFonts w:ascii="Arial" w:cs="Arial" w:eastAsia="Arial" w:hAnsi="Arial"/>
          <w:sz w:val="18"/>
          <w:szCs w:val="18"/>
          <w:color w:val="auto"/>
        </w:rPr>
        <w:t xml:space="preserve">If fewer than all the Notes are to be redeemed at any time, the Trustee will select Certificated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Global Notes, Notes to be redeemed shall be selected in accordance with the Applicable Procedures of the Depositary) unless otherwise required by law or applicable stock exchange requirements. The Trustee will not be liable for selections made by it as contemplated in this Section.</w:t>
      </w:r>
    </w:p>
    <w:p>
      <w:pPr>
        <w:spacing w:after="0" w:line="187"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50" w:name="page51"/>
    <w:bookmarkEnd w:id="50"/>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3.3 of the Base Indenture is hereby amended with respect to the Notes only by changing, in the first sentence thereof, the number “30” to the number “10”.</w:t>
      </w:r>
    </w:p>
    <w:p>
      <w:pPr>
        <w:spacing w:after="0" w:line="170"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Redemption Upon Changes in Tax Law</w:t>
      </w:r>
      <w:r>
        <w:rPr>
          <w:rFonts w:ascii="Arial" w:cs="Arial" w:eastAsia="Arial" w:hAnsi="Arial"/>
          <w:sz w:val="16"/>
          <w:szCs w:val="16"/>
          <w:color w:val="auto"/>
        </w:rPr>
        <w:t>. This Section 1.8 shall replace Section 3.10 of the Base Indenture with respect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only.</w:t>
      </w:r>
    </w:p>
    <w:p>
      <w:pPr>
        <w:spacing w:after="0" w:line="211" w:lineRule="exact"/>
        <w:rPr>
          <w:sz w:val="20"/>
          <w:szCs w:val="20"/>
          <w:color w:val="auto"/>
        </w:rPr>
      </w:pPr>
    </w:p>
    <w:p>
      <w:pPr>
        <w:ind w:right="20" w:firstLine="1432"/>
        <w:spacing w:after="0" w:line="270" w:lineRule="auto"/>
        <w:rPr>
          <w:sz w:val="20"/>
          <w:szCs w:val="20"/>
          <w:color w:val="auto"/>
        </w:rPr>
      </w:pPr>
      <w:r>
        <w:rPr>
          <w:rFonts w:ascii="Arial" w:cs="Arial" w:eastAsia="Arial" w:hAnsi="Arial"/>
          <w:sz w:val="17"/>
          <w:szCs w:val="17"/>
          <w:color w:val="auto"/>
        </w:rPr>
        <w:t>The Company or the Guarantor may redeem the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Guarantor, as applicable, for redemption (a “</w:t>
      </w:r>
      <w:r>
        <w:rPr>
          <w:rFonts w:ascii="Arial" w:cs="Arial" w:eastAsia="Arial" w:hAnsi="Arial"/>
          <w:sz w:val="17"/>
          <w:szCs w:val="17"/>
          <w:i w:val="1"/>
          <w:iCs w:val="1"/>
          <w:color w:val="auto"/>
        </w:rPr>
        <w:t>Tax Redemption Date</w:t>
      </w:r>
      <w:r>
        <w:rPr>
          <w:rFonts w:ascii="Arial" w:cs="Arial" w:eastAsia="Arial" w:hAnsi="Arial"/>
          <w:sz w:val="17"/>
          <w:szCs w:val="17"/>
          <w:color w:val="auto"/>
        </w:rPr>
        <w:t>”)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73" w:lineRule="exact"/>
        <w:rPr>
          <w:sz w:val="20"/>
          <w:szCs w:val="20"/>
          <w:color w:val="auto"/>
        </w:rPr>
      </w:pPr>
    </w:p>
    <w:p>
      <w:pPr>
        <w:jc w:val="both"/>
        <w:ind w:left="440" w:firstLine="419"/>
        <w:spacing w:after="0" w:line="286" w:lineRule="auto"/>
        <w:tabs>
          <w:tab w:leader="none" w:pos="1243"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57" w:lineRule="exact"/>
        <w:rPr>
          <w:rFonts w:ascii="Arial" w:cs="Arial" w:eastAsia="Arial" w:hAnsi="Arial"/>
          <w:sz w:val="17"/>
          <w:szCs w:val="17"/>
          <w:color w:val="auto"/>
        </w:rPr>
      </w:pPr>
    </w:p>
    <w:p>
      <w:pPr>
        <w:ind w:left="440" w:right="80" w:firstLine="419"/>
        <w:spacing w:after="0" w:line="259" w:lineRule="auto"/>
        <w:tabs>
          <w:tab w:leader="none" w:pos="12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7" w:lineRule="exact"/>
        <w:rPr>
          <w:sz w:val="20"/>
          <w:szCs w:val="20"/>
          <w:color w:val="auto"/>
        </w:rPr>
      </w:pPr>
    </w:p>
    <w:p>
      <w:pPr>
        <w:ind w:right="40" w:firstLine="1432"/>
        <w:spacing w:after="0" w:line="271" w:lineRule="auto"/>
        <w:rPr>
          <w:sz w:val="20"/>
          <w:szCs w:val="20"/>
          <w:color w:val="auto"/>
        </w:rPr>
      </w:pPr>
      <w:r>
        <w:rPr>
          <w:rFonts w:ascii="Arial" w:cs="Arial" w:eastAsia="Arial" w:hAnsi="Arial"/>
          <w:sz w:val="17"/>
          <w:szCs w:val="17"/>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Guarantor, as applicable, cannot avoid its obligation to pay Additional Amounts by the Company or the Guarantor, as applicable, taking reasonable measures available to 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51" w:name="page52"/>
    <w:bookmarkEnd w:id="51"/>
    <w:p>
      <w:pPr>
        <w:ind w:firstLine="143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24"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70"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Amendments to Base Indenture</w:t>
      </w:r>
      <w:r>
        <w:rPr>
          <w:rFonts w:ascii="Arial" w:cs="Arial" w:eastAsia="Arial" w:hAnsi="Arial"/>
          <w:sz w:val="16"/>
          <w:szCs w:val="16"/>
          <w:color w:val="auto"/>
        </w:rPr>
        <w:t>.</w:t>
      </w:r>
    </w:p>
    <w:p>
      <w:pPr>
        <w:spacing w:after="0" w:line="225"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 Pursuant to Section 9.1(7) of the Base Indenture, the first three paragraphs of Section 2.3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Base Indenture are hereby amended and restated with respect to the Notes and each other Series of Securities issued after the date hereof as follows:</w:t>
      </w:r>
    </w:p>
    <w:p>
      <w:pPr>
        <w:spacing w:after="0" w:line="12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 Officer of the Company shall sign the Securities for the Company by manual, facsimile or other electronic signature.</w:t>
      </w:r>
    </w:p>
    <w:p>
      <w:pPr>
        <w:spacing w:after="0" w:line="117" w:lineRule="exact"/>
        <w:rPr>
          <w:sz w:val="20"/>
          <w:szCs w:val="20"/>
          <w:color w:val="auto"/>
        </w:rPr>
      </w:pPr>
    </w:p>
    <w:p>
      <w:pPr>
        <w:ind w:left="440" w:right="140" w:firstLine="952"/>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62" w:lineRule="exact"/>
        <w:rPr>
          <w:sz w:val="20"/>
          <w:szCs w:val="20"/>
          <w:color w:val="auto"/>
        </w:rPr>
      </w:pPr>
    </w:p>
    <w:p>
      <w:pPr>
        <w:ind w:left="440" w:right="800" w:firstLine="952"/>
        <w:spacing w:after="0" w:line="342" w:lineRule="auto"/>
        <w:rPr>
          <w:sz w:val="20"/>
          <w:szCs w:val="20"/>
          <w:color w:val="auto"/>
        </w:rPr>
      </w:pPr>
      <w:r>
        <w:rPr>
          <w:rFonts w:ascii="Arial" w:cs="Arial" w:eastAsia="Arial" w:hAnsi="Arial"/>
          <w:sz w:val="16"/>
          <w:szCs w:val="16"/>
          <w:color w:val="auto"/>
        </w:rPr>
        <w:t>A Security shall not be valid until authenticated by the manual, facsimile or other electronic signature of the Trustee or an authenticating agent. The signature shall be conclusive evidence that the Security has been authenticated under this Indenture.</w:t>
      </w:r>
    </w:p>
    <w:p>
      <w:pPr>
        <w:spacing w:after="0" w:line="12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Notices</w:t>
      </w:r>
      <w:r>
        <w:rPr>
          <w:rFonts w:ascii="Arial" w:cs="Arial" w:eastAsia="Arial" w:hAnsi="Arial"/>
          <w:sz w:val="18"/>
          <w:szCs w:val="18"/>
          <w:color w:val="auto"/>
        </w:rPr>
        <w:t>. Pursuant to Section 9.1(1) of the Base Indenture, the notice information for the Trustee in Section 10.1 of the Base Indenture shall be replaced in its entirety as follows:</w:t>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601 Travis Street, 16th Floor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Corporate Trust/Conventional Debt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Fax: (713) 483-6979</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Capitalized terms used but not defined in this Second Supplemental Indenture shall have the meanings ascribed thereto in the Base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52" w:name="page53"/>
    <w:bookmarkEnd w:id="52"/>
    <w:p>
      <w:pPr>
        <w:ind w:left="980"/>
        <w:spacing w:after="0"/>
        <w:tabs>
          <w:tab w:leader="none" w:pos="2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2.2.</w:t>
      </w:r>
      <w:r>
        <w:rPr>
          <w:sz w:val="20"/>
          <w:szCs w:val="20"/>
          <w:color w:val="auto"/>
        </w:rPr>
        <w:tab/>
      </w:r>
      <w:r>
        <w:rPr>
          <w:rFonts w:ascii="Arial" w:cs="Arial" w:eastAsia="Arial" w:hAnsi="Arial"/>
          <w:sz w:val="16"/>
          <w:szCs w:val="16"/>
          <w:u w:val="single" w:color="auto"/>
          <w:color w:val="auto"/>
        </w:rPr>
        <w:t>Confirmation of Indenture</w:t>
      </w:r>
      <w:r>
        <w:rPr>
          <w:rFonts w:ascii="Arial" w:cs="Arial" w:eastAsia="Arial" w:hAnsi="Arial"/>
          <w:sz w:val="16"/>
          <w:szCs w:val="16"/>
          <w:color w:val="auto"/>
        </w:rPr>
        <w:t>.</w:t>
      </w:r>
    </w:p>
    <w:p>
      <w:pPr>
        <w:spacing w:after="0" w:line="225"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The Base Indenture, as supplemented and amended by this Second Supplemental Indenture, is in all respects ratified and confirmed, and the Base Indenture, this Second Supplemental Indenture and any applicable indentures supplemental thereto shall be read, taken and construed as one and the same instrument.</w:t>
      </w:r>
    </w:p>
    <w:p>
      <w:pPr>
        <w:spacing w:after="0" w:line="184"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1" w:lineRule="exact"/>
        <w:rPr>
          <w:sz w:val="20"/>
          <w:szCs w:val="20"/>
          <w:color w:val="auto"/>
        </w:rPr>
      </w:pPr>
    </w:p>
    <w:p>
      <w:pPr>
        <w:ind w:right="180" w:firstLine="991"/>
        <w:spacing w:after="0" w:line="258" w:lineRule="auto"/>
        <w:rPr>
          <w:sz w:val="20"/>
          <w:szCs w:val="20"/>
          <w:color w:val="auto"/>
        </w:rPr>
      </w:pPr>
      <w:r>
        <w:rPr>
          <w:rFonts w:ascii="Arial" w:cs="Arial" w:eastAsia="Arial" w:hAnsi="Arial"/>
          <w:sz w:val="18"/>
          <w:szCs w:val="18"/>
          <w:b w:val="1"/>
          <w:bCs w:val="1"/>
          <w:color w:val="auto"/>
        </w:rPr>
        <w:t>THIS SECOND SUPPLEMENTAL INDENTURE, THE NOTES AND THE NOTE GUARANTEE, INCLUDING ANY CLAIM OR CONTROVERSY ARISING OUT OF OR RELATING TO THIS SECOND SUPPLEMENTAL INDENTURE, THE NOTES OR THE NOTE GUARANTEE, SHALL BE GOVERNED BY THE LAWS OF THE STATE OF NEW YORK WITHOUT REGARD TO CONFLICT OF LAW PRINCIPLES THAT WOULD RESULT IN THE APPLICATION OF ANY LAW OTHER THAN THE LAW OF THE STATE OF NEW YORK.</w:t>
      </w:r>
    </w:p>
    <w:p>
      <w:pPr>
        <w:spacing w:after="0" w:line="183"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b w:val="1"/>
          <w:bCs w:val="1"/>
          <w:color w:val="auto"/>
        </w:rPr>
        <w:t>THE APPLICATION OF THE PROVISIONS OF THE ARTICLES 470-1 TO 470-19 (INCLUSIVE) OF THE LUXEMBOURG LAW OF 10 AUGUST 1915 ON COMMERCIAL COMPANIES, AS AMENDED, IS HEREBY EXPRESSLY EXCLUDED.</w:t>
      </w:r>
    </w:p>
    <w:p>
      <w:pPr>
        <w:spacing w:after="0" w:line="166"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In case any provision in this Second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This Second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24"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No Benefit</w:t>
      </w:r>
      <w:r>
        <w:rPr>
          <w:rFonts w:ascii="Arial" w:cs="Arial" w:eastAsia="Arial" w:hAnsi="Arial"/>
          <w:sz w:val="16"/>
          <w:szCs w:val="16"/>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Nothing in this Second Supplemental Indenture, express or implied, shall give to any Person other than the parties hereto and their successors or assigns, and the Holders of the Notes, any benefit or legal or equitable rights, remedy or claim under this Second Supplemental Indenture or the Base Indenture.</w:t>
      </w:r>
    </w:p>
    <w:p>
      <w:pPr>
        <w:spacing w:after="0" w:line="184"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No Responsibility of the Trustee</w:t>
      </w:r>
      <w:r>
        <w:rPr>
          <w:rFonts w:ascii="Arial" w:cs="Arial" w:eastAsia="Arial" w:hAnsi="Arial"/>
          <w:sz w:val="16"/>
          <w:szCs w:val="16"/>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Trustee shall not be responsible in any manner whatsoever for or in respect of the validity or sufficiency of the Notes, the Note Guarantee or this Second Supplemental Indenture. The recitals contained herein shall be taken as the statements solely of the Company or the Guarantor, and the Trustee assumes no responsibility for correctness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3" w:name="page54"/>
    <w:bookmarkEnd w:id="53"/>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Second Supplemental Indenture to be duly executed all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Joanna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Joanna Todd</w:t>
      </w:r>
    </w:p>
    <w:p>
      <w:pPr>
        <w:spacing w:after="0" w:line="2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Title: Class B 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Claudia Jaramillo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Claudia Jaramillo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Second Supplemental Indenture</w:t>
      </w:r>
    </w:p>
    <w:p>
      <w:pPr>
        <w:sectPr>
          <w:pgSz w:w="11900" w:h="16838" w:orient="portrait"/>
          <w:cols w:equalWidth="0" w:num="1">
            <w:col w:w="10740"/>
          </w:cols>
          <w:pgMar w:left="440" w:top="274" w:right="719" w:bottom="1440" w:gutter="0" w:footer="0" w:header="0"/>
        </w:sectPr>
      </w:pPr>
    </w:p>
    <w:bookmarkStart w:id="54" w:name="page55"/>
    <w:bookmarkEnd w:id="5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Trustee, Registrar, Paying Agent and Transfer Agent</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Shannon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Shannon Matthews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Agent</w:t>
      </w:r>
    </w:p>
    <w:p>
      <w:pPr>
        <w:spacing w:after="0" w:line="1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Second Supplemental Indenture</w:t>
      </w:r>
    </w:p>
    <w:p>
      <w:pPr>
        <w:sectPr>
          <w:pgSz w:w="11900" w:h="16838" w:orient="portrait"/>
          <w:cols w:equalWidth="0" w:num="1">
            <w:col w:w="9600"/>
          </w:cols>
          <w:pgMar w:left="1440" w:top="274" w:right="8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2.650% SENIOR NOTES DUE 2030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2.650% SENIOR NOTES DUE 2030</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806854 AJ4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ISIN: US806854AJ48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w:t>
      </w:r>
    </w:p>
    <w:p>
      <w:pPr>
        <w:spacing w:after="0" w:line="623" w:lineRule="exact"/>
        <w:rPr>
          <w:sz w:val="20"/>
          <w:szCs w:val="20"/>
          <w:color w:val="auto"/>
        </w:rPr>
      </w:pPr>
    </w:p>
    <w:p>
      <w:pPr>
        <w:sectPr>
          <w:pgSz w:w="11900" w:h="16838" w:orient="portrait"/>
          <w:cols w:equalWidth="0" w:num="2">
            <w:col w:w="9900" w:space="720"/>
            <w:col w:w="400"/>
          </w:cols>
          <w:pgMar w:left="440" w:top="270" w:right="439" w:bottom="1440" w:gutter="0" w:footer="0" w:header="0"/>
          <w:type w:val="continuous"/>
        </w:sectPr>
      </w:pP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SCHLUMBERGER INVESTMENT SA</w:t>
      </w:r>
    </w:p>
    <w:p>
      <w:pPr>
        <w:sectPr>
          <w:pgSz w:w="11900" w:h="16838" w:orient="portrait"/>
          <w:cols w:equalWidth="0" w:num="1">
            <w:col w:w="11020"/>
          </w:cols>
          <w:pgMar w:left="440" w:top="270" w:right="4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Cede &amp; Co., or registered assigns, the principal sum of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Dollars on June 26, 2030 (as modified by the Schedule of Increases</w:t>
      </w:r>
    </w:p>
    <w:p>
      <w:pPr>
        <w:spacing w:after="0" w:line="46" w:lineRule="exact"/>
        <w:rPr>
          <w:sz w:val="20"/>
          <w:szCs w:val="20"/>
          <w:color w:val="auto"/>
        </w:rPr>
      </w:pPr>
    </w:p>
    <w:p>
      <w:pPr>
        <w:sectPr>
          <w:pgSz w:w="11900" w:h="16838" w:orient="portrait"/>
          <w:cols w:equalWidth="0" w:num="2">
            <w:col w:w="5420" w:space="540"/>
            <w:col w:w="506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and Decreases in the Global Note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26 and December 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11 and December 11 (whether or not a Business Day)</w:t>
      </w:r>
    </w:p>
    <w:p>
      <w:pPr>
        <w:spacing w:after="0" w:line="225" w:lineRule="exact"/>
        <w:rPr>
          <w:sz w:val="20"/>
          <w:szCs w:val="20"/>
          <w:color w:val="auto"/>
        </w:rPr>
      </w:pPr>
    </w:p>
    <w:p>
      <w:pPr>
        <w:jc w:val="both"/>
        <w:ind w:right="300" w:firstLine="440"/>
        <w:spacing w:after="0" w:line="259" w:lineRule="auto"/>
        <w:rPr>
          <w:sz w:val="20"/>
          <w:szCs w:val="20"/>
          <w:color w:val="auto"/>
        </w:rPr>
      </w:pPr>
      <w:r>
        <w:rPr>
          <w:rFonts w:ascii="Arial" w:cs="Arial" w:eastAsia="Arial" w:hAnsi="Arial"/>
          <w:sz w:val="18"/>
          <w:szCs w:val="18"/>
          <w:color w:val="auto"/>
        </w:rPr>
        <w:t>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8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type w:val="continuous"/>
        </w:sectPr>
      </w:pPr>
    </w:p>
    <w:bookmarkStart w:id="56" w:name="page57"/>
    <w:bookmarkEnd w:id="5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signed in accordance with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19"/>
          </w:cols>
          <w:pgMar w:left="440" w:top="274" w:right="1440"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This is one of the 2.650% Senior Notes due 2030 issued by Schlumberger Investment SA of the Series designated therein referred to in the within-mentioned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0" w:right="4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Schlumberger Investment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2.650% Senior Notes due 2030</w:t>
      </w:r>
    </w:p>
    <w:p>
      <w:pPr>
        <w:spacing w:after="0" w:line="229"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This note is one of a duly authorized Series of debt securities of Schlumberger Investment SA, a public limited liability company (</w:t>
      </w:r>
      <w:r>
        <w:rPr>
          <w:rFonts w:ascii="Arial" w:cs="Arial" w:eastAsia="Arial" w:hAnsi="Arial"/>
          <w:sz w:val="16"/>
          <w:szCs w:val="16"/>
          <w:i w:val="1"/>
          <w:iCs w:val="1"/>
          <w:color w:val="auto"/>
        </w:rPr>
        <w:t>société</w:t>
      </w:r>
      <w:r>
        <w:rPr>
          <w:rFonts w:ascii="Arial" w:cs="Arial" w:eastAsia="Arial" w:hAnsi="Arial"/>
          <w:sz w:val="16"/>
          <w:szCs w:val="16"/>
          <w:color w:val="auto"/>
        </w:rPr>
        <w:t xml:space="preserve"> </w:t>
      </w:r>
      <w:r>
        <w:rPr>
          <w:rFonts w:ascii="Arial" w:cs="Arial" w:eastAsia="Arial" w:hAnsi="Arial"/>
          <w:sz w:val="16"/>
          <w:szCs w:val="16"/>
          <w:i w:val="1"/>
          <w:iCs w:val="1"/>
          <w:color w:val="auto"/>
        </w:rPr>
        <w:t>anonyme</w:t>
      </w:r>
      <w:r>
        <w:rPr>
          <w:rFonts w:ascii="Arial" w:cs="Arial" w:eastAsia="Arial" w:hAnsi="Arial"/>
          <w:sz w:val="16"/>
          <w:szCs w:val="16"/>
          <w:color w:val="auto"/>
        </w:rPr>
        <w:t>) organized under the laws of the Grand Duchy of Luxembourg having its registered address at 42-44 Avenue de la Gare, L-1610 Luxembourg</w:t>
      </w:r>
      <w:r>
        <w:rPr>
          <w:rFonts w:ascii="Arial" w:cs="Arial" w:eastAsia="Arial" w:hAnsi="Arial"/>
          <w:sz w:val="16"/>
          <w:szCs w:val="16"/>
          <w:i w:val="1"/>
          <w:iCs w:val="1"/>
          <w:color w:val="auto"/>
        </w:rPr>
        <w:t xml:space="preserve"> </w:t>
      </w:r>
      <w:r>
        <w:rPr>
          <w:rFonts w:ascii="Arial" w:cs="Arial" w:eastAsia="Arial" w:hAnsi="Arial"/>
          <w:sz w:val="16"/>
          <w:szCs w:val="16"/>
          <w:color w:val="auto"/>
        </w:rPr>
        <w:t>and registered with the Luxembourg Register of Commerce and Companies under number B 163.122 (the “</w:t>
      </w:r>
      <w:r>
        <w:rPr>
          <w:rFonts w:ascii="Arial" w:cs="Arial" w:eastAsia="Arial" w:hAnsi="Arial"/>
          <w:sz w:val="16"/>
          <w:szCs w:val="16"/>
          <w:i w:val="1"/>
          <w:iCs w:val="1"/>
          <w:color w:val="auto"/>
        </w:rPr>
        <w:t>Company</w:t>
      </w:r>
      <w:r>
        <w:rPr>
          <w:rFonts w:ascii="Arial" w:cs="Arial" w:eastAsia="Arial" w:hAnsi="Arial"/>
          <w:sz w:val="16"/>
          <w:szCs w:val="16"/>
          <w:color w:val="auto"/>
        </w:rPr>
        <w:t>”), issued or to be issued in one or more Series under and pursuant to an Indenture for the Company’s debentures, notes or other debt instruments evidencing its indebtedness, dated as of December 3, 2013 (the “</w:t>
      </w:r>
      <w:r>
        <w:rPr>
          <w:rFonts w:ascii="Arial" w:cs="Arial" w:eastAsia="Arial" w:hAnsi="Arial"/>
          <w:sz w:val="16"/>
          <w:szCs w:val="16"/>
          <w:i w:val="1"/>
          <w:iCs w:val="1"/>
          <w:color w:val="auto"/>
        </w:rPr>
        <w:t>Base Indenture</w:t>
      </w:r>
      <w:r>
        <w:rPr>
          <w:rFonts w:ascii="Arial" w:cs="Arial" w:eastAsia="Arial" w:hAnsi="Arial"/>
          <w:sz w:val="16"/>
          <w:szCs w:val="16"/>
          <w:color w:val="auto"/>
        </w:rPr>
        <w:t>”), duly executed and delivered by and among the Company, Schlumberger Limited, a corporation with limited liability governed by the laws of Curaçao (the “</w:t>
      </w:r>
      <w:r>
        <w:rPr>
          <w:rFonts w:ascii="Arial" w:cs="Arial" w:eastAsia="Arial" w:hAnsi="Arial"/>
          <w:sz w:val="16"/>
          <w:szCs w:val="16"/>
          <w:i w:val="1"/>
          <w:iCs w:val="1"/>
          <w:color w:val="auto"/>
        </w:rPr>
        <w:t>Guarantor</w:t>
      </w:r>
      <w:r>
        <w:rPr>
          <w:rFonts w:ascii="Arial" w:cs="Arial" w:eastAsia="Arial" w:hAnsi="Arial"/>
          <w:sz w:val="16"/>
          <w:szCs w:val="16"/>
          <w:color w:val="auto"/>
        </w:rPr>
        <w:t>”) and The Bank of New York Mellon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registrar, paying agent and transfer agent, as supplemented and amended by the Second Supplemental Indenture, dated as of June 26, 2020 (the “</w:t>
      </w:r>
      <w:r>
        <w:rPr>
          <w:rFonts w:ascii="Arial" w:cs="Arial" w:eastAsia="Arial" w:hAnsi="Arial"/>
          <w:sz w:val="16"/>
          <w:szCs w:val="16"/>
          <w:i w:val="1"/>
          <w:iCs w:val="1"/>
          <w:color w:val="auto"/>
        </w:rPr>
        <w:t>Second Supplemental Indenture</w:t>
      </w:r>
      <w:r>
        <w:rPr>
          <w:rFonts w:ascii="Arial" w:cs="Arial" w:eastAsia="Arial" w:hAnsi="Arial"/>
          <w:sz w:val="16"/>
          <w:szCs w:val="16"/>
          <w:color w:val="auto"/>
        </w:rPr>
        <w:t>”), by and among the Company, the Guarantor and the Trustee. The Base Indenture as supplemented and amended by the Second Supplemental Indenture is referred to herein as the “</w:t>
      </w:r>
      <w:r>
        <w:rPr>
          <w:rFonts w:ascii="Arial" w:cs="Arial" w:eastAsia="Arial" w:hAnsi="Arial"/>
          <w:sz w:val="16"/>
          <w:szCs w:val="16"/>
          <w:i w:val="1"/>
          <w:iCs w:val="1"/>
          <w:color w:val="auto"/>
        </w:rPr>
        <w:t>Indenture.</w:t>
      </w:r>
      <w:r>
        <w:rPr>
          <w:rFonts w:ascii="Arial" w:cs="Arial" w:eastAsia="Arial" w:hAnsi="Arial"/>
          <w:sz w:val="16"/>
          <w:szCs w:val="16"/>
          <w:color w:val="auto"/>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cs="Arial" w:eastAsia="Arial" w:hAnsi="Arial"/>
          <w:sz w:val="16"/>
          <w:szCs w:val="16"/>
          <w:i w:val="1"/>
          <w:iCs w:val="1"/>
          <w:color w:val="auto"/>
        </w:rPr>
        <w:t>Note,</w:t>
      </w:r>
      <w:r>
        <w:rPr>
          <w:rFonts w:ascii="Arial" w:cs="Arial" w:eastAsia="Arial" w:hAnsi="Arial"/>
          <w:sz w:val="16"/>
          <w:szCs w:val="16"/>
          <w:color w:val="auto"/>
        </w:rPr>
        <w:t>” and collectively, the “</w:t>
      </w:r>
      <w:r>
        <w:rPr>
          <w:rFonts w:ascii="Arial" w:cs="Arial" w:eastAsia="Arial" w:hAnsi="Arial"/>
          <w:sz w:val="16"/>
          <w:szCs w:val="16"/>
          <w:i w:val="1"/>
          <w:iCs w:val="1"/>
          <w:color w:val="auto"/>
        </w:rPr>
        <w:t>Notes</w:t>
      </w:r>
      <w:r>
        <w:rPr>
          <w:rFonts w:ascii="Arial" w:cs="Arial" w:eastAsia="Arial" w:hAnsi="Arial"/>
          <w:sz w:val="16"/>
          <w:szCs w:val="16"/>
          <w:color w:val="auto"/>
        </w:rPr>
        <w:t>”), and reference is hereby made to the Indenture for a description of the rights, limitations of rights, obligations, duties and immunities of the Trustee, the Company and the Holders of the Notes (the “</w:t>
      </w:r>
      <w:r>
        <w:rPr>
          <w:rFonts w:ascii="Arial" w:cs="Arial" w:eastAsia="Arial" w:hAnsi="Arial"/>
          <w:sz w:val="16"/>
          <w:szCs w:val="16"/>
          <w:i w:val="1"/>
          <w:iCs w:val="1"/>
          <w:color w:val="auto"/>
        </w:rPr>
        <w:t>Holders</w:t>
      </w:r>
      <w:r>
        <w:rPr>
          <w:rFonts w:ascii="Arial" w:cs="Arial" w:eastAsia="Arial" w:hAnsi="Arial"/>
          <w:sz w:val="16"/>
          <w:szCs w:val="16"/>
          <w:color w:val="auto"/>
        </w:rPr>
        <w:t>”). Capitalized terms used herein and not otherwise defined shall have the meanings given them in the Indenture.</w:t>
      </w:r>
    </w:p>
    <w:p>
      <w:pPr>
        <w:spacing w:after="0" w:line="174" w:lineRule="exact"/>
        <w:rPr>
          <w:sz w:val="20"/>
          <w:szCs w:val="20"/>
          <w:color w:val="auto"/>
        </w:rPr>
      </w:pPr>
    </w:p>
    <w:p>
      <w:pPr>
        <w:ind w:right="20" w:firstLine="436"/>
        <w:spacing w:after="0" w:line="275" w:lineRule="auto"/>
        <w:tabs>
          <w:tab w:leader="none" w:pos="75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The rate at which the Notes shall bear interest shall be 2.650% per year. The date from which interest shall accrue on the Notes shall be June 26, 2020, or the most recent Interest Payment Date to which interest has been paid or provided for. The Interest Payment Dates for the Notes shall be June 26 and December 26 of each year, beginning December 26, 2020. Interest shall be payable on each Interest Payment Date to the Holders of record at the close of business on the June 11 and December 11 prior to each Interest Payment Date (whether or not a Business Day). The basis upon which interest shall be calculated shall be that of a 360-day year consisting of twelve 30-day months.</w:t>
      </w:r>
    </w:p>
    <w:p>
      <w:pPr>
        <w:spacing w:after="0" w:line="176" w:lineRule="exact"/>
        <w:rPr>
          <w:rFonts w:ascii="Arial" w:cs="Arial" w:eastAsia="Arial" w:hAnsi="Arial"/>
          <w:sz w:val="17"/>
          <w:szCs w:val="17"/>
          <w:color w:val="auto"/>
        </w:rPr>
      </w:pPr>
    </w:p>
    <w:p>
      <w:pPr>
        <w:ind w:right="60" w:firstLine="436"/>
        <w:spacing w:after="0" w:line="271" w:lineRule="auto"/>
        <w:tabs>
          <w:tab w:leader="none" w:pos="75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0" w:right="459" w:bottom="1440" w:gutter="0" w:footer="0" w:header="0"/>
        </w:sectPr>
      </w:pPr>
    </w:p>
    <w:bookmarkStart w:id="59" w:name="page60"/>
    <w:bookmarkEnd w:id="59"/>
    <w:p>
      <w:pPr>
        <w:ind w:right="200" w:firstLine="436"/>
        <w:spacing w:after="0" w:line="263" w:lineRule="auto"/>
        <w:tabs>
          <w:tab w:leader="none" w:pos="7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Registrar, Paying Agent, and Transfer Agent</w:t>
      </w:r>
      <w:r>
        <w:rPr>
          <w:rFonts w:ascii="Arial" w:cs="Arial" w:eastAsia="Arial" w:hAnsi="Arial"/>
          <w:sz w:val="18"/>
          <w:szCs w:val="18"/>
          <w:color w:val="auto"/>
        </w:rPr>
        <w:t>.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w:t>
      </w:r>
    </w:p>
    <w:p>
      <w:pPr>
        <w:spacing w:after="0" w:line="183" w:lineRule="exact"/>
        <w:rPr>
          <w:rFonts w:ascii="Arial" w:cs="Arial" w:eastAsia="Arial" w:hAnsi="Arial"/>
          <w:sz w:val="18"/>
          <w:szCs w:val="18"/>
          <w:color w:val="auto"/>
        </w:rPr>
      </w:pPr>
    </w:p>
    <w:p>
      <w:pPr>
        <w:ind w:right="20" w:firstLine="436"/>
        <w:spacing w:after="0" w:line="259" w:lineRule="auto"/>
        <w:tabs>
          <w:tab w:leader="none" w:pos="7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The Notes are senior unsecured obligations of the Company and constitute the Series designated on the face hereof as the “</w:t>
      </w:r>
      <w:r>
        <w:rPr>
          <w:rFonts w:ascii="Arial" w:cs="Arial" w:eastAsia="Arial" w:hAnsi="Arial"/>
          <w:sz w:val="18"/>
          <w:szCs w:val="18"/>
          <w:i w:val="1"/>
          <w:iCs w:val="1"/>
          <w:color w:val="auto"/>
        </w:rPr>
        <w:t>2.650</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Notes due 2030</w:t>
      </w:r>
      <w:r>
        <w:rPr>
          <w:rFonts w:ascii="Arial" w:cs="Arial" w:eastAsia="Arial" w:hAnsi="Arial"/>
          <w:sz w:val="18"/>
          <w:szCs w:val="18"/>
          <w:color w:val="auto"/>
        </w:rPr>
        <w:t>”, initially limited to $900,000,000 in aggregate principal amount. The Company will furnish to any Holders upon written request</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without charge a copy of the Base Indenture and the Second Supplemental Indenture. Requests may be made to: Schlumberger Limited, 5599 San Felipe Street, 17</w:t>
      </w:r>
      <w:r>
        <w:rPr>
          <w:rFonts w:ascii="Arial" w:cs="Arial" w:eastAsia="Arial" w:hAnsi="Arial"/>
          <w:sz w:val="15"/>
          <w:szCs w:val="15"/>
          <w:color w:val="auto"/>
        </w:rPr>
        <w:t>th</w:t>
      </w:r>
      <w:r>
        <w:rPr>
          <w:rFonts w:ascii="Arial" w:cs="Arial" w:eastAsia="Arial" w:hAnsi="Arial"/>
          <w:sz w:val="18"/>
          <w:szCs w:val="18"/>
          <w:color w:val="auto"/>
        </w:rPr>
        <w:t xml:space="preserve"> Floor, Houston, Texas 77057 Attention: Vice President and Treasurer.</w:t>
      </w:r>
    </w:p>
    <w:p>
      <w:pPr>
        <w:spacing w:after="0" w:line="186" w:lineRule="exact"/>
        <w:rPr>
          <w:rFonts w:ascii="Arial" w:cs="Arial" w:eastAsia="Arial" w:hAnsi="Arial"/>
          <w:sz w:val="18"/>
          <w:szCs w:val="18"/>
          <w:color w:val="auto"/>
        </w:rPr>
      </w:pPr>
    </w:p>
    <w:p>
      <w:pPr>
        <w:jc w:val="both"/>
        <w:ind w:right="260" w:firstLine="436"/>
        <w:spacing w:after="0" w:line="263" w:lineRule="auto"/>
        <w:tabs>
          <w:tab w:leader="none" w:pos="7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the Company’s option, the Notes may be redeemed or purchased, in each case, in whole or in part at any time or from time to time prior to the Stated Maturity of the Notes, as provided in Article III of the Base Indenture (as amended by the Second Supplemental Indenture), Section 1.2 of the Second Supplemental Indenture and in this Section 5.</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Prior to March 26, 2030 (three months prior to their Maturity date), the Notes may be redeemed in whole at any time or in part from time to time, at the Company’s option, at a redemption price equal to the greater of:</w:t>
      </w:r>
    </w:p>
    <w:p>
      <w:pPr>
        <w:spacing w:after="0" w:line="62" w:lineRule="exact"/>
        <w:rPr>
          <w:sz w:val="20"/>
          <w:szCs w:val="20"/>
          <w:color w:val="auto"/>
        </w:rPr>
      </w:pPr>
    </w:p>
    <w:p>
      <w:pPr>
        <w:ind w:left="1240" w:hanging="38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17" w:lineRule="exact"/>
        <w:rPr>
          <w:rFonts w:ascii="Arial" w:cs="Arial" w:eastAsia="Arial" w:hAnsi="Arial"/>
          <w:sz w:val="18"/>
          <w:szCs w:val="18"/>
          <w:color w:val="auto"/>
        </w:rPr>
      </w:pPr>
    </w:p>
    <w:p>
      <w:pPr>
        <w:ind w:left="440" w:firstLine="419"/>
        <w:spacing w:after="0" w:line="275" w:lineRule="auto"/>
        <w:tabs>
          <w:tab w:leader="none" w:pos="12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such Notes to be redeemed that would have been payable in respect of such Notes calculated as if the Maturity date of such Notes was March 26, 2030 (three months prior to their Maturity date) (not including any portion of such payments of interest accrued to the date of redemption) discounted to the date of redemption on a semiannual basis (assuming a 360-day year consisting of twelve 30-day months) at the applicable treasury rate plus 30 basis points, plus accrued and unpaid interest on the principal amount being redeemed to (but not including) the redemption date.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w:t>
      </w:r>
    </w:p>
    <w:p>
      <w:pPr>
        <w:spacing w:after="0" w:line="117" w:lineRule="exact"/>
        <w:rPr>
          <w:sz w:val="20"/>
          <w:szCs w:val="20"/>
          <w:color w:val="auto"/>
        </w:rPr>
      </w:pPr>
    </w:p>
    <w:p>
      <w:pPr>
        <w:ind w:left="440" w:right="200" w:firstLine="419"/>
        <w:spacing w:after="0" w:line="279" w:lineRule="auto"/>
        <w:tabs>
          <w:tab w:leader="none" w:pos="124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yield, under the heading which represents the average for the immediately preceding week, appearing in the most recently published statistical release designed “</w:t>
      </w:r>
      <w:r>
        <w:rPr>
          <w:rFonts w:ascii="Arial" w:cs="Arial" w:eastAsia="Arial" w:hAnsi="Arial"/>
          <w:sz w:val="17"/>
          <w:szCs w:val="17"/>
          <w:i w:val="1"/>
          <w:iCs w:val="1"/>
          <w:color w:val="auto"/>
        </w:rPr>
        <w:t>H.15(519)</w:t>
      </w:r>
      <w:r>
        <w:rPr>
          <w:rFonts w:ascii="Arial" w:cs="Arial" w:eastAsia="Arial" w:hAnsi="Arial"/>
          <w:sz w:val="17"/>
          <w:szCs w:val="17"/>
          <w:color w:val="auto"/>
        </w:rPr>
        <w:t>” or any successor publication which is published weekly by the Board of Governors of the Federal Reserve System and which establishes yields on actively traded U.S. Treasury securities adjusted to constant maturity under the caption “</w:t>
      </w:r>
      <w:r>
        <w:rPr>
          <w:rFonts w:ascii="Arial" w:cs="Arial" w:eastAsia="Arial" w:hAnsi="Arial"/>
          <w:sz w:val="17"/>
          <w:szCs w:val="17"/>
          <w:i w:val="1"/>
          <w:iCs w:val="1"/>
          <w:color w:val="auto"/>
        </w:rPr>
        <w:t>Treasury Constant Maturities,</w:t>
      </w:r>
      <w:r>
        <w:rPr>
          <w:rFonts w:ascii="Arial" w:cs="Arial" w:eastAsia="Arial" w:hAnsi="Arial"/>
          <w:sz w:val="17"/>
          <w:szCs w:val="17"/>
          <w:color w:val="auto"/>
        </w:rPr>
        <w:t>” for the maturity corresponding to the comparable treasury issue (if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60" w:name="page61"/>
    <w:bookmarkEnd w:id="60"/>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76" w:lineRule="exact"/>
        <w:rPr>
          <w:sz w:val="20"/>
          <w:szCs w:val="20"/>
          <w:color w:val="auto"/>
        </w:rPr>
      </w:pPr>
    </w:p>
    <w:p>
      <w:pPr>
        <w:ind w:right="200" w:firstLine="419"/>
        <w:spacing w:after="0" w:line="311" w:lineRule="auto"/>
        <w:tabs>
          <w:tab w:leader="none" w:pos="81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17" w:lineRule="exact"/>
        <w:rPr>
          <w:sz w:val="20"/>
          <w:szCs w:val="20"/>
          <w:color w:val="auto"/>
        </w:rPr>
      </w:pPr>
    </w:p>
    <w:p>
      <w:pPr>
        <w:jc w:val="both"/>
        <w:ind w:right="40" w:firstLine="423"/>
        <w:spacing w:after="0" w:line="311" w:lineRule="auto"/>
        <w:rPr>
          <w:sz w:val="20"/>
          <w:szCs w:val="20"/>
          <w:color w:val="auto"/>
        </w:rPr>
      </w:pPr>
      <w:r>
        <w:rPr>
          <w:rFonts w:ascii="Arial" w:cs="Arial" w:eastAsia="Arial" w:hAnsi="Arial"/>
          <w:sz w:val="16"/>
          <w:szCs w:val="16"/>
          <w:color w:val="auto"/>
        </w:rPr>
        <w:t>Notwithstanding the foregoing, commencing on March 26, 2030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41"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“comparable treasury issue” means the U.S. Treasury security selected by an independent investment banker as having an actual or interpolated maturity comparable to the remaining term (“remaining life”) of the Notes to be redeemed (assuming that such Notes to be redeemed matured on March 26, 2030) that would be utilized, at the time of selection and in accordance with customary financial practice, in pricing new issues of corporate debt securities of comparable maturity to the remaining term of such Notes (assuming that such Notes matured on March 26, 2030).</w:t>
      </w:r>
    </w:p>
    <w:p>
      <w:pPr>
        <w:spacing w:after="0" w:line="80"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76" w:lineRule="exact"/>
        <w:rPr>
          <w:sz w:val="20"/>
          <w:szCs w:val="20"/>
          <w:color w:val="auto"/>
        </w:rPr>
      </w:pPr>
    </w:p>
    <w:p>
      <w:pPr>
        <w:jc w:val="both"/>
        <w:ind w:right="200" w:firstLine="423"/>
        <w:spacing w:after="0" w:line="263" w:lineRule="auto"/>
        <w:rPr>
          <w:sz w:val="20"/>
          <w:szCs w:val="20"/>
          <w:color w:val="auto"/>
        </w:rPr>
      </w:pPr>
      <w:r>
        <w:rPr>
          <w:rFonts w:ascii="Arial" w:cs="Arial" w:eastAsia="Arial" w:hAnsi="Arial"/>
          <w:sz w:val="18"/>
          <w:szCs w:val="18"/>
          <w:color w:val="auto"/>
        </w:rPr>
        <w:t>“independent investment banker” means Citigroup Global Markets Inc., HSBC Securities (USA) Inc., J.P. Morgan Securities LLC or SG Americas Securities, LLC, or, if these firms are unwilling or unable to select the comparable treasury issue, an independent investment banking institution of national standing appointed by the Company.</w:t>
      </w:r>
    </w:p>
    <w:p>
      <w:pPr>
        <w:spacing w:after="0" w:line="76" w:lineRule="exact"/>
        <w:rPr>
          <w:sz w:val="20"/>
          <w:szCs w:val="20"/>
          <w:color w:val="auto"/>
        </w:rPr>
      </w:pPr>
    </w:p>
    <w:p>
      <w:pPr>
        <w:ind w:right="480" w:firstLine="423"/>
        <w:spacing w:after="0" w:line="263" w:lineRule="auto"/>
        <w:rPr>
          <w:sz w:val="20"/>
          <w:szCs w:val="20"/>
          <w:color w:val="auto"/>
        </w:rPr>
      </w:pPr>
      <w:r>
        <w:rPr>
          <w:rFonts w:ascii="Arial" w:cs="Arial" w:eastAsia="Arial" w:hAnsi="Arial"/>
          <w:sz w:val="18"/>
          <w:szCs w:val="18"/>
          <w:color w:val="auto"/>
        </w:rPr>
        <w:t>“reference treasury dealer” means (1) Citigroup Global Markets Inc., HSBC Securities (USA) Inc., J.P. Morgan Securities LLC or SG Americas Securities, LLC and their respective successors, provided, however, that if any of the foregoing shall cease to be a primary U.S. government securities dealer in New York City (a “primary</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20"/>
          </w:cols>
          <w:pgMar w:left="880" w:top="274" w:right="499" w:bottom="1440" w:gutter="0" w:footer="0" w:header="0"/>
        </w:sectPr>
      </w:pPr>
    </w:p>
    <w:bookmarkStart w:id="61" w:name="page62"/>
    <w:bookmarkEnd w:id="61"/>
    <w:p>
      <w:pPr>
        <w:ind w:left="44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treasury dealer”), the Company will substitute therefor another primary treasury dealer, and (2) any other primary treasury dealer selected by the independent investment banker after consultation with the Company.</w:t>
      </w:r>
    </w:p>
    <w:p>
      <w:pPr>
        <w:spacing w:after="0" w:line="62" w:lineRule="exact"/>
        <w:rPr>
          <w:sz w:val="20"/>
          <w:szCs w:val="20"/>
          <w:color w:val="auto"/>
        </w:rPr>
      </w:pPr>
    </w:p>
    <w:p>
      <w:pPr>
        <w:jc w:val="both"/>
        <w:ind w:left="440" w:right="580" w:firstLine="423"/>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will not have the benefit of any sinking fund.</w:t>
      </w:r>
    </w:p>
    <w:p>
      <w:pPr>
        <w:spacing w:after="0" w:line="225" w:lineRule="exact"/>
        <w:rPr>
          <w:sz w:val="20"/>
          <w:szCs w:val="20"/>
          <w:color w:val="auto"/>
        </w:rPr>
      </w:pPr>
    </w:p>
    <w:p>
      <w:pPr>
        <w:ind w:firstLine="436"/>
        <w:spacing w:after="0" w:line="254" w:lineRule="auto"/>
        <w:tabs>
          <w:tab w:leader="none" w:pos="75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94" w:lineRule="exact"/>
        <w:rPr>
          <w:rFonts w:ascii="Arial" w:cs="Arial" w:eastAsia="Arial" w:hAnsi="Arial"/>
          <w:sz w:val="18"/>
          <w:szCs w:val="18"/>
          <w:color w:val="auto"/>
        </w:rPr>
      </w:pPr>
    </w:p>
    <w:p>
      <w:pPr>
        <w:ind w:right="300" w:firstLine="436"/>
        <w:spacing w:after="0" w:line="277" w:lineRule="auto"/>
        <w:tabs>
          <w:tab w:leader="none" w:pos="75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may be treated as the owner of it for all purposes. Only registered Holders have rights under the Indenture.</w:t>
      </w:r>
    </w:p>
    <w:p>
      <w:pPr>
        <w:spacing w:after="0" w:line="170" w:lineRule="exact"/>
        <w:rPr>
          <w:rFonts w:ascii="Arial" w:cs="Arial" w:eastAsia="Arial" w:hAnsi="Arial"/>
          <w:sz w:val="18"/>
          <w:szCs w:val="18"/>
          <w:color w:val="auto"/>
        </w:rPr>
      </w:pPr>
    </w:p>
    <w:p>
      <w:pPr>
        <w:ind w:right="20" w:firstLine="436"/>
        <w:spacing w:after="0" w:line="277" w:lineRule="auto"/>
        <w:tabs>
          <w:tab w:leader="none" w:pos="75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Repayment to the Company</w:t>
      </w:r>
      <w:r>
        <w:rPr>
          <w:rFonts w:ascii="Arial" w:cs="Arial" w:eastAsia="Arial" w:hAnsi="Arial"/>
          <w:sz w:val="18"/>
          <w:szCs w:val="18"/>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62" w:name="page63"/>
    <w:bookmarkEnd w:id="62"/>
    <w:p>
      <w:pPr>
        <w:ind w:left="4" w:firstLine="436"/>
        <w:spacing w:after="0" w:line="285" w:lineRule="auto"/>
        <w:tabs>
          <w:tab w:leader="none" w:pos="75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Supplements and Waivers</w:t>
      </w:r>
      <w:r>
        <w:rPr>
          <w:rFonts w:ascii="Arial" w:cs="Arial" w:eastAsia="Arial" w:hAnsi="Arial"/>
          <w:sz w:val="16"/>
          <w:szCs w:val="16"/>
          <w:color w:val="auto"/>
        </w:rPr>
        <w:t>.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 that such additional Notes have the same terms as,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74" w:lineRule="exact"/>
        <w:rPr>
          <w:sz w:val="20"/>
          <w:szCs w:val="20"/>
          <w:color w:val="auto"/>
        </w:rPr>
      </w:pPr>
    </w:p>
    <w:p>
      <w:pPr>
        <w:ind w:left="4" w:right="40" w:firstLine="991"/>
        <w:spacing w:after="0" w:line="271" w:lineRule="auto"/>
        <w:rPr>
          <w:sz w:val="20"/>
          <w:szCs w:val="20"/>
          <w:color w:val="auto"/>
        </w:rPr>
      </w:pPr>
      <w:r>
        <w:rPr>
          <w:rFonts w:ascii="Arial" w:cs="Arial" w:eastAsia="Arial" w:hAnsi="Arial"/>
          <w:sz w:val="17"/>
          <w:szCs w:val="17"/>
          <w:color w:val="auto"/>
        </w:rPr>
        <w:t>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w:t>
      </w:r>
    </w:p>
    <w:p>
      <w:pPr>
        <w:spacing w:after="0" w:line="178" w:lineRule="exact"/>
        <w:rPr>
          <w:sz w:val="20"/>
          <w:szCs w:val="20"/>
          <w:color w:val="auto"/>
        </w:rPr>
      </w:pPr>
    </w:p>
    <w:p>
      <w:pPr>
        <w:ind w:left="4" w:right="80" w:firstLine="436"/>
        <w:spacing w:after="0" w:line="287" w:lineRule="auto"/>
        <w:tabs>
          <w:tab w:leader="none" w:pos="84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 the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24"/>
          </w:cols>
          <w:pgMar w:left="436" w:top="274" w:right="439" w:bottom="1440" w:gutter="0" w:footer="0" w:header="0"/>
        </w:sectPr>
      </w:pPr>
    </w:p>
    <w:bookmarkStart w:id="63" w:name="page64"/>
    <w:bookmarkEnd w:id="63"/>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 Indenture occurs with respect to the Company (or with respect to the Guarantor), the principal amount plus accrued and unpaid interest on the Company’s Notes will become immediately due and payable without any action on the part of the Trustee or any Holder.</w:t>
      </w:r>
    </w:p>
    <w:p>
      <w:pPr>
        <w:spacing w:after="0" w:line="146" w:lineRule="exact"/>
        <w:rPr>
          <w:sz w:val="20"/>
          <w:szCs w:val="20"/>
          <w:color w:val="auto"/>
        </w:rPr>
      </w:pPr>
    </w:p>
    <w:p>
      <w:pPr>
        <w:ind w:right="40" w:firstLine="436"/>
        <w:spacing w:after="0" w:line="263" w:lineRule="auto"/>
        <w:tabs>
          <w:tab w:leader="none" w:pos="83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Trustee May Hold Notes</w:t>
      </w:r>
      <w:r>
        <w:rPr>
          <w:rFonts w:ascii="Arial" w:cs="Arial" w:eastAsia="Arial" w:hAnsi="Arial"/>
          <w:sz w:val="18"/>
          <w:szCs w:val="18"/>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w:t>
      </w:r>
    </w:p>
    <w:p>
      <w:pPr>
        <w:spacing w:after="0" w:line="183" w:lineRule="exact"/>
        <w:rPr>
          <w:rFonts w:ascii="Arial" w:cs="Arial" w:eastAsia="Arial" w:hAnsi="Arial"/>
          <w:sz w:val="18"/>
          <w:szCs w:val="18"/>
          <w:color w:val="auto"/>
        </w:rPr>
      </w:pPr>
    </w:p>
    <w:p>
      <w:pPr>
        <w:ind w:firstLine="436"/>
        <w:spacing w:after="0" w:line="275" w:lineRule="auto"/>
        <w:tabs>
          <w:tab w:leader="none" w:pos="84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No Personal Liability of Directors, Officers, Employees and Certain Others</w:t>
      </w:r>
      <w:r>
        <w:rPr>
          <w:rFonts w:ascii="Arial" w:cs="Arial" w:eastAsia="Arial" w:hAnsi="Arial"/>
          <w:sz w:val="17"/>
          <w:szCs w:val="17"/>
          <w:color w:val="auto"/>
        </w:rPr>
        <w:t>.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6" w:lineRule="exact"/>
        <w:rPr>
          <w:rFonts w:ascii="Arial" w:cs="Arial" w:eastAsia="Arial" w:hAnsi="Arial"/>
          <w:sz w:val="17"/>
          <w:szCs w:val="17"/>
          <w:color w:val="auto"/>
        </w:rPr>
      </w:pPr>
    </w:p>
    <w:p>
      <w:pPr>
        <w:ind w:right="400" w:firstLine="436"/>
        <w:spacing w:after="0" w:line="277" w:lineRule="auto"/>
        <w:tabs>
          <w:tab w:leader="none" w:pos="8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Discharge of Indenture</w:t>
      </w:r>
      <w:r>
        <w:rPr>
          <w:rFonts w:ascii="Arial" w:cs="Arial" w:eastAsia="Arial" w:hAnsi="Arial"/>
          <w:sz w:val="18"/>
          <w:szCs w:val="18"/>
          <w:color w:val="auto"/>
        </w:rPr>
        <w:t>. The Indenture contains certain provisions pertaining to discharge and defeasance, which provisions shall for all purposes have the same effect as if set forth herein.</w:t>
      </w:r>
    </w:p>
    <w:p>
      <w:pPr>
        <w:spacing w:after="0" w:line="170" w:lineRule="exact"/>
        <w:rPr>
          <w:rFonts w:ascii="Arial" w:cs="Arial" w:eastAsia="Arial" w:hAnsi="Arial"/>
          <w:sz w:val="18"/>
          <w:szCs w:val="18"/>
          <w:color w:val="auto"/>
        </w:rPr>
      </w:pPr>
    </w:p>
    <w:p>
      <w:pPr>
        <w:ind w:right="440" w:firstLine="436"/>
        <w:spacing w:after="0" w:line="277" w:lineRule="auto"/>
        <w:tabs>
          <w:tab w:leader="none" w:pos="8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This Note shall not be valid until the Trustee signs, by manual, facsimile or other electronic signature, the certificate of authentication attached to the other side of this Note.</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Additional Amounts</w:t>
      </w:r>
      <w:r>
        <w:rPr>
          <w:rFonts w:ascii="Arial" w:cs="Arial" w:eastAsia="Arial" w:hAnsi="Arial"/>
          <w:sz w:val="18"/>
          <w:szCs w:val="18"/>
          <w:color w:val="auto"/>
        </w:rPr>
        <w:t>. The Company is obligated to pay Additional Amounts on this Note to the extent provided in the Indenture.</w:t>
      </w:r>
    </w:p>
    <w:p>
      <w:pPr>
        <w:spacing w:after="0" w:line="225" w:lineRule="exact"/>
        <w:rPr>
          <w:rFonts w:ascii="Arial" w:cs="Arial" w:eastAsia="Arial" w:hAnsi="Arial"/>
          <w:sz w:val="18"/>
          <w:szCs w:val="18"/>
          <w:color w:val="auto"/>
        </w:rPr>
      </w:pPr>
    </w:p>
    <w:p>
      <w:pPr>
        <w:ind w:right="300" w:firstLine="436"/>
        <w:spacing w:after="0" w:line="263" w:lineRule="auto"/>
        <w:tabs>
          <w:tab w:leader="none" w:pos="8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tenants in common), TEN ENT(= tenants by the entireties), JT TEN (= joint tenants with right of survivorship and not as tenants in common), CUST (= custodian), and U/G/M/A (= Uniform Gifts to Minors Act).</w:t>
      </w:r>
    </w:p>
    <w:p>
      <w:pPr>
        <w:spacing w:after="0" w:line="180" w:lineRule="exact"/>
        <w:rPr>
          <w:sz w:val="20"/>
          <w:szCs w:val="20"/>
          <w:color w:val="auto"/>
        </w:rPr>
      </w:pPr>
    </w:p>
    <w:p>
      <w:pPr>
        <w:ind w:right="300" w:firstLine="991"/>
        <w:spacing w:after="0" w:line="261" w:lineRule="auto"/>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INDENTURE, THIS NOTE AND THE NOTE GUARANTEE, INCLUDING ANY CLAIM OR</w:t>
      </w:r>
      <w:r>
        <w:rPr>
          <w:rFonts w:ascii="Arial" w:cs="Arial" w:eastAsia="Arial" w:hAnsi="Arial"/>
          <w:sz w:val="18"/>
          <w:szCs w:val="18"/>
          <w:color w:val="auto"/>
        </w:rPr>
        <w:t xml:space="preserve"> </w:t>
      </w:r>
      <w:r>
        <w:rPr>
          <w:rFonts w:ascii="Arial" w:cs="Arial" w:eastAsia="Arial" w:hAnsi="Arial"/>
          <w:sz w:val="18"/>
          <w:szCs w:val="18"/>
          <w:b w:val="1"/>
          <w:bCs w:val="1"/>
          <w:color w:val="auto"/>
        </w:rPr>
        <w:t>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p>
    <w:p>
      <w:pPr>
        <w:spacing w:after="0" w:line="180"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b w:val="1"/>
          <w:bCs w:val="1"/>
          <w:color w:val="auto"/>
        </w:rPr>
        <w:t>THE APPLICATION OF THE PROVISIONS OF THE ARTICLES 470-1 TO 470-19 (INCLUSIVE) OF THE LUXEMBOURG LAW OF 10 AUGUST 1915 ON COMMERCIAL COMPANIES, AS AMENDED, IS HEREBY EXPRESSLY EXCLUDED.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477520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640715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829310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20" w:type="dxa"/>
            <w:vAlign w:val="bottom"/>
            <w:gridSpan w:val="4"/>
          </w:tcPr>
          <w:p>
            <w:pPr>
              <w:jc w:val="center"/>
              <w:ind w:right="332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05"/>
        </w:trPr>
        <w:tc>
          <w:tcPr>
            <w:tcW w:w="1740" w:type="dxa"/>
            <w:vAlign w:val="bottom"/>
          </w:tcPr>
          <w:p>
            <w:pPr>
              <w:spacing w:after="0"/>
              <w:rPr>
                <w:sz w:val="20"/>
                <w:szCs w:val="20"/>
                <w:color w:val="auto"/>
              </w:rPr>
            </w:pPr>
            <w:r>
              <w:rPr>
                <w:rFonts w:ascii="Arial" w:cs="Arial" w:eastAsia="Arial" w:hAnsi="Arial"/>
                <w:sz w:val="18"/>
                <w:szCs w:val="18"/>
                <w:color w:val="auto"/>
                <w:w w:val="92"/>
              </w:rPr>
              <w:t>and irrevocably appoint</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620" w:type="dxa"/>
            <w:vAlign w:val="bottom"/>
            <w:gridSpan w:val="4"/>
          </w:tcPr>
          <w:p>
            <w:pPr>
              <w:ind w:left="60"/>
              <w:spacing w:after="0"/>
              <w:rPr>
                <w:sz w:val="20"/>
                <w:szCs w:val="20"/>
                <w:color w:val="auto"/>
              </w:rPr>
            </w:pPr>
            <w:r>
              <w:rPr>
                <w:rFonts w:ascii="Arial" w:cs="Arial" w:eastAsia="Arial" w:hAnsi="Arial"/>
                <w:sz w:val="18"/>
                <w:szCs w:val="18"/>
                <w:color w:val="auto"/>
                <w:w w:val="89"/>
              </w:rPr>
              <w:t>agent to transfer this Note on the books of the Company. The agent may substitute another to act for him.</w:t>
            </w:r>
          </w:p>
        </w:tc>
      </w:tr>
      <w:tr>
        <w:trPr>
          <w:trHeight w:val="453"/>
        </w:trPr>
        <w:tc>
          <w:tcPr>
            <w:tcW w:w="1740" w:type="dxa"/>
            <w:vAlign w:val="bottom"/>
          </w:tcPr>
          <w:p>
            <w:pPr>
              <w:spacing w:after="0"/>
              <w:rPr>
                <w:sz w:val="20"/>
                <w:szCs w:val="20"/>
                <w:color w:val="auto"/>
              </w:rPr>
            </w:pPr>
            <w:r>
              <w:rPr>
                <w:rFonts w:ascii="Arial" w:cs="Arial" w:eastAsia="Arial" w:hAnsi="Arial"/>
                <w:sz w:val="18"/>
                <w:szCs w:val="18"/>
                <w:color w:val="auto"/>
              </w:rPr>
              <w:t>Date: __________</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Arial" w:cs="Arial" w:eastAsia="Arial" w:hAnsi="Arial"/>
                <w:sz w:val="18"/>
                <w:szCs w:val="18"/>
                <w:color w:val="auto"/>
              </w:rPr>
              <w:t>Your Signature:</w:t>
            </w:r>
          </w:p>
        </w:tc>
        <w:tc>
          <w:tcPr>
            <w:tcW w:w="18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580" w:type="dxa"/>
            <w:vAlign w:val="bottom"/>
            <w:gridSpan w:val="3"/>
          </w:tcPr>
          <w:p>
            <w:pPr>
              <w:ind w:left="2220"/>
              <w:spacing w:after="0"/>
              <w:rPr>
                <w:sz w:val="20"/>
                <w:szCs w:val="20"/>
                <w:color w:val="auto"/>
              </w:rPr>
            </w:pPr>
            <w:r>
              <w:rPr>
                <w:rFonts w:ascii="Arial" w:cs="Arial" w:eastAsia="Arial" w:hAnsi="Arial"/>
                <w:sz w:val="18"/>
                <w:szCs w:val="18"/>
                <w:color w:val="auto"/>
                <w:w w:val="89"/>
              </w:rPr>
              <w:t>(Sign exactly as your name appears on the face of this Note)</w:t>
            </w: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w w:val="99"/>
              </w:rPr>
              <w:t>Signature Guarantee:</w:t>
            </w:r>
          </w:p>
        </w:tc>
        <w:tc>
          <w:tcPr>
            <w:tcW w:w="1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1"/>
              </w:rPr>
              <w:t>(Signature must be guaranteed by</w:t>
            </w:r>
          </w:p>
        </w:tc>
        <w:tc>
          <w:tcPr>
            <w:tcW w:w="3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9240" w:type="dxa"/>
            <w:vAlign w:val="bottom"/>
            <w:gridSpan w:val="6"/>
          </w:tcPr>
          <w:p>
            <w:pPr>
              <w:ind w:left="160"/>
              <w:spacing w:after="0"/>
              <w:rPr>
                <w:sz w:val="20"/>
                <w:szCs w:val="20"/>
                <w:color w:val="auto"/>
              </w:rPr>
            </w:pPr>
            <w:r>
              <w:rPr>
                <w:rFonts w:ascii="Arial" w:cs="Arial" w:eastAsia="Arial" w:hAnsi="Arial"/>
                <w:sz w:val="18"/>
                <w:szCs w:val="18"/>
                <w:color w:val="auto"/>
              </w:rPr>
              <w:t>a participant in a recognized</w:t>
            </w:r>
          </w:p>
        </w:tc>
      </w:tr>
      <w:tr>
        <w:trPr>
          <w:trHeight w:val="216"/>
        </w:trPr>
        <w:tc>
          <w:tcPr>
            <w:tcW w:w="1740" w:type="dxa"/>
            <w:vAlign w:val="bottom"/>
          </w:tcPr>
          <w:p>
            <w:pPr>
              <w:spacing w:after="0"/>
              <w:rPr>
                <w:sz w:val="18"/>
                <w:szCs w:val="18"/>
                <w:color w:val="auto"/>
              </w:rPr>
            </w:pPr>
          </w:p>
        </w:tc>
        <w:tc>
          <w:tcPr>
            <w:tcW w:w="9240" w:type="dxa"/>
            <w:vAlign w:val="bottom"/>
            <w:gridSpan w:val="6"/>
          </w:tcPr>
          <w:p>
            <w:pPr>
              <w:ind w:left="160"/>
              <w:spacing w:after="0"/>
              <w:rPr>
                <w:sz w:val="20"/>
                <w:szCs w:val="20"/>
                <w:color w:val="auto"/>
              </w:rPr>
            </w:pPr>
            <w:r>
              <w:rPr>
                <w:rFonts w:ascii="Arial" w:cs="Arial" w:eastAsia="Arial" w:hAnsi="Arial"/>
                <w:sz w:val="18"/>
                <w:szCs w:val="18"/>
                <w:color w:val="auto"/>
              </w:rPr>
              <w:t>Signature Guarantee Medallion</w:t>
            </w:r>
          </w:p>
        </w:tc>
      </w:tr>
      <w:tr>
        <w:trPr>
          <w:trHeight w:val="216"/>
        </w:trPr>
        <w:tc>
          <w:tcPr>
            <w:tcW w:w="1740" w:type="dxa"/>
            <w:vAlign w:val="bottom"/>
          </w:tcPr>
          <w:p>
            <w:pPr>
              <w:spacing w:after="0"/>
              <w:rPr>
                <w:sz w:val="18"/>
                <w:szCs w:val="18"/>
                <w:color w:val="auto"/>
              </w:rPr>
            </w:pPr>
          </w:p>
        </w:tc>
        <w:tc>
          <w:tcPr>
            <w:tcW w:w="9240" w:type="dxa"/>
            <w:vAlign w:val="bottom"/>
            <w:gridSpan w:val="6"/>
          </w:tcPr>
          <w:p>
            <w:pPr>
              <w:ind w:left="160"/>
              <w:spacing w:after="0"/>
              <w:rPr>
                <w:sz w:val="20"/>
                <w:szCs w:val="20"/>
                <w:color w:val="auto"/>
              </w:rPr>
            </w:pPr>
            <w:r>
              <w:rPr>
                <w:rFonts w:ascii="Arial" w:cs="Arial" w:eastAsia="Arial" w:hAnsi="Arial"/>
                <w:sz w:val="18"/>
                <w:szCs w:val="18"/>
                <w:color w:val="auto"/>
              </w:rPr>
              <w:t>Program (or other signature</w:t>
            </w:r>
          </w:p>
        </w:tc>
      </w:tr>
      <w:tr>
        <w:trPr>
          <w:trHeight w:val="216"/>
        </w:trPr>
        <w:tc>
          <w:tcPr>
            <w:tcW w:w="1740" w:type="dxa"/>
            <w:vAlign w:val="bottom"/>
          </w:tcPr>
          <w:p>
            <w:pPr>
              <w:spacing w:after="0"/>
              <w:rPr>
                <w:sz w:val="18"/>
                <w:szCs w:val="18"/>
                <w:color w:val="auto"/>
              </w:rPr>
            </w:pPr>
          </w:p>
        </w:tc>
        <w:tc>
          <w:tcPr>
            <w:tcW w:w="9240" w:type="dxa"/>
            <w:vAlign w:val="bottom"/>
            <w:gridSpan w:val="6"/>
          </w:tcPr>
          <w:p>
            <w:pPr>
              <w:ind w:left="160"/>
              <w:spacing w:after="0"/>
              <w:rPr>
                <w:sz w:val="20"/>
                <w:szCs w:val="20"/>
                <w:color w:val="auto"/>
              </w:rPr>
            </w:pPr>
            <w:r>
              <w:rPr>
                <w:rFonts w:ascii="Arial" w:cs="Arial" w:eastAsia="Arial" w:hAnsi="Arial"/>
                <w:sz w:val="18"/>
                <w:szCs w:val="18"/>
                <w:color w:val="auto"/>
              </w:rPr>
              <w:t>guarantor acceptable to the</w:t>
            </w:r>
          </w:p>
        </w:tc>
      </w:tr>
      <w:tr>
        <w:trPr>
          <w:trHeight w:val="230"/>
        </w:trPr>
        <w:tc>
          <w:tcPr>
            <w:tcW w:w="1740" w:type="dxa"/>
            <w:vAlign w:val="bottom"/>
          </w:tcPr>
          <w:p>
            <w:pPr>
              <w:spacing w:after="0"/>
              <w:rPr>
                <w:sz w:val="20"/>
                <w:szCs w:val="20"/>
                <w:color w:val="auto"/>
              </w:rPr>
            </w:pPr>
          </w:p>
        </w:tc>
        <w:tc>
          <w:tcPr>
            <w:tcW w:w="9240" w:type="dxa"/>
            <w:vAlign w:val="bottom"/>
            <w:gridSpan w:val="6"/>
          </w:tcPr>
          <w:p>
            <w:pPr>
              <w:ind w:left="160"/>
              <w:spacing w:after="0"/>
              <w:rPr>
                <w:sz w:val="20"/>
                <w:szCs w:val="20"/>
                <w:color w:val="auto"/>
              </w:rPr>
            </w:pPr>
            <w:r>
              <w:rPr>
                <w:rFonts w:ascii="Arial" w:cs="Arial" w:eastAsia="Arial" w:hAnsi="Arial"/>
                <w:sz w:val="18"/>
                <w:szCs w:val="18"/>
                <w:color w:val="auto"/>
              </w:rPr>
              <w:t>Trustee))</w:t>
            </w:r>
          </w:p>
        </w:tc>
      </w:tr>
      <w:tr>
        <w:trPr>
          <w:trHeight w:val="365"/>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580" w:type="dxa"/>
            <w:vAlign w:val="bottom"/>
            <w:gridSpan w:val="3"/>
          </w:tcPr>
          <w:p>
            <w:pPr>
              <w:jc w:val="center"/>
              <w:ind w:right="4380"/>
              <w:spacing w:after="0"/>
              <w:rPr>
                <w:sz w:val="20"/>
                <w:szCs w:val="20"/>
                <w:color w:val="auto"/>
              </w:rPr>
            </w:pPr>
            <w:r>
              <w:rPr>
                <w:rFonts w:ascii="Arial" w:cs="Arial" w:eastAsia="Arial" w:hAnsi="Arial"/>
                <w:sz w:val="18"/>
                <w:szCs w:val="18"/>
                <w:color w:val="auto"/>
                <w:w w:val="94"/>
              </w:rPr>
              <w:t>A-10</w:t>
            </w:r>
          </w:p>
        </w:tc>
      </w:tr>
    </w:tbl>
    <w:p>
      <w:pPr>
        <w:sectPr>
          <w:pgSz w:w="11900" w:h="16838" w:orient="portrait"/>
          <w:cols w:equalWidth="0" w:num="1">
            <w:col w:w="10980"/>
          </w:cols>
          <w:pgMar w:left="440" w:top="270"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INCREASES AND DECREASES IN THE GLOBAL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and decreases in this Global Note have been made:</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gridSpan w:val="3"/>
          </w:tcPr>
          <w:p>
            <w:pPr>
              <w:jc w:val="center"/>
              <w:ind w:right="180"/>
              <w:spacing w:after="0"/>
              <w:rPr>
                <w:sz w:val="20"/>
                <w:szCs w:val="20"/>
                <w:color w:val="auto"/>
              </w:rPr>
            </w:pPr>
            <w:r>
              <w:rPr>
                <w:rFonts w:ascii="Arial" w:cs="Arial" w:eastAsia="Arial" w:hAnsi="Arial"/>
                <w:sz w:val="14"/>
                <w:szCs w:val="14"/>
                <w:color w:val="auto"/>
                <w:w w:val="96"/>
              </w:rPr>
              <w:t>Principal Amount of this</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1680" w:type="dxa"/>
            <w:vAlign w:val="bottom"/>
          </w:tcPr>
          <w:p>
            <w:pPr>
              <w:spacing w:after="0"/>
              <w:rPr>
                <w:sz w:val="12"/>
                <w:szCs w:val="12"/>
                <w:color w:val="auto"/>
              </w:rPr>
            </w:pPr>
          </w:p>
        </w:tc>
        <w:tc>
          <w:tcPr>
            <w:tcW w:w="2320" w:type="dxa"/>
            <w:vAlign w:val="bottom"/>
            <w:gridSpan w:val="3"/>
          </w:tcPr>
          <w:p>
            <w:pPr>
              <w:jc w:val="center"/>
              <w:ind w:left="268"/>
              <w:spacing w:after="0" w:line="149" w:lineRule="exact"/>
              <w:rPr>
                <w:sz w:val="20"/>
                <w:szCs w:val="20"/>
                <w:color w:val="auto"/>
              </w:rPr>
            </w:pPr>
            <w:r>
              <w:rPr>
                <w:rFonts w:ascii="Arial" w:cs="Arial" w:eastAsia="Arial" w:hAnsi="Arial"/>
                <w:sz w:val="14"/>
                <w:szCs w:val="14"/>
                <w:color w:val="auto"/>
                <w:w w:val="92"/>
              </w:rPr>
              <w:t>Amount of decrease in</w:t>
            </w: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Amount of increase in Principal</w:t>
            </w:r>
          </w:p>
        </w:tc>
        <w:tc>
          <w:tcPr>
            <w:tcW w:w="4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4"/>
              </w:rPr>
              <w:t>Global Note</w:t>
            </w:r>
          </w:p>
        </w:tc>
        <w:tc>
          <w:tcPr>
            <w:tcW w:w="1540" w:type="dxa"/>
            <w:vAlign w:val="bottom"/>
            <w:gridSpan w:val="3"/>
          </w:tcPr>
          <w:p>
            <w:pPr>
              <w:jc w:val="center"/>
              <w:ind w:left="448"/>
              <w:spacing w:after="0" w:line="149" w:lineRule="exact"/>
              <w:rPr>
                <w:sz w:val="20"/>
                <w:szCs w:val="20"/>
                <w:color w:val="auto"/>
              </w:rPr>
            </w:pPr>
            <w:r>
              <w:rPr>
                <w:rFonts w:ascii="Arial" w:cs="Arial" w:eastAsia="Arial" w:hAnsi="Arial"/>
                <w:sz w:val="14"/>
                <w:szCs w:val="14"/>
                <w:color w:val="auto"/>
                <w:w w:val="92"/>
              </w:rPr>
              <w:t>Signature of</w:t>
            </w:r>
          </w:p>
        </w:tc>
      </w:tr>
      <w:tr>
        <w:trPr>
          <w:trHeight w:val="148"/>
        </w:trPr>
        <w:tc>
          <w:tcPr>
            <w:tcW w:w="1680" w:type="dxa"/>
            <w:vAlign w:val="bottom"/>
          </w:tcPr>
          <w:p>
            <w:pPr>
              <w:spacing w:after="0"/>
              <w:rPr>
                <w:sz w:val="12"/>
                <w:szCs w:val="12"/>
                <w:color w:val="auto"/>
              </w:rPr>
            </w:pPr>
          </w:p>
        </w:tc>
        <w:tc>
          <w:tcPr>
            <w:tcW w:w="2320" w:type="dxa"/>
            <w:vAlign w:val="bottom"/>
            <w:gridSpan w:val="3"/>
          </w:tcPr>
          <w:p>
            <w:pPr>
              <w:jc w:val="center"/>
              <w:ind w:left="268"/>
              <w:spacing w:after="0" w:line="149" w:lineRule="exact"/>
              <w:rPr>
                <w:sz w:val="20"/>
                <w:szCs w:val="20"/>
                <w:color w:val="auto"/>
              </w:rPr>
            </w:pPr>
            <w:r>
              <w:rPr>
                <w:rFonts w:ascii="Arial" w:cs="Arial" w:eastAsia="Arial" w:hAnsi="Arial"/>
                <w:sz w:val="14"/>
                <w:szCs w:val="14"/>
                <w:color w:val="auto"/>
                <w:w w:val="97"/>
              </w:rPr>
              <w:t>Principal Amount of</w:t>
            </w:r>
          </w:p>
        </w:tc>
        <w:tc>
          <w:tcPr>
            <w:tcW w:w="780" w:type="dxa"/>
            <w:vAlign w:val="bottom"/>
          </w:tcPr>
          <w:p>
            <w:pPr>
              <w:spacing w:after="0"/>
              <w:rPr>
                <w:sz w:val="12"/>
                <w:szCs w:val="12"/>
                <w:color w:val="auto"/>
              </w:rPr>
            </w:pP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rPr>
              <w:t>Amount of</w:t>
            </w:r>
          </w:p>
        </w:tc>
        <w:tc>
          <w:tcPr>
            <w:tcW w:w="4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following such</w:t>
            </w:r>
          </w:p>
        </w:tc>
        <w:tc>
          <w:tcPr>
            <w:tcW w:w="1540" w:type="dxa"/>
            <w:vAlign w:val="bottom"/>
            <w:gridSpan w:val="3"/>
          </w:tcPr>
          <w:p>
            <w:pPr>
              <w:jc w:val="center"/>
              <w:ind w:left="448"/>
              <w:spacing w:after="0" w:line="149" w:lineRule="exact"/>
              <w:rPr>
                <w:sz w:val="20"/>
                <w:szCs w:val="20"/>
                <w:color w:val="auto"/>
              </w:rPr>
            </w:pPr>
            <w:r>
              <w:rPr>
                <w:rFonts w:ascii="Arial" w:cs="Arial" w:eastAsia="Arial" w:hAnsi="Arial"/>
                <w:sz w:val="14"/>
                <w:szCs w:val="14"/>
                <w:color w:val="auto"/>
                <w:w w:val="94"/>
              </w:rPr>
              <w:t>authorized officer</w:t>
            </w:r>
          </w:p>
        </w:tc>
      </w:tr>
      <w:tr>
        <w:trPr>
          <w:trHeight w:val="167"/>
        </w:trPr>
        <w:tc>
          <w:tcPr>
            <w:tcW w:w="1680" w:type="dxa"/>
            <w:vAlign w:val="bottom"/>
          </w:tcPr>
          <w:p>
            <w:pPr>
              <w:ind w:left="20"/>
              <w:spacing w:after="0"/>
              <w:rPr>
                <w:sz w:val="20"/>
                <w:szCs w:val="20"/>
                <w:color w:val="auto"/>
              </w:rPr>
            </w:pPr>
            <w:r>
              <w:rPr>
                <w:rFonts w:ascii="Arial" w:cs="Arial" w:eastAsia="Arial" w:hAnsi="Arial"/>
                <w:sz w:val="14"/>
                <w:szCs w:val="14"/>
                <w:color w:val="auto"/>
                <w:w w:val="89"/>
              </w:rPr>
              <w:t>Date of Increase or Decrease</w:t>
            </w:r>
          </w:p>
        </w:tc>
        <w:tc>
          <w:tcPr>
            <w:tcW w:w="84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this Global Note</w:t>
            </w:r>
          </w:p>
        </w:tc>
        <w:tc>
          <w:tcPr>
            <w:tcW w:w="780" w:type="dxa"/>
            <w:vAlign w:val="bottom"/>
          </w:tcPr>
          <w:p>
            <w:pPr>
              <w:spacing w:after="0"/>
              <w:rPr>
                <w:sz w:val="14"/>
                <w:szCs w:val="14"/>
                <w:color w:val="auto"/>
              </w:rPr>
            </w:pPr>
          </w:p>
        </w:tc>
        <w:tc>
          <w:tcPr>
            <w:tcW w:w="1740" w:type="dxa"/>
            <w:vAlign w:val="bottom"/>
            <w:gridSpan w:val="2"/>
          </w:tcPr>
          <w:p>
            <w:pPr>
              <w:jc w:val="center"/>
              <w:ind w:right="780"/>
              <w:spacing w:after="0"/>
              <w:rPr>
                <w:sz w:val="20"/>
                <w:szCs w:val="20"/>
                <w:color w:val="auto"/>
              </w:rPr>
            </w:pPr>
            <w:r>
              <w:rPr>
                <w:rFonts w:ascii="Arial" w:cs="Arial" w:eastAsia="Arial" w:hAnsi="Arial"/>
                <w:sz w:val="14"/>
                <w:szCs w:val="14"/>
                <w:color w:val="auto"/>
                <w:w w:val="96"/>
              </w:rPr>
              <w:t>this Global Note</w:t>
            </w:r>
          </w:p>
        </w:tc>
        <w:tc>
          <w:tcPr>
            <w:tcW w:w="420" w:type="dxa"/>
            <w:vAlign w:val="bottom"/>
          </w:tcPr>
          <w:p>
            <w:pPr>
              <w:spacing w:after="0"/>
              <w:rPr>
                <w:sz w:val="14"/>
                <w:szCs w:val="14"/>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color w:val="auto"/>
                <w:w w:val="89"/>
              </w:rPr>
              <w:t>decrease (or increase)</w:t>
            </w:r>
          </w:p>
        </w:tc>
        <w:tc>
          <w:tcPr>
            <w:tcW w:w="6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of Registrar</w:t>
            </w:r>
          </w:p>
        </w:tc>
      </w:tr>
      <w:tr>
        <w:trPr>
          <w:trHeight w:val="20"/>
        </w:trPr>
        <w:tc>
          <w:tcPr>
            <w:tcW w:w="1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480"/>
          </w:cols>
          <w:pgMar w:left="440" w:top="274" w:right="97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29450" cy="702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 (Schlumberger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Schlumberger N.V.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Schlumberger Investment SA and Schlumberger N.V. (Schlumberger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Registration Statement on Form S-3 (File No. 333-231029)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acted as counsel to Schlumberger Investment SA,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the Grand Duchy of Luxembourg (the</w:t>
      </w:r>
    </w:p>
    <w:p>
      <w:pPr>
        <w:spacing w:after="0" w:line="3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Schlumberger N.V. (Schlumberger Limited), a Curaçao company (the “</w:t>
      </w:r>
      <w:r>
        <w:rPr>
          <w:rFonts w:ascii="Arial" w:cs="Arial" w:eastAsia="Arial" w:hAnsi="Arial"/>
          <w:sz w:val="16"/>
          <w:szCs w:val="16"/>
          <w:u w:val="single" w:color="auto"/>
          <w:color w:val="auto"/>
        </w:rPr>
        <w:t>Guarantor</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S-3, file no. 333-231029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prospectus included therein, the prospectus supplement, dated June 17, 2020 , filed with the Commission on June 18, 2020 pursuant to Rule 424(b) of the Securities Act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the offering by the Company pursuant thereto of $900,000,000 aggregate principal amount of the Company’s 2.650% Senior Notes due 2030 (the “</w:t>
      </w:r>
      <w:r>
        <w:rPr>
          <w:rFonts w:ascii="Arial" w:cs="Arial" w:eastAsia="Arial" w:hAnsi="Arial"/>
          <w:sz w:val="16"/>
          <w:szCs w:val="16"/>
          <w:u w:val="single" w:color="auto"/>
          <w:color w:val="auto"/>
        </w:rPr>
        <w:t>Notes</w:t>
      </w:r>
      <w:r>
        <w:rPr>
          <w:rFonts w:ascii="Arial" w:cs="Arial" w:eastAsia="Arial" w:hAnsi="Arial"/>
          <w:sz w:val="16"/>
          <w:szCs w:val="16"/>
          <w:color w:val="auto"/>
        </w:rPr>
        <w:t>”).</w:t>
      </w:r>
    </w:p>
    <w:p>
      <w:pPr>
        <w:spacing w:after="0" w:line="16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Notes have been issued pursuant to the Indenture, dated December 3, 2013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among the Company, the Guarantor and The Bank of New York Mellon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by the Second Supplemental Indenture, dated June 26, 2020, relating to the Notes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the Guarantor and the Trustee, and are guaranteed pursuant to the terms of the Indenture by the Guarantor (the “</w:t>
      </w:r>
      <w:r>
        <w:rPr>
          <w:rFonts w:ascii="Arial" w:cs="Arial" w:eastAsia="Arial" w:hAnsi="Arial"/>
          <w:sz w:val="17"/>
          <w:szCs w:val="17"/>
          <w:u w:val="single" w:color="auto"/>
          <w:color w:val="auto"/>
        </w:rPr>
        <w:t>Guarantee</w:t>
      </w:r>
      <w:r>
        <w:rPr>
          <w:rFonts w:ascii="Arial" w:cs="Arial" w:eastAsia="Arial" w:hAnsi="Arial"/>
          <w:sz w:val="17"/>
          <w:szCs w:val="17"/>
          <w:color w:val="auto"/>
        </w:rPr>
        <w:t>”).</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arriving at the opinion expressed below, we have examined originals, or copies certified or otherwise identified to our satisfaction as being true and complete copies of the originals, of the Base Indenture, the Supplemental Indenture, the Notes, the Guarantee and such other documents, corporate records, certificates of officers of the Company and the Guarantor and of public officials and other instruments as we have deemed necessary or advisable to enable us to render these opinions. In our examination, we have assumed, without independent investigation, the genuineness of all signatures, the legal capacity and competency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029450" cy="3346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29450" cy="3346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7" w:name="page68"/>
    <w:bookmarkEnd w:id="6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541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71450"/>
                    </a:xfrm>
                    <a:prstGeom prst="rect">
                      <a:avLst/>
                    </a:prstGeom>
                    <a:noFill/>
                  </pic:spPr>
                </pic:pic>
              </a:graphicData>
            </a:graphic>
          </wp:anchor>
        </w:drawing>
        <w:t>June 26</w:t>
      </w:r>
      <w:r>
        <w:rPr>
          <w:rFonts w:ascii="Arial" w:cs="Arial" w:eastAsia="Arial" w:hAnsi="Arial"/>
          <w:sz w:val="18"/>
          <w:szCs w:val="18"/>
          <w:color w:val="auto"/>
        </w:rPr>
        <w:t>, 2020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165"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We are not admitted or qualified to practice law in Luxembourg or Curaçao. Therefore, we have relied upon the opinions of Loyens &amp; Loeff Luxembourg S.à r.l. and STvB Advocaten (Europe) N.V., filed as exhibits to the Guarantor’s Current Report on Form 8-K filed with the Commission on June 26, 2020, with respect to matters governed by the laws of Luxembourg and Curaçao.</w:t>
      </w:r>
    </w:p>
    <w:p>
      <w:pPr>
        <w:spacing w:after="0" w:line="184"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Based upon the foregoing, and subject to the assumptions, exceptions, qualifications and limitations set forth herein, we are of the opinion that the Notes are legal, valid and binding obligations of the Company, enforceable against the Company in accordance with their respective terms, and the Guarantee of the Notes is a legal, valid and binding obligations of the Guarantor obligated thereon, enforceable against the Guarantor in accordance with its terms.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 expressed above is subject to the following additional exceptions, qualifications, limitations and assumptions:</w:t>
      </w:r>
    </w:p>
    <w:p>
      <w:pPr>
        <w:spacing w:after="0" w:line="225" w:lineRule="exact"/>
        <w:rPr>
          <w:sz w:val="20"/>
          <w:szCs w:val="20"/>
          <w:color w:val="auto"/>
        </w:rPr>
      </w:pPr>
    </w:p>
    <w:p>
      <w:pPr>
        <w:ind w:left="4" w:firstLine="987"/>
        <w:spacing w:after="0" w:line="259" w:lineRule="auto"/>
        <w:tabs>
          <w:tab w:leader="none" w:pos="13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86" w:lineRule="exact"/>
        <w:rPr>
          <w:rFonts w:ascii="Arial" w:cs="Arial" w:eastAsia="Arial" w:hAnsi="Arial"/>
          <w:sz w:val="18"/>
          <w:szCs w:val="18"/>
          <w:color w:val="auto"/>
        </w:rPr>
      </w:pPr>
    </w:p>
    <w:p>
      <w:pPr>
        <w:ind w:left="4" w:right="220" w:firstLine="987"/>
        <w:spacing w:after="0" w:line="257" w:lineRule="auto"/>
        <w:tabs>
          <w:tab w:leader="none" w:pos="133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87" w:lineRule="exact"/>
        <w:rPr>
          <w:rFonts w:ascii="Arial" w:cs="Arial" w:eastAsia="Arial" w:hAnsi="Arial"/>
          <w:sz w:val="18"/>
          <w:szCs w:val="18"/>
          <w:color w:val="auto"/>
        </w:rPr>
      </w:pPr>
    </w:p>
    <w:p>
      <w:pPr>
        <w:ind w:left="1324" w:hanging="333"/>
        <w:spacing w:after="0"/>
        <w:tabs>
          <w:tab w:leader="none" w:pos="1324" w:val="left"/>
        </w:tabs>
        <w:numPr>
          <w:ilvl w:val="1"/>
          <w:numId w:val="75"/>
        </w:numPr>
        <w:rPr>
          <w:rFonts w:ascii="Arial" w:cs="Arial" w:eastAsia="Arial" w:hAnsi="Arial"/>
          <w:sz w:val="17"/>
          <w:szCs w:val="17"/>
          <w:color w:val="auto"/>
        </w:rPr>
      </w:pPr>
      <w:r>
        <w:rPr>
          <w:rFonts w:ascii="Arial" w:cs="Arial" w:eastAsia="Arial" w:hAnsi="Arial"/>
          <w:sz w:val="17"/>
          <w:szCs w:val="17"/>
          <w:color w:val="auto"/>
        </w:rPr>
        <w:t>We express no opinion regarding the effectiveness of (i) any waiver of stay, extension or usury laws or of unknown future rights;</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waiver (whether or not stated as such) under the Indenture, the Guarantee or the certificates evidencing the global Notes (collectively, the</w:t>
      </w:r>
    </w:p>
    <w:p>
      <w:pPr>
        <w:spacing w:after="0" w:line="21" w:lineRule="exact"/>
        <w:rPr>
          <w:sz w:val="20"/>
          <w:szCs w:val="20"/>
          <w:color w:val="auto"/>
        </w:rPr>
      </w:pPr>
    </w:p>
    <w:p>
      <w:pPr>
        <w:ind w:left="4" w:right="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Note Documents</w:t>
      </w:r>
      <w:r>
        <w:rPr>
          <w:rFonts w:ascii="Arial" w:cs="Arial" w:eastAsia="Arial" w:hAnsi="Arial"/>
          <w:sz w:val="18"/>
          <w:szCs w:val="18"/>
          <w:color w:val="auto"/>
        </w:rPr>
        <w:t>”) of, or any consent thereunder relating to, unknown future rights or the rights of any party thereto existing, or duties owing to it, as a</w:t>
      </w:r>
    </w:p>
    <w:p>
      <w:pPr>
        <w:sectPr>
          <w:pgSz w:w="11900" w:h="16838" w:orient="portrait"/>
          <w:cols w:equalWidth="0" w:num="1">
            <w:col w:w="10984"/>
          </w:cols>
          <w:pgMar w:left="436" w:top="648"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541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71450"/>
                    </a:xfrm>
                    <a:prstGeom prst="rect">
                      <a:avLst/>
                    </a:prstGeom>
                    <a:noFill/>
                  </pic:spPr>
                </pic:pic>
              </a:graphicData>
            </a:graphic>
          </wp:anchor>
        </w:drawing>
        <w:t>June 26</w:t>
      </w:r>
      <w:r>
        <w:rPr>
          <w:rFonts w:ascii="Arial" w:cs="Arial" w:eastAsia="Arial" w:hAnsi="Arial"/>
          <w:sz w:val="18"/>
          <w:szCs w:val="18"/>
          <w:color w:val="auto"/>
        </w:rPr>
        <w:t>,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matter of law; (iii) any waiver (whether or not stated as such) contained in the Specified Note Documents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Specified Note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0900"/>
          </w:cols>
          <w:pgMar w:left="440" w:top="648" w:right="55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1045845" cy="334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334645"/>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ADDRESS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INTERNET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Addressees</w:t>
      </w:r>
    </w:p>
    <w:p>
      <w:pPr>
        <w:spacing w:after="0" w:line="248" w:lineRule="exact"/>
        <w:rPr>
          <w:sz w:val="20"/>
          <w:szCs w:val="20"/>
          <w:color w:val="auto"/>
        </w:rPr>
      </w:pPr>
    </w:p>
    <w:p>
      <w:pPr>
        <w:ind w:left="4"/>
        <w:spacing w:after="0"/>
        <w:tabs>
          <w:tab w:leader="none" w:pos="1544"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b w:val="1"/>
          <w:bCs w:val="1"/>
          <w:color w:val="auto"/>
        </w:rPr>
        <w:t>Luxembourg law legal opinion – Schlumberger Investment S.A. – Exhibit 5 opinion</w:t>
      </w:r>
    </w:p>
    <w:p>
      <w:pPr>
        <w:spacing w:after="0" w:line="39" w:lineRule="exact"/>
        <w:rPr>
          <w:sz w:val="20"/>
          <w:szCs w:val="20"/>
          <w:color w:val="auto"/>
        </w:rPr>
      </w:pPr>
    </w:p>
    <w:p>
      <w:pPr>
        <w:ind w:left="4"/>
        <w:spacing w:after="0"/>
        <w:tabs>
          <w:tab w:leader="none" w:pos="1544"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8"/>
          <w:szCs w:val="18"/>
          <w:color w:val="auto"/>
        </w:rPr>
        <w:t>70135624</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Luxembourg, 26 June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 or Madam,</w:t>
      </w:r>
    </w:p>
    <w:p>
      <w:pPr>
        <w:spacing w:after="0" w:line="248" w:lineRule="exact"/>
        <w:rPr>
          <w:sz w:val="20"/>
          <w:szCs w:val="20"/>
          <w:color w:val="auto"/>
        </w:rPr>
      </w:pPr>
    </w:p>
    <w:p>
      <w:pPr>
        <w:ind w:left="544" w:hanging="544"/>
        <w:spacing w:after="0"/>
        <w:tabs>
          <w:tab w:leader="none" w:pos="5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5.2</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18-20, rue Edward Steichen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L-2540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+352 466 230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+352 466 234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loyensloeff.lu</w:t>
      </w:r>
    </w:p>
    <w:p>
      <w:pPr>
        <w:spacing w:after="0" w:line="2573" w:lineRule="exact"/>
        <w:rPr>
          <w:sz w:val="20"/>
          <w:szCs w:val="20"/>
          <w:color w:val="auto"/>
        </w:rPr>
      </w:pPr>
    </w:p>
    <w:p>
      <w:pPr>
        <w:sectPr>
          <w:pgSz w:w="11900" w:h="16838" w:orient="portrait"/>
          <w:cols w:equalWidth="0" w:num="2">
            <w:col w:w="8384" w:space="320"/>
            <w:col w:w="2320"/>
          </w:cols>
          <w:pgMar w:left="436" w:top="121" w:right="439" w:bottom="1440" w:gutter="0" w:footer="0" w:header="0"/>
        </w:sectPr>
      </w:pPr>
    </w:p>
    <w:p>
      <w:pPr>
        <w:ind w:left="544" w:right="580"/>
        <w:spacing w:after="0" w:line="277" w:lineRule="auto"/>
        <w:rPr>
          <w:sz w:val="20"/>
          <w:szCs w:val="20"/>
          <w:color w:val="auto"/>
        </w:rPr>
      </w:pPr>
      <w:r>
        <w:rPr>
          <w:rFonts w:ascii="Arial" w:cs="Arial" w:eastAsia="Arial" w:hAnsi="Arial"/>
          <w:sz w:val="18"/>
          <w:szCs w:val="18"/>
          <w:color w:val="auto"/>
        </w:rPr>
        <w:t>We have acted as special legal counsel on certain matters of Luxembourg law to the Company (as defined below). We render this opinion regarding the Opinion Documents.</w:t>
      </w:r>
    </w:p>
    <w:p>
      <w:pPr>
        <w:spacing w:after="0" w:line="315" w:lineRule="exact"/>
        <w:rPr>
          <w:sz w:val="20"/>
          <w:szCs w:val="20"/>
          <w:color w:val="auto"/>
        </w:rPr>
      </w:pPr>
    </w:p>
    <w:p>
      <w:pPr>
        <w:ind w:left="544" w:hanging="544"/>
        <w:spacing w:after="0"/>
        <w:tabs>
          <w:tab w:leader="none" w:pos="54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Capitalised terms which are not otherwise defined herein are used as defined in the Schedules to this opinion letter.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In this opinion letter:</w:t>
      </w:r>
    </w:p>
    <w:p>
      <w:pPr>
        <w:spacing w:after="0" w:line="113"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United States Securities Act of 1933, as amended.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Addressees </w:t>
      </w:r>
      <w:r>
        <w:rPr>
          <w:rFonts w:ascii="Arial" w:cs="Arial" w:eastAsia="Arial" w:hAnsi="Arial"/>
          <w:sz w:val="18"/>
          <w:szCs w:val="18"/>
          <w:color w:val="auto"/>
        </w:rPr>
        <w:t>means the addressees of this opinion letter, listed in Schedule 1 (Addressees).</w:t>
      </w:r>
    </w:p>
    <w:p>
      <w:pPr>
        <w:spacing w:after="0" w:line="117" w:lineRule="exact"/>
        <w:rPr>
          <w:sz w:val="20"/>
          <w:szCs w:val="20"/>
          <w:color w:val="auto"/>
        </w:rPr>
      </w:pPr>
    </w:p>
    <w:p>
      <w:pPr>
        <w:ind w:left="544" w:right="140"/>
        <w:spacing w:after="0" w:line="347" w:lineRule="auto"/>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Schlumberger Investment S.A., a Luxembourg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with its registered address</w:t>
      </w:r>
      <w:r>
        <w:rPr>
          <w:rFonts w:ascii="Arial" w:cs="Arial" w:eastAsia="Arial" w:hAnsi="Arial"/>
          <w:sz w:val="16"/>
          <w:szCs w:val="16"/>
          <w:b w:val="1"/>
          <w:bCs w:val="1"/>
          <w:color w:val="auto"/>
        </w:rPr>
        <w:t xml:space="preserve"> </w:t>
      </w:r>
      <w:r>
        <w:rPr>
          <w:rFonts w:ascii="Arial" w:cs="Arial" w:eastAsia="Arial" w:hAnsi="Arial"/>
          <w:sz w:val="16"/>
          <w:szCs w:val="16"/>
          <w:color w:val="auto"/>
        </w:rPr>
        <w:t>at 42-44, Avenue de la Gare, L-1610 Luxembourg, Grand Duchy of Luxembourg and registered with the RCS under number B163122.</w:t>
      </w:r>
    </w:p>
    <w:p>
      <w:pPr>
        <w:spacing w:after="0" w:line="8"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Companies Law </w:t>
      </w:r>
      <w:r>
        <w:rPr>
          <w:rFonts w:ascii="Arial" w:cs="Arial" w:eastAsia="Arial" w:hAnsi="Arial"/>
          <w:sz w:val="18"/>
          <w:szCs w:val="18"/>
          <w:color w:val="auto"/>
        </w:rPr>
        <w:t>means the Luxembourg law on commercial companies, dated 10 August 1915, as amended.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Schlumberger Limited, the ultimate parent of the Company.</w:t>
      </w:r>
    </w:p>
    <w:p>
      <w:pPr>
        <w:spacing w:after="0" w:line="162"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All services are provided by Loyens &amp; Loeff Luxembourg S.à.r.l.,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w:t>
      </w:r>
    </w:p>
    <w:p>
      <w:pPr>
        <w:spacing w:after="0" w:line="188" w:lineRule="exact"/>
        <w:rPr>
          <w:sz w:val="20"/>
          <w:szCs w:val="20"/>
          <w:color w:val="auto"/>
        </w:rPr>
      </w:pPr>
    </w:p>
    <w:p>
      <w:pPr>
        <w:ind w:left="684"/>
        <w:spacing w:after="0"/>
        <w:tabs>
          <w:tab w:leader="none" w:pos="2224" w:val="left"/>
          <w:tab w:leader="none" w:pos="2744" w:val="left"/>
          <w:tab w:leader="none" w:pos="4084" w:val="left"/>
          <w:tab w:leader="none" w:pos="4584" w:val="left"/>
          <w:tab w:leader="none" w:pos="6264" w:val="left"/>
          <w:tab w:leader="none" w:pos="6784" w:val="left"/>
          <w:tab w:leader="none" w:pos="8344" w:val="left"/>
          <w:tab w:leader="none" w:pos="8864" w:val="left"/>
          <w:tab w:leader="none" w:pos="9784" w:val="left"/>
        </w:tabs>
        <w:rPr>
          <w:sz w:val="20"/>
          <w:szCs w:val="20"/>
          <w:color w:val="auto"/>
        </w:rPr>
      </w:pPr>
      <w:r>
        <w:rPr>
          <w:rFonts w:ascii="Arial" w:cs="Arial" w:eastAsia="Arial" w:hAnsi="Arial"/>
          <w:sz w:val="18"/>
          <w:szCs w:val="18"/>
          <w:color w:val="auto"/>
        </w:rPr>
        <w:t>AMSTERDAM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LUXEMBOURG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ROTTERDAM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HONG</w:t>
      </w:r>
      <w:r>
        <w:rPr>
          <w:sz w:val="20"/>
          <w:szCs w:val="20"/>
          <w:color w:val="auto"/>
        </w:rPr>
        <w:tab/>
      </w:r>
      <w:r>
        <w:rPr>
          <w:rFonts w:ascii="Arial" w:cs="Arial" w:eastAsia="Arial" w:hAnsi="Arial"/>
          <w:sz w:val="17"/>
          <w:szCs w:val="17"/>
          <w:color w:val="auto"/>
        </w:rPr>
        <w:t>KONG</w:t>
      </w:r>
    </w:p>
    <w:p>
      <w:pPr>
        <w:spacing w:after="0" w:line="117" w:lineRule="exact"/>
        <w:rPr>
          <w:sz w:val="20"/>
          <w:szCs w:val="20"/>
          <w:color w:val="auto"/>
        </w:rPr>
      </w:pPr>
    </w:p>
    <w:p>
      <w:pPr>
        <w:ind w:left="704"/>
        <w:spacing w:after="0"/>
        <w:tabs>
          <w:tab w:leader="none" w:pos="1864" w:val="left"/>
          <w:tab w:leader="none" w:pos="2364" w:val="left"/>
          <w:tab w:leader="none" w:pos="3224" w:val="left"/>
          <w:tab w:leader="none" w:pos="4124" w:val="left"/>
          <w:tab w:leader="none" w:pos="4644" w:val="left"/>
          <w:tab w:leader="none" w:pos="5544" w:val="left"/>
          <w:tab w:leader="none" w:pos="6104" w:val="left"/>
          <w:tab w:leader="none" w:pos="7524" w:val="left"/>
          <w:tab w:leader="none" w:pos="8024" w:val="left"/>
          <w:tab w:leader="none" w:pos="9064" w:val="left"/>
          <w:tab w:leader="none" w:pos="9624"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NEW</w:t>
      </w:r>
      <w:r>
        <w:rPr>
          <w:sz w:val="20"/>
          <w:szCs w:val="20"/>
          <w:color w:val="auto"/>
        </w:rPr>
        <w:tab/>
      </w:r>
      <w:r>
        <w:rPr>
          <w:rFonts w:ascii="Arial" w:cs="Arial" w:eastAsia="Arial" w:hAnsi="Arial"/>
          <w:sz w:val="18"/>
          <w:szCs w:val="18"/>
          <w:color w:val="auto"/>
        </w:rPr>
        <w:t>YORK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PARIS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SINGAPORE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TOKYO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ZURICH</w:t>
      </w:r>
    </w:p>
    <w:p>
      <w:pPr>
        <w:sectPr>
          <w:pgSz w:w="11900" w:h="16838" w:orient="portrait"/>
          <w:cols w:equalWidth="0" w:num="1">
            <w:col w:w="11024"/>
          </w:cols>
          <w:pgMar w:left="436" w:top="121" w:right="439" w:bottom="1440" w:gutter="0" w:footer="0" w:header="0"/>
          <w:type w:val="continuous"/>
        </w:sectPr>
      </w:pPr>
    </w:p>
    <w:bookmarkStart w:id="70" w:name="page71"/>
    <w:bookmarkEnd w:id="70"/>
    <w:p>
      <w:pPr>
        <w:jc w:val="both"/>
        <w:ind w:left="544" w:right="1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 xml:space="preserve">lndenture </w:t>
      </w:r>
      <w:r>
        <w:rPr>
          <w:rFonts w:ascii="Arial" w:cs="Arial" w:eastAsia="Arial" w:hAnsi="Arial"/>
          <w:sz w:val="18"/>
          <w:szCs w:val="18"/>
          <w:color w:val="auto"/>
        </w:rPr>
        <w:t>means an indenture, dated 3 December 2013, governed by the laws of the State of New York, entered into by and between, amongst</w:t>
      </w:r>
      <w:r>
        <w:rPr>
          <w:rFonts w:ascii="Arial" w:cs="Arial" w:eastAsia="Arial" w:hAnsi="Arial"/>
          <w:sz w:val="18"/>
          <w:szCs w:val="18"/>
          <w:b w:val="1"/>
          <w:bCs w:val="1"/>
          <w:color w:val="auto"/>
        </w:rPr>
        <w:t xml:space="preserve"> </w:t>
      </w:r>
      <w:r>
        <w:rPr>
          <w:rFonts w:ascii="Arial" w:cs="Arial" w:eastAsia="Arial" w:hAnsi="Arial"/>
          <w:sz w:val="18"/>
          <w:szCs w:val="18"/>
          <w:color w:val="auto"/>
        </w:rPr>
        <w:t>others, the Company as issuer, the Guarantor and The Bank of New York Mellon as trustee, as supplemented by the Supplemental lndenture (as defined below), pursuant to which the Notes will be issued.</w:t>
      </w:r>
    </w:p>
    <w:p>
      <w:pPr>
        <w:spacing w:after="0" w:line="68" w:lineRule="exact"/>
        <w:rPr>
          <w:sz w:val="20"/>
          <w:szCs w:val="20"/>
          <w:color w:val="auto"/>
        </w:rPr>
      </w:pPr>
    </w:p>
    <w:p>
      <w:pPr>
        <w:ind w:left="544" w:right="380"/>
        <w:spacing w:after="0" w:line="282" w:lineRule="auto"/>
        <w:rPr>
          <w:sz w:val="20"/>
          <w:szCs w:val="20"/>
          <w:color w:val="auto"/>
        </w:rPr>
      </w:pPr>
      <w:r>
        <w:rPr>
          <w:rFonts w:ascii="Arial" w:cs="Arial" w:eastAsia="Arial" w:hAnsi="Arial"/>
          <w:sz w:val="18"/>
          <w:szCs w:val="18"/>
          <w:b w:val="1"/>
          <w:bCs w:val="1"/>
          <w:color w:val="auto"/>
        </w:rPr>
        <w:t xml:space="preserve">Insolvency Regulation </w:t>
      </w:r>
      <w:r>
        <w:rPr>
          <w:rFonts w:ascii="Arial" w:cs="Arial" w:eastAsia="Arial" w:hAnsi="Arial"/>
          <w:sz w:val="18"/>
          <w:szCs w:val="18"/>
          <w:color w:val="auto"/>
        </w:rPr>
        <w:t>means the Regulation (EU) 2015/848 of the European Parliament and of the Council of 20 May 2015 on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(recast).</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Luxembourg </w:t>
      </w:r>
      <w:r>
        <w:rPr>
          <w:rFonts w:ascii="Arial" w:cs="Arial" w:eastAsia="Arial" w:hAnsi="Arial"/>
          <w:sz w:val="18"/>
          <w:szCs w:val="18"/>
          <w:color w:val="auto"/>
        </w:rPr>
        <w:t>means the Grand Duchy of Luxembourg.</w:t>
      </w:r>
    </w:p>
    <w:p>
      <w:pPr>
        <w:spacing w:after="0" w:line="117" w:lineRule="exact"/>
        <w:rPr>
          <w:sz w:val="20"/>
          <w:szCs w:val="20"/>
          <w:color w:val="auto"/>
        </w:rPr>
      </w:pPr>
    </w:p>
    <w:p>
      <w:pPr>
        <w:ind w:left="544" w:right="100"/>
        <w:spacing w:after="0" w:line="282" w:lineRule="auto"/>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US$ 900,000,000 2.650% senior notes due 2030, issued by the Company as further described in the Prospectus and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w:t>
      </w:r>
    </w:p>
    <w:p>
      <w:pPr>
        <w:spacing w:after="0" w:line="54" w:lineRule="exact"/>
        <w:rPr>
          <w:sz w:val="20"/>
          <w:szCs w:val="20"/>
          <w:color w:val="auto"/>
        </w:rPr>
      </w:pPr>
    </w:p>
    <w:p>
      <w:pPr>
        <w:ind w:left="544" w:right="840"/>
        <w:spacing w:after="0" w:line="282" w:lineRule="auto"/>
        <w:rPr>
          <w:sz w:val="20"/>
          <w:szCs w:val="20"/>
          <w:color w:val="auto"/>
        </w:rPr>
      </w:pPr>
      <w:r>
        <w:rPr>
          <w:rFonts w:ascii="Arial" w:cs="Arial" w:eastAsia="Arial" w:hAnsi="Arial"/>
          <w:sz w:val="18"/>
          <w:szCs w:val="18"/>
          <w:b w:val="1"/>
          <w:bCs w:val="1"/>
          <w:color w:val="auto"/>
        </w:rPr>
        <w:t xml:space="preserve">Offering Documents </w:t>
      </w:r>
      <w:r>
        <w:rPr>
          <w:rFonts w:ascii="Arial" w:cs="Arial" w:eastAsia="Arial" w:hAnsi="Arial"/>
          <w:sz w:val="18"/>
          <w:szCs w:val="18"/>
          <w:color w:val="auto"/>
        </w:rPr>
        <w:t>means the documents described in paragraph 1 (Offering Documents) and paragraph 2 (Opinion Documents)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2 (Reviewed Documents).</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Opinion Documents </w:t>
      </w:r>
      <w:r>
        <w:rPr>
          <w:rFonts w:ascii="Arial" w:cs="Arial" w:eastAsia="Arial" w:hAnsi="Arial"/>
          <w:sz w:val="18"/>
          <w:szCs w:val="18"/>
          <w:color w:val="auto"/>
        </w:rPr>
        <w:t>means the documents described in paragraph 2 (Opinion Documents) of Schedule 2 (Reviewed Documents).</w:t>
      </w:r>
    </w:p>
    <w:p>
      <w:pPr>
        <w:spacing w:after="0" w:line="117" w:lineRule="exact"/>
        <w:rPr>
          <w:sz w:val="20"/>
          <w:szCs w:val="20"/>
          <w:color w:val="auto"/>
        </w:rPr>
      </w:pPr>
    </w:p>
    <w:p>
      <w:pPr>
        <w:ind w:left="544" w:right="40"/>
        <w:spacing w:after="0" w:line="282" w:lineRule="auto"/>
        <w:rPr>
          <w:sz w:val="20"/>
          <w:szCs w:val="20"/>
          <w:color w:val="auto"/>
        </w:rPr>
      </w:pPr>
      <w:r>
        <w:rPr>
          <w:rFonts w:ascii="Arial" w:cs="Arial" w:eastAsia="Arial" w:hAnsi="Arial"/>
          <w:sz w:val="18"/>
          <w:szCs w:val="18"/>
          <w:b w:val="1"/>
          <w:bCs w:val="1"/>
          <w:color w:val="auto"/>
        </w:rPr>
        <w:t xml:space="preserve">Prospectus </w:t>
      </w:r>
      <w:r>
        <w:rPr>
          <w:rFonts w:ascii="Arial" w:cs="Arial" w:eastAsia="Arial" w:hAnsi="Arial"/>
          <w:sz w:val="18"/>
          <w:szCs w:val="18"/>
          <w:color w:val="auto"/>
        </w:rPr>
        <w:t>means the prospectus dated 25 April 2019, with regard to the offering of debt securities by the Company, as supplemented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which forms part of the Registration Statement.</w:t>
      </w:r>
    </w:p>
    <w:p>
      <w:pPr>
        <w:spacing w:after="0" w:line="54" w:lineRule="exact"/>
        <w:rPr>
          <w:sz w:val="20"/>
          <w:szCs w:val="20"/>
          <w:color w:val="auto"/>
        </w:rPr>
      </w:pPr>
    </w:p>
    <w:p>
      <w:pPr>
        <w:ind w:left="544" w:right="240"/>
        <w:spacing w:after="0" w:line="282" w:lineRule="auto"/>
        <w:rPr>
          <w:sz w:val="20"/>
          <w:szCs w:val="20"/>
          <w:color w:val="auto"/>
        </w:rPr>
      </w:pPr>
      <w:r>
        <w:rPr>
          <w:rFonts w:ascii="Arial" w:cs="Arial" w:eastAsia="Arial" w:hAnsi="Arial"/>
          <w:sz w:val="18"/>
          <w:szCs w:val="18"/>
          <w:b w:val="1"/>
          <w:bCs w:val="1"/>
          <w:color w:val="auto"/>
        </w:rPr>
        <w:t xml:space="preserve">Prospectus Supplement </w:t>
      </w:r>
      <w:r>
        <w:rPr>
          <w:rFonts w:ascii="Arial" w:cs="Arial" w:eastAsia="Arial" w:hAnsi="Arial"/>
          <w:sz w:val="18"/>
          <w:szCs w:val="18"/>
          <w:color w:val="auto"/>
        </w:rPr>
        <w:t>means the prospectus supplement dated 17 June 2020 with regard to the offering of the Notes and supplementing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RCS </w:t>
      </w:r>
      <w:r>
        <w:rPr>
          <w:rFonts w:ascii="Arial" w:cs="Arial" w:eastAsia="Arial" w:hAnsi="Arial"/>
          <w:sz w:val="18"/>
          <w:szCs w:val="18"/>
          <w:color w:val="auto"/>
        </w:rPr>
        <w:t>means the Luxembourg Register of Commerce and Companies.</w:t>
      </w:r>
    </w:p>
    <w:p>
      <w:pPr>
        <w:spacing w:after="0" w:line="117" w:lineRule="exact"/>
        <w:rPr>
          <w:sz w:val="20"/>
          <w:szCs w:val="20"/>
          <w:color w:val="auto"/>
        </w:rPr>
      </w:pPr>
    </w:p>
    <w:p>
      <w:pPr>
        <w:ind w:left="544" w:right="140"/>
        <w:spacing w:after="0" w:line="282"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means the registration statement on Form S-3 (File No. 333-231029) under the Act, dated 25 April 2019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by the Company which includes the Prospectus.</w:t>
      </w:r>
    </w:p>
    <w:p>
      <w:pPr>
        <w:spacing w:after="0" w:line="54" w:lineRule="exact"/>
        <w:rPr>
          <w:sz w:val="20"/>
          <w:szCs w:val="20"/>
          <w:color w:val="auto"/>
        </w:rPr>
      </w:pPr>
    </w:p>
    <w:p>
      <w:pPr>
        <w:ind w:left="544" w:right="260"/>
        <w:spacing w:after="0" w:line="282" w:lineRule="auto"/>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date of the Resolutions, the date of the Offering Documents, the date of the Opinion Documents and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letter, as the case may be.</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374" w:lineRule="exact"/>
        <w:rPr>
          <w:sz w:val="20"/>
          <w:szCs w:val="20"/>
          <w:color w:val="auto"/>
        </w:rPr>
      </w:pPr>
    </w:p>
    <w:p>
      <w:pPr>
        <w:ind w:left="544" w:hanging="544"/>
        <w:spacing w:after="0"/>
        <w:tabs>
          <w:tab w:leader="none" w:pos="5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SCOPE OF INQUIRY</w:t>
      </w:r>
    </w:p>
    <w:p>
      <w:pPr>
        <w:spacing w:after="0" w:line="135" w:lineRule="exact"/>
        <w:rPr>
          <w:sz w:val="20"/>
          <w:szCs w:val="20"/>
          <w:color w:val="auto"/>
        </w:rPr>
      </w:pPr>
    </w:p>
    <w:p>
      <w:pPr>
        <w:ind w:left="544" w:right="420" w:hanging="539"/>
        <w:spacing w:after="0" w:line="263"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 the purpose of rendering this opinion letter, we have only examined and relied upon electronically transmitted copies of (i) the executed Offering Documents, (ii) the executed Opinion Documents and (iii) the documents listed in paragraph 3 (Organisational Documents) of Schedule 2 (Reviewed Documents).</w:t>
      </w:r>
    </w:p>
    <w:p>
      <w:pPr>
        <w:spacing w:after="0" w:line="116" w:lineRule="exact"/>
        <w:rPr>
          <w:sz w:val="20"/>
          <w:szCs w:val="20"/>
          <w:color w:val="auto"/>
        </w:rPr>
      </w:pP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2/11</w:t>
      </w:r>
    </w:p>
    <w:p>
      <w:pPr>
        <w:sectPr>
          <w:pgSz w:w="11900" w:h="16838" w:orient="portrait"/>
          <w:cols w:equalWidth="0" w:num="1">
            <w:col w:w="11024"/>
          </w:cols>
          <w:pgMar w:left="436" w:top="688" w:right="439" w:bottom="1440" w:gutter="0" w:footer="0" w:header="0"/>
        </w:sectPr>
      </w:pPr>
    </w:p>
    <w:bookmarkStart w:id="71" w:name="page72"/>
    <w:bookmarkEnd w:id="71"/>
    <w:p>
      <w:pPr>
        <w:ind w:left="544" w:right="6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We have not reviewed any documents incorporated by reference or referred to in the Opinion Documents (unless included as an Opinion Document) and therefore our opinions do not extend to such documents.</w:t>
      </w:r>
    </w:p>
    <w:p>
      <w:pPr>
        <w:spacing w:after="0" w:line="315" w:lineRule="exact"/>
        <w:rPr>
          <w:sz w:val="20"/>
          <w:szCs w:val="20"/>
          <w:color w:val="auto"/>
        </w:rPr>
      </w:pPr>
    </w:p>
    <w:p>
      <w:pPr>
        <w:ind w:left="544" w:hanging="544"/>
        <w:spacing w:after="0"/>
        <w:tabs>
          <w:tab w:leader="none" w:pos="54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OPINION</w:t>
      </w:r>
    </w:p>
    <w:p>
      <w:pPr>
        <w:spacing w:after="0" w:line="135" w:lineRule="exact"/>
        <w:rPr>
          <w:sz w:val="20"/>
          <w:szCs w:val="20"/>
          <w:color w:val="auto"/>
        </w:rPr>
      </w:pPr>
    </w:p>
    <w:p>
      <w:pPr>
        <w:ind w:left="544" w:right="580" w:hanging="539"/>
        <w:spacing w:after="0" w:line="308"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We only express an opinion on matters of Luxembourg law in force on the date of this opinion letter, excluding unpublished case law. We undertake no obligation to update it or to advise of any changes in such laws or case law, their construction or application.</w:t>
      </w:r>
    </w:p>
    <w:p>
      <w:pPr>
        <w:spacing w:after="0" w:line="52"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the European Market Infrastructure Regulation (EU) 648/2012 and any laws and regulations relating thereto, any Luxembourg laws implementing the Directive 2011/61/EU of the European Parliament and of the Council on Alternative Investment Fund Managers, tax, transfer pricing, regulatory, competition, data protection, accounting or administrative law, sanction laws and regulations or as to the consequences thereof.</w:t>
      </w:r>
    </w:p>
    <w:p>
      <w:pPr>
        <w:spacing w:after="0" w:line="98" w:lineRule="exact"/>
        <w:rPr>
          <w:sz w:val="20"/>
          <w:szCs w:val="20"/>
          <w:color w:val="auto"/>
        </w:rPr>
      </w:pPr>
    </w:p>
    <w:p>
      <w:pPr>
        <w:ind w:left="544" w:right="40" w:hanging="539"/>
        <w:spacing w:after="0" w:line="311" w:lineRule="auto"/>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Our opinion is strictly limited to the matters stated herein. We do not express any opinion on matters of fact, on the commercial and other non-legal aspects of the transactions contemplated by the Opinion Documents and on any representations, warranties or other information included in the Opinion Documents and any other document examined in connection with this opinion letter, except as expressly stated in this opinion letter.</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We express no opinion in respect of the validity and enforceability of the Opinion Documents.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We express no opinion with respect to the Offering Documents nor as regards the accuracy, truth or completeness of the information contained therein except as expressly stated in this opinion letter.</w:t>
      </w:r>
    </w:p>
    <w:p>
      <w:pPr>
        <w:spacing w:after="0" w:line="76" w:lineRule="exact"/>
        <w:rPr>
          <w:sz w:val="20"/>
          <w:szCs w:val="20"/>
          <w:color w:val="auto"/>
        </w:rPr>
      </w:pPr>
    </w:p>
    <w:p>
      <w:pPr>
        <w:ind w:left="544" w:right="320" w:hanging="539"/>
        <w:spacing w:after="0" w:line="311" w:lineRule="auto"/>
        <w:tabs>
          <w:tab w:leader="none" w:pos="52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this opinion letter Luxembourg legal concepts are sometimes expressed in English terms and not in their original French or German terms. The concepts concerned may not be identical to the concepts described by the same English terms as they exist under the laws of other jurisdictions. For the purpose of tax law, a term may have a different meaning than for the purpose of other areas of Luxembourg law.</w:t>
      </w:r>
    </w:p>
    <w:p>
      <w:pPr>
        <w:spacing w:after="0" w:line="54" w:lineRule="exact"/>
        <w:rPr>
          <w:sz w:val="20"/>
          <w:szCs w:val="20"/>
          <w:color w:val="auto"/>
        </w:rPr>
      </w:pPr>
    </w:p>
    <w:p>
      <w:pPr>
        <w:ind w:left="544" w:right="460" w:hanging="539"/>
        <w:spacing w:after="0" w:line="308" w:lineRule="auto"/>
        <w:tabs>
          <w:tab w:leader="none" w:pos="524"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This opinion letter may only be relied upon under the express condition that any issue of interpretation or liability arising hereunder will be governed by Luxembourg law and be brought exclusively before the Courts of the District of Luxembourg-City.</w:t>
      </w:r>
    </w:p>
    <w:p>
      <w:pPr>
        <w:spacing w:after="0" w:line="52"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This opinion letter is issued by Loyens &amp; Loeff Luxembourg SARL and may only be relied upon under the express condition that any liability of Loyens &amp; Loeff Luxembourg SARL is limited to the amount paid out under its professional liability insurance polices. Only Loyens &amp; Loeff Luxembourg SARL can be held liable in connection with this opinion letter.</w:t>
      </w:r>
    </w:p>
    <w:p>
      <w:pPr>
        <w:spacing w:after="0" w:line="116" w:lineRule="exact"/>
        <w:rPr>
          <w:sz w:val="20"/>
          <w:szCs w:val="20"/>
          <w:color w:val="auto"/>
        </w:rPr>
      </w:pP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3/11</w:t>
      </w:r>
    </w:p>
    <w:p>
      <w:pPr>
        <w:sectPr>
          <w:pgSz w:w="11900" w:h="16838" w:orient="portrait"/>
          <w:cols w:equalWidth="0" w:num="1">
            <w:col w:w="11024"/>
          </w:cols>
          <w:pgMar w:left="436" w:top="692" w:right="439" w:bottom="1440" w:gutter="0" w:footer="0" w:header="0"/>
        </w:sectPr>
      </w:pPr>
    </w:p>
    <w:bookmarkStart w:id="72" w:name="page73"/>
    <w:bookmarkEnd w:id="72"/>
    <w:p>
      <w:pPr>
        <w:ind w:left="544" w:hanging="544"/>
        <w:spacing w:after="0"/>
        <w:tabs>
          <w:tab w:leader="none" w:pos="54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OPINIONS</w:t>
      </w:r>
    </w:p>
    <w:p>
      <w:pPr>
        <w:spacing w:after="0" w:line="121" w:lineRule="exact"/>
        <w:rPr>
          <w:rFonts w:ascii="Arial" w:cs="Arial" w:eastAsia="Arial" w:hAnsi="Arial"/>
          <w:sz w:val="18"/>
          <w:szCs w:val="18"/>
          <w:b w:val="1"/>
          <w:bCs w:val="1"/>
          <w:color w:val="auto"/>
        </w:rPr>
      </w:pPr>
    </w:p>
    <w:p>
      <w:pPr>
        <w:ind w:left="544"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opinions expressed in this paragraph 5 (Opinions) should be read in conjunction with the assumptions set out in Schedule 3 (Assumptions) and the qualifications set out in Schedule 4 (Qualifications). On the basis of these assumptions and subject to these qualifications and any factual matters or information not disclosed to us in the course of our investigation, we are of the opinion that as at the date of this opinion letter.</w:t>
      </w:r>
    </w:p>
    <w:p>
      <w:pPr>
        <w:spacing w:after="0" w:line="2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Corporate status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7"/>
          <w:szCs w:val="17"/>
          <w:color w:val="auto"/>
        </w:rPr>
        <w:t>The Company has been incorporated and is existing as a société anonyme (public limited liability company) for an unlimited duration.</w:t>
      </w:r>
    </w:p>
    <w:p>
      <w:pPr>
        <w:spacing w:after="0" w:line="3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Due authorisation</w:t>
      </w:r>
    </w:p>
    <w:p>
      <w:pPr>
        <w:spacing w:after="0" w:line="121" w:lineRule="exact"/>
        <w:rPr>
          <w:sz w:val="20"/>
          <w:szCs w:val="20"/>
          <w:color w:val="auto"/>
        </w:rPr>
      </w:pPr>
    </w:p>
    <w:p>
      <w:pPr>
        <w:ind w:left="544" w:right="280"/>
        <w:spacing w:after="0" w:line="277" w:lineRule="auto"/>
        <w:rPr>
          <w:sz w:val="20"/>
          <w:szCs w:val="20"/>
          <w:color w:val="auto"/>
        </w:rPr>
      </w:pPr>
      <w:r>
        <w:rPr>
          <w:rFonts w:ascii="Arial" w:cs="Arial" w:eastAsia="Arial" w:hAnsi="Arial"/>
          <w:sz w:val="18"/>
          <w:szCs w:val="18"/>
          <w:color w:val="auto"/>
        </w:rPr>
        <w:t>The execution by the Company of the Opinion Documents and the performance of its obligations thereunder have been duly authorised by all requisite corporate action on the part of the Company.</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Due execution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Opinion Documents have been duly executed by the Company.</w:t>
      </w:r>
    </w:p>
    <w:p>
      <w:pPr>
        <w:spacing w:after="0" w:line="370" w:lineRule="exact"/>
        <w:rPr>
          <w:sz w:val="20"/>
          <w:szCs w:val="20"/>
          <w:color w:val="auto"/>
        </w:rPr>
      </w:pPr>
    </w:p>
    <w:p>
      <w:pPr>
        <w:ind w:left="544" w:hanging="544"/>
        <w:spacing w:after="0"/>
        <w:tabs>
          <w:tab w:leader="none" w:pos="54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ADDRESSEES</w:t>
      </w:r>
    </w:p>
    <w:p>
      <w:pPr>
        <w:spacing w:after="0" w:line="135"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opinion letter is addressed to you and may only be relied upon by you in connection with the transactions to which the Opinion Documents relate and may not be disclosed to and relied upon by any other person without our prior written consent.</w:t>
      </w:r>
    </w:p>
    <w:p>
      <w:pPr>
        <w:spacing w:after="0" w:line="197" w:lineRule="exact"/>
        <w:rPr>
          <w:sz w:val="20"/>
          <w:szCs w:val="20"/>
          <w:color w:val="auto"/>
        </w:rPr>
      </w:pPr>
    </w:p>
    <w:p>
      <w:pPr>
        <w:jc w:val="center"/>
        <w:ind w:right="236"/>
        <w:spacing w:after="0" w:line="308" w:lineRule="auto"/>
        <w:rPr>
          <w:sz w:val="20"/>
          <w:szCs w:val="20"/>
          <w:color w:val="auto"/>
        </w:rPr>
      </w:pPr>
      <w:r>
        <w:rPr>
          <w:rFonts w:ascii="Arial" w:cs="Arial" w:eastAsia="Arial" w:hAnsi="Arial"/>
          <w:sz w:val="17"/>
          <w:szCs w:val="17"/>
          <w:color w:val="auto"/>
        </w:rPr>
        <w:t>6.2    We hereby consent to the filing of this opinion as Exhibit 5 to the Current Report of Form 8-K. In giving this consent, we do not admit that we are in the category of persons whose consent is required under Section 7 of the Act or the rules and regulations of the SEC thereunder.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 Loyens &amp; Loeff Luxembourg SARL</w:t>
      </w:r>
    </w:p>
    <w:p>
      <w:pPr>
        <w:spacing w:after="0" w:line="143" w:lineRule="exact"/>
        <w:rPr>
          <w:sz w:val="20"/>
          <w:szCs w:val="20"/>
          <w:color w:val="auto"/>
        </w:rPr>
      </w:pP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4/11</w:t>
      </w:r>
    </w:p>
    <w:p>
      <w:pPr>
        <w:sectPr>
          <w:pgSz w:w="11900" w:h="16838" w:orient="portrait"/>
          <w:cols w:equalWidth="0" w:num="1">
            <w:col w:w="11024"/>
          </w:cols>
          <w:pgMar w:left="436" w:top="688" w:right="439" w:bottom="1440" w:gutter="0" w:footer="0" w:header="0"/>
        </w:sectPr>
      </w:pPr>
    </w:p>
    <w:bookmarkStart w:id="73" w:name="page74"/>
    <w:bookmarkEnd w:id="7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Schedule 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ADDRESSEES</w:t>
      </w:r>
    </w:p>
    <w:p>
      <w:pPr>
        <w:spacing w:after="0" w:line="252" w:lineRule="exact"/>
        <w:rPr>
          <w:sz w:val="20"/>
          <w:szCs w:val="20"/>
          <w:color w:val="auto"/>
        </w:rPr>
      </w:pPr>
    </w:p>
    <w:p>
      <w:pPr>
        <w:ind w:left="544" w:right="8120" w:hanging="544"/>
        <w:spacing w:after="0" w:line="377" w:lineRule="auto"/>
        <w:tabs>
          <w:tab w:leader="none" w:pos="533"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Schlumberger Investment S.A. </w:t>
      </w:r>
      <w:r>
        <w:rPr>
          <w:rFonts w:ascii="Arial" w:cs="Arial" w:eastAsia="Arial" w:hAnsi="Arial"/>
          <w:sz w:val="18"/>
          <w:szCs w:val="18"/>
          <w:color w:val="auto"/>
        </w:rPr>
        <w:t>42-44, Avenue de la Gare, L-1610 Luxembourg,</w:t>
      </w:r>
    </w:p>
    <w:p>
      <w:pPr>
        <w:ind w:left="544" w:right="8340"/>
        <w:spacing w:after="0" w:line="449" w:lineRule="auto"/>
        <w:rPr>
          <w:rFonts w:ascii="Arial" w:cs="Arial" w:eastAsia="Arial" w:hAnsi="Arial"/>
          <w:sz w:val="18"/>
          <w:szCs w:val="18"/>
          <w:color w:val="auto"/>
        </w:rPr>
      </w:pPr>
      <w:r>
        <w:rPr>
          <w:rFonts w:ascii="Arial" w:cs="Arial" w:eastAsia="Arial" w:hAnsi="Arial"/>
          <w:sz w:val="16"/>
          <w:szCs w:val="16"/>
          <w:color w:val="auto"/>
        </w:rPr>
        <w:t>Grand Duchy of Luxembourg RCS : B163122</w:t>
      </w: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5/11</w:t>
      </w:r>
    </w:p>
    <w:p>
      <w:pPr>
        <w:sectPr>
          <w:pgSz w:w="11900" w:h="16838" w:orient="portrait"/>
          <w:cols w:equalWidth="0" w:num="1">
            <w:col w:w="11024"/>
          </w:cols>
          <w:pgMar w:left="436" w:top="688" w:right="439" w:bottom="1440" w:gutter="0" w:footer="0" w:header="0"/>
        </w:sectPr>
      </w:pPr>
    </w:p>
    <w:bookmarkStart w:id="74" w:name="page75"/>
    <w:bookmarkEnd w:id="7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Schedule 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REVIEWED DOCUMENTS</w:t>
      </w:r>
    </w:p>
    <w:p>
      <w:pPr>
        <w:spacing w:after="0" w:line="252" w:lineRule="exact"/>
        <w:rPr>
          <w:sz w:val="20"/>
          <w:szCs w:val="20"/>
          <w:color w:val="auto"/>
        </w:rPr>
      </w:pPr>
    </w:p>
    <w:p>
      <w:pPr>
        <w:ind w:left="544" w:hanging="544"/>
        <w:spacing w:after="0"/>
        <w:tabs>
          <w:tab w:leader="none" w:pos="54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DOCUMENTS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Registration Statement.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Prospectus Supplement.</w:t>
      </w:r>
    </w:p>
    <w:p>
      <w:pPr>
        <w:spacing w:after="0" w:line="370" w:lineRule="exact"/>
        <w:rPr>
          <w:sz w:val="20"/>
          <w:szCs w:val="20"/>
          <w:color w:val="auto"/>
        </w:rPr>
      </w:pPr>
    </w:p>
    <w:p>
      <w:pPr>
        <w:ind w:left="544" w:hanging="544"/>
        <w:spacing w:after="0"/>
        <w:tabs>
          <w:tab w:leader="none" w:pos="54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OPINION DOCUMENTS</w:t>
      </w:r>
    </w:p>
    <w:p>
      <w:pPr>
        <w:spacing w:after="0" w:line="131" w:lineRule="exact"/>
        <w:rPr>
          <w:sz w:val="20"/>
          <w:szCs w:val="20"/>
          <w:color w:val="auto"/>
        </w:rPr>
      </w:pPr>
    </w:p>
    <w:p>
      <w:pPr>
        <w:jc w:val="both"/>
        <w:ind w:left="544" w:right="40" w:hanging="539"/>
        <w:spacing w:after="0" w:line="314"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 xml:space="preserve">an indenture, dated 3 December 2013 (the </w:t>
      </w:r>
      <w:r>
        <w:rPr>
          <w:rFonts w:ascii="Arial" w:cs="Arial" w:eastAsia="Arial" w:hAnsi="Arial"/>
          <w:sz w:val="16"/>
          <w:szCs w:val="16"/>
          <w:b w:val="1"/>
          <w:bCs w:val="1"/>
          <w:color w:val="auto"/>
        </w:rPr>
        <w:t>Base Indenture),</w:t>
      </w:r>
      <w:r>
        <w:rPr>
          <w:rFonts w:ascii="Arial" w:cs="Arial" w:eastAsia="Arial" w:hAnsi="Arial"/>
          <w:sz w:val="16"/>
          <w:szCs w:val="16"/>
          <w:color w:val="auto"/>
        </w:rPr>
        <w:t xml:space="preserve"> as supplemented by a supplemental indenture, dated 26 June 2020, governed by the laws of the State of New York, entered into by and between, the Company as issuer, the Guarantor and The Bank of New York Mellon as trustee, pursuant to which the Notes will be issued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xml:space="preserve">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51"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2 global notes representing the Notes, governed by the laws of the State of New York, each dated 26 June 2020, issued by the Company (the </w:t>
      </w:r>
      <w:r>
        <w:rPr>
          <w:rFonts w:ascii="Arial" w:cs="Arial" w:eastAsia="Arial" w:hAnsi="Arial"/>
          <w:sz w:val="18"/>
          <w:szCs w:val="18"/>
          <w:b w:val="1"/>
          <w:bCs w:val="1"/>
          <w:color w:val="auto"/>
        </w:rPr>
        <w:t>Global Notes)</w:t>
      </w:r>
      <w:r>
        <w:rPr>
          <w:rFonts w:ascii="Arial" w:cs="Arial" w:eastAsia="Arial" w:hAnsi="Arial"/>
          <w:sz w:val="18"/>
          <w:szCs w:val="18"/>
          <w:color w:val="auto"/>
        </w:rPr>
        <w:t>.</w:t>
      </w:r>
    </w:p>
    <w:p>
      <w:pPr>
        <w:spacing w:after="0" w:line="315" w:lineRule="exact"/>
        <w:rPr>
          <w:sz w:val="20"/>
          <w:szCs w:val="20"/>
          <w:color w:val="auto"/>
        </w:rPr>
      </w:pPr>
    </w:p>
    <w:p>
      <w:pPr>
        <w:ind w:left="544" w:hanging="544"/>
        <w:spacing w:after="0"/>
        <w:tabs>
          <w:tab w:leader="none" w:pos="54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ORGANISATIONAL DOCUMENTS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RCS Documents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an excerpt pertaining to the Company delivered by the RCS dated 26 June 2020 (the </w:t>
      </w:r>
      <w:r>
        <w:rPr>
          <w:rFonts w:ascii="Arial" w:cs="Arial" w:eastAsia="Arial" w:hAnsi="Arial"/>
          <w:sz w:val="16"/>
          <w:szCs w:val="16"/>
          <w:b w:val="1"/>
          <w:bCs w:val="1"/>
          <w:color w:val="auto"/>
        </w:rPr>
        <w:t>Excerpt)</w:t>
      </w:r>
      <w:r>
        <w:rPr>
          <w:rFonts w:ascii="Arial" w:cs="Arial" w:eastAsia="Arial" w:hAnsi="Arial"/>
          <w:sz w:val="16"/>
          <w:szCs w:val="16"/>
          <w:color w:val="auto"/>
        </w:rPr>
        <w:t>.</w:t>
      </w:r>
    </w:p>
    <w:p>
      <w:pPr>
        <w:spacing w:after="0" w:line="135"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3.1.2</w:t>
        <w:tab/>
        <w:t xml:space="preserve">a certificate of absence of a judicial decision pertaining to the Company delivered by the RCS dated 26 June 2020, with respect to the situation of the Company as at 25 June 2020 (the </w:t>
      </w:r>
      <w:r>
        <w:rPr>
          <w:rFonts w:ascii="Arial" w:cs="Arial" w:eastAsia="Arial" w:hAnsi="Arial"/>
          <w:sz w:val="18"/>
          <w:szCs w:val="18"/>
          <w:b w:val="1"/>
          <w:bCs w:val="1"/>
          <w:color w:val="auto"/>
        </w:rPr>
        <w:t>RCS Certificate)</w:t>
      </w:r>
      <w:r>
        <w:rPr>
          <w:rFonts w:ascii="Arial" w:cs="Arial" w:eastAsia="Arial" w:hAnsi="Arial"/>
          <w:sz w:val="18"/>
          <w:szCs w:val="18"/>
          <w:color w:val="auto"/>
        </w:rPr>
        <w:t>.</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Corporate Documents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deed of incorporation of the Company, as drawn up by Maitre Martine Schaeffer, notary residing in Luxembourg, Luxembourg, dated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18 August 2011 (the </w:t>
      </w:r>
      <w:r>
        <w:rPr>
          <w:rFonts w:ascii="Arial" w:cs="Arial" w:eastAsia="Arial" w:hAnsi="Arial"/>
          <w:sz w:val="18"/>
          <w:szCs w:val="18"/>
          <w:b w:val="1"/>
          <w:bCs w:val="1"/>
          <w:color w:val="auto"/>
        </w:rPr>
        <w:t>Deed of Incorporation)</w:t>
      </w:r>
      <w:r>
        <w:rPr>
          <w:rFonts w:ascii="Arial" w:cs="Arial" w:eastAsia="Arial" w:hAnsi="Arial"/>
          <w:sz w:val="18"/>
          <w:szCs w:val="18"/>
          <w:color w:val="auto"/>
        </w:rPr>
        <w:t>.</w:t>
      </w:r>
    </w:p>
    <w:p>
      <w:pPr>
        <w:spacing w:after="0" w:line="116"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3.2.2</w:t>
        <w:tab/>
        <w:t xml:space="preserve">the consolidated text of the articles of association of the Company, as drawn up by Maitre Martine Schaeffer, notary residing in Luxembourg, Luxembourg, dated 2 September 2011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Resolutions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7"/>
          <w:szCs w:val="17"/>
          <w:color w:val="auto"/>
        </w:rPr>
        <w:t xml:space="preserve">the circular resolutions of the directors of the Company dated 16 June 2020 in relation to the Opinion Documents (the </w:t>
      </w:r>
      <w:r>
        <w:rPr>
          <w:rFonts w:ascii="Arial" w:cs="Arial" w:eastAsia="Arial" w:hAnsi="Arial"/>
          <w:sz w:val="17"/>
          <w:szCs w:val="17"/>
          <w:b w:val="1"/>
          <w:bCs w:val="1"/>
          <w:color w:val="auto"/>
        </w:rPr>
        <w:t>Resolutions)</w:t>
      </w:r>
      <w:r>
        <w:rPr>
          <w:rFonts w:ascii="Arial" w:cs="Arial" w:eastAsia="Arial" w:hAnsi="Arial"/>
          <w:sz w:val="17"/>
          <w:szCs w:val="17"/>
          <w:color w:val="auto"/>
        </w:rPr>
        <w:t>.</w:t>
      </w:r>
    </w:p>
    <w:p>
      <w:pPr>
        <w:spacing w:after="0" w:line="173" w:lineRule="exact"/>
        <w:rPr>
          <w:sz w:val="20"/>
          <w:szCs w:val="20"/>
          <w:color w:val="auto"/>
        </w:rPr>
      </w:pP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6/11</w:t>
      </w:r>
    </w:p>
    <w:p>
      <w:pPr>
        <w:sectPr>
          <w:pgSz w:w="11900" w:h="16838" w:orient="portrait"/>
          <w:cols w:equalWidth="0" w:num="1">
            <w:col w:w="11024"/>
          </w:cols>
          <w:pgMar w:left="436" w:top="688" w:right="439" w:bottom="1440" w:gutter="0" w:footer="0" w:header="0"/>
        </w:sectPr>
      </w:pPr>
    </w:p>
    <w:bookmarkStart w:id="75" w:name="page76"/>
    <w:bookmarkEnd w:id="7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Schedule 3</w:t>
      </w:r>
    </w:p>
    <w:p>
      <w:pPr>
        <w:spacing w:after="0" w:line="225" w:lineRule="exact"/>
        <w:rPr>
          <w:sz w:val="20"/>
          <w:szCs w:val="20"/>
          <w:color w:val="auto"/>
        </w:rPr>
      </w:pPr>
    </w:p>
    <w:p>
      <w:pPr>
        <w:ind w:left="4864"/>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opinion letter are subject to the following assumptions:</w:t>
      </w:r>
    </w:p>
    <w:p>
      <w:pPr>
        <w:spacing w:after="0" w:line="370" w:lineRule="exact"/>
        <w:rPr>
          <w:sz w:val="20"/>
          <w:szCs w:val="20"/>
          <w:color w:val="auto"/>
        </w:rPr>
      </w:pPr>
    </w:p>
    <w:p>
      <w:pPr>
        <w:ind w:left="544" w:hanging="544"/>
        <w:spacing w:after="0"/>
        <w:tabs>
          <w:tab w:leader="none" w:pos="54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All Signatures are genuine, all original documents are authentic and all copies are complete and conform to the originals.</w:t>
      </w:r>
    </w:p>
    <w:p>
      <w:pPr>
        <w:spacing w:after="0" w:line="131"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Information contained and the statements made in the Excerpt, the RCS Certificate and the Resolutions are true, accurate and complete at the Relevant Date.</w:t>
      </w:r>
    </w:p>
    <w:p>
      <w:pPr>
        <w:spacing w:after="0" w:line="315" w:lineRule="exact"/>
        <w:rPr>
          <w:sz w:val="20"/>
          <w:szCs w:val="20"/>
          <w:color w:val="auto"/>
        </w:rPr>
      </w:pPr>
    </w:p>
    <w:p>
      <w:pPr>
        <w:ind w:left="544" w:hanging="544"/>
        <w:spacing w:after="0"/>
        <w:tabs>
          <w:tab w:leader="none" w:pos="54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CORPORATE POWER</w:t>
      </w:r>
    </w:p>
    <w:p>
      <w:pPr>
        <w:spacing w:after="0" w:line="135"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There were no defects in the incorporation process of the Company (not appearing on the face of the Deed of Incorporation). The Articles are in full force and effect on the Relevant Date.</w:t>
      </w:r>
    </w:p>
    <w:p>
      <w:pPr>
        <w:spacing w:after="0" w:line="76" w:lineRule="exact"/>
        <w:rPr>
          <w:sz w:val="20"/>
          <w:szCs w:val="20"/>
          <w:color w:val="auto"/>
        </w:rPr>
      </w:pPr>
    </w:p>
    <w:p>
      <w:pPr>
        <w:ind w:left="544" w:right="740" w:hanging="539"/>
        <w:spacing w:after="0" w:line="342"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Company has its central administration (</w:t>
      </w:r>
      <w:r>
        <w:rPr>
          <w:rFonts w:ascii="Arial" w:cs="Arial" w:eastAsia="Arial" w:hAnsi="Arial"/>
          <w:sz w:val="16"/>
          <w:szCs w:val="16"/>
          <w:i w:val="1"/>
          <w:iCs w:val="1"/>
          <w:color w:val="auto"/>
        </w:rPr>
        <w:t>administration centrale</w:t>
      </w:r>
      <w:r>
        <w:rPr>
          <w:rFonts w:ascii="Arial" w:cs="Arial" w:eastAsia="Arial" w:hAnsi="Arial"/>
          <w:sz w:val="16"/>
          <w:szCs w:val="16"/>
          <w:color w:val="auto"/>
        </w:rPr>
        <w:t>) and has its centre of main interest (as described in the Insolvency Regulation) in Luxembourg and does not have an establishment (as described in the Insolvency Regulation) outside Luxembourg.</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Company complies with and adheres to all laws and regulations on the domiciliation of companies.</w:t>
      </w:r>
    </w:p>
    <w:p>
      <w:pPr>
        <w:spacing w:after="0" w:line="131" w:lineRule="exact"/>
        <w:rPr>
          <w:sz w:val="20"/>
          <w:szCs w:val="20"/>
          <w:color w:val="auto"/>
        </w:rPr>
      </w:pPr>
    </w:p>
    <w:p>
      <w:pPr>
        <w:ind w:left="544" w:right="60" w:hanging="539"/>
        <w:spacing w:after="0" w:line="296"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Company (a) is not, and will not, as a result of its entry into the Opinion Documents or the performance of its obligations thereunder, be in a state of cessation of payments (</w:t>
      </w:r>
      <w:r>
        <w:rPr>
          <w:rFonts w:ascii="Arial" w:cs="Arial" w:eastAsia="Arial" w:hAnsi="Arial"/>
          <w:sz w:val="16"/>
          <w:szCs w:val="16"/>
          <w:i w:val="1"/>
          <w:iCs w:val="1"/>
          <w:color w:val="auto"/>
        </w:rPr>
        <w:t>cessation des paiements</w:t>
      </w:r>
      <w:r>
        <w:rPr>
          <w:rFonts w:ascii="Arial" w:cs="Arial" w:eastAsia="Arial" w:hAnsi="Arial"/>
          <w:sz w:val="16"/>
          <w:szCs w:val="16"/>
          <w:color w:val="auto"/>
        </w:rPr>
        <w:t>), or be deemed to be in such state, and has not lost, and will not, as a result of its entry into the Opinion Documents or the performance of its obligations thereunder, lose its creditworthiness (</w:t>
      </w:r>
      <w:r>
        <w:rPr>
          <w:rFonts w:ascii="Arial" w:cs="Arial" w:eastAsia="Arial" w:hAnsi="Arial"/>
          <w:sz w:val="16"/>
          <w:szCs w:val="16"/>
          <w:i w:val="1"/>
          <w:iCs w:val="1"/>
          <w:color w:val="auto"/>
        </w:rPr>
        <w:t>ébranlement de crédit</w:t>
      </w:r>
      <w:r>
        <w:rPr>
          <w:rFonts w:ascii="Arial" w:cs="Arial" w:eastAsia="Arial" w:hAnsi="Arial"/>
          <w:sz w:val="16"/>
          <w:szCs w:val="16"/>
          <w:color w:val="auto"/>
        </w:rPr>
        <w:t>), or be deemed to have lost such creditworthiness and no party to the Opinion Documents is aware, or may be reasonably expected to have been aware, of such circumstances, and (b) does not meet the criteria to be subject to any Insolvency Proceedings (as defined below).</w:t>
      </w:r>
    </w:p>
    <w:p>
      <w:pPr>
        <w:spacing w:after="0" w:line="67" w:lineRule="exact"/>
        <w:rPr>
          <w:sz w:val="20"/>
          <w:szCs w:val="20"/>
          <w:color w:val="auto"/>
        </w:rPr>
      </w:pPr>
    </w:p>
    <w:p>
      <w:pPr>
        <w:ind w:left="544" w:right="60" w:hanging="539"/>
        <w:spacing w:after="0" w:line="308"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execution, entry into and performance by the Company of the Opinion Documents, and the transactions in connection therewith (a) are in its corporate interest, (b) with the intent of pursuing profit (but lucratn) and (c) serving the corporate object of the Company.</w:t>
      </w:r>
    </w:p>
    <w:p>
      <w:pPr>
        <w:spacing w:after="0" w:line="291" w:lineRule="exact"/>
        <w:rPr>
          <w:sz w:val="20"/>
          <w:szCs w:val="20"/>
          <w:color w:val="auto"/>
        </w:rPr>
      </w:pPr>
    </w:p>
    <w:p>
      <w:pPr>
        <w:ind w:left="544" w:hanging="544"/>
        <w:spacing w:after="0"/>
        <w:tabs>
          <w:tab w:leader="none" w:pos="54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AUTHORISATIONS</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Resolutions (a) correctly reflect the resolutions adopted by the members of the board of directors of the Company, (b) have been validly adopted, With due observance of the Articles and any applicable by-laws and (c) are in full force and effect.</w:t>
      </w:r>
    </w:p>
    <w:p>
      <w:pPr>
        <w:spacing w:after="0" w:line="103" w:lineRule="exact"/>
        <w:rPr>
          <w:sz w:val="20"/>
          <w:szCs w:val="20"/>
          <w:color w:val="auto"/>
        </w:rPr>
      </w:pP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7/11</w:t>
      </w:r>
    </w:p>
    <w:p>
      <w:pPr>
        <w:sectPr>
          <w:pgSz w:w="11900" w:h="16838" w:orient="portrait"/>
          <w:cols w:equalWidth="0" w:num="1">
            <w:col w:w="11024"/>
          </w:cols>
          <w:pgMar w:left="436" w:top="688" w:right="439" w:bottom="1440" w:gutter="0" w:footer="0" w:header="0"/>
        </w:sectPr>
      </w:pPr>
    </w:p>
    <w:bookmarkStart w:id="76" w:name="page77"/>
    <w:bookmarkEnd w:id="76"/>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3.2</w:t>
      </w:r>
      <w:r>
        <w:rPr>
          <w:sz w:val="20"/>
          <w:szCs w:val="20"/>
          <w:color w:val="auto"/>
        </w:rPr>
        <w:tab/>
      </w:r>
      <w:r>
        <w:rPr>
          <w:rFonts w:ascii="Arial" w:cs="Arial" w:eastAsia="Arial" w:hAnsi="Arial"/>
          <w:sz w:val="17"/>
          <w:szCs w:val="17"/>
          <w:color w:val="auto"/>
        </w:rPr>
        <w:t>The Company is not under any contractual obligation to obtain the consent, approval, co-operation, permission or otherwise of any third party or person in connection with the execution of, entry into, and performance of its obligations under, the Opinion Documents.</w:t>
      </w:r>
    </w:p>
    <w:p>
      <w:pPr>
        <w:spacing w:after="0" w:line="291" w:lineRule="exact"/>
        <w:rPr>
          <w:sz w:val="20"/>
          <w:szCs w:val="20"/>
          <w:color w:val="auto"/>
        </w:rPr>
      </w:pPr>
    </w:p>
    <w:p>
      <w:pPr>
        <w:ind w:left="544" w:hanging="544"/>
        <w:spacing w:after="0"/>
        <w:tabs>
          <w:tab w:leader="none" w:pos="54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Opinion Documents have in fact been signed on behalf of the Company by the persons authorised to that effect.</w:t>
      </w:r>
    </w:p>
    <w:p>
      <w:pPr>
        <w:spacing w:after="0" w:line="131"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All individuals having signed the Reviewed Documents and the Opinion Documents have legal capacity and power under all relevant laws and regulations to do so.</w:t>
      </w:r>
    </w:p>
    <w:p>
      <w:pPr>
        <w:spacing w:after="0" w:line="315" w:lineRule="exact"/>
        <w:rPr>
          <w:sz w:val="20"/>
          <w:szCs w:val="20"/>
          <w:color w:val="auto"/>
        </w:rPr>
      </w:pPr>
    </w:p>
    <w:p>
      <w:pPr>
        <w:ind w:left="544" w:hanging="544"/>
        <w:spacing w:after="0"/>
        <w:tabs>
          <w:tab w:leader="none" w:pos="54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w:t>
      </w:r>
    </w:p>
    <w:p>
      <w:pPr>
        <w:spacing w:after="0" w:line="121" w:lineRule="exact"/>
        <w:rPr>
          <w:rFonts w:ascii="Arial" w:cs="Arial" w:eastAsia="Arial" w:hAnsi="Arial"/>
          <w:sz w:val="18"/>
          <w:szCs w:val="18"/>
          <w:b w:val="1"/>
          <w:bCs w:val="1"/>
          <w:color w:val="auto"/>
        </w:rPr>
      </w:pPr>
    </w:p>
    <w:p>
      <w:pPr>
        <w:ind w:left="544" w:right="1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does not carry out any activity in the financial sector or insurance on a professional basis (as referred to in the Luxembourg law dated 5 April 1993 on the financial sector, as amended, and the Luxembourg Law dated 7 December 2015 on the insurance sector, as amended) or any activity requiring the granting of a business licence under the Luxembourg law dated 2 September 2011 governing the access to the professions of skilled craftsman, tradesman, manufacturer, as well as to certain liberal professions, as amended.</w:t>
      </w:r>
    </w:p>
    <w:p>
      <w:pPr>
        <w:spacing w:after="0" w:line="302" w:lineRule="exact"/>
        <w:rPr>
          <w:sz w:val="20"/>
          <w:szCs w:val="20"/>
          <w:color w:val="auto"/>
        </w:rPr>
      </w:pPr>
    </w:p>
    <w:p>
      <w:pPr>
        <w:ind w:left="544" w:hanging="544"/>
        <w:spacing w:after="0"/>
        <w:tabs>
          <w:tab w:leader="none" w:pos="54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ISSUE OF NOTES</w:t>
      </w:r>
    </w:p>
    <w:p>
      <w:pPr>
        <w:spacing w:after="0" w:line="135" w:lineRule="exact"/>
        <w:rPr>
          <w:sz w:val="20"/>
          <w:szCs w:val="20"/>
          <w:color w:val="auto"/>
        </w:rPr>
      </w:pPr>
    </w:p>
    <w:p>
      <w:pPr>
        <w:ind w:left="544" w:right="440" w:hanging="539"/>
        <w:spacing w:after="0" w:line="26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 xml:space="preserve">The Notes will only be offered pursuant to an exemption from the requirement to draw up a prospectus in accordance with Regulation (EU) 2017/1129 and the relevant implementing measures in any Member States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 or in circumstances which do not constitute an offer of securities to the public within the meaning of the Prospectus Regulation.</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Notes will not be listed on any market.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Notes are issued in registered form only.</w:t>
      </w:r>
    </w:p>
    <w:p>
      <w:pPr>
        <w:spacing w:after="0" w:line="131"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Global Notes will be executed, authenticated and delivered, and the Notes will be subscribed, paid for, issued and registered in accordance with the terms of the Opinion Documents.</w:t>
      </w:r>
    </w:p>
    <w:p>
      <w:pPr>
        <w:spacing w:after="0" w:line="315" w:lineRule="exact"/>
        <w:rPr>
          <w:sz w:val="20"/>
          <w:szCs w:val="20"/>
          <w:color w:val="auto"/>
        </w:rPr>
      </w:pPr>
    </w:p>
    <w:p>
      <w:pPr>
        <w:ind w:left="544" w:hanging="544"/>
        <w:spacing w:after="0"/>
        <w:tabs>
          <w:tab w:leader="none" w:pos="54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544" w:right="200" w:hanging="539"/>
        <w:spacing w:after="0" w:line="342"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transaction entered into pursuant to, or in connection with, the Opinion Documents (both together and individually) and all payments and transfers made by, on behalf of, or in favour of, the Company are made at arm’s length and in accordance with market practice.</w:t>
      </w:r>
    </w:p>
    <w:p>
      <w:pPr>
        <w:spacing w:after="0" w:line="56" w:lineRule="exact"/>
        <w:rPr>
          <w:sz w:val="20"/>
          <w:szCs w:val="20"/>
          <w:color w:val="auto"/>
        </w:rPr>
      </w:pPr>
    </w:p>
    <w:p>
      <w:pPr>
        <w:ind w:left="4"/>
        <w:spacing w:after="0"/>
        <w:tabs>
          <w:tab w:leader="none" w:pos="106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8/11</w:t>
      </w:r>
    </w:p>
    <w:p>
      <w:pPr>
        <w:sectPr>
          <w:pgSz w:w="11900" w:h="16838" w:orient="portrait"/>
          <w:cols w:equalWidth="0" w:num="1">
            <w:col w:w="11024"/>
          </w:cols>
          <w:pgMar w:left="436" w:top="692" w:right="439" w:bottom="1440" w:gutter="0" w:footer="0" w:header="0"/>
        </w:sectPr>
      </w:pPr>
    </w:p>
    <w:bookmarkStart w:id="77" w:name="page78"/>
    <w:bookmarkEnd w:id="77"/>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7.2</w:t>
      </w:r>
      <w:r>
        <w:rPr>
          <w:sz w:val="20"/>
          <w:szCs w:val="20"/>
          <w:color w:val="auto"/>
        </w:rPr>
        <w:tab/>
      </w:r>
      <w:r>
        <w:rPr>
          <w:rFonts w:ascii="Arial" w:cs="Arial" w:eastAsia="Arial" w:hAnsi="Arial"/>
          <w:sz w:val="18"/>
          <w:szCs w:val="18"/>
          <w:color w:val="auto"/>
        </w:rPr>
        <w:t>Each party to the Opinion Documents entered into and will perform its obligations under the Opinion Documents in good faith, for the purpose of carrying out its business and without any intention to defraud or deprive of any legal benefit any other party (including third party creditors) or to circumvent any mandatory law, regulation of any jurisdiction or contractual arrangements.</w:t>
      </w:r>
    </w:p>
    <w:p>
      <w:pPr>
        <w:spacing w:after="0" w:line="89"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There are no provisions in the laws of any jurisdiction outside Luxembourg or in the documents mentioned in the Opinion Documents, which would adversely affect, or otherwise have any negative impact on this opinion letter.</w:t>
      </w:r>
    </w:p>
    <w:p>
      <w:pPr>
        <w:spacing w:after="0" w:line="103" w:lineRule="exact"/>
        <w:rPr>
          <w:sz w:val="20"/>
          <w:szCs w:val="20"/>
          <w:color w:val="auto"/>
        </w:rPr>
      </w:pPr>
    </w:p>
    <w:p>
      <w:pPr>
        <w:spacing w:after="0"/>
        <w:tabs>
          <w:tab w:leader="none" w:pos="10680"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9/11</w:t>
      </w:r>
    </w:p>
    <w:p>
      <w:pPr>
        <w:sectPr>
          <w:pgSz w:w="11900" w:h="16838" w:orient="portrait"/>
          <w:cols w:equalWidth="0" w:num="1">
            <w:col w:w="11020"/>
          </w:cols>
          <w:pgMar w:left="440" w:top="692" w:right="439" w:bottom="1440" w:gutter="0" w:footer="0" w:header="0"/>
        </w:sectPr>
      </w:pPr>
    </w:p>
    <w:bookmarkStart w:id="78" w:name="page79"/>
    <w:bookmarkEnd w:id="78"/>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Schedule 4</w:t>
      </w:r>
    </w:p>
    <w:p>
      <w:pPr>
        <w:spacing w:after="0" w:line="225" w:lineRule="exact"/>
        <w:rPr>
          <w:sz w:val="20"/>
          <w:szCs w:val="20"/>
          <w:color w:val="auto"/>
        </w:rPr>
      </w:pPr>
    </w:p>
    <w:p>
      <w:pPr>
        <w:ind w:left="4724"/>
        <w:spacing w:after="0"/>
        <w:rPr>
          <w:sz w:val="20"/>
          <w:szCs w:val="20"/>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opinion letter are subject to the following qualifications:</w:t>
      </w:r>
    </w:p>
    <w:p>
      <w:pPr>
        <w:spacing w:after="0" w:line="370" w:lineRule="exact"/>
        <w:rPr>
          <w:sz w:val="20"/>
          <w:szCs w:val="20"/>
          <w:color w:val="auto"/>
        </w:rPr>
      </w:pPr>
    </w:p>
    <w:p>
      <w:pPr>
        <w:ind w:left="544" w:hanging="544"/>
        <w:spacing w:after="0"/>
        <w:tabs>
          <w:tab w:leader="none" w:pos="54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21" w:lineRule="exact"/>
        <w:rPr>
          <w:rFonts w:ascii="Arial" w:cs="Arial" w:eastAsia="Arial" w:hAnsi="Arial"/>
          <w:sz w:val="18"/>
          <w:szCs w:val="18"/>
          <w:b w:val="1"/>
          <w:bCs w:val="1"/>
          <w:color w:val="auto"/>
        </w:rPr>
      </w:pPr>
    </w:p>
    <w:p>
      <w:pPr>
        <w:ind w:left="544"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opinion letter is subject to all limitations resulting from the application of Luxembourg public policy rules, overriding statutes and mandatory laws as well as to all limitations by reasons of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la faillite</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sursis de paiements</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contrélée</w:t>
      </w:r>
      <w:r>
        <w:rPr>
          <w:rFonts w:ascii="Arial" w:cs="Arial" w:eastAsia="Arial" w:hAnsi="Arial"/>
          <w:sz w:val="18"/>
          <w:szCs w:val="18"/>
          <w:color w:val="auto"/>
        </w:rPr>
        <w:t>), insolvency, liquidation, reorganisation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and any similar Luxembourg or foreign proceedings, regimes or officers relating to, or affecting, the rights of creditors generally (</w:t>
      </w:r>
      <w:r>
        <w:rPr>
          <w:rFonts w:ascii="Arial" w:cs="Arial" w:eastAsia="Arial" w:hAnsi="Arial"/>
          <w:sz w:val="18"/>
          <w:szCs w:val="18"/>
          <w:b w:val="1"/>
          <w:bCs w:val="1"/>
          <w:color w:val="auto"/>
        </w:rPr>
        <w:t>Insolvency Proceedings</w:t>
      </w:r>
      <w:r>
        <w:rPr>
          <w:rFonts w:ascii="Arial" w:cs="Arial" w:eastAsia="Arial" w:hAnsi="Arial"/>
          <w:sz w:val="18"/>
          <w:szCs w:val="18"/>
          <w:color w:val="auto"/>
        </w:rPr>
        <w:t>).</w:t>
      </w:r>
    </w:p>
    <w:p>
      <w:pPr>
        <w:spacing w:after="0" w:line="332" w:lineRule="exact"/>
        <w:rPr>
          <w:sz w:val="20"/>
          <w:szCs w:val="20"/>
          <w:color w:val="auto"/>
        </w:rPr>
      </w:pPr>
    </w:p>
    <w:p>
      <w:pPr>
        <w:ind w:left="544" w:hanging="544"/>
        <w:spacing w:after="0"/>
        <w:tabs>
          <w:tab w:leader="none" w:pos="5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INFORMATION</w:t>
      </w:r>
    </w:p>
    <w:p>
      <w:pPr>
        <w:spacing w:after="0" w:line="135"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w:t>
      </w:r>
    </w:p>
    <w:p>
      <w:pPr>
        <w:spacing w:after="0" w:line="89" w:lineRule="exact"/>
        <w:rPr>
          <w:sz w:val="20"/>
          <w:szCs w:val="20"/>
          <w:color w:val="auto"/>
        </w:rPr>
      </w:pPr>
    </w:p>
    <w:p>
      <w:pPr>
        <w:ind w:left="544" w:right="140" w:hanging="539"/>
        <w:spacing w:after="0" w:line="25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Documents relating to a Luxembourg company the publication of which is required by law will only be valid towards third parties from the day of their publication with the Electronic Register of Companies and Associations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unless the company proves that the relevant third parties had prior knowledge thereof. Third parties may however rely upon such documents which have not yet been published. For 15 days following their publication, such documents will not be valid towards third parties who prove the impossibility for them to have knowledge thereof.</w:t>
      </w:r>
    </w:p>
    <w:p>
      <w:pPr>
        <w:spacing w:after="0" w:line="93" w:lineRule="exact"/>
        <w:rPr>
          <w:sz w:val="20"/>
          <w:szCs w:val="20"/>
          <w:color w:val="auto"/>
        </w:rPr>
      </w:pPr>
    </w:p>
    <w:p>
      <w:pPr>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Articles. the Excerpt and the RCS Certificate do not constitute conclusive evidence whether or not a winding-up, administration petition or order has been presented or made, a receiver has been appointed, an arrangement with creditors has been proposed or approved or any other Insolvency Proceedings have commenced.</w:t>
      </w:r>
    </w:p>
    <w:p>
      <w:pPr>
        <w:spacing w:after="0" w:line="328" w:lineRule="exact"/>
        <w:rPr>
          <w:sz w:val="20"/>
          <w:szCs w:val="20"/>
          <w:color w:val="auto"/>
        </w:rPr>
      </w:pPr>
    </w:p>
    <w:p>
      <w:pPr>
        <w:ind w:left="544" w:hanging="544"/>
        <w:spacing w:after="0"/>
        <w:tabs>
          <w:tab w:leader="none" w:pos="54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AND CORPORATE POWER</w:t>
      </w:r>
    </w:p>
    <w:p>
      <w:pPr>
        <w:spacing w:after="0" w:line="121" w:lineRule="exact"/>
        <w:rPr>
          <w:rFonts w:ascii="Arial" w:cs="Arial" w:eastAsia="Arial" w:hAnsi="Arial"/>
          <w:sz w:val="18"/>
          <w:szCs w:val="18"/>
          <w:b w:val="1"/>
          <w:bCs w:val="1"/>
          <w:color w:val="auto"/>
        </w:rPr>
      </w:pPr>
    </w:p>
    <w:p>
      <w:pPr>
        <w:ind w:left="544"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Our opinion that the Company exists is based on the Corporate Documents, the Excerpt and the RCS Certificate (which confirms, in particular, that no judicial decision in respect of bankruptcy (</w:t>
      </w:r>
      <w:r>
        <w:rPr>
          <w:rFonts w:ascii="Arial" w:cs="Arial" w:eastAsia="Arial" w:hAnsi="Arial"/>
          <w:sz w:val="17"/>
          <w:szCs w:val="17"/>
          <w:i w:val="1"/>
          <w:iCs w:val="1"/>
          <w:color w:val="auto"/>
        </w:rPr>
        <w:t>faillite</w:t>
      </w:r>
      <w:r>
        <w:rPr>
          <w:rFonts w:ascii="Arial" w:cs="Arial" w:eastAsia="Arial" w:hAnsi="Arial"/>
          <w:sz w:val="17"/>
          <w:szCs w:val="17"/>
          <w:color w:val="auto"/>
        </w:rPr>
        <w:t>), composition with creditors (</w:t>
      </w:r>
      <w:r>
        <w:rPr>
          <w:rFonts w:ascii="Arial" w:cs="Arial" w:eastAsia="Arial" w:hAnsi="Arial"/>
          <w:sz w:val="17"/>
          <w:szCs w:val="17"/>
          <w:i w:val="1"/>
          <w:iCs w:val="1"/>
          <w:color w:val="auto"/>
        </w:rPr>
        <w:t>concordat préventif de la faillite</w:t>
      </w:r>
      <w:r>
        <w:rPr>
          <w:rFonts w:ascii="Arial" w:cs="Arial" w:eastAsia="Arial" w:hAnsi="Arial"/>
          <w:sz w:val="17"/>
          <w:szCs w:val="17"/>
          <w:color w:val="auto"/>
        </w:rPr>
        <w:t>), suspension of payments (</w:t>
      </w:r>
      <w:r>
        <w:rPr>
          <w:rFonts w:ascii="Arial" w:cs="Arial" w:eastAsia="Arial" w:hAnsi="Arial"/>
          <w:sz w:val="17"/>
          <w:szCs w:val="17"/>
          <w:i w:val="1"/>
          <w:iCs w:val="1"/>
          <w:color w:val="auto"/>
        </w:rPr>
        <w:t>sursis de paiements</w:t>
      </w:r>
      <w:r>
        <w:rPr>
          <w:rFonts w:ascii="Arial" w:cs="Arial" w:eastAsia="Arial" w:hAnsi="Arial"/>
          <w:sz w:val="17"/>
          <w:szCs w:val="17"/>
          <w:color w:val="auto"/>
        </w:rPr>
        <w:t>), controlled management (gestion controlée), judicial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or the appointment of a temporary administrator (</w:t>
      </w:r>
      <w:r>
        <w:rPr>
          <w:rFonts w:ascii="Arial" w:cs="Arial" w:eastAsia="Arial" w:hAnsi="Arial"/>
          <w:sz w:val="17"/>
          <w:szCs w:val="17"/>
          <w:i w:val="1"/>
          <w:iCs w:val="1"/>
          <w:color w:val="auto"/>
        </w:rPr>
        <w:t>administrateur provisoire</w:t>
      </w:r>
      <w:r>
        <w:rPr>
          <w:rFonts w:ascii="Arial" w:cs="Arial" w:eastAsia="Arial" w:hAnsi="Arial"/>
          <w:sz w:val="17"/>
          <w:szCs w:val="17"/>
          <w:color w:val="auto"/>
        </w:rPr>
        <w:t>) pertaining to the Company have been registered with the RCS.</w:t>
      </w:r>
    </w:p>
    <w:p>
      <w:pPr>
        <w:spacing w:after="0" w:line="104" w:lineRule="exact"/>
        <w:rPr>
          <w:sz w:val="20"/>
          <w:szCs w:val="20"/>
          <w:color w:val="auto"/>
        </w:rPr>
      </w:pPr>
    </w:p>
    <w:p>
      <w:pPr>
        <w:ind w:left="4"/>
        <w:spacing w:after="0"/>
        <w:tabs>
          <w:tab w:leader="none" w:pos="10584" w:val="left"/>
        </w:tabs>
        <w:rPr>
          <w:sz w:val="20"/>
          <w:szCs w:val="20"/>
          <w:color w:val="auto"/>
        </w:rPr>
      </w:pPr>
      <w:r>
        <w:rPr>
          <w:rFonts w:ascii="Arial" w:cs="Arial" w:eastAsia="Arial" w:hAnsi="Arial"/>
          <w:sz w:val="16"/>
          <w:szCs w:val="16"/>
          <w:color w:val="auto"/>
        </w:rPr>
        <w:t>41696519</w:t>
      </w:r>
      <w:r>
        <w:rPr>
          <w:sz w:val="20"/>
          <w:szCs w:val="20"/>
          <w:color w:val="auto"/>
        </w:rPr>
        <w:tab/>
      </w:r>
      <w:r>
        <w:rPr>
          <w:rFonts w:ascii="Arial" w:cs="Arial" w:eastAsia="Arial" w:hAnsi="Arial"/>
          <w:sz w:val="16"/>
          <w:szCs w:val="16"/>
          <w:color w:val="auto"/>
        </w:rPr>
        <w:t>10/11</w:t>
      </w:r>
    </w:p>
    <w:p>
      <w:pPr>
        <w:sectPr>
          <w:pgSz w:w="11900" w:h="16838" w:orient="portrait"/>
          <w:cols w:equalWidth="0" w:num="1">
            <w:col w:w="11024"/>
          </w:cols>
          <w:pgMar w:left="436" w:top="688" w:right="439" w:bottom="1440" w:gutter="0" w:footer="0" w:header="0"/>
        </w:sectPr>
      </w:pPr>
    </w:p>
    <w:bookmarkStart w:id="79" w:name="page80"/>
    <w:bookmarkEnd w:id="79"/>
    <w:p>
      <w:pPr>
        <w:ind w:left="544" w:hanging="544"/>
        <w:spacing w:after="0"/>
        <w:tabs>
          <w:tab w:leader="none" w:pos="5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171450"/>
                    </a:xfrm>
                    <a:prstGeom prst="rect">
                      <a:avLst/>
                    </a:prstGeom>
                    <a:noFill/>
                  </pic:spPr>
                </pic:pic>
              </a:graphicData>
            </a:graphic>
          </wp:anchor>
        </w:drawing>
        <w:t>POWERS OF ATTORNEY</w:t>
      </w:r>
    </w:p>
    <w:p>
      <w:pPr>
        <w:spacing w:after="0" w:line="121" w:lineRule="exact"/>
        <w:rPr>
          <w:rFonts w:ascii="Arial" w:cs="Arial" w:eastAsia="Arial" w:hAnsi="Arial"/>
          <w:sz w:val="18"/>
          <w:szCs w:val="18"/>
          <w:b w:val="1"/>
          <w:bCs w:val="1"/>
          <w:color w:val="auto"/>
        </w:rPr>
      </w:pPr>
    </w:p>
    <w:p>
      <w:pPr>
        <w:ind w:left="544"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Under Luxembourg law, each power of attorney, mandate or appointment of agent, whether or not irrevocable, may terminate by virtue of law without notice upon the occurrence of Insolvency Proceedings and may be revoked despite being expressed to be irrevocable.</w:t>
      </w:r>
    </w:p>
    <w:p>
      <w:pPr>
        <w:spacing w:after="0" w:line="291" w:lineRule="exact"/>
        <w:rPr>
          <w:sz w:val="20"/>
          <w:szCs w:val="20"/>
          <w:color w:val="auto"/>
        </w:rPr>
      </w:pPr>
    </w:p>
    <w:p>
      <w:pPr>
        <w:ind w:left="544" w:hanging="544"/>
        <w:spacing w:after="0"/>
        <w:tabs>
          <w:tab w:leader="none" w:pos="54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We express no opinion on general defences under Luxembourg law, such as duress, deceit (</w:t>
      </w:r>
      <w:r>
        <w:rPr>
          <w:rFonts w:ascii="Arial" w:cs="Arial" w:eastAsia="Arial" w:hAnsi="Arial"/>
          <w:sz w:val="16"/>
          <w:szCs w:val="16"/>
          <w:i w:val="1"/>
          <w:iCs w:val="1"/>
          <w:color w:val="auto"/>
        </w:rPr>
        <w:t>dol</w:t>
      </w:r>
      <w:r>
        <w:rPr>
          <w:rFonts w:ascii="Arial" w:cs="Arial" w:eastAsia="Arial" w:hAnsi="Arial"/>
          <w:sz w:val="16"/>
          <w:szCs w:val="16"/>
          <w:color w:val="auto"/>
        </w:rPr>
        <w:t>) or mistake (</w:t>
      </w:r>
      <w:r>
        <w:rPr>
          <w:rFonts w:ascii="Arial" w:cs="Arial" w:eastAsia="Arial" w:hAnsi="Arial"/>
          <w:sz w:val="16"/>
          <w:szCs w:val="16"/>
          <w:i w:val="1"/>
          <w:iCs w:val="1"/>
          <w:color w:val="auto"/>
        </w:rPr>
        <w:t>erreur</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registration of the Opinion Documents (and/or any documents in connection therewith) with the Registration, Estates and VAT Department</w:t>
      </w:r>
    </w:p>
    <w:p>
      <w:pPr>
        <w:spacing w:after="0" w:line="23" w:lineRule="exact"/>
        <w:rPr>
          <w:sz w:val="20"/>
          <w:szCs w:val="20"/>
          <w:color w:val="auto"/>
        </w:rPr>
      </w:pPr>
    </w:p>
    <w:p>
      <w:pPr>
        <w:ind w:left="544" w:right="7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Administration de I’enregistrement, des domaines et de la TVA</w:t>
      </w:r>
      <w:r>
        <w:rPr>
          <w:rFonts w:ascii="Arial" w:cs="Arial" w:eastAsia="Arial" w:hAnsi="Arial"/>
          <w:sz w:val="16"/>
          <w:szCs w:val="16"/>
          <w:color w:val="auto"/>
        </w:rPr>
        <w:t>) in Luxembourg is required in case the Opinion Documents (and/or any documents in connection therewith) are (i) enclosed to a deed which is compulsorily registrable (</w:t>
      </w:r>
      <w:r>
        <w:rPr>
          <w:rFonts w:ascii="Arial" w:cs="Arial" w:eastAsia="Arial" w:hAnsi="Arial"/>
          <w:sz w:val="16"/>
          <w:szCs w:val="16"/>
          <w:i w:val="1"/>
          <w:iCs w:val="1"/>
          <w:color w:val="auto"/>
        </w:rPr>
        <w:t>acte obligatoirement enregistrable</w:t>
      </w:r>
      <w:r>
        <w:rPr>
          <w:rFonts w:ascii="Arial" w:cs="Arial" w:eastAsia="Arial" w:hAnsi="Arial"/>
          <w:sz w:val="16"/>
          <w:szCs w:val="16"/>
          <w:color w:val="auto"/>
        </w:rPr>
        <w:t>) or</w:t>
      </w:r>
    </w:p>
    <w:p>
      <w:pPr>
        <w:spacing w:after="0" w:line="1" w:lineRule="exact"/>
        <w:rPr>
          <w:sz w:val="20"/>
          <w:szCs w:val="20"/>
          <w:color w:val="auto"/>
        </w:rPr>
      </w:pPr>
    </w:p>
    <w:p>
      <w:pPr>
        <w:ind w:left="544" w:right="120" w:hanging="4"/>
        <w:spacing w:after="0" w:line="253" w:lineRule="auto"/>
        <w:tabs>
          <w:tab w:leader="none" w:pos="8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deposited with the official records of a notary (</w:t>
      </w:r>
      <w:r>
        <w:rPr>
          <w:rFonts w:ascii="Arial" w:cs="Arial" w:eastAsia="Arial" w:hAnsi="Arial"/>
          <w:sz w:val="18"/>
          <w:szCs w:val="18"/>
          <w:i w:val="1"/>
          <w:iCs w:val="1"/>
          <w:color w:val="auto"/>
        </w:rPr>
        <w:t>déposé au rang des minutes d’un notaire</w:t>
      </w:r>
      <w:r>
        <w:rPr>
          <w:rFonts w:ascii="Arial" w:cs="Arial" w:eastAsia="Arial" w:hAnsi="Arial"/>
          <w:sz w:val="18"/>
          <w:szCs w:val="18"/>
          <w:color w:val="auto"/>
        </w:rPr>
        <w:t>). Even if registration is not required by law, the Opinion Documents (and/or any documents in connection therewith) can also be produced for registration (</w:t>
      </w:r>
      <w:r>
        <w:rPr>
          <w:rFonts w:ascii="Arial" w:cs="Arial" w:eastAsia="Arial" w:hAnsi="Arial"/>
          <w:sz w:val="18"/>
          <w:szCs w:val="18"/>
          <w:i w:val="1"/>
          <w:iCs w:val="1"/>
          <w:color w:val="auto"/>
        </w:rPr>
        <w:t>présenté à I’enregistrement</w:t>
      </w:r>
      <w:r>
        <w:rPr>
          <w:rFonts w:ascii="Arial" w:cs="Arial" w:eastAsia="Arial" w:hAnsi="Arial"/>
          <w:sz w:val="18"/>
          <w:szCs w:val="18"/>
          <w:color w:val="auto"/>
        </w:rPr>
        <w:t xml:space="preserve">). In case of registration, registration duties will apply in the form of a fixed amount or an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amount depending on the nature of the document. The Luxembourg courts or the official Luxembourg authority may require that the Opinion Documents (and any documents in connection therewith) are translated into French, German or Luxembourgish.</w:t>
      </w:r>
    </w:p>
    <w:p>
      <w:pPr>
        <w:spacing w:after="0" w:line="123" w:lineRule="exact"/>
        <w:rPr>
          <w:sz w:val="20"/>
          <w:szCs w:val="20"/>
          <w:color w:val="auto"/>
        </w:rPr>
      </w:pPr>
    </w:p>
    <w:p>
      <w:pPr>
        <w:ind w:left="4"/>
        <w:spacing w:after="0"/>
        <w:tabs>
          <w:tab w:leader="none" w:pos="10604" w:val="left"/>
        </w:tabs>
        <w:rPr>
          <w:sz w:val="20"/>
          <w:szCs w:val="20"/>
          <w:color w:val="auto"/>
        </w:rPr>
      </w:pPr>
      <w:r>
        <w:rPr>
          <w:rFonts w:ascii="Arial" w:cs="Arial" w:eastAsia="Arial" w:hAnsi="Arial"/>
          <w:sz w:val="15"/>
          <w:szCs w:val="15"/>
          <w:color w:val="auto"/>
        </w:rPr>
        <w:t>41696519</w:t>
      </w:r>
      <w:r>
        <w:rPr>
          <w:sz w:val="20"/>
          <w:szCs w:val="20"/>
          <w:color w:val="auto"/>
        </w:rPr>
        <w:tab/>
      </w:r>
      <w:r>
        <w:rPr>
          <w:rFonts w:ascii="Arial" w:cs="Arial" w:eastAsia="Arial" w:hAnsi="Arial"/>
          <w:sz w:val="15"/>
          <w:szCs w:val="15"/>
          <w:color w:val="auto"/>
        </w:rPr>
        <w:t>11/11</w:t>
      </w:r>
    </w:p>
    <w:p>
      <w:pPr>
        <w:sectPr>
          <w:pgSz w:w="11900" w:h="16838" w:orient="portrait"/>
          <w:cols w:equalWidth="0" w:num="1">
            <w:col w:w="11024"/>
          </w:cols>
          <w:pgMar w:left="436" w:top="688" w:right="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5.3</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Houston, Texas 77056-2722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ind w:left="10004"/>
        <w:spacing w:after="0"/>
        <w:rPr>
          <w:sz w:val="20"/>
          <w:szCs w:val="20"/>
          <w:color w:val="auto"/>
        </w:rPr>
      </w:pPr>
      <w:r>
        <w:rPr>
          <w:rFonts w:ascii="Arial" w:cs="Arial" w:eastAsia="Arial" w:hAnsi="Arial"/>
          <w:sz w:val="16"/>
          <w:szCs w:val="16"/>
          <w:color w:val="auto"/>
        </w:rPr>
        <w:t>June 26, 2020</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Schlumberger N.V. (also referred to as Schlumberger Limited)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We have acted as legal counsel to Schlumberger N.V. (also referred to as Schlumberger Limited), a limited liability company organized under the laws of Curaçao (the “Company”), in connection with the preparation of the filing by the Company and Schlumberger Investment SA, a public company limited by shares (</w:t>
      </w:r>
      <w:r>
        <w:rPr>
          <w:rFonts w:ascii="Arial" w:cs="Arial" w:eastAsia="Arial" w:hAnsi="Arial"/>
          <w:sz w:val="16"/>
          <w:szCs w:val="16"/>
          <w:i w:val="1"/>
          <w:iCs w:val="1"/>
          <w:u w:val="single" w:color="auto"/>
          <w:color w:val="auto"/>
        </w:rPr>
        <w:t>société anonyme</w:t>
      </w:r>
      <w:r>
        <w:rPr>
          <w:rFonts w:ascii="Arial" w:cs="Arial" w:eastAsia="Arial" w:hAnsi="Arial"/>
          <w:sz w:val="16"/>
          <w:szCs w:val="16"/>
          <w:color w:val="auto"/>
        </w:rPr>
        <w:t>) organized under the laws of the Grand Duchy of Luxembourg (“SISA”), of a Registration Statement on Form S-3 (Registration No. 333-231029) (the “Registration Statement”), with the Securities and Exchange Commission (the “Commission”) under the Securities Act of 1933, as amended (the “Act”), relating to the registration under the Act of (i) senior unsecured debt securities of SISA (the “Debt Securities”) and</w:t>
      </w:r>
    </w:p>
    <w:p>
      <w:pPr>
        <w:spacing w:after="0" w:line="2" w:lineRule="exact"/>
        <w:rPr>
          <w:sz w:val="20"/>
          <w:szCs w:val="20"/>
          <w:color w:val="auto"/>
        </w:rPr>
      </w:pPr>
    </w:p>
    <w:p>
      <w:pPr>
        <w:jc w:val="both"/>
        <w:ind w:left="4" w:right="220" w:hanging="4"/>
        <w:spacing w:after="0" w:line="255" w:lineRule="auto"/>
        <w:tabs>
          <w:tab w:leader="none" w:pos="2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guarantees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w:t>
      </w:r>
    </w:p>
    <w:p>
      <w:pPr>
        <w:spacing w:after="0" w:line="190"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Registration Statement has been filed with the Commission. A related prospectus dated April 25, 2019 and a prospectus supplement dated June 17, 2020 relating to the Notes and the Guarantee (as defined below) (collectively the “Prospectus”) have been filed by SISA and the Company with the Commission pursuant to Rule 424(b) under the Act.</w:t>
      </w:r>
    </w:p>
    <w:p>
      <w:pPr>
        <w:spacing w:after="0" w:line="184"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On June 17, 2020, SISA and the Company entered into an underwriting agreement (the “Underwriting Agreement”) with Citigroup Global Markets Inc., HSBC Securities (USA) Inc., J.P. Morgan Securities LLC and SG Americas Securities, LLC, as representatives of the several underwriters (collectively the “Underwriters”), providing for the issuance and sale by SISA to the Underwriters of $900,000,000 aggregate principal amount of SISA’s 2.650% Senior Notes due 2030 (the “Notes”), all to be fully and unconditionally guaranteed (the “Guarantee”) by the Company, as guarantor.</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opinion is limited to matters governed by the laws of Curaçao.</w:t>
      </w:r>
    </w:p>
    <w:p>
      <w:pPr>
        <w:sectPr>
          <w:pgSz w:w="11900" w:h="16838" w:orient="portrait"/>
          <w:cols w:equalWidth="0" w:num="1">
            <w:col w:w="11024"/>
          </w:cols>
          <w:pgMar w:left="436" w:top="121" w:right="439" w:bottom="1440" w:gutter="0" w:footer="0" w:header="0"/>
        </w:sectPr>
      </w:pPr>
    </w:p>
    <w:bookmarkStart w:id="81" w:name="page82"/>
    <w:bookmarkEnd w:id="81"/>
    <w:p>
      <w:pPr>
        <w:ind w:left="4"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reviewed each of the Articles of Incorporation, the Amended and Restated Bylaws of the Company, each as amended to date, the Registration Statement, the Prospectus, the Indenture (the “Base Indenture”) among SISA, the Company, as guarantor, and The Bank of New York Mellon, as trustee, registrar, paying agent and transfer agent (the “Trustee”), in the form of Exhibit 4.1 to the Registration Statement, the Second Supplemental Indenture (the “Second Supplemental Indenture” and, together with the Base Indenture the “Indenture”) among SISA, the Company and the Trustee, in the form of Exhibit 4.1 to the Current Report on Form 8-K, 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Based upon our examination as aforesaid, we are of the opinion that:</w:t>
      </w:r>
    </w:p>
    <w:p>
      <w:pPr>
        <w:spacing w:after="0" w:line="131" w:lineRule="exact"/>
        <w:rPr>
          <w:sz w:val="20"/>
          <w:szCs w:val="20"/>
          <w:color w:val="auto"/>
        </w:rPr>
      </w:pPr>
    </w:p>
    <w:p>
      <w:pPr>
        <w:ind w:left="424" w:right="14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and is currently validly existing as a limited liability company (</w:t>
      </w:r>
      <w:r>
        <w:rPr>
          <w:rFonts w:ascii="Arial" w:cs="Arial" w:eastAsia="Arial" w:hAnsi="Arial"/>
          <w:sz w:val="18"/>
          <w:szCs w:val="18"/>
          <w:i w:val="1"/>
          <w:iCs w:val="1"/>
          <w:u w:val="single" w:color="auto"/>
          <w:color w:val="auto"/>
        </w:rPr>
        <w:t>naamloze vennootschap</w:t>
      </w:r>
      <w:r>
        <w:rPr>
          <w:rFonts w:ascii="Arial" w:cs="Arial" w:eastAsia="Arial" w:hAnsi="Arial"/>
          <w:sz w:val="18"/>
          <w:szCs w:val="18"/>
          <w:color w:val="auto"/>
        </w:rPr>
        <w:t>) under the laws of Curaçao.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Guarantee has been duly authorized and the Indenture has been duly authorized, executed and delivered by the Company.</w:t>
      </w:r>
    </w:p>
    <w:p>
      <w:pPr>
        <w:spacing w:after="0" w:line="225"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w:t>
      </w:r>
    </w:p>
    <w:p>
      <w:pPr>
        <w:spacing w:after="0" w:line="124"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color w:val="auto"/>
        </w:rPr>
        <w:t>We understand that Gibson, Dunn &amp; Crutcher LLP intends to rely upon this opinion for purposes of the opinion such firm expects to deliver in connection with the Notes and the Guarantee and we hereby consent to such reliance as though this opinion were addressed to such firm.</w:t>
      </w:r>
    </w:p>
    <w:p>
      <w:pPr>
        <w:spacing w:after="0" w:line="15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STvB Advocaten (Europe) N.V.</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of Registered Guaranteed Debt Securities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Schlumberger Investment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the Grand Duchy of Luxembourg (“SISA”), is an indirect wholly-owned subsidiary of Schlumberger Limited (the “Guarantor”).</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June 26, 2020, SISA was the issuer of its 3.650% Senior Notes due 2023 and 2.650% Senior Notes due 2030 (together, the “Notes”). The Guarantor fully and unconditionally guarantees the Notes on a senior unsecured basis.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Letter"/>
      <w:start w:val="4"/>
    </w:lvl>
  </w:abstractNum>
  <w:abstractNum w:abstractNumId="2">
    <w:nsid w:val="75C6C33A"/>
    <w:multiLevelType w:val="hybridMultilevel"/>
    <w:lvl w:ilvl="0">
      <w:lvlJc w:val="left"/>
      <w:lvlText w:val="1"/>
      <w:numFmt w:val="bullet"/>
      <w:start w:val="1"/>
    </w:lvl>
  </w:abstractNum>
  <w:abstractNum w:abstractNumId="3">
    <w:nsid w:val="12E685FB"/>
    <w:multiLevelType w:val="hybridMultilevel"/>
    <w:lvl w:ilvl="0">
      <w:lvlJc w:val="left"/>
      <w:lvlText w:val="%1"/>
      <w:numFmt w:val="decimal"/>
      <w:start w:val="22"/>
    </w:lvl>
  </w:abstractNum>
  <w:abstractNum w:abstractNumId="4">
    <w:nsid w:val="70C6A529"/>
    <w:multiLevelType w:val="hybridMultilevel"/>
    <w:lvl w:ilvl="0">
      <w:lvlJc w:val="left"/>
      <w:lvlText w:val="%1."/>
      <w:numFmt w:val="decimal"/>
      <w:start w:val="2"/>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5"/>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1)"/>
      <w:numFmt w:val="lowerLetter"/>
      <w:start w:val="4"/>
    </w:lvl>
  </w:abstractNum>
  <w:abstractNum w:abstractNumId="9">
    <w:nsid w:val="649BB77C"/>
    <w:multiLevelType w:val="hybridMultilevel"/>
    <w:lvl w:ilvl="0">
      <w:lvlJc w:val="left"/>
      <w:lvlText w:val="(%1)"/>
      <w:numFmt w:val="lowerLetter"/>
      <w:start w:val="5"/>
    </w:lvl>
  </w:abstractNum>
  <w:abstractNum w:abstractNumId="10">
    <w:nsid w:val="275AC794"/>
    <w:multiLevelType w:val="hybridMultilevel"/>
    <w:lvl w:ilvl="0">
      <w:lvlJc w:val="left"/>
      <w:lvlText w:val="(%1)"/>
      <w:numFmt w:val="lowerLetter"/>
      <w:start w:val="12"/>
    </w:lvl>
  </w:abstractNum>
  <w:abstractNum w:abstractNumId="11">
    <w:nsid w:val="39386575"/>
    <w:multiLevelType w:val="hybridMultilevel"/>
    <w:lvl w:ilvl="0">
      <w:lvlJc w:val="left"/>
      <w:lvlText w:val="(%1)"/>
      <w:numFmt w:val="lowerLetter"/>
      <w:start w:val="1"/>
    </w:lvl>
  </w:abstractNum>
  <w:abstractNum w:abstractNumId="12">
    <w:nsid w:val="1CF10FD8"/>
    <w:multiLevelType w:val="hybridMultilevel"/>
    <w:lvl w:ilvl="0">
      <w:lvlJc w:val="left"/>
      <w:lvlText w:val="(%1)"/>
      <w:numFmt w:val="lowerLetter"/>
      <w:start w:val="4"/>
    </w:lvl>
  </w:abstractNum>
  <w:abstractNum w:abstractNumId="13">
    <w:nsid w:val="180115BE"/>
    <w:multiLevelType w:val="hybridMultilevel"/>
    <w:lvl w:ilvl="0">
      <w:lvlJc w:val="left"/>
      <w:lvlText w:val="(%1)"/>
      <w:numFmt w:val="lowerLetter"/>
      <w:start w:val="7"/>
    </w:lvl>
  </w:abstractNum>
  <w:abstractNum w:abstractNumId="14">
    <w:nsid w:val="235BA861"/>
    <w:multiLevelType w:val="hybridMultilevel"/>
    <w:lvl w:ilvl="0">
      <w:lvlJc w:val="left"/>
      <w:lvlText w:val="(%1)"/>
      <w:numFmt w:val="lowerLetter"/>
      <w:start w:val="10"/>
    </w:lvl>
  </w:abstractNum>
  <w:abstractNum w:abstractNumId="15">
    <w:nsid w:val="47398C89"/>
    <w:multiLevelType w:val="hybridMultilevel"/>
    <w:lvl w:ilvl="0">
      <w:lvlJc w:val="left"/>
      <w:lvlText w:val="(%1)"/>
      <w:numFmt w:val="lowerLetter"/>
      <w:start w:val="17"/>
    </w:lvl>
  </w:abstractNum>
  <w:abstractNum w:abstractNumId="16">
    <w:nsid w:val="354FE9F9"/>
    <w:multiLevelType w:val="hybridMultilevel"/>
    <w:lvl w:ilvl="0">
      <w:lvlJc w:val="left"/>
      <w:lvlText w:val="(%1)"/>
      <w:numFmt w:val="lowerLetter"/>
      <w:start w:val="20"/>
    </w:lvl>
  </w:abstractNum>
  <w:abstractNum w:abstractNumId="17">
    <w:nsid w:val="15B5AF5C"/>
    <w:multiLevelType w:val="hybridMultilevel"/>
    <w:lvl w:ilvl="0">
      <w:lvlJc w:val="left"/>
      <w:lvlText w:val="(%1)"/>
      <w:numFmt w:val="lowerLetter"/>
      <w:start w:val="25"/>
    </w:lvl>
  </w:abstractNum>
  <w:abstractNum w:abstractNumId="18">
    <w:nsid w:val="741226BB"/>
    <w:multiLevelType w:val="hybridMultilevel"/>
    <w:lvl w:ilvl="0">
      <w:lvlJc w:val="left"/>
      <w:lvlText w:val="(%1)"/>
      <w:numFmt w:val="lowerLetter"/>
      <w:start w:val="27"/>
    </w:lvl>
  </w:abstractNum>
  <w:abstractNum w:abstractNumId="19">
    <w:nsid w:val="D34B6A8"/>
    <w:multiLevelType w:val="hybridMultilevel"/>
    <w:lvl w:ilvl="0">
      <w:lvlJc w:val="left"/>
      <w:lvlText w:val="%1."/>
      <w:numFmt w:val="decimal"/>
      <w:start w:val="4"/>
    </w:lvl>
  </w:abstractNum>
  <w:abstractNum w:abstractNumId="20">
    <w:nsid w:val="10233C99"/>
    <w:multiLevelType w:val="hybridMultilevel"/>
    <w:lvl w:ilvl="0">
      <w:lvlJc w:val="left"/>
      <w:lvlText w:val="(%1)"/>
      <w:numFmt w:val="lowerLetter"/>
      <w:start w:val="1"/>
    </w:lvl>
  </w:abstractNum>
  <w:abstractNum w:abstractNumId="21">
    <w:nsid w:val="3F6AB60F"/>
    <w:multiLevelType w:val="hybridMultilevel"/>
    <w:lvl w:ilvl="0">
      <w:lvlJc w:val="left"/>
      <w:lvlText w:val="(%1)"/>
      <w:numFmt w:val="lowerLetter"/>
      <w:start w:val="4"/>
    </w:lvl>
  </w:abstractNum>
  <w:abstractNum w:abstractNumId="22">
    <w:nsid w:val="61574095"/>
    <w:multiLevelType w:val="hybridMultilevel"/>
    <w:lvl w:ilvl="0">
      <w:lvlJc w:val="left"/>
      <w:lvlText w:val="%1"/>
      <w:numFmt w:val="lowerLetter"/>
      <w:start w:val="1"/>
    </w:lvl>
    <w:lvl w:ilvl="1">
      <w:lvlJc w:val="left"/>
      <w:lvlText w:val="(%2)"/>
      <w:numFmt w:val="lowerLetter"/>
      <w:start w:val="6"/>
    </w:lvl>
  </w:abstractNum>
  <w:abstractNum w:abstractNumId="23">
    <w:nsid w:val="7E0C57B1"/>
    <w:multiLevelType w:val="hybridMultilevel"/>
    <w:lvl w:ilvl="0">
      <w:lvlJc w:val="left"/>
      <w:lvlText w:val="(%1)"/>
      <w:numFmt w:val="lowerLetter"/>
      <w:start w:val="35"/>
    </w:lvl>
    <w:lvl w:ilvl="1">
      <w:lvlJc w:val="left"/>
      <w:lvlText w:val="(%2)"/>
      <w:numFmt w:val="lowerLetter"/>
      <w:start w:val="7"/>
    </w:lvl>
  </w:abstractNum>
  <w:abstractNum w:abstractNumId="24">
    <w:nsid w:val="77AE35EB"/>
    <w:multiLevelType w:val="hybridMultilevel"/>
    <w:lvl w:ilvl="0">
      <w:lvlJc w:val="left"/>
      <w:lvlText w:val="(%1)"/>
      <w:numFmt w:val="lowerLetter"/>
      <w:start w:val="10"/>
    </w:lvl>
  </w:abstractNum>
  <w:abstractNum w:abstractNumId="25">
    <w:nsid w:val="579BE4F1"/>
    <w:multiLevelType w:val="hybridMultilevel"/>
    <w:lvl w:ilvl="0">
      <w:lvlJc w:val="left"/>
      <w:lvlText w:val="(%1)"/>
      <w:numFmt w:val="lowerLetter"/>
      <w:start w:val="1"/>
    </w:lvl>
  </w:abstractNum>
  <w:abstractNum w:abstractNumId="26">
    <w:nsid w:val="310C50B3"/>
    <w:multiLevelType w:val="hybridMultilevel"/>
    <w:lvl w:ilvl="0">
      <w:lvlJc w:val="left"/>
      <w:lvlText w:val="%1."/>
      <w:numFmt w:val="decimal"/>
      <w:start w:val="6"/>
    </w:lvl>
  </w:abstractNum>
  <w:abstractNum w:abstractNumId="27">
    <w:nsid w:val="5FF87E05"/>
    <w:multiLevelType w:val="hybridMultilevel"/>
    <w:lvl w:ilvl="0">
      <w:lvlJc w:val="left"/>
      <w:lvlText w:val="(%1)"/>
      <w:numFmt w:val="lowerLetter"/>
      <w:start w:val="1"/>
    </w:lvl>
  </w:abstractNum>
  <w:abstractNum w:abstractNumId="28">
    <w:nsid w:val="2F305DEF"/>
    <w:multiLevelType w:val="hybridMultilevel"/>
    <w:lvl w:ilvl="0">
      <w:lvlJc w:val="left"/>
      <w:lvlText w:val="(%1)"/>
      <w:numFmt w:val="lowerLetter"/>
      <w:start w:val="2"/>
    </w:lvl>
  </w:abstractNum>
  <w:abstractNum w:abstractNumId="29">
    <w:nsid w:val="25A70BF7"/>
    <w:multiLevelType w:val="hybridMultilevel"/>
    <w:lvl w:ilvl="0">
      <w:lvlJc w:val="left"/>
      <w:lvlText w:val="(%1)"/>
      <w:numFmt w:val="lowerLetter"/>
      <w:start w:val="6"/>
    </w:lvl>
  </w:abstractNum>
  <w:abstractNum w:abstractNumId="30">
    <w:nsid w:val="1DBABF00"/>
    <w:multiLevelType w:val="hybridMultilevel"/>
    <w:lvl w:ilvl="0">
      <w:lvlJc w:val="left"/>
      <w:lvlText w:val="(%1)"/>
      <w:numFmt w:val="lowerLetter"/>
      <w:start w:val="10"/>
    </w:lvl>
  </w:abstractNum>
  <w:abstractNum w:abstractNumId="31">
    <w:nsid w:val="4AD084E9"/>
    <w:multiLevelType w:val="hybridMultilevel"/>
    <w:lvl w:ilvl="0">
      <w:lvlJc w:val="left"/>
      <w:lvlText w:val="%1."/>
      <w:numFmt w:val="decimal"/>
      <w:start w:val="7"/>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lowerLetter"/>
      <w:start w:val="2"/>
    </w:lvl>
  </w:abstractNum>
  <w:abstractNum w:abstractNumId="34">
    <w:nsid w:val="5DB70AE5"/>
    <w:multiLevelType w:val="hybridMultilevel"/>
    <w:lvl w:ilvl="0">
      <w:lvlJc w:val="left"/>
      <w:lvlText w:val="(%1)"/>
      <w:numFmt w:val="lowerLetter"/>
      <w:start w:val="25"/>
    </w:lvl>
    <w:lvl w:ilvl="1">
      <w:lvlJc w:val="left"/>
      <w:lvlText w:val="(%2)"/>
      <w:numFmt w:val="lowerLetter"/>
      <w:start w:val="4"/>
    </w:lvl>
  </w:abstractNum>
  <w:abstractNum w:abstractNumId="35">
    <w:nsid w:val="100F8FCA"/>
    <w:multiLevelType w:val="hybridMultilevel"/>
    <w:lvl w:ilvl="0">
      <w:lvlJc w:val="left"/>
      <w:lvlText w:val="(%1)"/>
      <w:numFmt w:val="lowerLetter"/>
      <w:start w:val="5"/>
    </w:lvl>
  </w:abstractNum>
  <w:abstractNum w:abstractNumId="36">
    <w:nsid w:val="6590700B"/>
    <w:multiLevelType w:val="hybridMultilevel"/>
    <w:lvl w:ilvl="0">
      <w:lvlJc w:val="left"/>
      <w:lvlText w:val="%1."/>
      <w:numFmt w:val="decimal"/>
      <w:start w:val="8"/>
    </w:lvl>
  </w:abstractNum>
  <w:abstractNum w:abstractNumId="37">
    <w:nsid w:val="15014ACB"/>
    <w:multiLevelType w:val="hybridMultilevel"/>
    <w:lvl w:ilvl="0">
      <w:lvlJc w:val="left"/>
      <w:lvlText w:val="%1."/>
      <w:numFmt w:val="decimal"/>
      <w:start w:val="9"/>
    </w:lvl>
  </w:abstractNum>
  <w:abstractNum w:abstractNumId="38">
    <w:nsid w:val="5F5E7FD0"/>
    <w:multiLevelType w:val="hybridMultilevel"/>
    <w:lvl w:ilvl="0">
      <w:lvlJc w:val="left"/>
      <w:lvlText w:val="(%1)"/>
      <w:numFmt w:val="lowerLetter"/>
      <w:start w:val="1"/>
    </w:lvl>
  </w:abstractNum>
  <w:abstractNum w:abstractNumId="39">
    <w:nsid w:val="98A3148"/>
    <w:multiLevelType w:val="hybridMultilevel"/>
    <w:lvl w:ilvl="0">
      <w:lvlJc w:val="left"/>
      <w:lvlText w:val="(%1)"/>
      <w:numFmt w:val="lowerLetter"/>
      <w:start w:val="4"/>
    </w:lvl>
  </w:abstractNum>
  <w:abstractNum w:abstractNumId="40">
    <w:nsid w:val="799D0247"/>
    <w:multiLevelType w:val="hybridMultilevel"/>
    <w:lvl w:ilvl="0">
      <w:lvlJc w:val="left"/>
      <w:lvlText w:val="(%1)"/>
      <w:numFmt w:val="lowerLetter"/>
      <w:start w:val="5"/>
    </w:lvl>
  </w:abstractNum>
  <w:abstractNum w:abstractNumId="41">
    <w:nsid w:val="6B94764"/>
    <w:multiLevelType w:val="hybridMultilevel"/>
    <w:lvl w:ilvl="0">
      <w:lvlJc w:val="left"/>
      <w:lvlText w:val="%1."/>
      <w:numFmt w:val="decimal"/>
      <w:start w:val="10"/>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decimal"/>
      <w:start w:val="11"/>
    </w:lvl>
  </w:abstractNum>
  <w:abstractNum w:abstractNumId="44">
    <w:nsid w:val="1EBA5D23"/>
    <w:multiLevelType w:val="hybridMultilevel"/>
    <w:lvl w:ilvl="0">
      <w:lvlJc w:val="left"/>
      <w:lvlText w:val="(%1)"/>
      <w:numFmt w:val="lowerLetter"/>
      <w:start w:val="1"/>
    </w:lvl>
  </w:abstractNum>
  <w:abstractNum w:abstractNumId="45">
    <w:nsid w:val="661E3F1E"/>
    <w:multiLevelType w:val="hybridMultilevel"/>
    <w:lvl w:ilvl="0">
      <w:lvlJc w:val="left"/>
      <w:lvlText w:val="%1."/>
      <w:numFmt w:val="decimal"/>
      <w:start w:val="12"/>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decimal"/>
      <w:start w:val="13"/>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Letter"/>
      <w:start w:val="4"/>
    </w:lvl>
    <w:lvl w:ilvl="1">
      <w:lvlJc w:val="left"/>
      <w:lvlText w:val="(%2)"/>
      <w:numFmt w:val="lowerRoman"/>
      <w:start w:val="1"/>
    </w:lvl>
  </w:abstractNum>
  <w:abstractNum w:abstractNumId="50">
    <w:nsid w:val="613EFDC5"/>
    <w:multiLevelType w:val="hybridMultilevel"/>
    <w:lvl w:ilvl="0">
      <w:lvlJc w:val="left"/>
      <w:lvlText w:val="%1."/>
      <w:numFmt w:val="decimal"/>
      <w:start w:val="16"/>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lowerLetter"/>
      <w:start w:val="3"/>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upperLetter"/>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4"/>
    </w:lvl>
  </w:abstractNum>
  <w:abstractNum w:abstractNumId="57">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8">
    <w:nsid w:val="68EB2F63"/>
    <w:multiLevelType w:val="hybridMultilevel"/>
    <w:lvl w:ilvl="0">
      <w:lvlJc w:val="left"/>
      <w:lvlText w:val="(%1)"/>
      <w:numFmt w:val="lowerLetter"/>
      <w:start w:val="1"/>
    </w:lvl>
  </w:abstractNum>
  <w:abstractNum w:abstractNumId="59">
    <w:nsid w:val="4962813B"/>
    <w:multiLevelType w:val="hybridMultilevel"/>
    <w:lvl w:ilvl="0">
      <w:lvlJc w:val="left"/>
      <w:lvlText w:val="(%1)"/>
      <w:numFmt w:val="lowerLetter"/>
      <w:start w:val="3"/>
    </w:lvl>
    <w:lvl w:ilvl="1">
      <w:lvlJc w:val="left"/>
      <w:lvlText w:val="(%2)"/>
      <w:numFmt w:val="lowerRoman"/>
      <w:start w:val="1"/>
    </w:lvl>
  </w:abstractNum>
  <w:abstractNum w:abstractNumId="60">
    <w:nsid w:val="60B6DF70"/>
    <w:multiLevelType w:val="hybridMultilevel"/>
    <w:lvl w:ilvl="0">
      <w:lvlJc w:val="left"/>
      <w:lvlText w:val="(%1)"/>
      <w:numFmt w:val="lowerLetter"/>
      <w:start w:val="1"/>
    </w:lvl>
    <w:lvl w:ilvl="1">
      <w:lvlJc w:val="left"/>
      <w:lvlText w:val="(%2)"/>
      <w:numFmt w:val="lowerLetter"/>
      <w:start w:val="9"/>
    </w:lvl>
  </w:abstractNum>
  <w:abstractNum w:abstractNumId="61">
    <w:nsid w:val="6A5EE64"/>
    <w:multiLevelType w:val="hybridMultilevel"/>
    <w:lvl w:ilvl="0">
      <w:lvlJc w:val="left"/>
      <w:lvlText w:val="(%1)"/>
      <w:numFmt w:val="lowerRoman"/>
      <w:start w:val="2"/>
    </w:lvl>
  </w:abstractNum>
  <w:abstractNum w:abstractNumId="62">
    <w:nsid w:val="14330624"/>
    <w:multiLevelType w:val="hybridMultilevel"/>
    <w:lvl w:ilvl="0">
      <w:lvlJc w:val="left"/>
      <w:lvlText w:val="(%1)"/>
      <w:numFmt w:val="lowerLetter"/>
      <w:start w:val="2"/>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3"/>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lowerLetter"/>
      <w:start w:val="2"/>
    </w:lvl>
  </w:abstractNum>
  <w:abstractNum w:abstractNumId="69">
    <w:nsid w:val="6F6DD9AC"/>
    <w:multiLevelType w:val="hybridMultilevel"/>
    <w:lvl w:ilvl="0">
      <w:lvlJc w:val="left"/>
      <w:lvlText w:val="%1."/>
      <w:numFmt w:val="decimal"/>
      <w:start w:val="6"/>
    </w:lvl>
  </w:abstractNum>
  <w:abstractNum w:abstractNumId="70">
    <w:nsid w:val="94211F2"/>
    <w:multiLevelType w:val="hybridMultilevel"/>
    <w:lvl w:ilvl="0">
      <w:lvlJc w:val="left"/>
      <w:lvlText w:val="%1."/>
      <w:numFmt w:val="decimal"/>
      <w:start w:val="9"/>
    </w:lvl>
  </w:abstractNum>
  <w:abstractNum w:abstractNumId="71">
    <w:nsid w:val="885E1B"/>
    <w:multiLevelType w:val="hybridMultilevel"/>
    <w:lvl w:ilvl="0">
      <w:lvlJc w:val="left"/>
      <w:lvlText w:val="%1"/>
      <w:numFmt w:val="lowerLetter"/>
      <w:start w:val="1"/>
    </w:lvl>
    <w:lvl w:ilvl="1">
      <w:lvlJc w:val="left"/>
      <w:lvlText w:val="%2."/>
      <w:numFmt w:val="decimal"/>
      <w:start w:val="10"/>
    </w:lvl>
  </w:abstractNum>
  <w:abstractNum w:abstractNumId="72">
    <w:nsid w:val="76272110"/>
    <w:multiLevelType w:val="hybridMultilevel"/>
    <w:lvl w:ilvl="0">
      <w:lvlJc w:val="left"/>
      <w:lvlText w:val="(%1)"/>
      <w:numFmt w:val="lowerLetter"/>
      <w:start w:val="7"/>
    </w:lvl>
    <w:lvl w:ilvl="1">
      <w:lvlJc w:val="left"/>
      <w:lvlText w:val="%2"/>
      <w:numFmt w:val="decimal"/>
      <w:start w:val="1"/>
    </w:lvl>
  </w:abstractNum>
  <w:abstractNum w:abstractNumId="73">
    <w:nsid w:val="4C04A8AF"/>
    <w:multiLevelType w:val="hybridMultilevel"/>
    <w:lvl w:ilvl="0">
      <w:lvlJc w:val="left"/>
      <w:lvlText w:val="%1."/>
      <w:numFmt w:val="decimal"/>
      <w:start w:val="11"/>
    </w:lvl>
  </w:abstractNum>
  <w:abstractNum w:abstractNumId="74">
    <w:nsid w:val="1716703B"/>
    <w:multiLevelType w:val="hybridMultilevel"/>
    <w:lvl w:ilvl="0">
      <w:lvlJc w:val="left"/>
      <w:lvlText w:val="%1"/>
      <w:numFmt w:val="lowerRoman"/>
      <w:start w:val="1"/>
    </w:lvl>
    <w:lvl w:ilvl="1">
      <w:lvlJc w:val="left"/>
      <w:lvlText w:val="%2."/>
      <w:numFmt w:val="upperLetter"/>
      <w:start w:val="1"/>
    </w:lvl>
  </w:abstractNum>
  <w:abstractNum w:abstractNumId="75">
    <w:nsid w:val="14E17E33"/>
    <w:multiLevelType w:val="hybridMultilevel"/>
    <w:lvl w:ilvl="0">
      <w:lvlJc w:val="left"/>
      <w:lvlText w:val="(%1)"/>
      <w:numFmt w:val="lowerRoman"/>
      <w:start w:val="2"/>
    </w:lvl>
    <w:lvl w:ilvl="1">
      <w:lvlJc w:val="left"/>
      <w:lvlText w:val="%2"/>
      <w:numFmt w:val="upperLetter"/>
      <w:start w:val="1"/>
    </w:lvl>
  </w:abstractNum>
  <w:abstractNum w:abstractNumId="76">
    <w:nsid w:val="3222E7CD"/>
    <w:multiLevelType w:val="hybridMultilevel"/>
    <w:lvl w:ilvl="0">
      <w:lvlJc w:val="left"/>
      <w:lvlText w:val="1"/>
      <w:numFmt w:val="bullet"/>
      <w:start w:val="1"/>
    </w:lvl>
  </w:abstractNum>
  <w:abstractNum w:abstractNumId="77">
    <w:nsid w:val="74DE0EE3"/>
    <w:multiLevelType w:val="hybridMultilevel"/>
    <w:lvl w:ilvl="0">
      <w:lvlJc w:val="left"/>
      <w:lvlText w:val="2"/>
      <w:numFmt w:val="bullet"/>
      <w:start w:val="1"/>
    </w:lvl>
  </w:abstractNum>
  <w:abstractNum w:abstractNumId="78">
    <w:nsid w:val="68EBC550"/>
    <w:multiLevelType w:val="hybridMultilevel"/>
    <w:lvl w:ilvl="0">
      <w:lvlJc w:val="left"/>
      <w:lvlText w:val="3"/>
      <w:numFmt w:val="bullet"/>
      <w:start w:val="1"/>
    </w:lvl>
  </w:abstractNum>
  <w:abstractNum w:abstractNumId="79">
    <w:nsid w:val="2DF6D648"/>
    <w:multiLevelType w:val="hybridMultilevel"/>
    <w:lvl w:ilvl="0">
      <w:lvlJc w:val="left"/>
      <w:lvlText w:val="4"/>
      <w:numFmt w:val="bullet"/>
      <w:start w:val="1"/>
    </w:lvl>
  </w:abstractNum>
  <w:abstractNum w:abstractNumId="80">
    <w:nsid w:val="46B7D447"/>
    <w:multiLevelType w:val="hybridMultilevel"/>
    <w:lvl w:ilvl="0">
      <w:lvlJc w:val="left"/>
      <w:lvlText w:val="5"/>
      <w:numFmt w:val="bullet"/>
      <w:start w:val="1"/>
    </w:lvl>
  </w:abstractNum>
  <w:abstractNum w:abstractNumId="81">
    <w:nsid w:val="4A2AC315"/>
    <w:multiLevelType w:val="hybridMultilevel"/>
    <w:lvl w:ilvl="0">
      <w:lvlJc w:val="left"/>
      <w:lvlText w:val="6"/>
      <w:numFmt w:val="bullet"/>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bullet"/>
      <w:start w:val="1"/>
    </w:lvl>
  </w:abstractNum>
  <w:abstractNum w:abstractNumId="84">
    <w:nsid w:val="CC1016F"/>
    <w:multiLevelType w:val="hybridMultilevel"/>
    <w:lvl w:ilvl="0">
      <w:lvlJc w:val="left"/>
      <w:lvlText w:val="2"/>
      <w:numFmt w:val="bullet"/>
      <w:start w:val="1"/>
    </w:lvl>
  </w:abstractNum>
  <w:abstractNum w:abstractNumId="85">
    <w:nsid w:val="43F18422"/>
    <w:multiLevelType w:val="hybridMultilevel"/>
    <w:lvl w:ilvl="0">
      <w:lvlJc w:val="left"/>
      <w:lvlText w:val="3"/>
      <w:numFmt w:val="bullet"/>
      <w:start w:val="1"/>
    </w:lvl>
  </w:abstractNum>
  <w:abstractNum w:abstractNumId="86">
    <w:nsid w:val="60EF0119"/>
    <w:multiLevelType w:val="hybridMultilevel"/>
    <w:lvl w:ilvl="0">
      <w:lvlJc w:val="left"/>
      <w:lvlText w:val="1"/>
      <w:numFmt w:val="bullet"/>
      <w:start w:val="1"/>
    </w:lvl>
  </w:abstractNum>
  <w:abstractNum w:abstractNumId="87">
    <w:nsid w:val="26F324BA"/>
    <w:multiLevelType w:val="hybridMultilevel"/>
    <w:lvl w:ilvl="0">
      <w:lvlJc w:val="left"/>
      <w:lvlText w:val="2"/>
      <w:numFmt w:val="bullet"/>
      <w:start w:val="1"/>
    </w:lvl>
  </w:abstractNum>
  <w:abstractNum w:abstractNumId="88">
    <w:nsid w:val="7F01579B"/>
    <w:multiLevelType w:val="hybridMultilevel"/>
    <w:lvl w:ilvl="0">
      <w:lvlJc w:val="left"/>
      <w:lvlText w:val="3"/>
      <w:numFmt w:val="bullet"/>
      <w:start w:val="1"/>
    </w:lvl>
  </w:abstractNum>
  <w:abstractNum w:abstractNumId="89">
    <w:nsid w:val="49DA307D"/>
    <w:multiLevelType w:val="hybridMultilevel"/>
    <w:lvl w:ilvl="0">
      <w:lvlJc w:val="left"/>
      <w:lvlText w:val="4"/>
      <w:numFmt w:val="bullet"/>
      <w:start w:val="1"/>
    </w:lvl>
  </w:abstractNum>
  <w:abstractNum w:abstractNumId="90">
    <w:nsid w:val="7055A5F5"/>
    <w:multiLevelType w:val="hybridMultilevel"/>
    <w:lvl w:ilvl="0">
      <w:lvlJc w:val="left"/>
      <w:lvlText w:val="5"/>
      <w:numFmt w:val="bullet"/>
      <w:start w:val="1"/>
    </w:lvl>
  </w:abstractNum>
  <w:abstractNum w:abstractNumId="91">
    <w:nsid w:val="5FB8370B"/>
    <w:multiLevelType w:val="hybridMultilevel"/>
    <w:lvl w:ilvl="0">
      <w:lvlJc w:val="left"/>
      <w:lvlText w:val="6"/>
      <w:numFmt w:val="bullet"/>
      <w:start w:val="1"/>
    </w:lvl>
  </w:abstractNum>
  <w:abstractNum w:abstractNumId="92">
    <w:nsid w:val="50801EE1"/>
    <w:multiLevelType w:val="hybridMultilevel"/>
    <w:lvl w:ilvl="0">
      <w:lvlJc w:val="left"/>
      <w:lvlText w:val="7"/>
      <w:numFmt w:val="bullet"/>
      <w:start w:val="1"/>
    </w:lvl>
  </w:abstractNum>
  <w:abstractNum w:abstractNumId="93">
    <w:nsid w:val="488AC1A"/>
    <w:multiLevelType w:val="hybridMultilevel"/>
    <w:lvl w:ilvl="0">
      <w:lvlJc w:val="left"/>
      <w:lvlText w:val="1"/>
      <w:numFmt w:val="bullet"/>
      <w:start w:val="1"/>
    </w:lvl>
  </w:abstractNum>
  <w:abstractNum w:abstractNumId="94">
    <w:nsid w:val="5FB8011C"/>
    <w:multiLevelType w:val="hybridMultilevel"/>
    <w:lvl w:ilvl="0">
      <w:lvlJc w:val="left"/>
      <w:lvlText w:val="2"/>
      <w:numFmt w:val="bullet"/>
      <w:start w:val="1"/>
    </w:lvl>
  </w:abstractNum>
  <w:abstractNum w:abstractNumId="95">
    <w:nsid w:val="6AA78F7F"/>
    <w:multiLevelType w:val="hybridMultilevel"/>
    <w:lvl w:ilvl="0">
      <w:lvlJc w:val="left"/>
      <w:lvlText w:val="3"/>
      <w:numFmt w:val="bullet"/>
      <w:start w:val="1"/>
    </w:lvl>
  </w:abstractNum>
  <w:abstractNum w:abstractNumId="96">
    <w:nsid w:val="7672BD23"/>
    <w:multiLevelType w:val="hybridMultilevel"/>
    <w:lvl w:ilvl="0">
      <w:lvlJc w:val="left"/>
      <w:lvlText w:val="4"/>
      <w:numFmt w:val="bullet"/>
      <w:start w:val="1"/>
    </w:lvl>
  </w:abstractNum>
  <w:abstractNum w:abstractNumId="97">
    <w:nsid w:val="6FC75AF8"/>
    <w:multiLevelType w:val="hybridMultilevel"/>
    <w:lvl w:ilvl="0">
      <w:lvlJc w:val="left"/>
      <w:lvlText w:val="5"/>
      <w:numFmt w:val="bullet"/>
      <w:start w:val="1"/>
    </w:lvl>
  </w:abstractNum>
  <w:abstractNum w:abstractNumId="98">
    <w:nsid w:val="6A5F7029"/>
    <w:multiLevelType w:val="hybridMultilevel"/>
    <w:lvl w:ilvl="0">
      <w:lvlJc w:val="left"/>
      <w:lvlText w:val="(%1)"/>
      <w:numFmt w:val="lowerRoman"/>
      <w:start w:val="2"/>
    </w:lvl>
  </w:abstractNum>
  <w:abstractNum w:abstractNumId="99">
    <w:nsid w:val="7D5E18F8"/>
    <w:multiLevelType w:val="hybridMultilevel"/>
    <w:lvl w:ilvl="0">
      <w:lvlJc w:val="left"/>
      <w:lvlText w:val="(%1)"/>
      <w:numFmt w:val="lowerRoman"/>
      <w:start w:val="2"/>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2020-06-26T15:16:12Z</dcterms:created>
  <dcterms:modified xsi:type="dcterms:W3CDTF">2020-06-26T15:16:12Z</dcterms:modified>
</cp:coreProperties>
</file>