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214"/>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3040" w:type="dxa"/>
            <w:vAlign w:val="bottom"/>
          </w:tcPr>
          <w:p>
            <w:pPr>
              <w:jc w:val="center"/>
              <w:ind w:left="1817"/>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8"/>
        </w:trPr>
        <w:tc>
          <w:tcPr>
            <w:tcW w:w="4580" w:type="dxa"/>
            <w:vAlign w:val="bottom"/>
          </w:tcPr>
          <w:p>
            <w:pPr>
              <w:jc w:val="center"/>
              <w:ind w:right="185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3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58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3040" w:type="dxa"/>
            <w:vAlign w:val="bottom"/>
          </w:tcPr>
          <w:p>
            <w:pPr>
              <w:spacing w:after="0"/>
              <w:rPr>
                <w:sz w:val="24"/>
                <w:szCs w:val="24"/>
                <w:color w:val="auto"/>
              </w:rPr>
            </w:pPr>
          </w:p>
        </w:tc>
      </w:tr>
      <w:tr>
        <w:trPr>
          <w:trHeight w:val="238"/>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8"/>
              </w:rPr>
              <w:t>PARIS, FRANCE</w:t>
            </w:r>
          </w:p>
        </w:tc>
        <w:tc>
          <w:tcPr>
            <w:tcW w:w="3040" w:type="dxa"/>
            <w:vAlign w:val="bottom"/>
          </w:tcPr>
          <w:p>
            <w:pPr>
              <w:jc w:val="center"/>
              <w:ind w:left="1817"/>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5"/>
        </w:trPr>
        <w:tc>
          <w:tcPr>
            <w:tcW w:w="458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5599 SAN FELIPE</w:t>
            </w:r>
          </w:p>
        </w:tc>
        <w:tc>
          <w:tcPr>
            <w:tcW w:w="3040" w:type="dxa"/>
            <w:vAlign w:val="bottom"/>
          </w:tcPr>
          <w:p>
            <w:pPr>
              <w:spacing w:after="0"/>
              <w:rPr>
                <w:sz w:val="24"/>
                <w:szCs w:val="24"/>
                <w:color w:val="auto"/>
              </w:rPr>
            </w:pPr>
          </w:p>
        </w:tc>
      </w:tr>
      <w:tr>
        <w:trPr>
          <w:trHeight w:val="238"/>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HOUSTON, TEXAS, U.S.A.</w:t>
            </w:r>
          </w:p>
        </w:tc>
        <w:tc>
          <w:tcPr>
            <w:tcW w:w="3040" w:type="dxa"/>
            <w:vAlign w:val="bottom"/>
          </w:tcPr>
          <w:p>
            <w:pPr>
              <w:jc w:val="center"/>
              <w:ind w:left="1817"/>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5"/>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3040" w:type="dxa"/>
            <w:vAlign w:val="bottom"/>
          </w:tcPr>
          <w:p>
            <w:pPr>
              <w:spacing w:after="0"/>
              <w:rPr>
                <w:sz w:val="24"/>
                <w:szCs w:val="24"/>
                <w:color w:val="auto"/>
              </w:rPr>
            </w:pPr>
          </w:p>
        </w:tc>
      </w:tr>
      <w:tr>
        <w:trPr>
          <w:trHeight w:val="238"/>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LONDON, UNITED KINGDOM</w:t>
            </w:r>
          </w:p>
        </w:tc>
        <w:tc>
          <w:tcPr>
            <w:tcW w:w="304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315"/>
        </w:trPr>
        <w:tc>
          <w:tcPr>
            <w:tcW w:w="458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PARKSTRAAT 83, THE HAGUE,</w:t>
            </w:r>
          </w:p>
        </w:tc>
        <w:tc>
          <w:tcPr>
            <w:tcW w:w="3040" w:type="dxa"/>
            <w:vAlign w:val="bottom"/>
          </w:tcPr>
          <w:p>
            <w:pPr>
              <w:spacing w:after="0"/>
              <w:rPr>
                <w:sz w:val="24"/>
                <w:szCs w:val="24"/>
                <w:color w:val="auto"/>
              </w:rPr>
            </w:pPr>
          </w:p>
        </w:tc>
      </w:tr>
      <w:tr>
        <w:trPr>
          <w:trHeight w:val="214"/>
        </w:trPr>
        <w:tc>
          <w:tcPr>
            <w:tcW w:w="45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304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190"/>
        </w:trPr>
        <w:tc>
          <w:tcPr>
            <w:tcW w:w="4580" w:type="dxa"/>
            <w:vAlign w:val="bottom"/>
          </w:tcPr>
          <w:p>
            <w:pPr>
              <w:jc w:val="center"/>
              <w:ind w:right="1835"/>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3040" w:type="dxa"/>
            <w:vAlign w:val="bottom"/>
          </w:tcPr>
          <w:p>
            <w:pPr>
              <w:jc w:val="center"/>
              <w:ind w:left="1837"/>
              <w:spacing w:after="0"/>
              <w:rPr>
                <w:sz w:val="20"/>
                <w:szCs w:val="20"/>
                <w:color w:val="auto"/>
              </w:rPr>
            </w:pPr>
            <w:r>
              <w:rPr>
                <w:rFonts w:ascii="Times New Roman" w:cs="Times New Roman" w:eastAsia="Times New Roman" w:hAnsi="Times New Roman"/>
                <w:sz w:val="14"/>
                <w:szCs w:val="14"/>
                <w:b w:val="1"/>
                <w:bCs w:val="1"/>
                <w:color w:val="auto"/>
              </w:rPr>
              <w:t>(Zip Codes)</w:t>
            </w:r>
          </w:p>
        </w:tc>
      </w:tr>
    </w:tbl>
    <w:p>
      <w:pPr>
        <w:spacing w:after="0" w:line="6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  (713) 513-2000</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443" w:right="339" w:bottom="1440" w:gutter="0" w:footer="0" w:header="0"/>
        </w:sectPr>
      </w:pPr>
    </w:p>
    <w:p>
      <w:pPr>
        <w:spacing w:after="0" w:line="13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SLB</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19" w:lineRule="exact"/>
        <w:rPr>
          <w:sz w:val="24"/>
          <w:szCs w:val="24"/>
          <w:color w:val="auto"/>
        </w:rPr>
      </w:pPr>
    </w:p>
    <w:p>
      <w:pPr>
        <w:sectPr>
          <w:pgSz w:w="11900" w:h="16838" w:orient="portrait"/>
          <w:cols w:equalWidth="0" w:num="3">
            <w:col w:w="4260" w:space="720"/>
            <w:col w:w="1800" w:space="720"/>
            <w:col w:w="3740"/>
          </w:cols>
          <w:pgMar w:left="320" w:top="443" w:right="33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96"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2720" w:type="dxa"/>
            <w:vAlign w:val="bottom"/>
            <w:gridSpan w:val="2"/>
          </w:tcPr>
          <w:p>
            <w:pPr>
              <w:jc w:val="right"/>
              <w:ind w:right="2119"/>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80" w:type="dxa"/>
            <w:vAlign w:val="bottom"/>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at September 30, 2020</w:t>
            </w:r>
          </w:p>
        </w:tc>
      </w:tr>
      <w:tr>
        <w:trPr>
          <w:trHeight w:val="223"/>
        </w:trPr>
        <w:tc>
          <w:tcPr>
            <w:tcW w:w="8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72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1,392,030,009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1418590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Quarter 2020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8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Controls and Procedures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Defaults Upon Senior Securities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Mine Safety Disclosures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Other Information</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40" w:type="dxa"/>
            <w:vAlign w:val="bottom"/>
          </w:tcPr>
          <w:p>
            <w:pPr>
              <w:ind w:left="2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Exhibits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32"/>
        </w:trPr>
        <w:tc>
          <w:tcPr>
            <w:tcW w:w="90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r>
      <w:tr>
        <w:trPr>
          <w:trHeight w:val="442"/>
        </w:trPr>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1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9"/>
                <w:szCs w:val="19"/>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w:t>
            </w:r>
          </w:p>
        </w:tc>
        <w:tc>
          <w:tcPr>
            <w:tcW w:w="26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Product sales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5,257</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18,069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11,236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Impairments &amp; other</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12,596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Loss before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expense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(901)</w:t>
            </w: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loss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(10,868)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loss attributable to Schlumberger</w:t>
            </w:r>
          </w:p>
        </w:tc>
        <w:tc>
          <w:tcPr>
            <w:tcW w:w="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(10,892)</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loss per share of Schlumberger</w:t>
            </w:r>
          </w:p>
        </w:tc>
        <w:tc>
          <w:tcPr>
            <w:tcW w:w="12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(7.84)</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 of Schlumberger</w:t>
            </w:r>
          </w:p>
        </w:tc>
        <w:tc>
          <w:tcPr>
            <w:tcW w:w="12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(7.84)</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Assuming dilution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9"/>
                <w:szCs w:val="19"/>
                <w:color w:val="auto"/>
              </w:rPr>
            </w:pPr>
          </w:p>
        </w:tc>
      </w:tr>
    </w:tbl>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8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loss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(10,868)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(94)</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(200)</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(loss) on cash flow hedges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(195)</w:t>
            </w: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to net income of net realized loss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to net loss of net actuarial loss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to net loss of net prior service credit</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w:t>
            </w: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Impact of curtailment</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tc>
        <w:tc>
          <w:tcPr>
            <w:tcW w:w="4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(11,173)</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4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loss attributable to Schlumberger</w:t>
            </w:r>
          </w:p>
        </w:tc>
        <w:tc>
          <w:tcPr>
            <w:tcW w:w="480" w:type="dxa"/>
            <w:vAlign w:val="bottom"/>
          </w:tcPr>
          <w:p>
            <w:pPr>
              <w:spacing w:after="0"/>
              <w:rPr>
                <w:sz w:val="19"/>
                <w:szCs w:val="19"/>
                <w:color w:val="auto"/>
              </w:rPr>
            </w:pPr>
          </w:p>
        </w:tc>
        <w:tc>
          <w:tcPr>
            <w:tcW w:w="8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(87)</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(11,197)</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Receivables less allowance for doubtful accounts (2020 - $299; 2019 - $255)</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5,552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4,101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44,066</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56,312</w:t>
            </w:r>
          </w:p>
        </w:tc>
        <w:tc>
          <w:tcPr>
            <w:tcW w:w="10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31,697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32,136</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(3,055)</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(3,631)</w:t>
            </w: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(4,743)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(4,438)</w:t>
            </w:r>
          </w:p>
        </w:tc>
      </w:tr>
      <w:tr>
        <w:trPr>
          <w:trHeight w:val="22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11,941</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44,066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58"/>
        </w:trPr>
        <w:tc>
          <w:tcPr>
            <w:tcW w:w="6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6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636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bottom w:val="single" w:sz="8" w:color="CFF0FC"/>
            </w:tcBorders>
          </w:tcPr>
          <w:p>
            <w:pPr>
              <w:spacing w:after="0"/>
              <w:rPr>
                <w:sz w:val="18"/>
                <w:szCs w:val="18"/>
                <w:color w:val="auto"/>
              </w:rPr>
            </w:pPr>
          </w:p>
        </w:tc>
      </w:tr>
      <w:tr>
        <w:trPr>
          <w:trHeight w:val="211"/>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234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(10,868)</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(10,450)</w:t>
            </w:r>
          </w:p>
        </w:tc>
      </w:tr>
      <w:tr>
        <w:trPr>
          <w:trHeight w:val="218"/>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to cash provided by operating activities: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12,692</w:t>
            </w:r>
          </w:p>
        </w:tc>
        <w:tc>
          <w:tcPr>
            <w:tcW w:w="100" w:type="dxa"/>
            <w:vAlign w:val="bottom"/>
          </w:tcPr>
          <w:p>
            <w:pPr>
              <w:spacing w:after="0"/>
              <w:rPr>
                <w:sz w:val="18"/>
                <w:szCs w:val="18"/>
                <w:color w:val="auto"/>
              </w:rPr>
            </w:pPr>
          </w:p>
        </w:tc>
      </w:tr>
      <w:tr>
        <w:trPr>
          <w:trHeight w:val="218"/>
        </w:trPr>
        <w:tc>
          <w:tcPr>
            <w:tcW w:w="6360" w:type="dxa"/>
            <w:vAlign w:val="bottom"/>
            <w:shd w:val="clear" w:color="auto" w:fill="CFF0FC"/>
          </w:tcPr>
          <w:p>
            <w:pPr>
              <w:ind w:left="620"/>
              <w:spacing w:after="0" w:line="217"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5"/>
                <w:szCs w:val="25"/>
                <w:color w:val="auto"/>
                <w:vertAlign w:val="superscript"/>
              </w:rPr>
              <w:t>(1)</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Deferred taxes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(833)</w:t>
            </w:r>
          </w:p>
        </w:tc>
      </w:tr>
      <w:tr>
        <w:trPr>
          <w:trHeight w:val="218"/>
        </w:trPr>
        <w:tc>
          <w:tcPr>
            <w:tcW w:w="6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r>
      <w:tr>
        <w:trPr>
          <w:trHeight w:val="218"/>
        </w:trPr>
        <w:tc>
          <w:tcPr>
            <w:tcW w:w="6360" w:type="dxa"/>
            <w:vAlign w:val="bottom"/>
            <w:shd w:val="clear" w:color="auto" w:fill="CFF0FC"/>
          </w:tcPr>
          <w:p>
            <w:pPr>
              <w:ind w:left="260"/>
              <w:spacing w:after="0" w:line="217"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5"/>
                <w:szCs w:val="25"/>
                <w:color w:val="auto"/>
                <w:vertAlign w:val="superscript"/>
              </w:rPr>
              <w:t>(2)</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(429)</w:t>
            </w:r>
          </w:p>
        </w:tc>
      </w:tr>
      <w:tr>
        <w:trPr>
          <w:trHeight w:val="218"/>
        </w:trPr>
        <w:tc>
          <w:tcPr>
            <w:tcW w:w="6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in inventories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(increase) in other current assets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r>
      <w:tr>
        <w:trPr>
          <w:trHeight w:val="218"/>
        </w:trPr>
        <w:tc>
          <w:tcPr>
            <w:tcW w:w="6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(266)</w:t>
            </w:r>
          </w:p>
        </w:tc>
      </w:tr>
      <w:tr>
        <w:trPr>
          <w:trHeight w:val="218"/>
        </w:trPr>
        <w:tc>
          <w:tcPr>
            <w:tcW w:w="6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 estimated liability for taxes on income</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w:t>
            </w:r>
          </w:p>
        </w:tc>
      </w:tr>
      <w:tr>
        <w:trPr>
          <w:trHeight w:val="214"/>
        </w:trPr>
        <w:tc>
          <w:tcPr>
            <w:tcW w:w="63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 other liabilities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r>
      <w:tr>
        <w:trPr>
          <w:trHeight w:val="218"/>
        </w:trPr>
        <w:tc>
          <w:tcPr>
            <w:tcW w:w="6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18"/>
                <w:szCs w:val="18"/>
                <w:color w:val="auto"/>
              </w:rPr>
            </w:pPr>
          </w:p>
        </w:tc>
      </w:tr>
      <w:tr>
        <w:trPr>
          <w:trHeight w:val="208"/>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tcBorders>
              <w:bottom w:val="single" w:sz="8" w:color="CFF0FC"/>
            </w:tcBorders>
          </w:tcPr>
          <w:p>
            <w:pPr>
              <w:spacing w:after="0"/>
              <w:rPr>
                <w:sz w:val="18"/>
                <w:szCs w:val="18"/>
                <w:color w:val="auto"/>
              </w:rPr>
            </w:pPr>
          </w:p>
        </w:tc>
      </w:tr>
      <w:tr>
        <w:trPr>
          <w:trHeight w:val="211"/>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(1,230)</w:t>
            </w:r>
          </w:p>
        </w:tc>
      </w:tr>
      <w:tr>
        <w:trPr>
          <w:trHeight w:val="218"/>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APS investments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(526)</w:t>
            </w: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Multiclient seismic data costs capitalized</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w:t>
            </w:r>
          </w:p>
        </w:tc>
      </w:tr>
      <w:tr>
        <w:trPr>
          <w:trHeight w:val="218"/>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sale of investments, net</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r>
      <w:tr>
        <w:trPr>
          <w:trHeight w:val="218"/>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proceeds from divestitures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211"/>
        </w:trPr>
        <w:tc>
          <w:tcPr>
            <w:tcW w:w="6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(2,599)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1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(2,077)</w:t>
            </w: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r>
      <w:tr>
        <w:trPr>
          <w:trHeight w:val="218"/>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repurchase program</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(278)</w:t>
            </w:r>
          </w:p>
        </w:tc>
      </w:tr>
      <w:tr>
        <w:trPr>
          <w:trHeight w:val="218"/>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(3,811)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(3,396)</w:t>
            </w:r>
          </w:p>
        </w:tc>
      </w:tr>
      <w:tr>
        <w:trPr>
          <w:trHeight w:val="218"/>
        </w:trPr>
        <w:tc>
          <w:tcPr>
            <w:tcW w:w="6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r>
      <w:tr>
        <w:trPr>
          <w:trHeight w:val="214"/>
        </w:trPr>
        <w:tc>
          <w:tcPr>
            <w:tcW w:w="6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11"/>
        </w:trPr>
        <w:tc>
          <w:tcPr>
            <w:tcW w:w="6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3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Borders>
              <w:top w:val="single" w:sz="8" w:color="CFF0FC"/>
            </w:tcBorders>
            <w:shd w:val="clear" w:color="auto" w:fill="CFF0FC"/>
          </w:tcPr>
          <w:p>
            <w:pPr>
              <w:spacing w:after="0"/>
              <w:rPr>
                <w:sz w:val="18"/>
                <w:szCs w:val="18"/>
                <w:color w:val="auto"/>
              </w:rPr>
            </w:pPr>
          </w:p>
        </w:tc>
      </w:tr>
      <w:tr>
        <w:trPr>
          <w:trHeight w:val="20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before translation effect</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r>
      <w:tr>
        <w:trPr>
          <w:trHeight w:val="21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1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4"/>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3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Borders>
              <w:bottom w:val="single" w:sz="8" w:color="CFF0FC"/>
            </w:tcBorders>
          </w:tcPr>
          <w:p>
            <w:pPr>
              <w:spacing w:after="0"/>
              <w:rPr>
                <w:sz w:val="18"/>
                <w:szCs w:val="18"/>
                <w:color w:val="auto"/>
              </w:rPr>
            </w:pPr>
          </w:p>
        </w:tc>
      </w:tr>
      <w:tr>
        <w:trPr>
          <w:trHeight w:val="210"/>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APS investments.</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 and divestitures.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2020 – September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13,078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(3,631)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18,751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(10,892)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(10,868)</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(198)</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(183)</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($0.75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(1,041)</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September 30, 2020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(3,055)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(4,743)</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12,369</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January 1, 2019 – September 30, 2019</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2019</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13,132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(4,006)</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31,658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(4,622)</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424</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(10,470)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(10,450)</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repurchase program</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(278)</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declared ($1.50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(2,077)</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2019</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13,012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(3,641)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19,111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(4,569)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24,327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July 1, 2020 – September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July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13,044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(3,339)</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7,073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12,456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declared ($0.125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(173)</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2020</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12,921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(3,055)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6,818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(4,743)</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428</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12,369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29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July 1, 2019 – September 30, 2019</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July 1, 2019</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13,037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(3,827)</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31,186</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(4,544)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421</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36,273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(11,383)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(11,373)</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($0.50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(692)</w:t>
            </w:r>
          </w:p>
        </w:tc>
      </w:tr>
      <w:tr>
        <w:trPr>
          <w:trHeight w:val="16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r>
      <w:tr>
        <w:trPr>
          <w:trHeight w:val="156"/>
        </w:trPr>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2019</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(3,641)</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19,111</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(4,569)</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24,327</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6"/>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8"/>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2020</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9"/>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 w:name="page9"/>
    <w:bookmarkEnd w:id="8"/>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2020 are not necessarily indicative of the results that may be expected for the full year ending December 31, 2020. The December 31, 2019 balance sheet information has been derived from the Schlumberger 2019 audited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the Schlumberger Annual Report on Form 10-K for the year ended December 31, 2019, filed with the Securities and Exchange Commission on January 22, 2020.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2020, Schlumberger and Liberty Oilfield Services Inc. (“Liberty”) entered into an agreement for the contribution to Liberty of OneStim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Schlumberger’s onshore hydraulic fracturing business in the United States and Canada, including its pressure pumping, pumpdown perforating, and Permian frac sand businesses, in exchange for a 37% equity interest in Liberty. The transaction is expected to close in the fourth quarter of 2020 and is subject to Liberty stockholder approval and other customary closing conditions. OneStim represented approximately 5% of Schlumberger’s consolidated revenue for the nine months ended September 30, 2020.</w:t>
      </w:r>
    </w:p>
    <w:p>
      <w:pPr>
        <w:spacing w:after="0" w:line="287"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Schlumberger recorded the following charges and credits during 2020, all of which are classified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4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First quarter:</w:t>
            </w:r>
          </w:p>
        </w:tc>
        <w:tc>
          <w:tcPr>
            <w:tcW w:w="2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 impairments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North America pressure pumping impairment</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reductions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Second quarter:</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reductions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asset impairments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 write-downs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associated with exiting certain activities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bonds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Postretirement benefits curtailment gain</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Third quarter:</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Facility exit charges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reductions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First quarter 2020:</w:t>
      </w:r>
    </w:p>
    <w:p>
      <w:pPr>
        <w:spacing w:after="0" w:line="133" w:lineRule="exact"/>
        <w:rPr>
          <w:sz w:val="20"/>
          <w:szCs w:val="20"/>
          <w:color w:val="auto"/>
        </w:rPr>
      </w:pPr>
    </w:p>
    <w:p>
      <w:pPr>
        <w:jc w:val="both"/>
        <w:ind w:left="740" w:hanging="368"/>
        <w:spacing w:after="0" w:line="25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were less than their carrying value. Therefore, Schlumberger performed an interim goodwill impairment test.</w:t>
      </w:r>
    </w:p>
    <w:p>
      <w:pPr>
        <w:spacing w:after="0" w:line="187"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had 11 reporting units with goodwill balances aggregating $16.0 billion. Schlumberger determined that the fair value of four of its reporting units, representing $4.5 billion of the goodwill, was substantially in excess of their carrying value. Schlumberger performed a detailed quantitative impairment assessment of the remaining seven reporting units, which represented $11.5 billion of goodwill. As a result of this assessment, Schlumberger concluded that the goodwill associated with each of these seven reporting units was impaired, resulting in a $3.1 billion goodwill impairment charge. This charge primarily relates to goodwill associated with the Drilling and Production segments.</w:t>
      </w:r>
    </w:p>
    <w:p>
      <w:pPr>
        <w:spacing w:after="0" w:line="223"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$3.1 billion goodwill impairment charge relating to these seven reporting units, six of these reporting units had a remaining goodwill balance. These six reporting units had goodwill balances which ranged between $0.2 billion and $5.0 billion and aggregated to $8.4 billion as of March 31, 2020.</w:t>
      </w:r>
    </w:p>
    <w:p>
      <w:pPr>
        <w:spacing w:after="0" w:line="202"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223" w:lineRule="exact"/>
        <w:rPr>
          <w:rFonts w:ascii="Times New Roman" w:cs="Times New Roman" w:eastAsia="Times New Roman" w:hAnsi="Times New Roman"/>
          <w:sz w:val="18"/>
          <w:szCs w:val="18"/>
          <w:color w:val="auto"/>
        </w:rPr>
      </w:pPr>
    </w:p>
    <w:p>
      <w:pPr>
        <w:jc w:val="both"/>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the current volatile market, actual results may differ from those used in Schlumberger’s valuations which could result in additional impairment charges in the future.</w:t>
      </w:r>
    </w:p>
    <w:p>
      <w:pPr>
        <w:spacing w:after="0" w:line="227"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179"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market indicators described above were triggering events that indicated that certain of Schlumberger’s long-lived intangible and tangible assets may have been impaired. Recoverability testing indicated that certain long-lived assets were impaired. The estimated fair value of these assets was determined to be below their carrying value. As a result, Schlumberger recorded the following impairment charges:</w:t>
      </w:r>
    </w:p>
    <w:p>
      <w:pPr>
        <w:spacing w:after="0" w:line="135"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billion relating to intangible assets, of which $2.2 billion relates to Schlumberger’s 2016 acquisition of Cameron International Corporation and $1.1 billion relates to Schlumberger’s 2010 acquisition of Smith International, Inc. Following this impairment charge, the carrying value of the impaired intangible assets was approximately $0.9 billion.</w:t>
      </w:r>
    </w:p>
    <w:p>
      <w:pPr>
        <w:spacing w:after="0" w:line="13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billion relating to the carrying value of certain Asset Performance Solutions (“APS”) projects in North America.</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billion of fixed assets associated with the pressure pumping business in North America.</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million of severance.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0" w:name="page11"/>
    <w:bookmarkEnd w:id="10"/>
    <w:p>
      <w:pPr>
        <w:ind w:left="740" w:right="20" w:hanging="36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million of other restructuring charges, primarily consisting of the impairment of an equity method investment that was determined to be other-than-temporarily impaired.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million relating to a valuation allowance against certain deferred tax assets.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2020:</w:t>
      </w:r>
    </w:p>
    <w:p>
      <w:pPr>
        <w:spacing w:after="0" w:line="133" w:lineRule="exact"/>
        <w:rPr>
          <w:sz w:val="20"/>
          <w:szCs w:val="20"/>
          <w:color w:val="auto"/>
        </w:rPr>
      </w:pPr>
    </w:p>
    <w:p>
      <w:pPr>
        <w:jc w:val="both"/>
        <w:ind w:left="740" w:hanging="368"/>
        <w:spacing w:after="0" w:line="255"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Schlumberger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Schlumberger had assets that would no longer be utilized. As a consequence of these circumstances and decisions, Schlumberger recorded the following restructuring and asset impairment charges:</w:t>
      </w:r>
    </w:p>
    <w:p>
      <w:pPr>
        <w:spacing w:after="0" w:line="148"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 billion of severance associated with reducing its workforce by more than 21,000 employees.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 million relating to the carrying value of certain APS projects in Latin America.</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$666 million of fixed asset impairments primarily relating to equipment that would no longer be utilized and facilities it exited.</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 million write-down of the carrying value of inventory to its net realizable value.</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 million write-down of right-of-use assets under operating leases associated with leased facilities Schlumberger exited and excess equipment.</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 million of costs associated with exiting certain activities.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million impairment of certain multiclient seismic data.</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of other costs, including a $42 million increase in the allowance for the doubtful accounts.</w:t>
      </w:r>
    </w:p>
    <w:p>
      <w:pPr>
        <w:spacing w:after="0" w:line="223" w:lineRule="exact"/>
        <w:rPr>
          <w:rFonts w:ascii="Times New Roman" w:cs="Times New Roman" w:eastAsia="Times New Roman" w:hAnsi="Times New Roman"/>
          <w:sz w:val="18"/>
          <w:szCs w:val="18"/>
          <w:color w:val="auto"/>
        </w:rPr>
      </w:pPr>
    </w:p>
    <w:p>
      <w:pPr>
        <w:ind w:left="740" w:hanging="368"/>
        <w:spacing w:after="0" w:line="284"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2020, Schlumberger repurchased certain Senior Notes (see Note 9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which resulted in a $40 million charge.</w:t>
      </w:r>
    </w:p>
    <w:p>
      <w:pPr>
        <w:spacing w:after="0" w:line="160"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consequence of the workforce reductions described above, Schlumberger recorded a curtailment gain of $69 million relating to its US postretirement medical plan. See Note 13 – </w:t>
      </w:r>
      <w:r>
        <w:rPr>
          <w:rFonts w:ascii="Times New Roman" w:cs="Times New Roman" w:eastAsia="Times New Roman" w:hAnsi="Times New Roman"/>
          <w:sz w:val="18"/>
          <w:szCs w:val="18"/>
          <w:i w:val="1"/>
          <w:iCs w:val="1"/>
          <w:color w:val="auto"/>
        </w:rPr>
        <w:t>Pension and Other Postretirement Benefit Plans</w:t>
      </w:r>
      <w:r>
        <w:rPr>
          <w:rFonts w:ascii="Times New Roman" w:cs="Times New Roman" w:eastAsia="Times New Roman" w:hAnsi="Times New Roman"/>
          <w:sz w:val="18"/>
          <w:szCs w:val="18"/>
          <w:color w:val="auto"/>
        </w:rPr>
        <w:t xml:space="preserve"> for further details.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impaired intangible assets, fixed assets, APS investments, right-of-use assets and multiclient seismic data was estimated based on the present value of projected future cash flows that the underlying assets are expected to generate. Such estimates included unobservable inputs that required significant judgement.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2020:</w:t>
      </w:r>
    </w:p>
    <w:p>
      <w:pPr>
        <w:spacing w:after="0" w:line="133" w:lineRule="exact"/>
        <w:rPr>
          <w:sz w:val="20"/>
          <w:szCs w:val="20"/>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2020 Schlumberger recorded the following restructuring charges:</w:t>
      </w:r>
    </w:p>
    <w:p>
      <w:pPr>
        <w:spacing w:after="0" w:line="198"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 million of facility exit charges as Schlumberger continued to rationalize its real estate footprint relating to both leased and owned facilities.</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of severance.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of other charges.</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market conditions evolve and Schlumberger continues to develop its strategy to deal with such conditions, it may result in further restructuring and/or impairment charges in future periods.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preparation of its third quarter 2019 financial statements, Schlumberger recorded the following charges, all of which are classified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Impairments &amp; other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Loss</w:t>
      </w: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Pretax</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pressure pumping</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North America-related</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Argentina</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40" w:hanging="368"/>
        <w:spacing w:after="0" w:line="266"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August 2019, Schlumberger’s market capitalization deteriorated significantly compared to the end of the second quarter of 2019. Schlumberger’s stock price reached a low not seen since 2005. Additionally, the Philadelphia Oil Services Sector Index, which is comprised of companies involved in the oil services sector, reached an 18-year low.</w:t>
      </w:r>
    </w:p>
    <w:p>
      <w:pPr>
        <w:spacing w:after="0" w:line="175" w:lineRule="exact"/>
        <w:rPr>
          <w:rFonts w:ascii="Times New Roman" w:cs="Times New Roman" w:eastAsia="Times New Roman" w:hAnsi="Times New Roman"/>
          <w:sz w:val="18"/>
          <w:szCs w:val="18"/>
          <w:color w:val="auto"/>
        </w:rPr>
      </w:pPr>
    </w:p>
    <w:p>
      <w:pPr>
        <w:ind w:left="7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these facts, Schlumberger determined that it was more likely than not that the fair value of certain of its reporting units were less than their carrying value. Therefore, Schlumberger performed an interim goodwill impairment test as of August 31, 2019.</w:t>
      </w:r>
    </w:p>
    <w:p>
      <w:pPr>
        <w:spacing w:after="0" w:line="161" w:lineRule="exact"/>
        <w:rPr>
          <w:rFonts w:ascii="Times New Roman" w:cs="Times New Roman" w:eastAsia="Times New Roman" w:hAnsi="Times New Roman"/>
          <w:sz w:val="18"/>
          <w:szCs w:val="18"/>
          <w:color w:val="auto"/>
        </w:rPr>
      </w:pPr>
    </w:p>
    <w:p>
      <w:pPr>
        <w:jc w:val="both"/>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31, 2019, Schlumberger had 17 reporting units with goodwill balances aggregating $25.0 billion. Schlumberger determined that the fair value of seven of its reporting units, representing approximately $13.8 billion of the goodwill, was substantially in excess of their carrying value. Schlumberger performed a detailed quantitative impairment assessment of the remaining 10 reporting units, which represented $11.2 billion of goodwill. As a result of this assessment, Schlumberger concluded that the goodwill associated with nine of the 10 reporting units was impaired, resulting in an $8.8 billion goodwill impairment charge. This charge primarily relates to Schlumberger’s Drilling and Cameron segments.</w:t>
      </w:r>
    </w:p>
    <w:p>
      <w:pPr>
        <w:spacing w:after="0" w:line="187"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$8.8 billion goodwill impairment charge relating to these nine reporting units, only three had a remaining goodwill balance. These three reporting units had goodwill balances which ranged between $0.4 billion and $0.6 billion and aggregated to $1.5 billion as of August 31, 2019. The tenth reporting unit, which was determined not to be impaired, had $0.9 billion of goodwill.</w:t>
      </w:r>
    </w:p>
    <w:p>
      <w:pPr>
        <w:spacing w:after="0" w:line="175"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primarily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83"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actual results may differ from those used in Schlumberger’s valuations which could result in additional impairment charges in the future.</w:t>
      </w:r>
    </w:p>
    <w:p>
      <w:pPr>
        <w:spacing w:after="0" w:line="183" w:lineRule="exact"/>
        <w:rPr>
          <w:rFonts w:ascii="Times New Roman" w:cs="Times New Roman" w:eastAsia="Times New Roman" w:hAnsi="Times New Roman"/>
          <w:sz w:val="18"/>
          <w:szCs w:val="18"/>
          <w:color w:val="auto"/>
        </w:rPr>
      </w:pPr>
    </w:p>
    <w:p>
      <w:pPr>
        <w:jc w:val="both"/>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rates utilized to value Schlumberger’s reporting units were between 12.5% and 14.0%, depending on the risks and uncertainty inherent in the respective reporting unit. Assuming all other assumptions and inputs used in each of the respective discounted cash flow analysis were held constant, a 50 basis point increase in the discount rate assumption would have increased the goodwill impairment charge by approximately $0.3 billion. Conversely, assuming all other assumptions and inputs used in each of the respective discounted cash flow analysis were held constant, a 50 basis point decrease in the discount rate assumption would have decreased the goodwill impairment charge by approximately $0.4 billion.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740" w:hanging="368"/>
        <w:spacing w:after="0" w:line="261"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market indicators described above, combined with deteriorating market conditions in North America, as well as the results of the previously mentioned fair value determinations of certain of Schlumberger’s reporting units and the appointment of a new Chief Executive Officer (as described below), were all triggering events that indicated that certain of Schlumberger’s long-lived tangible and intangible assets may have been impaired.</w:t>
      </w:r>
    </w:p>
    <w:p>
      <w:pPr>
        <w:spacing w:after="0" w:line="179"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testing, which was performed as of August 31, 2019, indicated that long-lived assets associated with certain asset groups were impaired. The estimated fair value of these asset groups was determined to be below their carrying value. As a result, Schlumberger recorded the following impairment and related charges:</w:t>
      </w:r>
    </w:p>
    <w:p>
      <w:pPr>
        <w:spacing w:after="0" w:line="135" w:lineRule="exact"/>
        <w:rPr>
          <w:rFonts w:ascii="Times New Roman" w:cs="Times New Roman" w:eastAsia="Times New Roman" w:hAnsi="Times New Roman"/>
          <w:sz w:val="18"/>
          <w:szCs w:val="18"/>
          <w:color w:val="auto"/>
        </w:rPr>
      </w:pPr>
    </w:p>
    <w:p>
      <w:pPr>
        <w:ind w:left="1500" w:hanging="372"/>
        <w:spacing w:after="0" w:line="282"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 billion of intangible assets, of which $842 million related to Schlumberger’s 2010 acquisition of Smith International, Inc. The remaining $243 million primarily related to other acquisitions in North America.</w:t>
      </w:r>
    </w:p>
    <w:p>
      <w:pPr>
        <w:spacing w:after="0" w:line="121" w:lineRule="exact"/>
        <w:rPr>
          <w:rFonts w:ascii="Times New Roman" w:cs="Times New Roman" w:eastAsia="Times New Roman" w:hAnsi="Times New Roman"/>
          <w:sz w:val="18"/>
          <w:szCs w:val="18"/>
          <w:color w:val="auto"/>
        </w:rPr>
      </w:pPr>
    </w:p>
    <w:p>
      <w:pPr>
        <w:jc w:val="both"/>
        <w:ind w:left="1500" w:hanging="372"/>
        <w:spacing w:after="0" w:line="266"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$1.575 billion of charges relating to Schlumberger’s pressure pumping business in North America. This amount consisted of $1.324 billion of pressure pumping equipment and related assets; $98 million of right-of-use assets under operating leases; $121 million relating to a supply contract; $19 million of inventory; and $13 million of severance.</w:t>
      </w:r>
    </w:p>
    <w:p>
      <w:pPr>
        <w:spacing w:after="0" w:line="135" w:lineRule="exact"/>
        <w:rPr>
          <w:rFonts w:ascii="Times New Roman" w:cs="Times New Roman" w:eastAsia="Times New Roman" w:hAnsi="Times New Roman"/>
          <w:sz w:val="18"/>
          <w:szCs w:val="18"/>
          <w:color w:val="auto"/>
        </w:rPr>
      </w:pPr>
    </w:p>
    <w:p>
      <w:pPr>
        <w:ind w:left="1500" w:hanging="372"/>
        <w:spacing w:after="0" w:line="282"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of charges primarily relating to other businesses in North America, consisting of $230 million of fixed asset impairments, $70 million of inventory write-downs and $10 million of severance.</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ongoing economic challenges in Argentina, Schlumberger recorded $127 million of charges during the third quarter of 2019. This consisted of $72 million of asset impairments, a $26 million devaluation charge and $29 million of severance.</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also recorded the following impairment and restructuring charges:</w:t>
      </w:r>
    </w:p>
    <w:p>
      <w:pPr>
        <w:spacing w:after="0" w:line="184"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million relating to certain equity method investments that were determined to be other-than-temporarily impaired.</w:t>
      </w:r>
    </w:p>
    <w:p>
      <w:pPr>
        <w:spacing w:after="0" w:line="184"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 million impairment relating to the carrying value of certain smaller APS projects.</w:t>
      </w:r>
    </w:p>
    <w:p>
      <w:pPr>
        <w:spacing w:after="0" w:line="184" w:lineRule="exact"/>
        <w:rPr>
          <w:rFonts w:ascii="Times New Roman" w:cs="Times New Roman" w:eastAsia="Times New Roman" w:hAnsi="Times New Roman"/>
          <w:sz w:val="18"/>
          <w:szCs w:val="18"/>
          <w:color w:val="auto"/>
        </w:rPr>
      </w:pPr>
    </w:p>
    <w:p>
      <w:pPr>
        <w:jc w:val="both"/>
        <w:ind w:left="1500" w:hanging="372"/>
        <w:spacing w:after="0" w:line="266"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$242 million of restructuring charges consisting of: $62 million of severance; $57 million relating to the acceleration of stock-based compensation expense associated with certain individuals; $49 million of business divestiture costs; $29 million relating to the repurchase of certain Senior Notes (see Note 9 -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$45 million of other provisions.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certain of these impaired assets was estimated based on the present value of projected future cash flows that the underlying assets were expected to generate. Such estimates included unobservable inputs that required significant judgment.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six months of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loss per share of Schlumberger to diluted loss per share of Schlumberger: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26"/>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color w:val="auto"/>
                <w:w w:val="99"/>
              </w:rPr>
              <w:t>2019</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Schlumberger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Loss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Schlumberger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Loss per</w:t>
            </w:r>
          </w:p>
        </w:tc>
      </w:tr>
      <w:tr>
        <w:trPr>
          <w:trHeight w:val="215"/>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Share</w:t>
            </w:r>
          </w:p>
        </w:tc>
      </w:tr>
      <w:tr>
        <w:trPr>
          <w:trHeight w:val="206"/>
        </w:trPr>
        <w:tc>
          <w:tcPr>
            <w:tcW w:w="114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140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9"/>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auto"/>
            </w:tcBorders>
            <w:shd w:val="clear" w:color="auto" w:fill="CFF0FC"/>
          </w:tcPr>
          <w:p>
            <w:pPr>
              <w:spacing w:after="0"/>
              <w:rPr>
                <w:sz w:val="18"/>
                <w:szCs w:val="18"/>
                <w:color w:val="auto"/>
              </w:rPr>
            </w:pPr>
          </w:p>
        </w:tc>
        <w:tc>
          <w:tcPr>
            <w:tcW w:w="9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color w:val="auto"/>
                <w:w w:val="99"/>
              </w:rPr>
              <w:t>2019</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Schlumberger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Loss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Schlumberger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Loss per</w:t>
            </w:r>
          </w:p>
        </w:tc>
      </w:tr>
      <w:tr>
        <w:trPr>
          <w:trHeight w:val="215"/>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Share</w:t>
            </w:r>
          </w:p>
        </w:tc>
      </w:tr>
      <w:tr>
        <w:trPr>
          <w:trHeight w:val="206"/>
        </w:trPr>
        <w:tc>
          <w:tcPr>
            <w:tcW w:w="2540" w:type="dxa"/>
            <w:vAlign w:val="bottom"/>
            <w:tcBorders>
              <w:top w:val="single" w:sz="8" w:color="CFF0FC"/>
            </w:tcBorders>
            <w:gridSpan w:val="3"/>
            <w:shd w:val="clear" w:color="auto" w:fill="CFF0FC"/>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7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70"/>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tcBorders>
              <w:top w:val="single" w:sz="8" w:color="CFF0FC"/>
            </w:tcBorders>
            <w:gridSpan w:val="2"/>
          </w:tcPr>
          <w:p>
            <w:pPr>
              <w:spacing w:after="0"/>
              <w:rPr>
                <w:sz w:val="23"/>
                <w:szCs w:val="23"/>
                <w:color w:val="auto"/>
              </w:rPr>
            </w:pPr>
          </w:p>
        </w:tc>
        <w:tc>
          <w:tcPr>
            <w:tcW w:w="8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(10,892)</w:t>
            </w:r>
          </w:p>
        </w:tc>
        <w:tc>
          <w:tcPr>
            <w:tcW w:w="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4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(7.84)</w:t>
            </w:r>
          </w:p>
        </w:tc>
        <w:tc>
          <w:tcPr>
            <w:tcW w:w="1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(10,470)</w:t>
            </w:r>
          </w:p>
        </w:tc>
        <w:tc>
          <w:tcPr>
            <w:tcW w:w="2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auto"/>
            </w:tcBorders>
            <w:shd w:val="clear" w:color="auto" w:fill="CFF0FC"/>
          </w:tcPr>
          <w:p>
            <w:pPr>
              <w:spacing w:after="0"/>
              <w:rPr>
                <w:sz w:val="18"/>
                <w:szCs w:val="18"/>
                <w:color w:val="auto"/>
              </w:rPr>
            </w:pPr>
          </w:p>
        </w:tc>
        <w:tc>
          <w:tcPr>
            <w:tcW w:w="9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that were not included in the computation of diluted loss per share, because to do so would have had an antidilutive effect,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760" w:type="dxa"/>
            <w:vAlign w:val="bottom"/>
          </w:tcPr>
          <w:p>
            <w:pPr>
              <w:spacing w:after="0"/>
              <w:rPr>
                <w:sz w:val="24"/>
                <w:szCs w:val="24"/>
                <w:color w:val="auto"/>
              </w:rPr>
            </w:pPr>
          </w:p>
        </w:tc>
        <w:tc>
          <w:tcPr>
            <w:tcW w:w="2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3"/>
        </w:trPr>
        <w:tc>
          <w:tcPr>
            <w:tcW w:w="5760" w:type="dxa"/>
            <w:vAlign w:val="bottom"/>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320"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net realizable value,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3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4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37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7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3,542</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6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604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32,128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24,732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7,396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as follows:</w:t>
            </w: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6040" w:type="dxa"/>
            <w:vAlign w:val="bottom"/>
            <w:tcBorders>
              <w:bottom w:val="single" w:sz="8" w:color="CFF0FC"/>
            </w:tcBorders>
          </w:tcPr>
          <w:p>
            <w:pPr>
              <w:spacing w:after="0"/>
              <w:rPr>
                <w:sz w:val="24"/>
                <w:szCs w:val="24"/>
                <w:color w:val="auto"/>
              </w:rPr>
            </w:pPr>
          </w:p>
        </w:tc>
        <w:tc>
          <w:tcPr>
            <w:tcW w:w="16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Nine Months</w:t>
            </w:r>
          </w:p>
        </w:tc>
        <w:tc>
          <w:tcPr>
            <w:tcW w:w="1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5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for the nine months ended September 30, 2020 was as follows:</w:t>
      </w:r>
    </w:p>
    <w:p>
      <w:pPr>
        <w:spacing w:after="0" w:line="232"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ectPr>
          <w:pgSz w:w="11900" w:h="16838" w:orient="portrait"/>
          <w:cols w:equalWidth="0" w:num="1">
            <w:col w:w="11240"/>
          </w:cols>
          <w:pgMar w:left="320" w:top="468"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were as follows: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1080" w:hanging="107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568</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1" w:lineRule="exact"/>
        <w:rPr>
          <w:sz w:val="20"/>
          <w:szCs w:val="20"/>
          <w:color w:val="auto"/>
        </w:rPr>
      </w:pPr>
    </w:p>
    <w:p>
      <w:pPr>
        <w:ind w:left="1080" w:hanging="107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572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8572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pacing w:after="0" w:line="200" w:lineRule="exact"/>
        <w:rPr>
          <w:sz w:val="20"/>
          <w:szCs w:val="20"/>
          <w:color w:val="auto"/>
        </w:rPr>
      </w:pPr>
    </w:p>
    <w:p>
      <w:pPr>
        <w:sectPr>
          <w:pgSz w:w="11900" w:h="16838" w:orient="portrait"/>
          <w:cols w:equalWidth="0" w:num="2">
            <w:col w:w="9040" w:space="720"/>
            <w:col w:w="1480"/>
          </w:cols>
          <w:pgMar w:left="320" w:top="468" w:right="33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Reservoir</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180" w:type="dxa"/>
            <w:vAlign w:val="bottom"/>
          </w:tcPr>
          <w:p>
            <w:pPr>
              <w:spacing w:after="0"/>
              <w:rPr>
                <w:sz w:val="20"/>
                <w:szCs w:val="20"/>
                <w:color w:val="auto"/>
              </w:rPr>
            </w:pPr>
          </w:p>
        </w:tc>
        <w:tc>
          <w:tcPr>
            <w:tcW w:w="226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Characterization</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Drilling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Production</w:t>
            </w: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Cameron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Impairment (See Note 2)</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(3,070)</w:t>
            </w: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exchange rates and other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5" w:name="page16"/>
    <w:bookmarkEnd w:id="15"/>
    <w:p>
      <w:pPr>
        <w:ind w:left="280" w:hanging="272"/>
        <w:spacing w:after="0"/>
        <w:tabs>
          <w:tab w:leader="none" w:pos="2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book value, accumulated amortization and net book value of intangible assets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9"/>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 30, 2020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Dec. 31, 2019</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color w:val="auto"/>
              </w:rPr>
              <w:t>Gross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8"/>
                <w:szCs w:val="18"/>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Net Book</w:t>
            </w:r>
          </w:p>
        </w:tc>
        <w:tc>
          <w:tcPr>
            <w:tcW w:w="100" w:type="dxa"/>
            <w:vAlign w:val="bottom"/>
          </w:tcPr>
          <w:p>
            <w:pPr>
              <w:spacing w:after="0"/>
              <w:rPr>
                <w:sz w:val="18"/>
                <w:szCs w:val="18"/>
                <w:color w:val="auto"/>
              </w:rPr>
            </w:pPr>
          </w:p>
        </w:tc>
      </w:tr>
      <w:tr>
        <w:trPr>
          <w:trHeight w:val="244"/>
        </w:trPr>
        <w:tc>
          <w:tcPr>
            <w:tcW w:w="2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Book Value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4"/>
              </w:rPr>
              <w:t>Value</w:t>
            </w:r>
          </w:p>
        </w:tc>
      </w:tr>
      <w:tr>
        <w:trPr>
          <w:trHeight w:val="226"/>
        </w:trPr>
        <w:tc>
          <w:tcPr>
            <w:tcW w:w="2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 charged to income was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4"/>
                <w:szCs w:val="24"/>
                <w:color w:val="auto"/>
              </w:rPr>
            </w:pPr>
          </w:p>
        </w:tc>
      </w:tr>
      <w:tr>
        <w:trPr>
          <w:trHeight w:val="223"/>
        </w:trPr>
        <w:tc>
          <w:tcPr>
            <w:tcW w:w="2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Nine Months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net book value of intangible assets at September 30, 2020, amortization charged to income for the subsequent five years is estimated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of 2020—$81 million; 2021—$305 million; 2022—$298 million; 2023—$286 million; 2024—$259 million; and 2025—$252 million.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 w:name="page17"/>
    <w:bookmarkEnd w:id="16"/>
    <w:p>
      <w:pPr>
        <w:ind w:left="280" w:hanging="272"/>
        <w:spacing w:after="0"/>
        <w:tabs>
          <w:tab w:leader="none" w:pos="2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3"/>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r>
      <w:tr>
        <w:trPr>
          <w:trHeight w:val="238"/>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3.90%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1.375% Guaranteed Notes due 2026</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 due 2032</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0.25%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0.50%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2031</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3.75%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 due 2026</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2.65%</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0.00%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1.40%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3.63%</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7.00%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5.95%</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5.13%</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4.00%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3.70%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3.30%</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4.20%</w:t>
            </w: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66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estimated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based on quoted market prices at September 30, 2020 and December 31, 2019, was $17.2 billion and $15.3 billion, respectively.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Schlumberger entered into a €1.54 billion committed revolving credit facility. This one-year facility can be extended at Schlumberger’s option for up to an additional year. At September 30, 2020 no amounts had been drawn under this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2020, Schlumberger had separate committed credit facility agreements aggregating $8.06 billion with commercial banks, of which $6.98 billion was available and unused. These committed facilities support commercial paper programs in the United States and Europe, of which $1.81 billion matures in April 2021, $2.75 billion matures in February 2023, $2.0 billion matures in February 2025 and $1.5 billion matures in July 2025 . Interest rates and other terms of borrowing under these lines of credit vary by facility.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Borrowings under the commercial paper programs at September 30, 2020 were $1.08 billion, all of which was classified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 xml:space="preserve">Consolidated Balance </w:t>
      </w:r>
      <w:r>
        <w:rPr>
          <w:rFonts w:ascii="Times New Roman" w:cs="Times New Roman" w:eastAsia="Times New Roman" w:hAnsi="Times New Roman"/>
          <w:sz w:val="18"/>
          <w:szCs w:val="18"/>
          <w:color w:val="auto"/>
        </w:rPr>
        <w:t>Sheet. At December 31, 2019, borrowings under the commercial paper programs were $2.22 billion, all of which was classified in</w:t>
      </w:r>
      <w:r>
        <w:rPr>
          <w:rFonts w:ascii="Times New Roman" w:cs="Times New Roman" w:eastAsia="Times New Roman" w:hAnsi="Times New Roman"/>
          <w:sz w:val="18"/>
          <w:szCs w:val="18"/>
          <w:i w:val="1"/>
          <w:iCs w:val="1"/>
          <w:color w:val="auto"/>
        </w:rPr>
        <w:t xml:space="preserve"> Long-term debt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Balance Sheet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Schlumberger issued €1.0 billion of 1.375% Guaranteed Notes due 2026, $900 million of 2.65% Senior Notes due 2030 and €1.0 billion of 2.00% Guaranteed Notes due 2032.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Times New Roman" w:cs="Times New Roman" w:eastAsia="Times New Roman" w:hAnsi="Times New Roman"/>
          <w:sz w:val="18"/>
          <w:szCs w:val="18"/>
          <w:i w:val="1"/>
          <w:iCs w:val="1"/>
          <w:color w:val="auto"/>
        </w:rPr>
        <w:t xml:space="preserve">Impairments &amp; other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Loss</w:t>
      </w:r>
      <w:r>
        <w:rPr>
          <w:rFonts w:ascii="Times New Roman" w:cs="Times New Roman" w:eastAsia="Times New Roman" w:hAnsi="Times New Roman"/>
          <w:sz w:val="18"/>
          <w:szCs w:val="18"/>
          <w:color w:val="auto"/>
        </w:rPr>
        <w:t>. See Note 2 –</w:t>
      </w:r>
      <w:r>
        <w:rPr>
          <w:rFonts w:ascii="Times New Roman" w:cs="Times New Roman" w:eastAsia="Times New Roman" w:hAnsi="Times New Roman"/>
          <w:sz w:val="18"/>
          <w:szCs w:val="18"/>
          <w:i w:val="1"/>
          <w:iCs w:val="1"/>
          <w:color w:val="auto"/>
        </w:rPr>
        <w:t xml:space="preserve"> Charges and Credits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At September 30, 2020, Schlumberger had not issued any debt under this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2020, Schlumberger issued $500 million of 1.40% Senior Notes due 2025 and $350 million of 2.65% Senior Notes due 2030.</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2019, Schlumberger issued €500 million of 0.00% Notes due 2024, €500 million of 0.25% Notes due 2027 and €500 million of 0.50% Notes due 2031.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September 2019, Schlumberger repurchased $783 million of its 3.00% Senior Notes due 2020 and $321 million of its 3.625% Senior Notes due 2022. Schlumberger paid a premium of $29 million in connection with these repurchases. This premium was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Loss</w:t>
      </w:r>
      <w:r>
        <w:rPr>
          <w:rFonts w:ascii="Times New Roman" w:cs="Times New Roman" w:eastAsia="Times New Roman" w:hAnsi="Times New Roman"/>
          <w:sz w:val="18"/>
          <w:szCs w:val="18"/>
          <w:color w:val="auto"/>
        </w:rPr>
        <w:t>. (See Note 2 -</w:t>
      </w:r>
      <w:r>
        <w:rPr>
          <w:rFonts w:ascii="Times New Roman" w:cs="Times New Roman" w:eastAsia="Times New Roman" w:hAnsi="Times New Roman"/>
          <w:sz w:val="18"/>
          <w:szCs w:val="18"/>
          <w:i w:val="1"/>
          <w:iCs w:val="1"/>
          <w:color w:val="auto"/>
        </w:rPr>
        <w:t xml:space="preserve"> Charges and Credits.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2019, Schlumberger completed a debt exchange offer, pursuant to which it issued $1.500 billion in principal of 3.90% Senior Notes due 2028 (the “New Notes”) in exchange for $401 million of 3.00% Senior Notes due 2020, $234 million of 3.63% Senior Notes due 2022 and $817 million of 4.00% Senior Notes due 2025. In connection with the exchange of principal, Schlumberger paid a premium of $48 million, substantially all of which was in the form of New Notes. This premium is being amortized as additional interest expense over the term of the New Notes.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266"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to mitigate the exposure to changes in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Schlumberger had fixed rate debt aggregating $16.6 billion and variable rate debt aggregating $1.2 billion.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multinational company, Schlumberger generates revenue in more than 120 countries. Schlumberger’s functional currency is primarily the US dollar. However, outside the United States, a significant portion of Schlumberger’s expenses are incurred in foreign currencies. Therefore, when the US dollar weakens (strengthens) in relation to the foreign currencies of the countries in which Schlumberger conducts business, the US dollar-reported expenses will increase (decrease).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Times New Roman" w:cs="Times New Roman" w:eastAsia="Times New Roman" w:hAnsi="Times New Roman"/>
          <w:sz w:val="18"/>
          <w:szCs w:val="18"/>
          <w:i w:val="1"/>
          <w:iCs w:val="1"/>
          <w:color w:val="auto"/>
        </w:rPr>
        <w:t xml:space="preserve">Consolidated Balance Sheet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reclassified into earnings in the same period or periods that the hedged item is recognized in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is also exposed to risks on future cash flows relating to certain of its fixed rate debt denominated in currencies other than the functional currency. Schlumberger uses cross-currency swaps to provide a hedge against these cash flow risks.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of 2.20% Senior Notes due 2020 and its $0.6 billion of 2.65% Senior Notes due 2022. These cross-currency swaps effectively convert the US-dollar denominated notes to Canadian-dollar denominated debt with fixed annual interest rates of 1.97% and 2.52%,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a US-dollar functional currency subsidiary of Schlumberger issued €2.0 billion of Euro-denominated debt. Schlumberger entered into cross-currency swaps for an aggregate notional amount of €1.85 billion in order to hedge changes in the fair value of its €1.0 billion of 1.375% Guaranteed Notes due 2026 and €0.85 billion of 2.00% Guaranteed Notes due 2032. These cross-currency swaps effectively convert the swapped portion of the Euro-denominated notes to US-dollar denominated debt with fixed annual interest rates of 2.77% and 3.45%, respectively. Schlumberger hedged its exposure to currency fluctuations on the remaining €0.15 billion of Euro-denominated debt issued by using foreign currency forward contracts that are not designated as hedges for accounting purposes.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Loss</w:t>
      </w:r>
      <w:r>
        <w:rPr>
          <w:rFonts w:ascii="Times New Roman" w:cs="Times New Roman" w:eastAsia="Times New Roman" w:hAnsi="Times New Roman"/>
          <w:sz w:val="18"/>
          <w:szCs w:val="18"/>
          <w:color w:val="auto"/>
        </w:rPr>
        <w:t xml:space="preserve"> as are changes in fair value of the hedged item.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contracts were outstanding for the US dollar equivalent of $10.9 billion in various foreign currencies, of which $6.7 billion relates to hedges of debt denominated in currencies other than the functional currency.</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At September 30, 2020, Schlumberger recognized a cumulative $218 million loss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changes in the fair value of foreign currency forward contracts and cross-currency swaps.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line="284" w:lineRule="auto"/>
        <w:rPr>
          <w:sz w:val="20"/>
          <w:szCs w:val="20"/>
          <w:color w:val="auto"/>
        </w:rPr>
      </w:pPr>
      <w:r>
        <w:rPr>
          <w:rFonts w:ascii="Times New Roman" w:cs="Times New Roman" w:eastAsia="Times New Roman" w:hAnsi="Times New Roman"/>
          <w:sz w:val="18"/>
          <w:szCs w:val="18"/>
          <w:color w:val="auto"/>
        </w:rPr>
        <w:t xml:space="preserve">The effect of derivative instruments designated as cash flow hedges, and those not designated as hedges, on the </w:t>
      </w:r>
      <w:r>
        <w:rPr>
          <w:rFonts w:ascii="Times New Roman" w:cs="Times New Roman" w:eastAsia="Times New Roman" w:hAnsi="Times New Roman"/>
          <w:sz w:val="18"/>
          <w:szCs w:val="18"/>
          <w:i w:val="1"/>
          <w:iCs w:val="1"/>
          <w:color w:val="auto"/>
        </w:rPr>
        <w:t>Consolidated Statement of Loss</w:t>
      </w:r>
      <w:r>
        <w:rPr>
          <w:rFonts w:ascii="Times New Roman" w:cs="Times New Roman" w:eastAsia="Times New Roman" w:hAnsi="Times New Roman"/>
          <w:sz w:val="18"/>
          <w:szCs w:val="18"/>
          <w:color w:val="auto"/>
        </w:rPr>
        <w:t xml:space="preserve">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3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Gain (Loss) Recognized in Loss</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84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 of Loss Classification</w:t>
            </w:r>
          </w:p>
        </w:tc>
        <w:tc>
          <w:tcPr>
            <w:tcW w:w="0" w:type="dxa"/>
            <w:vAlign w:val="bottom"/>
          </w:tcPr>
          <w:p>
            <w:pPr>
              <w:spacing w:after="0"/>
              <w:rPr>
                <w:sz w:val="1"/>
                <w:szCs w:val="1"/>
                <w:color w:val="auto"/>
              </w:rPr>
            </w:pPr>
          </w:p>
        </w:tc>
      </w:tr>
      <w:tr>
        <w:trPr>
          <w:trHeight w:val="206"/>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cash flow</w:t>
            </w: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hedges:</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w:t>
            </w:r>
          </w:p>
        </w:tc>
        <w:tc>
          <w:tcPr>
            <w:tcW w:w="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(12)</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Cross currency swaps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347</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2"/>
                <w:szCs w:val="22"/>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190</w:t>
            </w: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335</w:t>
            </w:r>
          </w:p>
        </w:tc>
        <w:tc>
          <w:tcPr>
            <w:tcW w:w="220" w:type="dxa"/>
            <w:vAlign w:val="bottom"/>
          </w:tcPr>
          <w:p>
            <w:pPr>
              <w:spacing w:after="0"/>
              <w:rPr>
                <w:sz w:val="22"/>
                <w:szCs w:val="22"/>
                <w:color w:val="auto"/>
              </w:rPr>
            </w:pP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(47)</w:t>
            </w:r>
          </w:p>
        </w:tc>
        <w:tc>
          <w:tcPr>
            <w:tcW w:w="220" w:type="dxa"/>
            <w:vAlign w:val="bottom"/>
            <w:vMerge w:val="continue"/>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(12)</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0"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Third Quarter 2020</w:t>
            </w:r>
          </w:p>
        </w:tc>
        <w:tc>
          <w:tcPr>
            <w:tcW w:w="180" w:type="dxa"/>
            <w:vAlign w:val="bottom"/>
          </w:tcPr>
          <w:p>
            <w:pPr>
              <w:spacing w:after="0"/>
              <w:rPr>
                <w:sz w:val="24"/>
                <w:szCs w:val="24"/>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Third Quarter 2019</w:t>
            </w:r>
          </w:p>
        </w:tc>
      </w:tr>
      <w:tr>
        <w:trPr>
          <w:trHeight w:val="214"/>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0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(12,692)</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380" w:right="20" w:hanging="372"/>
        <w:spacing w:after="0" w:line="195" w:lineRule="auto"/>
        <w:tabs>
          <w:tab w:leader="none" w:pos="38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 million in 2020; $1 million in 2019).</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($7 million in 2020; $9 million in 2019).</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Charges and Credits</w:t>
      </w:r>
      <w:r>
        <w:rPr>
          <w:rFonts w:ascii="Times New Roman" w:cs="Times New Roman" w:eastAsia="Times New Roman" w:hAnsi="Times New Roman"/>
          <w:sz w:val="14"/>
          <w:szCs w:val="14"/>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2020</w:t>
            </w:r>
          </w:p>
        </w:tc>
        <w:tc>
          <w:tcPr>
            <w:tcW w:w="18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Nine Months 2019</w:t>
            </w:r>
          </w:p>
        </w:tc>
      </w:tr>
      <w:tr>
        <w:trPr>
          <w:trHeight w:val="214"/>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0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(12,596)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(12,692)</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122" w:lineRule="exact"/>
        <w:rPr>
          <w:sz w:val="20"/>
          <w:szCs w:val="20"/>
          <w:color w:val="auto"/>
        </w:rPr>
      </w:pPr>
    </w:p>
    <w:p>
      <w:pPr>
        <w:ind w:left="380" w:right="20" w:hanging="372"/>
        <w:spacing w:after="0" w:line="195" w:lineRule="auto"/>
        <w:tabs>
          <w:tab w:leader="none" w:pos="38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 million in 2020; $6 million in 2019).</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($22 million in 2020; $29 million in 2019).</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Charges and Credits</w:t>
      </w:r>
      <w:r>
        <w:rPr>
          <w:rFonts w:ascii="Times New Roman" w:cs="Times New Roman" w:eastAsia="Times New Roman" w:hAnsi="Times New Roman"/>
          <w:sz w:val="14"/>
          <w:szCs w:val="14"/>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42"/>
        </w:trPr>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18,069</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North America and International revenue disaggregated by segment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Third Quarter 2020</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9"/>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7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7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Third Quarter 2019</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America</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0"/>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Nine Months 2020</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9"/>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5,540</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6,119</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3,235</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13,351</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18,069</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Nine Months 2019</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America</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24,689</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Revenue in excess of billings related to contracts where revenue is recognized over time was $0.2 billion at both September 30, 2020 and December 31, 2019. Such amounts are included within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nature of its business, Schlumberger does not have significant backlog. Total backlog was $2.7 billion at September 30, 2020, of which approximately 65% is expected to be recognized as revenue over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 xml:space="preserve">Billings and cash collections in excess of revenue was $1.0 billion at September 30, 2020 and $0.9 billion at December 31, 2019. Such amounts are included within </w:t>
      </w:r>
      <w:r>
        <w:rPr>
          <w:rFonts w:ascii="Times New Roman" w:cs="Times New Roman" w:eastAsia="Times New Roman" w:hAnsi="Times New Roman"/>
          <w:sz w:val="18"/>
          <w:szCs w:val="18"/>
          <w:i w:val="1"/>
          <w:iCs w:val="1"/>
          <w:color w:val="auto"/>
        </w:rPr>
        <w:t>Accounts payable and accrued liabilities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(credit) for the Schlumberger pension plans included the following components: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8"/>
        </w:trPr>
        <w:tc>
          <w:tcPr>
            <w:tcW w:w="39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Int’l</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Int’l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Int’l</w:t>
            </w:r>
          </w:p>
        </w:tc>
        <w:tc>
          <w:tcPr>
            <w:tcW w:w="12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(58)</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w:t>
            </w:r>
          </w:p>
        </w:tc>
        <w:tc>
          <w:tcPr>
            <w:tcW w:w="4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4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4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w:t>
            </w:r>
          </w:p>
        </w:tc>
        <w:tc>
          <w:tcPr>
            <w:tcW w:w="4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credit for the Schlumberger US postretirement medical plan included the following components: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8"/>
        </w:trPr>
        <w:tc>
          <w:tcPr>
            <w:tcW w:w="4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w:t>
            </w: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8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40" w:type="dxa"/>
            <w:vAlign w:val="bottom"/>
            <w:vMerge w:val="continue"/>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60" w:type="dxa"/>
            <w:vAlign w:val="bottom"/>
            <w:vMerge w:val="continue"/>
          </w:tcPr>
          <w:p>
            <w:pPr>
              <w:spacing w:after="0"/>
              <w:rPr>
                <w:sz w:val="19"/>
                <w:szCs w:val="19"/>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Due to the actions taken by Schlumberger to reduce its global workforce during 2020, Schlumberger experienced a significant reduction in the expected aggregate years of future service of its employees in its US postretirement medical plan. Accordingly, Schlumberger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Schlumberger performed a remeasurement of the plan, which had an immaterial impact. This gain was classified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Loss</w:t>
      </w:r>
      <w:r>
        <w:rPr>
          <w:rFonts w:ascii="Times New Roman" w:cs="Times New Roman" w:eastAsia="Times New Roman" w:hAnsi="Times New Roman"/>
          <w:sz w:val="18"/>
          <w:szCs w:val="18"/>
          <w:color w:val="auto"/>
        </w:rPr>
        <w:t>. See Note 2 –</w:t>
      </w:r>
      <w:r>
        <w:rPr>
          <w:rFonts w:ascii="Times New Roman" w:cs="Times New Roman" w:eastAsia="Times New Roman" w:hAnsi="Times New Roman"/>
          <w:sz w:val="18"/>
          <w:szCs w:val="18"/>
          <w:i w:val="1"/>
          <w:iCs w:val="1"/>
          <w:color w:val="auto"/>
        </w:rPr>
        <w:t xml:space="preserve"> Charges and Credits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2020 Compared to Second Quarter 2020</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Third Quarter 2020</w:t>
            </w:r>
          </w:p>
        </w:tc>
        <w:tc>
          <w:tcPr>
            <w:tcW w:w="180" w:type="dxa"/>
            <w:vAlign w:val="bottom"/>
          </w:tcPr>
          <w:p>
            <w:pPr>
              <w:spacing w:after="0"/>
              <w:rPr>
                <w:sz w:val="24"/>
                <w:szCs w:val="24"/>
                <w:color w:val="auto"/>
              </w:rPr>
            </w:pPr>
          </w:p>
        </w:tc>
        <w:tc>
          <w:tcPr>
            <w:tcW w:w="25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Second Quarter 2020</w:t>
            </w:r>
          </w:p>
        </w:tc>
      </w:tr>
      <w:tr>
        <w:trPr>
          <w:trHeight w:val="214"/>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(3,724)</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left="380" w:right="20" w:hanging="372"/>
        <w:spacing w:after="0" w:line="195" w:lineRule="auto"/>
        <w:tabs>
          <w:tab w:leader="none" w:pos="38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 million in Q3 2020; $- million in Q2 2020).</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($7 million in Q3 2020; $7 million in Q2 2020).</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Third-quarter 2020 revenue declined 2% sequentially, as North America revenue was 2% lower and international revenue declined 1%. In North America land, increased completions activity on drilled but uncompleted (“DUC”) wells was offset by reduced drilling in US land. North America offshore was affected by reduced rig activity, lower multiclient seismic license sales, and hurricane disruption.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revenue was driven by higher activity in Latin America, boosted by the resumption of production in the Asset Performance Solutions (“APS”) projects in Ecuador and increased seasonal summer activity in the North Sea and Russia. These increases were offset by the effects of rig count declines and extended COVID-19 disruptions in Africa and in the Middle East &amp; Asia.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to the fourth quarter of 2020, Schlumberger expects to continue to benefit from the effectiveness of its strategy, disciplined approach to North America, and broad strength of its international business, as reflected in the third-quarter results. In North America, the conditions are set for continued momentum, with improving DUC well completion activity in US land and a modest drilling resumption in the US and Canada. International activity is steady following the budget resets completed in the third quarter and activity will be affected by the seasonal decline in the Northern Hemisphere, partly offset by muted year-end product and multiclient license sales.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internationally, Schlumberger views the next two quarters as a period of transition for our industry at the trough of this cycle. Improving demand recovery supported by various government measures to stimulate economic activity and continued supply discipline from the major producers set the conditions for a long-term activity rebound. However, while the global lockdowns are evolving and vaccine development is progressing, the near-term recovery remains fragile owing to potential subsequent waves of COVID-19 that could pose a significant risk to this outlook.</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2020, Schlumberger and Liberty Oilfield Services Inc. (“Liberty”) entered into an agreement for the contribution to Liberty of OneStim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Schlumberger’s onshore hydraulic fracturing business in the United Stated and Canada, including its pressure pumping, pumpdown perforating, and Permian frac sand businesses, in exchange for a 37% equity interest in Liberty. The transaction is expected to close in the fourth quarter of 2020 and is subject to Liberty stockholder approval and other customary closing conditions. OneStim represented approximately 5% of Schlumberger’s consolidated revenue for the nine months ended September 30, 2020.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Reservoir Characterization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Reservoir Characterization revenue of $1.0 billion decreased 4% sequentially. North America and international revenues declined 14% and 2%, respectively. This was mainly due to lower WesternGeco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multiclient seismic license sales in North America offshore. Revenue was also lower in the Middle East due to reduced WesternGeco activity as a result of a completed project and lower Testing Services activity due to project cancellations and delays.</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Reservoir Characterization pretax operating margin of 17% contracted 90 basis points (“bps”) sequentially due to lower sales of WesternGeco multiclient seismic licenses, which impacted North America margin, while international margin was flat sequentially.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Drilling revenue of $1.5 billion decreased 12% sequentially. North America and international revenues declined 16% and 11%, respectively. The revenue decline in North America was primarily due to lower activity in US land as rig count dropped 29%, along with rig count reductions and activity disruptions in the US Gulf of Mexico due to a more active hurricane season. In addition, extended COVID-19 disruptions caused drilling activities to be suspended or deferred in several international GeoMarkets.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Drilling pretax operating margin of 10% was essentially flat sequentially, despite the significant revenue decline. Margin was resilient both in North America and internationally supported by prompt cost reduction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revenue of $1.8 billion increased 12% sequentially. North America and international revenues increased 13% and 11%, respectively. This was driven primarily by the gradual recovery in DUC well completions activity in US land and the resumption of APS production in Ecuador following a major landslide that led to the rupture of the main pipeline last quarter. OneStim revenue grew more than 50% sequentially as US-market stage counts increased by more than 30%.</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Production pretax operating margin of 13% expanded by 11 percentage points sequentially. The margin expansion was due to the resumption of production in APS projects in Ecuador and improved profitability across each of Completions, Artificial Lift Solutions, and Well Services, supported by cost reduction measures. OneStim margin improved due to better operating leverage as revenue increased by more than 50%.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Cameron revenue of $965 million decreased 5% sequentially primarily due to declines in the long-cycle businesses of OneSubsea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Drilling Systems, driven by projects ending in Asia and Europe, coupled with the extended COVID-19 disruptions.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Cameron pretax operating margin of 6% declined by 162 bps sequentially. The margin contraction was primarily due to the unfavorable mix where contribution from the long-cycle businesses of OneSubsea and Drilling Systems was lower due to reduced activity.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2020 Compared to Third Quarter 2019</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Third Quarter 2020</w:t>
            </w:r>
          </w:p>
        </w:tc>
        <w:tc>
          <w:tcPr>
            <w:tcW w:w="180" w:type="dxa"/>
            <w:vAlign w:val="bottom"/>
          </w:tcPr>
          <w:p>
            <w:pPr>
              <w:spacing w:after="0"/>
              <w:rPr>
                <w:sz w:val="24"/>
                <w:szCs w:val="24"/>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Third Quarter 2019</w:t>
            </w:r>
          </w:p>
        </w:tc>
      </w:tr>
      <w:tr>
        <w:trPr>
          <w:trHeight w:val="214"/>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8"/>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(12,692)</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20" w:hanging="372"/>
        <w:spacing w:after="0" w:line="195" w:lineRule="auto"/>
        <w:tabs>
          <w:tab w:leader="none" w:pos="38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Times New Roman" w:cs="Times New Roman" w:eastAsia="Times New Roman" w:hAnsi="Times New Roman"/>
          <w:sz w:val="28"/>
          <w:szCs w:val="28"/>
          <w:color w:val="auto"/>
          <w:vertAlign w:val="superscript"/>
        </w:rPr>
      </w:pPr>
    </w:p>
    <w:p>
      <w:pPr>
        <w:ind w:left="380" w:hanging="372"/>
        <w:spacing w:after="0"/>
        <w:tabs>
          <w:tab w:leader="none" w:pos="38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 million in 2020; $1 million in 2019).</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($7 million in 2020; $9 million in 2019).</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Third-quarter 2020 revenue of $5.3 billion was 38% lower compared to the same period last year due to the significant fall in North America activity while international activity dropped due to downward revisions to customer budgets accentuated by COVID-19 disruptions. North America revenue declined 59% reflecting the continued capital discipline of North America operators, who reduced drilling and frac activity. International revenue decreased 27% due to COVID-19-related disruptions, the drop in offshore activity, and reduced customer discretionary spending.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Third-quarter 2020 revenue of $1.0 billion decreased 39% year-on-year mainly due to lower Wireline and WesternGeco revenues as customers reduced activity due to COVID-19 and cut discretionary spending and exploration in several international GeoMarkets.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512 bps to 17% largely due to the revenue declines in Wireline and WesternGeco.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Third-quarter 2020 revenue of $1.5 billion decreased 39% year-on-year primarily due to the activity decline in US land as rig count dropped significantly, while COVID-19 disruptions caused drilling activities to be cancelled or suspended in several international GeoMarkets. Revenue was also lower due to the divestiture of the Drilling Tools businesses at the end of the fourth quarter of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292 bps to 10% primarily due to the significant reduction in activity in North America.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Third-quarter 2020 revenue of $1.8 billion decreased 43% year-on-year. This revenue decrease was driven by the sharp drop in OneStim pressure pumping activity in North America land as customers exercised capital discipline and revised budgets downward. Internationally, revenue was affected by COVID-19-related disruptions and reduced customer spending.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Year-on-year, pretax operating margin increased 347 bps to 13% despite the significant drop in revenue. Margin improvement was supported by cost reduction measures and reduced depreciation and amortization following the asset impairment charges relating to OneStim and APS that were recorded in the second quarter of 2020.</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Third-quarter 2020 revenue of $1.0 billion decreased 29% year-on-year primarily as a result of lower Valves &amp; Process Systems and Surface Systems revenues in North America.</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decreased 644 bps to 6% due to reduced Surface Systems and Valves &amp; Process Systems profitability in North America and lower OneSubsea margins internationally.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2020 Compared to Nine Months 2019</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2020</w:t>
            </w:r>
          </w:p>
        </w:tc>
        <w:tc>
          <w:tcPr>
            <w:tcW w:w="16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Nine Months 2019</w:t>
            </w:r>
          </w:p>
        </w:tc>
      </w:tr>
      <w:tr>
        <w:trPr>
          <w:trHeight w:val="214"/>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tcPr>
          <w:p>
            <w:pPr>
              <w:spacing w:after="0"/>
              <w:rPr>
                <w:sz w:val="18"/>
                <w:szCs w:val="18"/>
                <w:color w:val="auto"/>
              </w:rPr>
            </w:pPr>
          </w:p>
        </w:tc>
      </w:tr>
      <w:tr>
        <w:trPr>
          <w:trHeight w:val="229"/>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Before</w:t>
            </w:r>
          </w:p>
        </w:tc>
      </w:t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Taxes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(548)</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(12,596)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(12,692)</w:t>
            </w: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20" w:hanging="372"/>
        <w:spacing w:after="0" w:line="195" w:lineRule="auto"/>
        <w:tabs>
          <w:tab w:leader="none" w:pos="380"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Interest income excludes amounts which are included in the segments’ income ($1 million in 2020; $6 million in 2019).</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Interest expense excludes amounts which are included in the segments’ income ($22 million in 2020; $29 million in 2019).</w:t>
      </w:r>
    </w:p>
    <w:p>
      <w:pPr>
        <w:spacing w:after="0" w:line="118"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Charges and credits are described in detail in Note 2 to the </w:t>
      </w:r>
      <w:r>
        <w:rPr>
          <w:rFonts w:ascii="Times New Roman" w:cs="Times New Roman" w:eastAsia="Times New Roman" w:hAnsi="Times New Roman"/>
          <w:sz w:val="14"/>
          <w:szCs w:val="14"/>
          <w:i w:val="1"/>
          <w:iCs w:val="1"/>
          <w:color w:val="auto"/>
        </w:rPr>
        <w:t>Consolidated Financial Statements.</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Nine-month 2020 revenue of $18.1 billion was 27% lower compared to the same period last year due to the significant fall in North America activity, as well as the international activity drop due to downward revisions to customer budgets accentuated by COVID-19 disruptions.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revenue declined 45%, reflecting the continued capital discipline of North America operators, who reduced drilling and frac activity. International revenue decreased 17%. The decline was most prominent in Latin America, Europe, and Africa due to COVID-19-related restrictions, the drop in offshore activity, and the effect of the APS production interruption in Ecuador during the second quarter of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Nine-month 2020 revenue of $3.4 billion decreased 28% year-on-year primarily due to lower Wireline and WesternGeco revenue as customers reduced activity due to COVID-19 and cut discretionary spending and exploration in several international GeoMarkets.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459 bps to 16% due to reduced profitability largely in Wireline and WesternGeco.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Nine-month 2020 revenue of $5.5 billion decreased 24% year-on-year due to the activity decline in US land as rig count decreased significantly, while COVID-19 disruptions caused drilling activities to be cancelled or suspended in several international GeoMarkets. Revenue was also lower due to the divestiture of the Drilling Tools businesses at the end of the fourth quarter of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184 bps to 11% primarily due to the decrease in revenue and COVID-19-related disruptions.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Nine-month 2020 revenue of $6.1 billion decreased 33% year-on-year. This revenue decrease was primarily driven by the sharp drop in OneStim pressure-pumping activity in North America land, lower APS revenue due to the significant production interruption in Ecuador during the second quarter of 2020 and COVID-19-related disruptions.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Year-on-year, pretax operating margin was essentially flat at 8% despite the significant drop in revenue. The margin was resilient as it was supported by cost reduction measures as well as reduced depreciation and amortization following the asset impairment charges relating to OneStim and APS that were recorded in the second quarter of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Nine-month 2020 revenue of $3.2 billion decreased 18% year-on-year driven by lower Valves &amp; Process Systems and Surface Systems revenue in North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421 bps to 8% due to the revenue decline.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1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increases in earnings from equity method investments primarily relates to higher income associated with Schlumberger’s equity investments in rig- and seismic-related businesses.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third quarter and nine months ended September 30,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2019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w:t>
            </w:r>
          </w:p>
        </w:tc>
        <w:tc>
          <w:tcPr>
            <w:tcW w:w="8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effective tax rate for the third quarter of 2020 was (35)%, as compared to 5% for the same period of 2019. The charges described in Note 2 to the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reduced the effective tax rate by 55 and 11 percentage points for the third quarter of 2020 and 2019, respectively,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these charges were not tax-effective. Changes in the geographic mix of pretax earnings accounted for the remaining increase in the effective tax rate for the third quarter of 2020 as compared to the same period of 2019.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effective tax rate for first nine months of 2020 was 8% as compared to 4% for the same period of 2019. The charges and credits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reduced the effective tax rate by 11 and 12 percentage points for the first nine months of 2020 and 2019, respectively, as a significant portion of these charges were not tax-effective. Changes in the geographic mix of pretax earnings accounted for the remaining increase in the effective tax rate for the first nine months of 2020 as compared to the same period of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Charges and Credits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Schlumberger recorded the following charges and credits during 2020, which are fully described in 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Third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Facility exit charges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quarter 2020 results did not include any benefit from reduced depreciation and amortization expense as a result of the first quarter impairment charges. However, commencing with the second quarter of 2020, depreciation and amortization expense was reduced by approximately $95 million on a quarterly basis as a result of the first quarter impairment charges. Approximately $45 million of this quarterly reduction is reflected in the Production segment, with the remaining $50 million reflected in the “Corporate &amp; other” line item.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quarter 2020 results did not include any benefit from reduced expenses associated with the second quarter restructuring and impairment charges. However, commencing with the third quarter of 2020, depreciation and amortization expense was reduced by approximately $80 million and lease expense was reduced by $25 million, on a quarterly basis. Approximately $70 million of this quarterly reduction is reflected in the Production Segment, with the remaining $35 million reflected amongst the Reservoir Characterization, Drilling and Cameron segments.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quarter 2020 results did not include any benefit from reduced expenses associated with the third quarter restructuring charges. However, going forward depreciation and lease expense will be reduced by $15 million, on a quarterly basis. This quarterly reduction will be reflected amongst all of the segments.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in connection with the preparation of its third quarter 2019 financial statements, which are fully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2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all of which are classified in </w:t>
      </w:r>
      <w:r>
        <w:rPr>
          <w:rFonts w:ascii="Times New Roman" w:cs="Times New Roman" w:eastAsia="Times New Roman" w:hAnsi="Times New Roman"/>
          <w:sz w:val="18"/>
          <w:szCs w:val="18"/>
          <w:i w:val="1"/>
          <w:iCs w:val="1"/>
          <w:color w:val="auto"/>
        </w:rPr>
        <w:t>Impairment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Loss</w:t>
      </w: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42"/>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pressure pumping</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North America-related</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Argentina</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these impairment charges were effective as of August 31, 2019, the third quarter 2019 results include a one-month reduction in depreciation and amortization expense of $27 million. Approximately $21 million of this amount relates to the Production segment. The remaining $6 million is reflected in the “Corporate &amp; other” line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six months of 2019.</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market conditions evolve and Schlumberger continues to develop its strategy to deal with such conditions, it may result in further restructuring and/or impairment charges in future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effects of the COVID-19 pandemic have resulted in a significant and swift reduction in international and U.S. economic activity. These effects have adversely affected the demand for oil and natural gas, as well as for Schlumberger’s products and services, and caused significant volatility and disruption of the financial markets. This period of extreme economic disruption, low oil prices and reduced demand for Schlumberger’s products and services has had, and is likely to continue to have, a material adverse impact on Schlumberger’s business, results of operations, financial condition and, at times, access to sources of liquidity.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view of the uncertainty of the depth and extent of the contraction in oil demand due to the COVID-19 pandemic combined with the weaker commodity price environment, Schlumberger has turned its strategic focus to cash conservation and protecting its balance sheet. As a result, in April 2020 Schlumberger announced a 75% reduction to its quarterly cash dividend. The revised dividend supports Schlumberger’s value proposition through a balanced approach of shareholder distributions and organic investment, while providing the flexibility to weather the uncertain environment. This decision reflects the Company’s focus on its capital stewardship program as well as its commitment to maintain both a strong liquidity position and a strong investment grade credit rating that provides privileged access to the financial markets.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components of liquidity as well as changes in liquidity follow: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3"/>
        </w:trPr>
        <w:tc>
          <w:tcPr>
            <w:tcW w:w="4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22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Sept. 30,</w:t>
            </w: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8"/>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16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6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(1,292)</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(16,471)</w:t>
            </w: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(16,333)</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 Sept. 30,</w:t>
            </w:r>
          </w:p>
        </w:tc>
      </w:tr>
      <w:tr>
        <w:trPr>
          <w:trHeight w:val="22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10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15"/>
                <w:szCs w:val="15"/>
                <w:color w:val="auto"/>
              </w:rPr>
              <w:t>(3)</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 costs capitalized</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10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divestitures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foreign exchange rates on net debt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debt</w:t>
            </w:r>
          </w:p>
        </w:tc>
        <w:tc>
          <w:tcPr>
            <w:tcW w:w="10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(13,274)</w:t>
            </w: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left="380" w:hanging="372"/>
        <w:spacing w:after="0" w:line="214" w:lineRule="auto"/>
        <w:tabs>
          <w:tab w:leader="none" w:pos="38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Times New Roman" w:cs="Times New Roman" w:eastAsia="Times New Roman" w:hAnsi="Times New Roman"/>
          <w:sz w:val="28"/>
          <w:szCs w:val="28"/>
          <w:color w:val="auto"/>
          <w:vertAlign w:val="superscript"/>
        </w:rPr>
      </w:pPr>
    </w:p>
    <w:p>
      <w:pPr>
        <w:ind w:left="380" w:hanging="372"/>
        <w:spacing w:after="0" w:line="231" w:lineRule="auto"/>
        <w:tabs>
          <w:tab w:leader="none" w:pos="38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APS investments.</w:t>
      </w:r>
    </w:p>
    <w:p>
      <w:pPr>
        <w:spacing w:after="0" w:line="118" w:lineRule="exact"/>
        <w:rPr>
          <w:rFonts w:ascii="Times New Roman" w:cs="Times New Roman" w:eastAsia="Times New Roman" w:hAnsi="Times New Roman"/>
          <w:sz w:val="28"/>
          <w:szCs w:val="28"/>
          <w:color w:val="auto"/>
          <w:vertAlign w:val="superscript"/>
        </w:rPr>
      </w:pPr>
    </w:p>
    <w:p>
      <w:pPr>
        <w:ind w:left="380" w:hanging="372"/>
        <w:spacing w:after="0" w:line="182" w:lineRule="auto"/>
        <w:tabs>
          <w:tab w:leader="none" w:pos="3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severance payments of approximately $699 million and $104 million during the nine months ended September 30, 2020 and 2019, respectively.</w:t>
      </w:r>
    </w:p>
    <w:p>
      <w:pPr>
        <w:spacing w:after="0" w:line="118" w:lineRule="exact"/>
        <w:rPr>
          <w:rFonts w:ascii="Times New Roman" w:cs="Times New Roman" w:eastAsia="Times New Roman" w:hAnsi="Times New Roman"/>
          <w:sz w:val="22"/>
          <w:szCs w:val="22"/>
          <w:color w:val="auto"/>
          <w:vertAlign w:val="superscript"/>
        </w:rPr>
      </w:pPr>
    </w:p>
    <w:p>
      <w:pPr>
        <w:jc w:val="both"/>
        <w:ind w:left="380" w:hanging="372"/>
        <w:spacing w:after="0" w:line="227" w:lineRule="auto"/>
        <w:tabs>
          <w:tab w:leader="none" w:pos="38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liquidity events during the first nine months of 2020 and 2019 included:</w:t>
      </w:r>
    </w:p>
    <w:p>
      <w:pPr>
        <w:spacing w:after="0" w:line="185" w:lineRule="exact"/>
        <w:rPr>
          <w:sz w:val="20"/>
          <w:szCs w:val="20"/>
          <w:color w:val="auto"/>
        </w:rPr>
      </w:pPr>
    </w:p>
    <w:p>
      <w:pPr>
        <w:jc w:val="both"/>
        <w:ind w:lef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2016, the Board approved a $10 billion share repurchase program for Schlumberger common stock. Schlumberger had repurchased $1.0 billion of Schlumberger common stock under this program as of September 30, 2020. The Company did not repurchase any Schlumberger common stock during the third quarter of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under the share repurchase program: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760" w:type="dxa"/>
            <w:vAlign w:val="bottom"/>
          </w:tcPr>
          <w:p>
            <w:pPr>
              <w:spacing w:after="0"/>
              <w:rPr>
                <w:sz w:val="16"/>
                <w:szCs w:val="16"/>
                <w:color w:val="auto"/>
              </w:rPr>
            </w:pPr>
          </w:p>
        </w:tc>
      </w:tr>
      <w:tr>
        <w:trPr>
          <w:trHeight w:val="422"/>
        </w:trPr>
        <w:tc>
          <w:tcPr>
            <w:tcW w:w="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6"/>
                <w:szCs w:val="16"/>
                <w:color w:val="auto"/>
              </w:rPr>
              <w:t>Total cost</w:t>
            </w: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Total number</w:t>
            </w: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 price</w:t>
            </w:r>
          </w:p>
        </w:tc>
        <w:tc>
          <w:tcPr>
            <w:tcW w:w="76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6"/>
                <w:szCs w:val="16"/>
                <w:color w:val="auto"/>
              </w:rPr>
              <w:t>of shares</w:t>
            </w: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of shares</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paid per</w:t>
            </w:r>
          </w:p>
        </w:tc>
        <w:tc>
          <w:tcPr>
            <w:tcW w:w="760" w:type="dxa"/>
            <w:vAlign w:val="bottom"/>
          </w:tcPr>
          <w:p>
            <w:pPr>
              <w:spacing w:after="0"/>
              <w:rPr>
                <w:sz w:val="18"/>
                <w:szCs w:val="18"/>
                <w:color w:val="auto"/>
              </w:rPr>
            </w:pPr>
          </w:p>
        </w:tc>
      </w:tr>
      <w:tr>
        <w:trPr>
          <w:trHeight w:val="219"/>
        </w:trPr>
        <w:tc>
          <w:tcPr>
            <w:tcW w:w="7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6"/>
                <w:szCs w:val="16"/>
                <w:color w:val="auto"/>
                <w:w w:val="98"/>
              </w:rPr>
              <w:t>purchased</w:t>
            </w:r>
          </w:p>
        </w:tc>
        <w:tc>
          <w:tcPr>
            <w:tcW w:w="2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purchased</w:t>
            </w: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share</w:t>
            </w:r>
          </w:p>
        </w:tc>
        <w:tc>
          <w:tcPr>
            <w:tcW w:w="760" w:type="dxa"/>
            <w:vAlign w:val="bottom"/>
          </w:tcPr>
          <w:p>
            <w:pPr>
              <w:spacing w:after="0"/>
              <w:rPr>
                <w:sz w:val="19"/>
                <w:szCs w:val="19"/>
                <w:color w:val="auto"/>
              </w:rPr>
            </w:pPr>
          </w:p>
        </w:tc>
      </w:tr>
      <w:tr>
        <w:trPr>
          <w:trHeight w:val="226"/>
        </w:trPr>
        <w:tc>
          <w:tcPr>
            <w:tcW w:w="76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7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70"/>
        </w:trPr>
        <w:tc>
          <w:tcPr>
            <w:tcW w:w="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1" w:name="page32"/>
    <w:bookmarkEnd w:id="31"/>
    <w:p>
      <w:pPr>
        <w:jc w:val="both"/>
        <w:ind w:left="380" w:right="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$0.9 billion during the first nine months of 2020 compared to $1.2 billion during the first nine months of 2019, respectively. Capital expenditures for full-year 2020 are expected to be approximately $1.1 billion, representing a 35% decrease as compared to 2019.</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2020, Schlumberger issued $500 million of 1.40% Senior Notes due 2025 and $350 million of 2.65% Senior Notes due 2030.</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2019, Schlumberger issued €500 million of 0.00% Notes due 2024, €500 million of 0.25% Notes due 2027 and €500 million of 0.50% Notes due 2031.</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2020, Schlumberger issued €1.0 billion of 1.375% Guaranteed Notes due 2026, $900 million of 2.650% Senior Notes due 2030 and €1.0 billion of 2.00% Guaranteed Notes due 2032.</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Loss</w:t>
      </w:r>
      <w:r>
        <w:rPr>
          <w:rFonts w:ascii="Times New Roman" w:cs="Times New Roman" w:eastAsia="Times New Roman" w:hAnsi="Times New Roman"/>
          <w:sz w:val="18"/>
          <w:szCs w:val="18"/>
          <w:color w:val="auto"/>
        </w:rPr>
        <w:t xml:space="preserve">. See Note 2 –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2020, Schlumberger issued €400 million of 0.25% Notes due 2027 and €400 million of 0.50% Notes due 2031.</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2019, Schlumberger issued $750 million of 3.75% Senior Notes due 2024 and $850 million of 4.30% Senior Notes due 2029.</w:t>
      </w:r>
    </w:p>
    <w:p>
      <w:pPr>
        <w:spacing w:after="0" w:line="3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Schlumberger had a provision of $0.7 billion relating to the severance recorded on its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as of September 30, 2020. Approximately half of this balance is expected to be paid during the fourth quarter of 2020 with the remainder expected to be paid in 2021.</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Schlumberger generates revenue in more than 120 countries. As of September 30, 2020, six of those countries individually accounted for greater than 5% of Schlumberger’s net receivables balance. The United States and Mexico each accounted for greater than 10% of such receivables.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Schlumberger had $3.8 billion of cash and short-term investments on hand. Schlumberger had separate committed debt facility agreements aggregating $8.1 billion that support commercial paper programs, of which $7.0 billion was available and unused. Schlumberger believes these amounts are sufficient to meet future business requirements for at least the next 12 months.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commercial paper programs at September 30, 2020 were $1.1 billion.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third-quarter 2020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pandemic and other widespread health emergencies; access to raw materials; improvements in operating procedures and technology; capital expenditures by Schlumberger and the oil and gas industry; the business strategies of Schlumberger and Schlumberger’s customers; Schlumberger’s digital strategy; Schlumberger’s strategy for its North America operations; the expected benefits of, or timing to complete, the proposed OneStim transaction; Schlumberger’s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restructuring efforts and charges recorded as a result of such efforts; our effective tax rate; Schlumberger’s APS projects, joint ventures, and alliances; future global economic and geopolitical conditions;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third-quarter 2020 Form 10-Q are made as of October 21, 2020, and Schlumberger disclaims any intention or obligation to update publicly or revise such statements, whether as a result of new information, future events or otherwise.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2019. Schlumberger’s exposure to market risk has not changed materially since December 31,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11—</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accompanying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disclosed in Part 1, Item 1A, of Schlumberger’s Annual Report on Form 10-K for the fiscal year ended December 31, 2019, other than the risk factor disclosed in Item 8.01 of Schlumberger’s Current Report on Form 8-K filed on April 17, 2020, which is hereby incorporated by reference into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Schlumberger had repurchased $1.0 billion of Schlumberger common stock under its $10 billion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repurchase any of its common stock during the third quarter of 2020.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during the third quarter of 2020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02" w:lineRule="exact"/>
        <w:rPr>
          <w:sz w:val="20"/>
          <w:szCs w:val="20"/>
          <w:color w:val="auto"/>
        </w:rPr>
      </w:pPr>
    </w:p>
    <w:p>
      <w:pPr>
        <w:jc w:val="both"/>
        <w:ind w:left="440"/>
        <w:spacing w:after="0" w:line="282" w:lineRule="auto"/>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color w:val="auto"/>
          </w:rPr>
          <w:t>Exhibit 3.1—</w:t>
        </w:r>
        <w:r>
          <w:rPr>
            <w:rFonts w:ascii="Times New Roman" w:cs="Times New Roman" w:eastAsia="Times New Roman" w:hAnsi="Times New Roman"/>
            <w:sz w:val="18"/>
            <w:szCs w:val="18"/>
            <w:u w:val="single" w:color="auto"/>
            <w:color w:val="0000EE"/>
          </w:rPr>
          <w:t>Articles of Incorporation of Schlumberger Limited (Schlumberger N.V.) (incorporated by reference to Exhibit 3.1 to Schlumberger’s</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Current Report on Form 8-K filed on April 6, 2016)</w:t>
        </w:r>
      </w:hyperlink>
    </w:p>
    <w:p>
      <w:pPr>
        <w:spacing w:after="0" w:line="27" w:lineRule="exact"/>
        <w:rPr>
          <w:sz w:val="20"/>
          <w:szCs w:val="20"/>
          <w:color w:val="auto"/>
        </w:rPr>
      </w:pPr>
    </w:p>
    <w:p>
      <w:pPr>
        <w:jc w:val="both"/>
        <w:ind w:left="440"/>
        <w:spacing w:after="0" w:line="282" w:lineRule="auto"/>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color w:val="auto"/>
          </w:rPr>
          <w:t>Exhibit 3.2—</w:t>
        </w:r>
        <w:r>
          <w:rPr>
            <w:rFonts w:ascii="Times New Roman" w:cs="Times New Roman" w:eastAsia="Times New Roman" w:hAnsi="Times New Roman"/>
            <w:sz w:val="18"/>
            <w:szCs w:val="18"/>
            <w:u w:val="single" w:color="auto"/>
            <w:color w:val="0000EE"/>
          </w:rPr>
          <w:t>Amended and Restated By-laws of Schlumberger Limited (Schlumberger N.V.) (incorporated by reference to Exhibit 3 to</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Schlumberger’s Current Report on Form 8-K filed on July 22, 2019)</w:t>
        </w:r>
      </w:hyperlink>
    </w:p>
    <w:p>
      <w:pPr>
        <w:spacing w:after="0" w:line="27" w:lineRule="exact"/>
        <w:rPr>
          <w:sz w:val="20"/>
          <w:szCs w:val="20"/>
          <w:color w:val="auto"/>
        </w:rPr>
      </w:pPr>
    </w:p>
    <w:p>
      <w:pPr>
        <w:jc w:val="both"/>
        <w:ind w:left="440" w:right="20"/>
        <w:spacing w:after="0" w:line="266" w:lineRule="auto"/>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color w:val="auto"/>
          </w:rPr>
          <w:t>Exhibit 4.1—</w:t>
        </w:r>
        <w:r>
          <w:rPr>
            <w:rFonts w:ascii="Times New Roman" w:cs="Times New Roman" w:eastAsia="Times New Roman" w:hAnsi="Times New Roman"/>
            <w:sz w:val="18"/>
            <w:szCs w:val="18"/>
            <w:u w:val="single" w:color="auto"/>
            <w:color w:val="0000EE"/>
          </w:rPr>
          <w:t>Indenture dated as of December 3, 2013, by and among Schlumberger Investment SA, as issuer, Schlumberger Limited, as guarantor,</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and The Bank of New York Mellon, as trustee (incorporated by reference to Exhibit 4.1 to Schlumberger’s Current Report on Form 8-K filed on</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December 3, 2013)</w:t>
        </w:r>
      </w:hyperlink>
    </w:p>
    <w:p>
      <w:pPr>
        <w:spacing w:after="0" w:line="41" w:lineRule="exact"/>
        <w:rPr>
          <w:rFonts w:ascii="Times New Roman" w:cs="Times New Roman" w:eastAsia="Times New Roman" w:hAnsi="Times New Roman"/>
          <w:sz w:val="18"/>
          <w:szCs w:val="18"/>
          <w:color w:val="auto"/>
        </w:rPr>
      </w:pPr>
    </w:p>
    <w:p>
      <w:pPr>
        <w:jc w:val="both"/>
        <w:ind w:left="440"/>
        <w:spacing w:after="0" w:line="266" w:lineRule="auto"/>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color w:val="auto"/>
          </w:rPr>
          <w:t>Exhibit 4.2—</w:t>
        </w:r>
        <w:r>
          <w:rPr>
            <w:rFonts w:ascii="Times New Roman" w:cs="Times New Roman" w:eastAsia="Times New Roman" w:hAnsi="Times New Roman"/>
            <w:sz w:val="18"/>
            <w:szCs w:val="18"/>
            <w:u w:val="single" w:color="auto"/>
            <w:color w:val="0000EE"/>
          </w:rPr>
          <w:t>Second Supplemental Indenture dated as of June 26, 2020, by and among Schlumberger Investment SA, as issuer, Schlumberger</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Limited, as guarantor, and The Bank of New York Mellon, as trustee (including form of global notes representing 2.650% Senior Notes due 2030)</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(incorporated by reference to Exhibit 4.1 to Schlumberger’s Current Report on Form 8-K filed on June 26, 2020)</w:t>
        </w:r>
      </w:hyperlink>
    </w:p>
    <w:p>
      <w:pPr>
        <w:spacing w:after="0" w:line="41" w:lineRule="exact"/>
        <w:rPr>
          <w:rFonts w:ascii="Times New Roman" w:cs="Times New Roman" w:eastAsia="Times New Roman" w:hAnsi="Times New Roman"/>
          <w:sz w:val="18"/>
          <w:szCs w:val="18"/>
          <w:color w:val="auto"/>
        </w:rPr>
      </w:pPr>
    </w:p>
    <w:p>
      <w:pPr>
        <w:jc w:val="both"/>
        <w:ind w:left="440"/>
        <w:spacing w:after="0" w:line="266" w:lineRule="auto"/>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color w:val="auto"/>
          </w:rPr>
          <w:t>Exhibit 4.3—</w:t>
        </w:r>
        <w:r>
          <w:rPr>
            <w:rFonts w:ascii="Times New Roman" w:cs="Times New Roman" w:eastAsia="Times New Roman" w:hAnsi="Times New Roman"/>
            <w:sz w:val="18"/>
            <w:szCs w:val="18"/>
            <w:u w:val="single" w:color="auto"/>
            <w:color w:val="0000EE"/>
          </w:rPr>
          <w:t>Officers’ Certificate dated as of August 11, 2020, executed by Schlumberger Investment SA, as issuer, and Schlumberger Limited, as</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guarantor (including form of global notes representing 2.650% Senior Notes due 2030) (incorporated by reference to Exhibit 4.1 to Schlumberger’s</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Current Report on Form 8-K filed on August 11, 2020)</w:t>
        </w:r>
      </w:hyperlink>
    </w:p>
    <w:p>
      <w:pPr>
        <w:spacing w:after="0" w:line="41" w:lineRule="exact"/>
        <w:rPr>
          <w:rFonts w:ascii="Times New Roman" w:cs="Times New Roman" w:eastAsia="Times New Roman" w:hAnsi="Times New Roman"/>
          <w:sz w:val="18"/>
          <w:szCs w:val="18"/>
          <w:color w:val="auto"/>
        </w:rPr>
      </w:pPr>
    </w:p>
    <w:p>
      <w:pPr>
        <w:jc w:val="both"/>
        <w:ind w:left="440"/>
        <w:spacing w:after="0" w:line="266" w:lineRule="auto"/>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color w:val="auto"/>
          </w:rPr>
          <w:t>Exhibit 4.4—</w:t>
        </w:r>
        <w:r>
          <w:rPr>
            <w:rFonts w:ascii="Times New Roman" w:cs="Times New Roman" w:eastAsia="Times New Roman" w:hAnsi="Times New Roman"/>
            <w:sz w:val="18"/>
            <w:szCs w:val="18"/>
            <w:u w:val="single" w:color="auto"/>
            <w:color w:val="0000EE"/>
          </w:rPr>
          <w:t>Indenture dated as of September 18, 2020, by and among Schlumberger Finance Canada Ltd., as issuer, Schlumberger Limited, as</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guarantor, and The Bank of New York Mellon, as trustee (incorporated by reference to Exhibit 4.1 to Schlumberger’s Current Report on Form 8-K</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filed on September 18, 2020)</w:t>
        </w:r>
      </w:hyperlink>
    </w:p>
    <w:p>
      <w:pPr>
        <w:spacing w:after="0" w:line="41" w:lineRule="exact"/>
        <w:rPr>
          <w:rFonts w:ascii="Times New Roman" w:cs="Times New Roman" w:eastAsia="Times New Roman" w:hAnsi="Times New Roman"/>
          <w:sz w:val="18"/>
          <w:szCs w:val="18"/>
          <w:color w:val="auto"/>
        </w:rPr>
      </w:pPr>
    </w:p>
    <w:p>
      <w:pPr>
        <w:jc w:val="both"/>
        <w:ind w:left="440" w:right="20"/>
        <w:spacing w:after="0" w:line="266" w:lineRule="auto"/>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auto"/>
          </w:rPr>
          <w:t>Exhibit 4.5—</w:t>
        </w:r>
        <w:r>
          <w:rPr>
            <w:rFonts w:ascii="Times New Roman" w:cs="Times New Roman" w:eastAsia="Times New Roman" w:hAnsi="Times New Roman"/>
            <w:sz w:val="18"/>
            <w:szCs w:val="18"/>
            <w:u w:val="single" w:color="auto"/>
            <w:color w:val="0000EE"/>
          </w:rPr>
          <w:t>First Supplemental Indenture dated as of September 18, 2020, by and among Schlumberger Finance Canada Ltd., as issuer,</w:t>
        </w:r>
      </w:hyperlink>
      <w:r>
        <w:rPr>
          <w:rFonts w:ascii="Times New Roman" w:cs="Times New Roman" w:eastAsia="Times New Roman" w:hAnsi="Times New Roman"/>
          <w:sz w:val="18"/>
          <w:szCs w:val="18"/>
          <w:u w:val="single" w:color="auto"/>
          <w:color w:val="auto"/>
        </w:rPr>
        <w:t xml:space="preserve"> </w:t>
      </w:r>
      <w:hyperlink r:id="rId66">
        <w:r>
          <w:rPr>
            <w:rFonts w:ascii="Times New Roman" w:cs="Times New Roman" w:eastAsia="Times New Roman" w:hAnsi="Times New Roman"/>
            <w:sz w:val="18"/>
            <w:szCs w:val="18"/>
            <w:u w:val="single" w:color="auto"/>
            <w:color w:val="0000EE"/>
          </w:rPr>
          <w:t>Schlumberger Limited, as guarantor, and The Bank of New York Mellon, as trustee (including form of global notes representing 1.400% Senior</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Notes due 2025) (incorporated by reference to Exhibit 4.2 to Schlumberger’s Current Report on Form 8-K filed on September 18, 2020)</w:t>
        </w:r>
      </w:hyperlink>
    </w:p>
    <w:p>
      <w:pPr>
        <w:spacing w:after="0" w:line="41" w:lineRule="exact"/>
        <w:rPr>
          <w:rFonts w:ascii="Times New Roman" w:cs="Times New Roman" w:eastAsia="Times New Roman" w:hAnsi="Times New Roman"/>
          <w:sz w:val="18"/>
          <w:szCs w:val="18"/>
          <w:u w:val="single" w:color="auto"/>
          <w:color w:val="auto"/>
        </w:rPr>
      </w:pPr>
    </w:p>
    <w:p>
      <w:pPr>
        <w:ind w:left="580" w:hanging="131"/>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22—</w:t>
      </w:r>
      <w:hyperlink w:anchor="page37">
        <w:r>
          <w:rPr>
            <w:rFonts w:ascii="Times New Roman" w:cs="Times New Roman" w:eastAsia="Times New Roman" w:hAnsi="Times New Roman"/>
            <w:sz w:val="18"/>
            <w:szCs w:val="18"/>
            <w:u w:val="single" w:color="auto"/>
            <w:color w:val="0000EE"/>
          </w:rPr>
          <w:t>Issuers of Registered Guaranteed Debt Securities</w:t>
        </w:r>
      </w:hyperlink>
    </w:p>
    <w:p>
      <w:pPr>
        <w:spacing w:after="0" w:line="90" w:lineRule="exact"/>
        <w:rPr>
          <w:rFonts w:ascii="Times New Roman" w:cs="Times New Roman" w:eastAsia="Times New Roman" w:hAnsi="Times New Roman"/>
          <w:sz w:val="18"/>
          <w:szCs w:val="18"/>
          <w:color w:val="auto"/>
        </w:rPr>
      </w:pPr>
    </w:p>
    <w:p>
      <w:pPr>
        <w:ind w:left="440" w:firstLine="9"/>
        <w:spacing w:after="0" w:line="282" w:lineRule="auto"/>
        <w:tabs>
          <w:tab w:leader="none" w:pos="575" w:val="left"/>
        </w:tabs>
        <w:numPr>
          <w:ilvl w:val="0"/>
          <w:numId w:val="31"/>
        </w:numPr>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color w:val="auto"/>
          </w:rPr>
          <w:t>Exhibit 31.1—</w:t>
        </w:r>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amended, as adopted</w:t>
        </w:r>
      </w:hyperlink>
      <w:r>
        <w:rPr>
          <w:rFonts w:ascii="Times New Roman" w:cs="Times New Roman" w:eastAsia="Times New Roman" w:hAnsi="Times New Roman"/>
          <w:sz w:val="18"/>
          <w:szCs w:val="18"/>
          <w:color w:val="auto"/>
        </w:rPr>
        <w:t xml:space="preserve"> </w:t>
      </w:r>
      <w:hyperlink w:anchor="page38">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26" w:lineRule="exact"/>
        <w:rPr>
          <w:rFonts w:ascii="Times New Roman" w:cs="Times New Roman" w:eastAsia="Times New Roman" w:hAnsi="Times New Roman"/>
          <w:sz w:val="18"/>
          <w:szCs w:val="18"/>
          <w:u w:val="single" w:color="auto"/>
          <w:color w:val="0000EE"/>
        </w:rPr>
      </w:pPr>
    </w:p>
    <w:p>
      <w:pPr>
        <w:ind w:left="440" w:firstLine="9"/>
        <w:spacing w:after="0" w:line="282" w:lineRule="auto"/>
        <w:tabs>
          <w:tab w:leader="none" w:pos="575" w:val="left"/>
        </w:tabs>
        <w:numPr>
          <w:ilvl w:val="0"/>
          <w:numId w:val="31"/>
        </w:numPr>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color w:val="auto"/>
          </w:rPr>
          <w:t>Exhibit 31.2—</w:t>
        </w:r>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amended, as adopted</w:t>
        </w:r>
      </w:hyperlink>
      <w:r>
        <w:rPr>
          <w:rFonts w:ascii="Times New Roman" w:cs="Times New Roman" w:eastAsia="Times New Roman" w:hAnsi="Times New Roman"/>
          <w:sz w:val="18"/>
          <w:szCs w:val="18"/>
          <w:color w:val="auto"/>
        </w:rPr>
        <w:t xml:space="preserve"> </w:t>
      </w:r>
      <w:hyperlink w:anchor="page39">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27" w:lineRule="exact"/>
        <w:rPr>
          <w:rFonts w:ascii="Times New Roman" w:cs="Times New Roman" w:eastAsia="Times New Roman" w:hAnsi="Times New Roman"/>
          <w:sz w:val="18"/>
          <w:szCs w:val="18"/>
          <w:color w:val="auto"/>
        </w:rPr>
      </w:pPr>
    </w:p>
    <w:p>
      <w:pPr>
        <w:ind w:left="440" w:firstLine="9"/>
        <w:spacing w:after="0" w:line="282" w:lineRule="auto"/>
        <w:tabs>
          <w:tab w:leader="none" w:pos="672" w:val="left"/>
        </w:tabs>
        <w:numPr>
          <w:ilvl w:val="0"/>
          <w:numId w:val="32"/>
        </w:numPr>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color w:val="auto"/>
          </w:rPr>
          <w:t>Exhibit 32.1—</w:t>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w:t>
        </w:r>
      </w:hyperlink>
      <w:hyperlink w:anchor="page40">
        <w:r>
          <w:rPr>
            <w:rFonts w:ascii="Times New Roman" w:cs="Times New Roman" w:eastAsia="Times New Roman" w:hAnsi="Times New Roman"/>
            <w:sz w:val="18"/>
            <w:szCs w:val="18"/>
            <w:u w:val="single" w:color="auto"/>
            <w:color w:val="0000EE"/>
          </w:rPr>
          <w:t>Oxley Act of 2002</w:t>
        </w:r>
      </w:hyperlink>
    </w:p>
    <w:p>
      <w:pPr>
        <w:spacing w:after="0" w:line="26" w:lineRule="exact"/>
        <w:rPr>
          <w:rFonts w:ascii="Times New Roman" w:cs="Times New Roman" w:eastAsia="Times New Roman" w:hAnsi="Times New Roman"/>
          <w:sz w:val="18"/>
          <w:szCs w:val="18"/>
          <w:u w:val="single" w:color="auto"/>
          <w:color w:val="0000EE"/>
        </w:rPr>
      </w:pPr>
    </w:p>
    <w:p>
      <w:pPr>
        <w:ind w:left="440" w:firstLine="9"/>
        <w:spacing w:after="0" w:line="282" w:lineRule="auto"/>
        <w:tabs>
          <w:tab w:leader="none" w:pos="672" w:val="left"/>
        </w:tabs>
        <w:numPr>
          <w:ilvl w:val="0"/>
          <w:numId w:val="32"/>
        </w:numPr>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color w:val="auto"/>
          </w:rPr>
          <w:t>Exhibit 32.2—</w:t>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w:t>
        </w:r>
      </w:hyperlink>
      <w:hyperlink w:anchor="page41">
        <w:r>
          <w:rPr>
            <w:rFonts w:ascii="Times New Roman" w:cs="Times New Roman" w:eastAsia="Times New Roman" w:hAnsi="Times New Roman"/>
            <w:sz w:val="18"/>
            <w:szCs w:val="18"/>
            <w:u w:val="single" w:color="auto"/>
            <w:color w:val="0000EE"/>
          </w:rPr>
          <w:t>Oxley Act of 2002</w:t>
        </w:r>
      </w:hyperlink>
    </w:p>
    <w:p>
      <w:pPr>
        <w:spacing w:after="0" w:line="27"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w:t>
      </w:r>
      <w:hyperlink w:anchor="page42">
        <w:r>
          <w:rPr>
            <w:rFonts w:ascii="Times New Roman" w:cs="Times New Roman" w:eastAsia="Times New Roman" w:hAnsi="Times New Roman"/>
            <w:sz w:val="18"/>
            <w:szCs w:val="18"/>
            <w:u w:val="single" w:color="auto"/>
            <w:color w:val="0000EE"/>
          </w:rPr>
          <w:t>Mine Safety Disclosures</w:t>
        </w:r>
      </w:hyperlink>
    </w:p>
    <w:p>
      <w:pPr>
        <w:spacing w:after="0" w:line="90" w:lineRule="exact"/>
        <w:rPr>
          <w:rFonts w:ascii="Times New Roman" w:cs="Times New Roman" w:eastAsia="Times New Roman" w:hAnsi="Times New Roman"/>
          <w:sz w:val="18"/>
          <w:szCs w:val="18"/>
          <w:color w:val="auto"/>
        </w:rPr>
      </w:pPr>
    </w:p>
    <w:p>
      <w:pPr>
        <w:ind w:left="440" w:firstLine="9"/>
        <w:spacing w:after="0" w:line="282" w:lineRule="auto"/>
        <w:tabs>
          <w:tab w:leader="none" w:pos="5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101.INS—Inline XBRL Instance Document – the instance document does not appear in the Interactive Data File because XBRL tags are embedded within the Inline XBRL document</w:t>
      </w:r>
    </w:p>
    <w:p>
      <w:pPr>
        <w:spacing w:after="0" w:line="26"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101.SCH—Inline XBRL Taxonomy Extension Schema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101.CAL—Inline XBRL Taxonomy Extension Calculation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101.DEF—Inline XBRL Taxonomy Extension Definition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101.LAB—Inline XBRL Taxonomy Extension Label Linkbase Document</w:t>
      </w:r>
    </w:p>
    <w:p>
      <w:pPr>
        <w:spacing w:after="0" w:line="90" w:lineRule="exact"/>
        <w:rPr>
          <w:rFonts w:ascii="Times New Roman" w:cs="Times New Roman" w:eastAsia="Times New Roman" w:hAnsi="Times New Roman"/>
          <w:sz w:val="18"/>
          <w:szCs w:val="18"/>
          <w:color w:val="auto"/>
        </w:rPr>
      </w:pPr>
    </w:p>
    <w:p>
      <w:pPr>
        <w:ind w:left="580" w:hanging="131"/>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101.PRE—Inline XBRL Taxonomy Extension Presentation Linkbase Document</w:t>
      </w:r>
    </w:p>
    <w:p>
      <w:pPr>
        <w:spacing w:after="0" w:line="90"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104—Cover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Form 10-Q.</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color w:val="auto"/>
        </w:rPr>
        <w:t>Date:</w:t>
        <w:tab/>
        <w:t>October 21, 2020</w:t>
      </w:r>
      <w:r>
        <w:rPr>
          <w:sz w:val="20"/>
          <w:szCs w:val="20"/>
          <w:color w:val="auto"/>
        </w:rPr>
        <w:tab/>
      </w: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Howard Guild</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Chief Accounting Officer and Duly Authorized Signatory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36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Issuers of Registered Guaranteed Debt Securities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Schlumberger Investment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0380"/>
          </w:cols>
          <w:pgMar w:left="320" w:top="333" w:right="11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N.V. (Schlumberger Limited);</w:t>
      </w:r>
    </w:p>
    <w:p>
      <w:pPr>
        <w:spacing w:after="0" w:line="117" w:lineRule="exact"/>
        <w:rPr>
          <w:rFonts w:ascii="Times New Roman" w:cs="Times New Roman" w:eastAsia="Times New Roman" w:hAnsi="Times New Roman"/>
          <w:sz w:val="18"/>
          <w:szCs w:val="18"/>
          <w:color w:val="auto"/>
        </w:rPr>
      </w:pPr>
    </w:p>
    <w:p>
      <w:pPr>
        <w:ind w:firstLine="382"/>
        <w:spacing w:after="0" w:line="282" w:lineRule="auto"/>
        <w:tabs>
          <w:tab w:leader="none" w:pos="5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5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82"/>
        <w:spacing w:after="0" w:line="266" w:lineRule="auto"/>
        <w:tabs>
          <w:tab w:leader="none" w:pos="5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382"/>
        <w:spacing w:after="0" w:line="282" w:lineRule="auto"/>
        <w:tabs>
          <w:tab w:leader="none" w:pos="5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2020</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91"/>
        </w:trPr>
        <w:tc>
          <w:tcPr>
            <w:tcW w:w="674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4"/>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N.V. (Schlumberger Limited);</w:t>
      </w:r>
    </w:p>
    <w:p>
      <w:pPr>
        <w:spacing w:after="0" w:line="117" w:lineRule="exact"/>
        <w:rPr>
          <w:rFonts w:ascii="Times New Roman" w:cs="Times New Roman" w:eastAsia="Times New Roman" w:hAnsi="Times New Roman"/>
          <w:sz w:val="18"/>
          <w:szCs w:val="18"/>
          <w:color w:val="auto"/>
        </w:rPr>
      </w:pPr>
    </w:p>
    <w:p>
      <w:pPr>
        <w:ind w:firstLine="382"/>
        <w:spacing w:after="0" w:line="282" w:lineRule="auto"/>
        <w:tabs>
          <w:tab w:leader="none" w:pos="5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5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82"/>
        <w:spacing w:after="0" w:line="266" w:lineRule="auto"/>
        <w:tabs>
          <w:tab w:leader="none" w:pos="5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00" w:hanging="498"/>
        <w:spacing w:after="0" w:line="266"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382"/>
        <w:spacing w:after="0" w:line="282" w:lineRule="auto"/>
        <w:tabs>
          <w:tab w:leader="none" w:pos="5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00" w:hanging="498"/>
        <w:spacing w:after="0" w:line="282"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2020</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Stephane Biguet</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54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September 30, 2020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2020</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Le Peuch</w:t>
            </w:r>
          </w:p>
        </w:tc>
      </w:tr>
      <w:tr>
        <w:trPr>
          <w:trHeight w:val="191"/>
        </w:trPr>
        <w:tc>
          <w:tcPr>
            <w:tcW w:w="534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Olivier Le Peuch</w:t>
            </w:r>
          </w:p>
        </w:tc>
      </w:tr>
      <w:tr>
        <w:trPr>
          <w:trHeight w:val="234"/>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4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September 30, 2020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0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2020</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Stephane Biguet</w:t>
            </w:r>
          </w:p>
        </w:tc>
      </w:tr>
      <w:tr>
        <w:trPr>
          <w:trHeight w:val="191"/>
        </w:trPr>
        <w:tc>
          <w:tcPr>
            <w:tcW w:w="534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Stephane Biguet</w:t>
            </w:r>
          </w:p>
        </w:tc>
      </w:tr>
      <w:tr>
        <w:trPr>
          <w:trHeight w:val="234"/>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4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5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September 30, 2020. Due to timing and other factors, the data may not agree with the mine data retrieval system maintained by the MSHA at www.MSHA.gov.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Received</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Received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Notice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Notice of</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Potential to</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Pattern of</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Have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Legal</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Violations</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Pattern</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Actions</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3"/>
              </w:rPr>
              <w:t>Total Dollar</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Number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Under</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Under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Pending as</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Actions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Section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104(d)</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6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Section</w:t>
            </w:r>
          </w:p>
        </w:tc>
        <w:tc>
          <w:tcPr>
            <w:tcW w:w="10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Value of MSHA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of Mining</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Section</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 Last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Initiated</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Mine or Operating Name/MSHA</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Section 104</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104(b)</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Citations</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110(b)(2)</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107(a)</w:t>
            </w:r>
          </w:p>
        </w:tc>
        <w:tc>
          <w:tcPr>
            <w:tcW w:w="10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Assessments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Related</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104(e)</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104(e)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Day</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Identification Number</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S&amp;S Citations</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Orders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and Orders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Violations</w:t>
            </w: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color w:val="auto"/>
                <w:w w:val="95"/>
              </w:rPr>
              <w:t>Proposed (1)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Fatalities</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(yes/no)</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(yes/no)</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of Period</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Period</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0" w:type="dxa"/>
            <w:vAlign w:val="bottom"/>
          </w:tcPr>
          <w:p>
            <w:pPr>
              <w:spacing w:after="0"/>
              <w:rPr>
                <w:sz w:val="1"/>
                <w:szCs w:val="1"/>
                <w:color w:val="auto"/>
              </w:rPr>
            </w:pPr>
          </w:p>
        </w:tc>
      </w:tr>
      <w:tr>
        <w:trPr>
          <w:trHeight w:val="27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Amelia Barite Plant/1600825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Battle Mountain Grinding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Galveston GBT Barite Grinding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Plant/4104675</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8"/>
              </w:rPr>
              <w:t>Greybull Milling Operation/4800602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46"/>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8"/>
              </w:rPr>
              <w:t>Greybull Mining Operation/4800603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Greystone Mine/2600411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8"/>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Mountain Springs Beneficiation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Wisconsin Proppants Hixton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Mine/4703742</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Wisconsin Proppants Alma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Mine/4703823</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Wisconsin Proppants Monahans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92"/>
              </w:rPr>
              <w:t>$895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Mine/4105336</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Wisconsin Proppants High Roller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104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w w:val="86"/>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Sand Mine/4105321</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20" w:hanging="372"/>
        <w:spacing w:after="0" w:line="264"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Amounts included are the total dollar value of proposed assessments received from MSHA during the quarter on or before September 30, 2020,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
      <w:numFmt w:val="bullet"/>
      <w:start w:val="1"/>
    </w:lvl>
    <w:lvl w:ilvl="1">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lvl w:ilvl="1">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1."/>
      <w:numFmt w:val="decimal"/>
      <w:start w:val="3"/>
    </w:lvl>
  </w:abstractNum>
  <w:abstractNum w:abstractNumId="10">
    <w:nsid w:val="4353D0CD"/>
    <w:multiLevelType w:val="hybridMultilevel"/>
    <w:lvl w:ilvl="0">
      <w:lvlJc w:val="left"/>
      <w:lvlText w:val="%1."/>
      <w:numFmt w:val="decimal"/>
      <w:start w:val="4"/>
    </w:lvl>
  </w:abstractNum>
  <w:abstractNum w:abstractNumId="11">
    <w:nsid w:val="B03E0C6"/>
    <w:multiLevelType w:val="hybridMultilevel"/>
    <w:lvl w:ilvl="0">
      <w:lvlJc w:val="left"/>
      <w:lvlText w:val="%1."/>
      <w:numFmt w:val="decimal"/>
      <w:start w:val="5"/>
    </w:lvl>
  </w:abstractNum>
  <w:abstractNum w:abstractNumId="12">
    <w:nsid w:val="189A769B"/>
    <w:multiLevelType w:val="hybridMultilevel"/>
    <w:lvl w:ilvl="0">
      <w:lvlJc w:val="left"/>
      <w:lvlText w:val="%1."/>
      <w:numFmt w:val="decimal"/>
      <w:start w:val="6"/>
    </w:lvl>
  </w:abstractNum>
  <w:abstractNum w:abstractNumId="13">
    <w:nsid w:val="54E49EB4"/>
    <w:multiLevelType w:val="hybridMultilevel"/>
    <w:lvl w:ilvl="0">
      <w:lvlJc w:val="left"/>
      <w:lvlText w:val="%1."/>
      <w:numFmt w:val="decimal"/>
      <w:start w:val="7"/>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8"/>
    </w:lvl>
  </w:abstractNum>
  <w:abstractNum w:abstractNumId="17">
    <w:nsid w:val="2901D82"/>
    <w:multiLevelType w:val="hybridMultilevel"/>
    <w:lvl w:ilvl="0">
      <w:lvlJc w:val="left"/>
      <w:lvlText w:val="%1."/>
      <w:numFmt w:val="decimal"/>
      <w:start w:val="9"/>
    </w:lvl>
  </w:abstractNum>
  <w:abstractNum w:abstractNumId="18">
    <w:nsid w:val="3A95F874"/>
    <w:multiLevelType w:val="hybridMultilevel"/>
    <w:lvl w:ilvl="0">
      <w:lvlJc w:val="left"/>
      <w:lvlText w:val="%1."/>
      <w:numFmt w:val="decimal"/>
      <w:start w:val="10"/>
    </w:lvl>
  </w:abstractNum>
  <w:abstractNum w:abstractNumId="19">
    <w:nsid w:val="8138641"/>
    <w:multiLevelType w:val="hybridMultilevel"/>
    <w:lvl w:ilvl="0">
      <w:lvlJc w:val="left"/>
      <w:lvlText w:val="%1."/>
      <w:numFmt w:val="decimal"/>
      <w:start w:val="1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3"/>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0" Type="http://schemas.openxmlformats.org/officeDocument/2006/relationships/hyperlink" Target="http://www.sec.gov/Archives/edgar/data/87347/000119312516532046/d176097dex31.htm" TargetMode="External"/><Relationship Id="rId61" Type="http://schemas.openxmlformats.org/officeDocument/2006/relationships/hyperlink" Target="http://www.sec.gov/Archives/edgar/data/87347/000119312519198989/d763655dex3.htm" TargetMode="External"/><Relationship Id="rId62" Type="http://schemas.openxmlformats.org/officeDocument/2006/relationships/hyperlink" Target="http://www.sec.gov/Archives/edgar/data/87347/000119312513460494/d637672dex41.htm" TargetMode="External"/><Relationship Id="rId63" Type="http://schemas.openxmlformats.org/officeDocument/2006/relationships/hyperlink" Target="http://www.sec.gov/Archives/edgar/data/87347/000119312520180957/d925505dex41.htm" TargetMode="External"/><Relationship Id="rId64" Type="http://schemas.openxmlformats.org/officeDocument/2006/relationships/hyperlink" Target="http://www.sec.gov/Archives/edgar/data/87347/000119312520216304/d926535dex41.htm" TargetMode="External"/><Relationship Id="rId65" Type="http://schemas.openxmlformats.org/officeDocument/2006/relationships/hyperlink" Target="http://www.sec.gov/Archives/edgar/data/87347/000119312520248823/d75000dex41.htm" TargetMode="External"/><Relationship Id="rId66" Type="http://schemas.openxmlformats.org/officeDocument/2006/relationships/hyperlink" Target="http://www.sec.gov/Archives/edgar/data/87347/000119312520248823/d7500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2020-10-21T11:30:40Z</dcterms:created>
  <dcterms:modified xsi:type="dcterms:W3CDTF">2020-10-21T11:30:40Z</dcterms:modified>
</cp:coreProperties>
</file>