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Juden Alexander 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208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220" w:type="dxa"/>
            <w:vAlign w:val="bottom"/>
          </w:tcPr>
          <w:p>
            <w:pPr>
              <w:ind w:left="8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03/12/2021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ind w:left="820"/>
              <w:spacing w:after="0"/>
              <w:rPr>
                <w:sz w:val="20"/>
                <w:szCs w:val="20"/>
                <w:color w:val="auto"/>
              </w:rPr>
            </w:pPr>
            <w:r>
              <w:rPr>
                <w:rFonts w:ascii="Arial" w:cs="Arial" w:eastAsia="Arial" w:hAnsi="Arial"/>
                <w:sz w:val="17"/>
                <w:szCs w:val="17"/>
                <w:color w:val="0000FF"/>
              </w:rPr>
              <w:t>Secretary</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03/12/2021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3,234</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120,626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03/12/2021</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53"/>
              <w:spacing w:after="0"/>
              <w:rPr>
                <w:sz w:val="20"/>
                <w:szCs w:val="20"/>
                <w:color w:val="auto"/>
              </w:rPr>
            </w:pPr>
            <w:r>
              <w:rPr>
                <w:rFonts w:ascii="Arial" w:cs="Arial" w:eastAsia="Arial" w:hAnsi="Arial"/>
                <w:sz w:val="17"/>
                <w:szCs w:val="17"/>
                <w:color w:val="0000FF"/>
              </w:rPr>
              <w:t>1,273</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29.24</w:t>
            </w:r>
          </w:p>
        </w:tc>
        <w:tc>
          <w:tcPr>
            <w:tcW w:w="1200" w:type="dxa"/>
            <w:vAlign w:val="bottom"/>
            <w:gridSpan w:val="2"/>
          </w:tcPr>
          <w:p>
            <w:pPr>
              <w:ind w:left="280"/>
              <w:spacing w:after="0"/>
              <w:rPr>
                <w:sz w:val="20"/>
                <w:szCs w:val="20"/>
                <w:color w:val="auto"/>
              </w:rPr>
            </w:pPr>
            <w:r>
              <w:rPr>
                <w:rFonts w:ascii="Arial" w:cs="Arial" w:eastAsia="Arial" w:hAnsi="Arial"/>
                <w:sz w:val="17"/>
                <w:szCs w:val="17"/>
                <w:color w:val="0000FF"/>
              </w:rPr>
              <w:t>119,353</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17, 2018. Vesting of the PSUs was based on three-year Company performance relative to select key competitors. Most of these competitors had not reported their 2020 audited financial results when the Company's compensation committee met in January 2021 to certify performance under the PSUs. As a result, the Company's compensation committee approved the issuance of 90% of the shares that the committee determined had been earned according to the information available to the committee at the time. As of March 12, 2021, all such competitors had reported their 2020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03/16/2021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60434"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2021-03-16T08:44:57Z</dcterms:created>
  <dcterms:modified xsi:type="dcterms:W3CDTF">2021-03-16T08:44:57Z</dcterms:modified>
</cp:coreProperties>
</file>