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3"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25 October 2023</w:t>
      </w:r>
    </w:p>
    <w:p>
      <w:pPr>
        <w:spacing w:after="0" w:line="206" w:lineRule="exact"/>
        <w:rPr>
          <w:sz w:val="24"/>
          <w:szCs w:val="24"/>
          <w:color w:val="auto"/>
        </w:rPr>
      </w:pPr>
    </w:p>
    <w:p>
      <w:pPr>
        <w:ind w:right="260"/>
        <w:spacing w:after="0" w:line="267"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1"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September 30, 2023, which was filed with the U.S. Securities and Exchange Commission on October 25, 2023. Such disclosure appears on page 22 of the Quarterly Report on Form 10-Q and is incorporated by reference herein.</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John Benson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John Benson</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2023-10-25T10:18:04Z</dcterms:created>
  <dcterms:modified xsi:type="dcterms:W3CDTF">2023-10-25T10:18:04Z</dcterms:modified>
</cp:coreProperties>
</file>