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0440"/>
          </w:cols>
          <w:pgMar w:left="320" w:top="225" w:right="1139" w:bottom="22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120" w:type="dxa"/>
        <w:tblCellMar>
          <w:top w:w="0" w:type="dxa"/>
          <w:left w:w="0" w:type="dxa"/>
          <w:bottom w:w="0" w:type="dxa"/>
          <w:right w:w="0" w:type="dxa"/>
        </w:tblCellMar>
      </w:tblPr>
      <w:tr>
        <w:trPr>
          <w:trHeight w:val="162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and the accompanying</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or sale is not permitted.</w:t>
            </w:r>
          </w:p>
        </w:tc>
      </w:tr>
      <w:tr>
        <w:trPr>
          <w:trHeight w:val="348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changed. This preliminary prospectus supplement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these securities in any jurisdiction where the offer</w:t>
            </w:r>
          </w:p>
        </w:tc>
      </w:tr>
      <w:tr>
        <w:trPr>
          <w:trHeight w:val="83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and may be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offer to buy</w:t>
            </w:r>
          </w:p>
        </w:tc>
      </w:tr>
      <w:tr>
        <w:trPr>
          <w:trHeight w:val="112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is not complete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not soliciting an</w:t>
            </w:r>
          </w:p>
        </w:tc>
      </w:tr>
      <w:tr>
        <w:trPr>
          <w:trHeight w:val="403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The information in this preliminary prospectus supplement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prospectus are not an offer to sell these securities and are</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ind w:left="6860"/>
        <w:spacing w:after="0"/>
        <w:rPr>
          <w:sz w:val="20"/>
          <w:szCs w:val="20"/>
          <w:color w:val="auto"/>
        </w:rPr>
      </w:pPr>
      <w:r>
        <w:rPr>
          <w:rFonts w:ascii="Arial" w:cs="Arial" w:eastAsia="Arial" w:hAnsi="Arial"/>
          <w:sz w:val="18"/>
          <w:szCs w:val="18"/>
          <w:b w:val="1"/>
          <w:bCs w:val="1"/>
          <w:color w:val="auto"/>
        </w:rPr>
        <w:t>Filed Pursuant to Rule 424(b)(3)</w:t>
      </w:r>
    </w:p>
    <w:p>
      <w:pPr>
        <w:spacing w:after="0" w:line="14" w:lineRule="exact"/>
        <w:rPr>
          <w:sz w:val="24"/>
          <w:szCs w:val="24"/>
          <w:color w:val="auto"/>
        </w:rPr>
      </w:pPr>
    </w:p>
    <w:p>
      <w:pPr>
        <w:ind w:left="6860"/>
        <w:spacing w:after="0"/>
        <w:rPr>
          <w:sz w:val="20"/>
          <w:szCs w:val="20"/>
          <w:color w:val="auto"/>
        </w:rPr>
      </w:pPr>
      <w:r>
        <w:rPr>
          <w:rFonts w:ascii="Arial" w:cs="Arial" w:eastAsia="Arial" w:hAnsi="Arial"/>
          <w:sz w:val="18"/>
          <w:szCs w:val="18"/>
          <w:b w:val="1"/>
          <w:bCs w:val="1"/>
          <w:color w:val="auto"/>
        </w:rPr>
        <w:t>Registration No.333-295427</w:t>
      </w:r>
    </w:p>
    <w:p>
      <w:pPr>
        <w:spacing w:after="0" w:line="1" w:lineRule="exact"/>
        <w:rPr>
          <w:sz w:val="24"/>
          <w:szCs w:val="24"/>
          <w:color w:val="auto"/>
        </w:rPr>
      </w:pPr>
    </w:p>
    <w:p>
      <w:pPr>
        <w:ind w:left="3060"/>
        <w:spacing w:after="0"/>
        <w:rPr>
          <w:sz w:val="20"/>
          <w:szCs w:val="20"/>
          <w:color w:val="auto"/>
        </w:rPr>
      </w:pPr>
      <w:r>
        <w:rPr>
          <w:rFonts w:ascii="Arial" w:cs="Arial" w:eastAsia="Arial" w:hAnsi="Arial"/>
          <w:sz w:val="14"/>
          <w:szCs w:val="14"/>
          <w:b w:val="1"/>
          <w:bCs w:val="1"/>
          <w:color w:val="FF4338"/>
        </w:rPr>
        <w:t>SUBJECT TO COMPLETION, DATED APRIL 30, 2026</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139065</wp:posOffset>
            </wp:positionV>
            <wp:extent cx="1251585" cy="762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762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Schlumberger Investment S.A.</w:t>
      </w:r>
    </w:p>
    <w:p>
      <w:pPr>
        <w:spacing w:after="0" w:line="197" w:lineRule="exact"/>
        <w:rPr>
          <w:sz w:val="24"/>
          <w:szCs w:val="24"/>
          <w:color w:val="auto"/>
        </w:rPr>
      </w:pPr>
    </w:p>
    <w:p>
      <w:pPr>
        <w:ind w:left="2040"/>
        <w:spacing w:after="0"/>
        <w:rPr>
          <w:sz w:val="20"/>
          <w:szCs w:val="20"/>
          <w:color w:val="auto"/>
        </w:rPr>
      </w:pPr>
      <w:r>
        <w:rPr>
          <w:rFonts w:ascii="Arial" w:cs="Arial" w:eastAsia="Arial" w:hAnsi="Arial"/>
          <w:sz w:val="25"/>
          <w:szCs w:val="25"/>
          <w:b w:val="1"/>
          <w:bCs w:val="1"/>
          <w:color w:val="auto"/>
        </w:rPr>
        <w:t>US$                         % Senior Notes due 2031</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25"/>
          <w:szCs w:val="25"/>
          <w:b w:val="1"/>
          <w:bCs w:val="1"/>
          <w:color w:val="auto"/>
        </w:rPr>
        <w:t>US$                         % Senior Notes due 2033</w:t>
      </w:r>
    </w:p>
    <w:p>
      <w:pPr>
        <w:spacing w:after="0" w:line="10" w:lineRule="exact"/>
        <w:rPr>
          <w:sz w:val="24"/>
          <w:szCs w:val="24"/>
          <w:color w:val="auto"/>
        </w:rPr>
      </w:pPr>
    </w:p>
    <w:p>
      <w:pPr>
        <w:ind w:left="2040"/>
        <w:spacing w:after="0"/>
        <w:rPr>
          <w:sz w:val="20"/>
          <w:szCs w:val="20"/>
          <w:color w:val="auto"/>
        </w:rPr>
      </w:pPr>
      <w:r>
        <w:rPr>
          <w:rFonts w:ascii="Arial" w:cs="Arial" w:eastAsia="Arial" w:hAnsi="Arial"/>
          <w:sz w:val="25"/>
          <w:szCs w:val="25"/>
          <w:b w:val="1"/>
          <w:bCs w:val="1"/>
          <w:color w:val="auto"/>
        </w:rPr>
        <w:t>US$                         % Senior Notes due 2036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SLB N.V. (SLB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2420620</wp:posOffset>
            </wp:positionH>
            <wp:positionV relativeFrom="paragraph">
              <wp:posOffset>227965</wp:posOffset>
            </wp:positionV>
            <wp:extent cx="128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right="40" w:firstLine="386"/>
        <w:spacing w:after="0" w:line="248" w:lineRule="auto"/>
        <w:rPr>
          <w:sz w:val="20"/>
          <w:szCs w:val="20"/>
          <w:color w:val="auto"/>
        </w:rPr>
      </w:pPr>
      <w:r>
        <w:rPr>
          <w:rFonts w:ascii="Arial" w:cs="Arial" w:eastAsia="Arial" w:hAnsi="Arial"/>
          <w:sz w:val="14"/>
          <w:szCs w:val="14"/>
          <w:color w:val="auto"/>
        </w:rPr>
        <w:t>Schlumberger Investment S.A., a public limited liability company (</w:t>
      </w:r>
      <w:r>
        <w:rPr>
          <w:rFonts w:ascii="Arial" w:cs="Arial" w:eastAsia="Arial" w:hAnsi="Arial"/>
          <w:sz w:val="14"/>
          <w:szCs w:val="14"/>
          <w:i w:val="1"/>
          <w:iCs w:val="1"/>
          <w:color w:val="auto"/>
        </w:rPr>
        <w:t>société anonyme</w:t>
      </w:r>
      <w:r>
        <w:rPr>
          <w:rFonts w:ascii="Arial" w:cs="Arial" w:eastAsia="Arial" w:hAnsi="Arial"/>
          <w:sz w:val="14"/>
          <w:szCs w:val="14"/>
          <w:color w:val="auto"/>
        </w:rPr>
        <w:t>) incorporated and existing under the laws of the Grand Duchy of Luxembourg, having its registered office located at 5, Place de la Gare, L-1616 Luxembourg, Grand Duchy of Luxembourg, and registered with the Luxembourg Trade and Companies Register (Registre de Commerce et des Sociétés, Luxembourg) under number B 163.122 (the “Company”) is</w:t>
      </w:r>
    </w:p>
    <w:p>
      <w:pPr>
        <w:spacing w:after="0" w:line="1" w:lineRule="exact"/>
        <w:rPr>
          <w:sz w:val="24"/>
          <w:szCs w:val="24"/>
          <w:color w:val="auto"/>
        </w:rPr>
      </w:pPr>
    </w:p>
    <w:p>
      <w:pPr>
        <w:ind w:right="40"/>
        <w:spacing w:after="0" w:line="252" w:lineRule="auto"/>
        <w:rPr>
          <w:sz w:val="20"/>
          <w:szCs w:val="20"/>
          <w:color w:val="auto"/>
        </w:rPr>
      </w:pPr>
      <w:r>
        <w:rPr>
          <w:rFonts w:ascii="Arial" w:cs="Arial" w:eastAsia="Arial" w:hAnsi="Arial"/>
          <w:sz w:val="14"/>
          <w:szCs w:val="14"/>
          <w:color w:val="auto"/>
        </w:rPr>
        <w:t>offering US$        principal amount of its         % Senior Notes due 2031 (the “2031 Notes”), US$        principal amount of its         % Senior Notes due 2033 (the “2033 Notes”) and US$        principal amount of its         % Senior Notes due 2036 (the “2036 Notes” and, together with the 2031 Notes and the 2033 Notes, the “Notes”).</w:t>
      </w:r>
    </w:p>
    <w:p>
      <w:pPr>
        <w:spacing w:after="0" w:line="181" w:lineRule="exact"/>
        <w:rPr>
          <w:sz w:val="24"/>
          <w:szCs w:val="24"/>
          <w:color w:val="auto"/>
        </w:rPr>
      </w:pPr>
    </w:p>
    <w:p>
      <w:pPr>
        <w:ind w:right="140" w:firstLine="386"/>
        <w:spacing w:after="0" w:line="263" w:lineRule="auto"/>
        <w:rPr>
          <w:sz w:val="20"/>
          <w:szCs w:val="20"/>
          <w:color w:val="auto"/>
        </w:rPr>
      </w:pPr>
      <w:r>
        <w:rPr>
          <w:rFonts w:ascii="Arial" w:cs="Arial" w:eastAsia="Arial" w:hAnsi="Arial"/>
          <w:sz w:val="14"/>
          <w:szCs w:val="14"/>
          <w:color w:val="auto"/>
        </w:rPr>
        <w:t>The 2031 Notes will bear interest at a rate of         % per year. The 2033 Notes will bear interest at a rate of         % per year. The 2036 Notes will bear interest at a rate of         % per year. The Company will pay interest on the Notes semi-annually on         and         of each year, beginning on         , 2026.</w:t>
      </w:r>
    </w:p>
    <w:p>
      <w:pPr>
        <w:spacing w:after="0" w:line="173" w:lineRule="exact"/>
        <w:rPr>
          <w:sz w:val="24"/>
          <w:szCs w:val="24"/>
          <w:color w:val="auto"/>
        </w:rPr>
      </w:pPr>
    </w:p>
    <w:p>
      <w:pPr>
        <w:ind w:right="340" w:firstLine="386"/>
        <w:spacing w:after="0" w:line="256" w:lineRule="auto"/>
        <w:rPr>
          <w:sz w:val="20"/>
          <w:szCs w:val="20"/>
          <w:color w:val="auto"/>
        </w:rPr>
      </w:pPr>
      <w:r>
        <w:rPr>
          <w:rFonts w:ascii="Arial" w:cs="Arial" w:eastAsia="Arial" w:hAnsi="Arial"/>
          <w:sz w:val="14"/>
          <w:szCs w:val="14"/>
          <w:color w:val="auto"/>
        </w:rPr>
        <w:t>The Notes will be fully and unconditionally guaranteed (the “Guarantees”) on a senior unsecured basis by SLB N.V. (SLB Limited), formerly known as Schlumberger Limited (the “Guarantor”), the ultimate parent of the Company. The Guarantees will be the unsecured and unsubordinated obligations of the Guarantor and will rank equally with the Guarantor’s other unsecured and unsubordinated indebtedness from time to time outstanding.</w:t>
      </w:r>
    </w:p>
    <w:p>
      <w:pPr>
        <w:spacing w:after="0" w:line="177" w:lineRule="exact"/>
        <w:rPr>
          <w:sz w:val="24"/>
          <w:szCs w:val="24"/>
          <w:color w:val="auto"/>
        </w:rPr>
      </w:pPr>
    </w:p>
    <w:p>
      <w:pPr>
        <w:ind w:right="420" w:firstLine="386"/>
        <w:spacing w:after="0" w:line="285" w:lineRule="auto"/>
        <w:rPr>
          <w:sz w:val="20"/>
          <w:szCs w:val="20"/>
          <w:color w:val="auto"/>
        </w:rPr>
      </w:pPr>
      <w:r>
        <w:rPr>
          <w:rFonts w:ascii="Arial" w:cs="Arial" w:eastAsia="Arial" w:hAnsi="Arial"/>
          <w:sz w:val="14"/>
          <w:szCs w:val="14"/>
          <w:color w:val="auto"/>
        </w:rPr>
        <w:t>The Company may redeem some or all of the Notes at any time and from time to time at the redemption prices described in this prospectus supplement, plus accrued and unpaid interest to the redemption date.</w:t>
      </w:r>
    </w:p>
    <w:p>
      <w:pPr>
        <w:spacing w:after="0" w:line="158" w:lineRule="exact"/>
        <w:rPr>
          <w:sz w:val="24"/>
          <w:szCs w:val="24"/>
          <w:color w:val="auto"/>
        </w:rPr>
      </w:pPr>
    </w:p>
    <w:p>
      <w:pPr>
        <w:ind w:right="920" w:firstLine="386"/>
        <w:spacing w:after="0" w:line="285" w:lineRule="auto"/>
        <w:rPr>
          <w:sz w:val="20"/>
          <w:szCs w:val="20"/>
          <w:color w:val="auto"/>
        </w:rPr>
      </w:pPr>
      <w:r>
        <w:rPr>
          <w:rFonts w:ascii="Arial" w:cs="Arial" w:eastAsia="Arial" w:hAnsi="Arial"/>
          <w:sz w:val="14"/>
          <w:szCs w:val="14"/>
          <w:color w:val="auto"/>
        </w:rPr>
        <w:t>The Notes will be the unsecured and unsubordinated obligations of the Company and will rank equally with its other unsecured and unsubordinated indebtedness from time to time outstanding.</w:t>
      </w:r>
    </w:p>
    <w:p>
      <w:pPr>
        <w:spacing w:after="0" w:line="158" w:lineRule="exact"/>
        <w:rPr>
          <w:sz w:val="24"/>
          <w:szCs w:val="24"/>
          <w:color w:val="auto"/>
        </w:rPr>
      </w:pPr>
    </w:p>
    <w:p>
      <w:pPr>
        <w:ind w:left="380"/>
        <w:spacing w:after="0"/>
        <w:rPr>
          <w:sz w:val="20"/>
          <w:szCs w:val="20"/>
          <w:color w:val="auto"/>
        </w:rPr>
      </w:pPr>
      <w:r>
        <w:rPr>
          <w:rFonts w:ascii="Arial" w:cs="Arial" w:eastAsia="Arial" w:hAnsi="Arial"/>
          <w:sz w:val="14"/>
          <w:szCs w:val="14"/>
          <w:color w:val="auto"/>
        </w:rPr>
        <w:t>The Notes will not be listed on any securities exchange. Currently, there is no public market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2420620</wp:posOffset>
            </wp:positionH>
            <wp:positionV relativeFrom="paragraph">
              <wp:posOffset>229235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Investing in the Notes involves risks.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xml:space="preserve"> beginning on page S-7.</w:t>
      </w:r>
    </w:p>
    <w:p>
      <w:pPr>
        <w:spacing w:after="0" w:line="221" w:lineRule="exact"/>
        <w:rPr>
          <w:sz w:val="24"/>
          <w:szCs w:val="24"/>
          <w:color w:val="auto"/>
        </w:rPr>
      </w:pPr>
    </w:p>
    <w:p>
      <w:pPr>
        <w:ind w:right="200" w:firstLine="386"/>
        <w:spacing w:after="0" w:line="267"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2420620</wp:posOffset>
            </wp:positionH>
            <wp:positionV relativeFrom="paragraph">
              <wp:posOffset>204470</wp:posOffset>
            </wp:positionV>
            <wp:extent cx="1285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4"/>
          </w:tcPr>
          <w:p>
            <w:pPr>
              <w:ind w:left="20"/>
              <w:spacing w:after="0"/>
              <w:rPr>
                <w:sz w:val="20"/>
                <w:szCs w:val="20"/>
                <w:color w:val="auto"/>
              </w:rPr>
            </w:pPr>
            <w:r>
              <w:rPr>
                <w:rFonts w:ascii="Arial" w:cs="Arial" w:eastAsia="Arial" w:hAnsi="Arial"/>
                <w:sz w:val="13"/>
                <w:szCs w:val="13"/>
                <w:b w:val="1"/>
                <w:bCs w:val="1"/>
                <w:color w:val="auto"/>
              </w:rPr>
              <w:t>2031 Notes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ind w:left="20"/>
              <w:spacing w:after="0"/>
              <w:rPr>
                <w:sz w:val="20"/>
                <w:szCs w:val="20"/>
                <w:color w:val="auto"/>
              </w:rPr>
            </w:pPr>
            <w:r>
              <w:rPr>
                <w:rFonts w:ascii="Arial" w:cs="Arial" w:eastAsia="Arial" w:hAnsi="Arial"/>
                <w:sz w:val="13"/>
                <w:szCs w:val="13"/>
                <w:b w:val="1"/>
                <w:bCs w:val="1"/>
                <w:color w:val="auto"/>
              </w:rPr>
              <w:t>2033 Notes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b w:val="1"/>
                <w:bCs w:val="1"/>
                <w:color w:val="auto"/>
              </w:rPr>
              <w:t>2036 Notes</w:t>
            </w:r>
          </w:p>
        </w:tc>
      </w:tr>
      <w:tr>
        <w:trPr>
          <w:trHeight w:val="128"/>
        </w:trPr>
        <w:tc>
          <w:tcPr>
            <w:tcW w:w="4180" w:type="dxa"/>
            <w:vAlign w:val="bottom"/>
          </w:tcPr>
          <w:p>
            <w:pPr>
              <w:spacing w:after="0"/>
              <w:rPr>
                <w:sz w:val="11"/>
                <w:szCs w:val="11"/>
                <w:color w:val="auto"/>
              </w:rPr>
            </w:pPr>
          </w:p>
        </w:tc>
        <w:tc>
          <w:tcPr>
            <w:tcW w:w="960" w:type="dxa"/>
            <w:vAlign w:val="bottom"/>
            <w:tcBorders>
              <w:top w:val="single" w:sz="8" w:color="auto"/>
            </w:tcBorders>
            <w:gridSpan w:val="4"/>
          </w:tcPr>
          <w:p>
            <w:pPr>
              <w:jc w:val="center"/>
              <w:ind w:right="328"/>
              <w:spacing w:after="0" w:line="129" w:lineRule="exact"/>
              <w:rPr>
                <w:sz w:val="20"/>
                <w:szCs w:val="20"/>
                <w:color w:val="auto"/>
              </w:rPr>
            </w:pPr>
            <w:r>
              <w:rPr>
                <w:rFonts w:ascii="Arial" w:cs="Arial" w:eastAsia="Arial" w:hAnsi="Arial"/>
                <w:sz w:val="13"/>
                <w:szCs w:val="13"/>
                <w:b w:val="1"/>
                <w:bCs w:val="1"/>
                <w:color w:val="auto"/>
                <w:w w:val="97"/>
              </w:rPr>
              <w:t>Per Note</w:t>
            </w:r>
          </w:p>
        </w:tc>
        <w:tc>
          <w:tcPr>
            <w:tcW w:w="62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1"/>
                <w:szCs w:val="11"/>
                <w:color w:val="auto"/>
              </w:rPr>
            </w:pPr>
          </w:p>
        </w:tc>
        <w:tc>
          <w:tcPr>
            <w:tcW w:w="960" w:type="dxa"/>
            <w:vAlign w:val="bottom"/>
            <w:tcBorders>
              <w:top w:val="single" w:sz="8" w:color="auto"/>
            </w:tcBorders>
            <w:gridSpan w:val="4"/>
          </w:tcPr>
          <w:p>
            <w:pPr>
              <w:jc w:val="center"/>
              <w:ind w:right="368"/>
              <w:spacing w:after="0" w:line="129" w:lineRule="exact"/>
              <w:rPr>
                <w:sz w:val="20"/>
                <w:szCs w:val="20"/>
                <w:color w:val="auto"/>
              </w:rPr>
            </w:pPr>
            <w:r>
              <w:rPr>
                <w:rFonts w:ascii="Arial" w:cs="Arial" w:eastAsia="Arial" w:hAnsi="Arial"/>
                <w:sz w:val="13"/>
                <w:szCs w:val="13"/>
                <w:b w:val="1"/>
                <w:bCs w:val="1"/>
                <w:color w:val="auto"/>
                <w:w w:val="97"/>
              </w:rPr>
              <w:t>Per Note</w:t>
            </w:r>
          </w:p>
        </w:tc>
        <w:tc>
          <w:tcPr>
            <w:tcW w:w="62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1"/>
                <w:szCs w:val="11"/>
                <w:color w:val="auto"/>
              </w:rPr>
            </w:pPr>
          </w:p>
        </w:tc>
        <w:tc>
          <w:tcPr>
            <w:tcW w:w="980" w:type="dxa"/>
            <w:vAlign w:val="bottom"/>
            <w:tcBorders>
              <w:top w:val="single" w:sz="8" w:color="auto"/>
            </w:tcBorders>
            <w:gridSpan w:val="4"/>
          </w:tcPr>
          <w:p>
            <w:pPr>
              <w:jc w:val="center"/>
              <w:ind w:right="348"/>
              <w:spacing w:after="0" w:line="129" w:lineRule="exact"/>
              <w:rPr>
                <w:sz w:val="20"/>
                <w:szCs w:val="20"/>
                <w:color w:val="auto"/>
              </w:rPr>
            </w:pPr>
            <w:r>
              <w:rPr>
                <w:rFonts w:ascii="Arial" w:cs="Arial" w:eastAsia="Arial" w:hAnsi="Arial"/>
                <w:sz w:val="13"/>
                <w:szCs w:val="13"/>
                <w:b w:val="1"/>
                <w:bCs w:val="1"/>
                <w:color w:val="auto"/>
                <w:w w:val="97"/>
              </w:rPr>
              <w:t>Per Note</w:t>
            </w:r>
          </w:p>
        </w:tc>
        <w:tc>
          <w:tcPr>
            <w:tcW w:w="62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1"/>
                <w:szCs w:val="11"/>
                <w:color w:val="auto"/>
              </w:rPr>
            </w:pPr>
          </w:p>
        </w:tc>
      </w:tr>
      <w:tr>
        <w:trPr>
          <w:trHeight w:val="156"/>
        </w:trPr>
        <w:tc>
          <w:tcPr>
            <w:tcW w:w="41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3"/>
                <w:szCs w:val="13"/>
                <w:color w:val="auto"/>
              </w:rPr>
              <w:t>Public Offering Price</w:t>
            </w:r>
            <w:r>
              <w:rPr>
                <w:rFonts w:ascii="Arial" w:cs="Arial" w:eastAsia="Arial" w:hAnsi="Arial"/>
                <w:sz w:val="18"/>
                <w:szCs w:val="18"/>
                <w:color w:val="auto"/>
                <w:vertAlign w:val="superscript"/>
              </w:rPr>
              <w:t>(1)</w:t>
            </w:r>
          </w:p>
        </w:tc>
        <w:tc>
          <w:tcPr>
            <w:tcW w:w="340" w:type="dxa"/>
            <w:vAlign w:val="bottom"/>
            <w:tcBorders>
              <w:top w:val="single" w:sz="8" w:color="auto"/>
            </w:tcBorders>
            <w:shd w:val="clear" w:color="auto" w:fill="CCEEFF"/>
          </w:tcPr>
          <w:p>
            <w:pPr>
              <w:jc w:val="center"/>
              <w:ind w:left="145"/>
              <w:spacing w:after="0"/>
              <w:rPr>
                <w:sz w:val="20"/>
                <w:szCs w:val="20"/>
                <w:color w:val="auto"/>
              </w:rPr>
            </w:pPr>
            <w:r>
              <w:rPr>
                <w:rFonts w:ascii="Arial" w:cs="Arial" w:eastAsia="Arial" w:hAnsi="Arial"/>
                <w:sz w:val="5"/>
                <w:szCs w:val="5"/>
                <w:color w:val="auto"/>
                <w:w w:val="79"/>
              </w:rPr>
              <w:t> </w:t>
            </w:r>
          </w:p>
        </w:tc>
        <w:tc>
          <w:tcPr>
            <w:tcW w:w="1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2"/>
                <w:szCs w:val="2"/>
                <w:color w:val="auto"/>
                <w:w w:val="97"/>
              </w:rPr>
              <w:t> </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jc w:val="right"/>
              <w:ind w:right="228"/>
              <w:spacing w:after="0" w:line="155" w:lineRule="exact"/>
              <w:rPr>
                <w:sz w:val="20"/>
                <w:szCs w:val="20"/>
                <w:color w:val="auto"/>
              </w:rPr>
            </w:pPr>
            <w:r>
              <w:rPr>
                <w:rFonts w:ascii="Arial" w:cs="Arial" w:eastAsia="Arial" w:hAnsi="Arial"/>
                <w:sz w:val="14"/>
                <w:szCs w:val="14"/>
                <w:color w:val="auto"/>
                <w:w w:val="79"/>
              </w:rPr>
              <w:t>%</w:t>
            </w:r>
          </w:p>
        </w:tc>
        <w:tc>
          <w:tcPr>
            <w:tcW w:w="6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 xml:space="preserve">US$    </w:t>
            </w:r>
          </w:p>
        </w:tc>
        <w:tc>
          <w:tcPr>
            <w:tcW w:w="3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center"/>
              <w:ind w:left="165"/>
              <w:spacing w:after="0"/>
              <w:rPr>
                <w:sz w:val="20"/>
                <w:szCs w:val="20"/>
                <w:color w:val="auto"/>
              </w:rPr>
            </w:pPr>
            <w:r>
              <w:rPr>
                <w:rFonts w:ascii="Arial" w:cs="Arial" w:eastAsia="Arial" w:hAnsi="Arial"/>
                <w:sz w:val="5"/>
                <w:szCs w:val="5"/>
                <w:color w:val="auto"/>
                <w:w w:val="79"/>
              </w:rPr>
              <w:t> </w:t>
            </w:r>
          </w:p>
        </w:tc>
        <w:tc>
          <w:tcPr>
            <w:tcW w:w="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5"/>
                <w:szCs w:val="5"/>
                <w:color w:val="auto"/>
                <w:w w:val="79"/>
              </w:rPr>
              <w:t> </w:t>
            </w: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w w:val="79"/>
              </w:rPr>
              <w:t>%</w:t>
            </w:r>
          </w:p>
        </w:tc>
        <w:tc>
          <w:tcPr>
            <w:tcW w:w="6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 xml:space="preserve">US$    </w:t>
            </w: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center"/>
              <w:ind w:left="145"/>
              <w:spacing w:after="0"/>
              <w:rPr>
                <w:sz w:val="20"/>
                <w:szCs w:val="20"/>
                <w:color w:val="auto"/>
              </w:rPr>
            </w:pPr>
            <w:r>
              <w:rPr>
                <w:rFonts w:ascii="Arial" w:cs="Arial" w:eastAsia="Arial" w:hAnsi="Arial"/>
                <w:sz w:val="5"/>
                <w:szCs w:val="5"/>
                <w:color w:val="auto"/>
                <w:w w:val="79"/>
              </w:rPr>
              <w:t> </w:t>
            </w:r>
          </w:p>
        </w:tc>
        <w:tc>
          <w:tcPr>
            <w:tcW w:w="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5"/>
                <w:szCs w:val="5"/>
                <w:color w:val="auto"/>
                <w:w w:val="79"/>
              </w:rPr>
              <w:t> </w:t>
            </w: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w w:val="79"/>
              </w:rPr>
              <w:t>%</w:t>
            </w:r>
          </w:p>
        </w:tc>
        <w:tc>
          <w:tcPr>
            <w:tcW w:w="6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 xml:space="preserve">US$    </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Underwriting Discount</w:t>
            </w:r>
          </w:p>
        </w:tc>
        <w:tc>
          <w:tcPr>
            <w:tcW w:w="340" w:type="dxa"/>
            <w:vAlign w:val="bottom"/>
          </w:tcPr>
          <w:p>
            <w:pPr>
              <w:jc w:val="center"/>
              <w:ind w:left="145"/>
              <w:spacing w:after="0"/>
              <w:rPr>
                <w:sz w:val="20"/>
                <w:szCs w:val="20"/>
                <w:color w:val="auto"/>
              </w:rPr>
            </w:pPr>
            <w:r>
              <w:rPr>
                <w:rFonts w:ascii="Arial" w:cs="Arial" w:eastAsia="Arial" w:hAnsi="Arial"/>
                <w:sz w:val="5"/>
                <w:szCs w:val="5"/>
                <w:color w:val="auto"/>
                <w:w w:val="79"/>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5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320" w:type="dxa"/>
            <w:vAlign w:val="bottom"/>
          </w:tcPr>
          <w:p>
            <w:pPr>
              <w:jc w:val="center"/>
              <w:ind w:left="165"/>
              <w:spacing w:after="0"/>
              <w:rPr>
                <w:sz w:val="20"/>
                <w:szCs w:val="20"/>
                <w:color w:val="auto"/>
              </w:rPr>
            </w:pPr>
            <w:r>
              <w:rPr>
                <w:rFonts w:ascii="Arial" w:cs="Arial" w:eastAsia="Arial" w:hAnsi="Arial"/>
                <w:sz w:val="5"/>
                <w:szCs w:val="5"/>
                <w:color w:val="auto"/>
                <w:w w:val="79"/>
              </w:rPr>
              <w:t> </w:t>
            </w:r>
          </w:p>
        </w:tc>
        <w:tc>
          <w:tcPr>
            <w:tcW w:w="120" w:type="dxa"/>
            <w:vAlign w:val="bottom"/>
          </w:tcPr>
          <w:p>
            <w:pPr>
              <w:ind w:left="60"/>
              <w:spacing w:after="0"/>
              <w:rPr>
                <w:sz w:val="20"/>
                <w:szCs w:val="20"/>
                <w:color w:val="auto"/>
              </w:rPr>
            </w:pPr>
            <w:r>
              <w:rPr>
                <w:rFonts w:ascii="Arial" w:cs="Arial" w:eastAsia="Arial" w:hAnsi="Arial"/>
                <w:sz w:val="5"/>
                <w:szCs w:val="5"/>
                <w:color w:val="auto"/>
                <w:w w:val="79"/>
              </w:rPr>
              <w:t> </w:t>
            </w:r>
          </w:p>
        </w:tc>
        <w:tc>
          <w:tcPr>
            <w:tcW w:w="5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spacing w:after="0"/>
              <w:rPr>
                <w:sz w:val="20"/>
                <w:szCs w:val="20"/>
                <w:color w:val="auto"/>
              </w:rPr>
            </w:pPr>
            <w:r>
              <w:rPr>
                <w:rFonts w:ascii="Arial" w:cs="Arial" w:eastAsia="Arial" w:hAnsi="Arial"/>
                <w:sz w:val="14"/>
                <w:szCs w:val="14"/>
                <w:color w:val="auto"/>
              </w:rPr>
              <w:t>US$</w:t>
            </w:r>
          </w:p>
        </w:tc>
        <w:tc>
          <w:tcPr>
            <w:tcW w:w="340" w:type="dxa"/>
            <w:vAlign w:val="bottom"/>
          </w:tcPr>
          <w:p>
            <w:pPr>
              <w:jc w:val="center"/>
              <w:ind w:left="145"/>
              <w:spacing w:after="0"/>
              <w:rPr>
                <w:sz w:val="20"/>
                <w:szCs w:val="20"/>
                <w:color w:val="auto"/>
              </w:rPr>
            </w:pPr>
            <w:r>
              <w:rPr>
                <w:rFonts w:ascii="Arial" w:cs="Arial" w:eastAsia="Arial" w:hAnsi="Arial"/>
                <w:sz w:val="5"/>
                <w:szCs w:val="5"/>
                <w:color w:val="auto"/>
                <w:w w:val="79"/>
              </w:rPr>
              <w:t> </w:t>
            </w:r>
          </w:p>
        </w:tc>
        <w:tc>
          <w:tcPr>
            <w:tcW w:w="120" w:type="dxa"/>
            <w:vAlign w:val="bottom"/>
          </w:tcPr>
          <w:p>
            <w:pPr>
              <w:ind w:left="60"/>
              <w:spacing w:after="0"/>
              <w:rPr>
                <w:sz w:val="20"/>
                <w:szCs w:val="20"/>
                <w:color w:val="auto"/>
              </w:rPr>
            </w:pPr>
            <w:r>
              <w:rPr>
                <w:rFonts w:ascii="Arial" w:cs="Arial" w:eastAsia="Arial" w:hAnsi="Arial"/>
                <w:sz w:val="5"/>
                <w:szCs w:val="5"/>
                <w:color w:val="auto"/>
                <w:w w:val="79"/>
              </w:rPr>
              <w:t> </w:t>
            </w:r>
          </w:p>
        </w:tc>
        <w:tc>
          <w:tcPr>
            <w:tcW w:w="5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gridSpan w:val="2"/>
          </w:tcPr>
          <w:p>
            <w:pPr>
              <w:spacing w:after="0"/>
              <w:rPr>
                <w:sz w:val="20"/>
                <w:szCs w:val="20"/>
                <w:color w:val="auto"/>
              </w:rPr>
            </w:pPr>
            <w:r>
              <w:rPr>
                <w:rFonts w:ascii="Arial" w:cs="Arial" w:eastAsia="Arial" w:hAnsi="Arial"/>
                <w:sz w:val="14"/>
                <w:szCs w:val="14"/>
                <w:color w:val="auto"/>
              </w:rPr>
              <w:t>US$</w:t>
            </w:r>
          </w:p>
        </w:tc>
      </w:tr>
      <w:tr>
        <w:trPr>
          <w:trHeight w:val="162"/>
        </w:trPr>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Proceeds to the Company (before expenses)</w:t>
            </w:r>
          </w:p>
        </w:tc>
        <w:tc>
          <w:tcPr>
            <w:tcW w:w="340" w:type="dxa"/>
            <w:vAlign w:val="bottom"/>
            <w:shd w:val="clear" w:color="auto" w:fill="CCEEFF"/>
          </w:tcPr>
          <w:p>
            <w:pPr>
              <w:jc w:val="center"/>
              <w:ind w:left="145"/>
              <w:spacing w:after="0"/>
              <w:rPr>
                <w:sz w:val="20"/>
                <w:szCs w:val="20"/>
                <w:color w:val="auto"/>
              </w:rPr>
            </w:pPr>
            <w:r>
              <w:rPr>
                <w:rFonts w:ascii="Arial" w:cs="Arial" w:eastAsia="Arial" w:hAnsi="Arial"/>
                <w:sz w:val="5"/>
                <w:szCs w:val="5"/>
                <w:color w:val="auto"/>
                <w:w w:val="79"/>
              </w:rPr>
              <w:t> </w:t>
            </w:r>
          </w:p>
        </w:tc>
        <w:tc>
          <w:tcPr>
            <w:tcW w:w="100" w:type="dxa"/>
            <w:vAlign w:val="bottom"/>
            <w:shd w:val="clear" w:color="auto" w:fill="CCEEFF"/>
          </w:tcPr>
          <w:p>
            <w:pPr>
              <w:ind w:left="60"/>
              <w:spacing w:after="0"/>
              <w:rPr>
                <w:sz w:val="20"/>
                <w:szCs w:val="20"/>
                <w:color w:val="auto"/>
              </w:rPr>
            </w:pPr>
            <w:r>
              <w:rPr>
                <w:rFonts w:ascii="Arial" w:cs="Arial" w:eastAsia="Arial" w:hAnsi="Arial"/>
                <w:sz w:val="2"/>
                <w:szCs w:val="2"/>
                <w:color w:val="auto"/>
                <w:w w:val="97"/>
              </w:rPr>
              <w:t> </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320" w:type="dxa"/>
            <w:vAlign w:val="bottom"/>
            <w:shd w:val="clear" w:color="auto" w:fill="CCEEFF"/>
          </w:tcPr>
          <w:p>
            <w:pPr>
              <w:jc w:val="center"/>
              <w:ind w:left="165"/>
              <w:spacing w:after="0"/>
              <w:rPr>
                <w:sz w:val="20"/>
                <w:szCs w:val="20"/>
                <w:color w:val="auto"/>
              </w:rPr>
            </w:pPr>
            <w:r>
              <w:rPr>
                <w:rFonts w:ascii="Arial" w:cs="Arial" w:eastAsia="Arial" w:hAnsi="Arial"/>
                <w:sz w:val="5"/>
                <w:szCs w:val="5"/>
                <w:color w:val="auto"/>
                <w:w w:val="79"/>
              </w:rPr>
              <w:t> </w:t>
            </w:r>
          </w:p>
        </w:tc>
        <w:tc>
          <w:tcPr>
            <w:tcW w:w="120" w:type="dxa"/>
            <w:vAlign w:val="bottom"/>
            <w:shd w:val="clear" w:color="auto" w:fill="CCEEFF"/>
          </w:tcPr>
          <w:p>
            <w:pPr>
              <w:ind w:left="60"/>
              <w:spacing w:after="0"/>
              <w:rPr>
                <w:sz w:val="20"/>
                <w:szCs w:val="20"/>
                <w:color w:val="auto"/>
              </w:rPr>
            </w:pPr>
            <w:r>
              <w:rPr>
                <w:rFonts w:ascii="Arial" w:cs="Arial" w:eastAsia="Arial" w:hAnsi="Arial"/>
                <w:sz w:val="5"/>
                <w:szCs w:val="5"/>
                <w:color w:val="auto"/>
                <w:w w:val="79"/>
              </w:rPr>
              <w:t> </w:t>
            </w:r>
          </w:p>
        </w:tc>
        <w:tc>
          <w:tcPr>
            <w:tcW w:w="5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340" w:type="dxa"/>
            <w:vAlign w:val="bottom"/>
            <w:shd w:val="clear" w:color="auto" w:fill="CCEEFF"/>
          </w:tcPr>
          <w:p>
            <w:pPr>
              <w:jc w:val="center"/>
              <w:ind w:left="145"/>
              <w:spacing w:after="0"/>
              <w:rPr>
                <w:sz w:val="20"/>
                <w:szCs w:val="20"/>
                <w:color w:val="auto"/>
              </w:rPr>
            </w:pPr>
            <w:r>
              <w:rPr>
                <w:rFonts w:ascii="Arial" w:cs="Arial" w:eastAsia="Arial" w:hAnsi="Arial"/>
                <w:sz w:val="5"/>
                <w:szCs w:val="5"/>
                <w:color w:val="auto"/>
                <w:w w:val="79"/>
              </w:rPr>
              <w:t> </w:t>
            </w:r>
          </w:p>
        </w:tc>
        <w:tc>
          <w:tcPr>
            <w:tcW w:w="120" w:type="dxa"/>
            <w:vAlign w:val="bottom"/>
            <w:shd w:val="clear" w:color="auto" w:fill="CCEEFF"/>
          </w:tcPr>
          <w:p>
            <w:pPr>
              <w:ind w:left="60"/>
              <w:spacing w:after="0"/>
              <w:rPr>
                <w:sz w:val="20"/>
                <w:szCs w:val="20"/>
                <w:color w:val="auto"/>
              </w:rPr>
            </w:pPr>
            <w:r>
              <w:rPr>
                <w:rFonts w:ascii="Arial" w:cs="Arial" w:eastAsia="Arial" w:hAnsi="Arial"/>
                <w:sz w:val="5"/>
                <w:szCs w:val="5"/>
                <w:color w:val="auto"/>
                <w:w w:val="79"/>
              </w:rPr>
              <w:t> </w:t>
            </w:r>
          </w:p>
        </w:tc>
        <w:tc>
          <w:tcPr>
            <w:tcW w:w="5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668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73" w:lineRule="exact"/>
        <w:rPr>
          <w:sz w:val="24"/>
          <w:szCs w:val="24"/>
          <w:color w:val="auto"/>
        </w:rPr>
      </w:pPr>
    </w:p>
    <w:p>
      <w:pPr>
        <w:ind w:left="380" w:hanging="380"/>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on the Notes, if any, from            , 2026 to the date of delivery.</w:t>
      </w:r>
    </w:p>
    <w:p>
      <w:pPr>
        <w:spacing w:after="0" w:line="217" w:lineRule="exact"/>
        <w:rPr>
          <w:sz w:val="24"/>
          <w:szCs w:val="24"/>
          <w:color w:val="auto"/>
        </w:rPr>
      </w:pPr>
    </w:p>
    <w:p>
      <w:pPr>
        <w:ind w:firstLine="386"/>
        <w:spacing w:after="0" w:line="263" w:lineRule="auto"/>
        <w:rPr>
          <w:sz w:val="20"/>
          <w:szCs w:val="20"/>
          <w:color w:val="auto"/>
        </w:rPr>
      </w:pPr>
      <w:r>
        <w:rPr>
          <w:rFonts w:ascii="Arial" w:cs="Arial" w:eastAsia="Arial" w:hAnsi="Arial"/>
          <w:sz w:val="14"/>
          <w:szCs w:val="14"/>
          <w:color w:val="auto"/>
        </w:rPr>
        <w:t>The underwriters expect to deliver the Notes to purchasers against payment on or about        , 2026, solely in book-entry form through the facilities of The Depository Trust Company and its direct and indirect participants, including Euroclear Bank SA/NV, as operator of the Euroclear system, and Clearstream Banking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2420620</wp:posOffset>
            </wp:positionH>
            <wp:positionV relativeFrom="paragraph">
              <wp:posOffset>201295</wp:posOffset>
            </wp:positionV>
            <wp:extent cx="1285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Joint Book-Running Managers</w:t>
      </w:r>
    </w:p>
    <w:p>
      <w:pPr>
        <w:spacing w:after="0" w:line="223" w:lineRule="exact"/>
        <w:rPr>
          <w:sz w:val="24"/>
          <w:szCs w:val="24"/>
          <w:color w:val="auto"/>
        </w:rPr>
      </w:pPr>
    </w:p>
    <w:p>
      <w:pPr>
        <w:spacing w:after="0"/>
        <w:tabs>
          <w:tab w:leader="none" w:pos="4580" w:val="left"/>
          <w:tab w:leader="none" w:pos="724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0"/>
          <w:szCs w:val="20"/>
          <w:b w:val="1"/>
          <w:bCs w:val="1"/>
          <w:color w:val="auto"/>
        </w:rPr>
        <w:t>HSBC</w:t>
      </w:r>
      <w:r>
        <w:rPr>
          <w:sz w:val="20"/>
          <w:szCs w:val="20"/>
          <w:color w:val="auto"/>
        </w:rPr>
        <w:tab/>
      </w:r>
      <w:r>
        <w:rPr>
          <w:rFonts w:ascii="Arial" w:cs="Arial" w:eastAsia="Arial" w:hAnsi="Arial"/>
          <w:sz w:val="19"/>
          <w:szCs w:val="19"/>
          <w:b w:val="1"/>
          <w:bCs w:val="1"/>
          <w:color w:val="auto"/>
        </w:rPr>
        <w:t>Standard Chartered Bank</w:t>
      </w:r>
    </w:p>
    <w:p>
      <w:pPr>
        <w:spacing w:after="0" w:line="200" w:lineRule="exact"/>
        <w:rPr>
          <w:sz w:val="24"/>
          <w:szCs w:val="24"/>
          <w:color w:val="auto"/>
        </w:rPr>
      </w:pPr>
    </w:p>
    <w:p>
      <w:pPr>
        <w:sectPr>
          <w:pgSz w:w="11900" w:h="16838" w:orient="portrait"/>
          <w:cols w:equalWidth="0" w:num="2">
            <w:col w:w="420" w:space="380"/>
            <w:col w:w="9640"/>
          </w:cols>
          <w:pgMar w:left="320" w:top="225" w:right="1139" w:bottom="221" w:gutter="0" w:footer="0" w:header="0"/>
          <w:type w:val="continuous"/>
        </w:sectPr>
      </w:pPr>
    </w:p>
    <w:p>
      <w:pPr>
        <w:spacing w:after="0" w:line="25" w:lineRule="exact"/>
        <w:rPr>
          <w:sz w:val="24"/>
          <w:szCs w:val="24"/>
          <w:color w:val="auto"/>
        </w:rPr>
      </w:pPr>
    </w:p>
    <w:p>
      <w:pPr>
        <w:ind w:left="5200"/>
        <w:spacing w:after="0"/>
        <w:rPr>
          <w:sz w:val="20"/>
          <w:szCs w:val="20"/>
          <w:color w:val="auto"/>
        </w:rPr>
      </w:pPr>
      <w:r>
        <w:rPr>
          <w:rFonts w:ascii="Arial" w:cs="Arial" w:eastAsia="Arial" w:hAnsi="Arial"/>
          <w:sz w:val="13"/>
          <w:szCs w:val="13"/>
          <w:b w:val="1"/>
          <w:bCs w:val="1"/>
          <w:color w:val="auto"/>
        </w:rPr>
        <w:t>         , 2026</w:t>
      </w:r>
    </w:p>
    <w:p>
      <w:pPr>
        <w:sectPr>
          <w:pgSz w:w="11900" w:h="16838" w:orient="portrait"/>
          <w:cols w:equalWidth="0" w:num="1">
            <w:col w:w="10440"/>
          </w:cols>
          <w:pgMar w:left="320" w:top="225" w:right="1139" w:bottom="22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TABLE OF CONTENTS</w:t>
      </w:r>
    </w:p>
    <w:p>
      <w:pPr>
        <w:spacing w:after="0" w:line="104" w:lineRule="exact"/>
        <w:rPr>
          <w:sz w:val="20"/>
          <w:szCs w:val="20"/>
          <w:color w:val="auto"/>
        </w:rPr>
      </w:pPr>
    </w:p>
    <w:p>
      <w:pPr>
        <w:jc w:val="center"/>
        <w:ind w:left="1340"/>
        <w:spacing w:after="0"/>
        <w:rPr>
          <w:sz w:val="20"/>
          <w:szCs w:val="20"/>
          <w:color w:val="auto"/>
        </w:rPr>
      </w:pPr>
      <w:r>
        <w:rPr>
          <w:rFonts w:ascii="Arial" w:cs="Arial" w:eastAsia="Arial" w:hAnsi="Arial"/>
          <w:sz w:val="17"/>
          <w:szCs w:val="17"/>
          <w:b w:val="1"/>
          <w:bCs w:val="1"/>
          <w:color w:val="auto"/>
        </w:rPr>
        <w:t>Prospectus Supplement</w:t>
      </w: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Cautionary Statement Regarding Forward-Looking Statements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Summary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Risk Factors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Use of Proceeds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Description of the Notes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Non-U.S. Federal Income Tax Considerations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U.S. Federal Income Tax Considerations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Underwriting (Conflicts of Interest)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Legal Matters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Experts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Incorporation of Documents by Reference</w:t>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About this Prospectus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About the Guarantor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About the 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Cautionary Statement Regarding Forward-Looking Statements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Risk Factors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Incorporation of Documents by Reference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Use of Proceeds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Plan of Distribution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Validity of the Securities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Experts</w:t>
      </w:r>
    </w:p>
    <w:p>
      <w:pPr>
        <w:spacing w:after="0" w:line="14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6350</wp:posOffset>
            </wp:positionV>
            <wp:extent cx="308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S-iii</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S-1</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S-7</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S-9</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S-10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S-32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S-36</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S-39</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S-45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S-45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S-45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14"/>
          <w:szCs w:val="14"/>
          <w:b w:val="1"/>
          <w:bCs w:val="1"/>
          <w:u w:val="single" w:color="auto"/>
          <w:color w:val="auto"/>
        </w:rPr>
        <w:t>Page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9920" w:space="720"/>
            <w:col w:w="44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supplement, unless otherwise stated or the context otherwise requires:</w:t>
      </w:r>
    </w:p>
    <w:p>
      <w:pPr>
        <w:spacing w:after="0" w:line="117"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refers to Schlumberger Investment S.A., as defined on the first page of this prospectus supplement;</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“Guarantor” refers to SLB Limited, the ultimate parent of the Company;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“SLB Group” or “SLB” refers to SLB Limited and its consolidated subsidiaries, including the Company; and</w:t>
      </w:r>
    </w:p>
    <w:p>
      <w:pPr>
        <w:spacing w:after="0" w:line="117" w:lineRule="exact"/>
        <w:rPr>
          <w:rFonts w:ascii="Arial" w:cs="Arial" w:eastAsia="Arial" w:hAnsi="Arial"/>
          <w:sz w:val="18"/>
          <w:szCs w:val="18"/>
          <w:color w:val="auto"/>
        </w:rPr>
      </w:pPr>
    </w:p>
    <w:p>
      <w:pPr>
        <w:ind w:left="1080" w:right="120" w:hanging="424"/>
        <w:spacing w:after="0" w:line="271"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and “our” and similar expressions refer to the SLB Group, including the Company, except when used in connection with the “Notes,” in which case these terms refer solely to the Company.</w:t>
      </w:r>
    </w:p>
    <w:p>
      <w:pPr>
        <w:spacing w:after="0" w:line="154" w:lineRule="exact"/>
        <w:rPr>
          <w:sz w:val="20"/>
          <w:szCs w:val="20"/>
          <w:color w:val="auto"/>
        </w:rPr>
      </w:pPr>
    </w:p>
    <w:p>
      <w:pPr>
        <w:ind w:left="120" w:right="180" w:firstLine="440"/>
        <w:spacing w:after="0" w:line="242"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7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have not, and the underwriters have not, authorized any other person to provide you with information other than that contained or incorporated by reference in this prospectus supplement and the accompanying prospectus or in any related free writing prospectus. The information contained or incorporated by reference in this prospectus supplement and the accompanying prospectus is accurate as of the date on the front cover of such documents only. The business, properties, assets, results of operations, financial position or prospects of the Company and the Guarantor may have changed since that date. Neither the delivery of this prospectus supplement nor of the accompanying prospectus, nor any sale made thereunder, will imply that the information herein is correct as of any date subsequent to the date on the cover of such documents. We are not, and the underwriters are not, making an offer to sell the Notes in any jurisdiction where the offer or sale is not permitted.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2"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contain “forward-looking statements” within the meaning of the U.S. Private Securities Litigation Reform Act of 1995,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w:t>
      </w:r>
    </w:p>
    <w:p>
      <w:pPr>
        <w:spacing w:after="0" w:line="17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following important factors, in addition to those discussed under “Risk Factors” and in the documents incorporated by reference herein, could affect the future results of the SLB Group, and could cause those results to differ materially from those expressed in or implied by such forward-looking statements: the SLB Group’s financial and performance targets and other forecasts or expectations regarding, or dependent on, its business outlook; growth for the SLB Group as a whole and for each of its Divisions (and for specified business lines, geographic areas or technologies within each Division); the benefits of the ChampionX acquisition, including the ability of the SLB Group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the SLB Group and the oil and gas industry; the business strategies of the SLB Group, including digital and “fit for basin,” as well as the strategies of the SLB Group’s customers; the SLB Group’s capital allocation plans, including dividend plans and share repurchase programs; the SLB Group’s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w:t>
      </w:r>
    </w:p>
    <w:p>
      <w:pPr>
        <w:spacing w:after="0" w:line="180"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These statements are subject to risks and uncertainties, including, but not limited to, changing global economic and geopolitical conditions; changes in exploration and production spending by the SLB Group’s customers, and changes in the level of oil and natural gas exploration and development; the results of operations and financial condition of the SLB Group’s customers and suppliers; the SLB Group’s inability to achieve its financial and performance targets and other forecasts and expectations; the SLB Group’s inability to achieve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the SLB Group’s supply chain; production declines; the extent of future charges; the SLB Group’s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prospectus supplement and in the Guarantor’s filings with the Securities and Exchange Commission (the “SEC”).</w:t>
      </w:r>
    </w:p>
    <w:p>
      <w:pPr>
        <w:spacing w:after="0" w:line="180"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All subsequent written and oral forward -looking statements attributable to the SLB Group or to persons acting on their behalf are expressly qualified in their entirety by reference to these risks and uncertainties. You should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not place undue reliance on forward-looking statements. Each forward-looking statement speaks only as of the date of the particular statement, and we disclaims any intention or obligation to update publicly or revise such statements, whether as a result of new information, future events, or otherwise, except as required by law.</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0600"/>
          </w:cols>
          <w:pgMar w:left="320" w:top="455"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14" w:lineRule="exact"/>
        <w:rPr>
          <w:sz w:val="20"/>
          <w:szCs w:val="20"/>
          <w:color w:val="auto"/>
        </w:rPr>
      </w:pPr>
    </w:p>
    <w:p>
      <w:pPr>
        <w:ind w:left="300" w:right="120" w:firstLine="426"/>
        <w:spacing w:after="0" w:line="246" w:lineRule="auto"/>
        <w:rPr>
          <w:sz w:val="20"/>
          <w:szCs w:val="20"/>
          <w:color w:val="auto"/>
        </w:rPr>
      </w:pPr>
      <w:r>
        <w:rPr>
          <w:rFonts w:ascii="Arial" w:cs="Arial" w:eastAsia="Arial" w:hAnsi="Arial"/>
          <w:sz w:val="18"/>
          <w:szCs w:val="18"/>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the Guarantor’s Annual Report on Form 10-K for the year ended December 31, 2025 and the Guarantor’s Quarterly Report on Form 10-Q for the fiscal quarter ended March 31, 2026.</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w:t>
      </w:r>
    </w:p>
    <w:p>
      <w:pPr>
        <w:spacing w:after="0" w:line="104" w:lineRule="exact"/>
        <w:rPr>
          <w:sz w:val="20"/>
          <w:szCs w:val="20"/>
          <w:color w:val="auto"/>
        </w:rPr>
      </w:pPr>
    </w:p>
    <w:p>
      <w:pPr>
        <w:ind w:left="300" w:firstLine="426"/>
        <w:spacing w:after="0" w:line="247" w:lineRule="auto"/>
        <w:rPr>
          <w:sz w:val="20"/>
          <w:szCs w:val="20"/>
          <w:color w:val="auto"/>
        </w:rPr>
      </w:pPr>
      <w:r>
        <w:rPr>
          <w:rFonts w:ascii="Arial" w:cs="Arial" w:eastAsia="Arial" w:hAnsi="Arial"/>
          <w:sz w:val="18"/>
          <w:szCs w:val="18"/>
          <w:color w:val="auto"/>
        </w:rPr>
        <w:t>The SLB Group is a global technology company driving energy innovation for a balanced planet. With a global presence in more than 100 countries and employees representing almost twice as many nationalities, we work each day on innovating energy technology, delivering digital at scale, decarbonizing industries, and developing and scaling new energy systems that accelerate the energy transition.</w:t>
      </w:r>
    </w:p>
    <w:p>
      <w:pPr>
        <w:spacing w:after="0" w:line="174" w:lineRule="exact"/>
        <w:rPr>
          <w:sz w:val="20"/>
          <w:szCs w:val="20"/>
          <w:color w:val="auto"/>
        </w:rPr>
      </w:pPr>
    </w:p>
    <w:p>
      <w:pPr>
        <w:ind w:left="300" w:firstLine="426"/>
        <w:spacing w:after="0" w:line="253" w:lineRule="auto"/>
        <w:rPr>
          <w:sz w:val="20"/>
          <w:szCs w:val="20"/>
          <w:color w:val="auto"/>
        </w:rPr>
      </w:pPr>
      <w:r>
        <w:rPr>
          <w:rFonts w:ascii="Arial" w:cs="Arial" w:eastAsia="Arial" w:hAnsi="Arial"/>
          <w:sz w:val="18"/>
          <w:szCs w:val="18"/>
          <w:color w:val="auto"/>
        </w:rPr>
        <w:t>The SLB Group is primarily organized under four Divisions that combine and integrate the SLB Group’s technologies, enhancing its ability to support the emerging long-term growth opportunities in each of these market segments. The four Divisions are Digital, Reservoir Performance, Well Construction, and Production Systems.</w:t>
      </w:r>
    </w:p>
    <w:p>
      <w:pPr>
        <w:spacing w:after="0" w:line="169" w:lineRule="exact"/>
        <w:rPr>
          <w:sz w:val="20"/>
          <w:szCs w:val="20"/>
          <w:color w:val="auto"/>
        </w:rPr>
      </w:pPr>
    </w:p>
    <w:p>
      <w:pPr>
        <w:ind w:left="300" w:right="140" w:firstLine="426"/>
        <w:spacing w:after="0" w:line="242" w:lineRule="auto"/>
        <w:rPr>
          <w:sz w:val="20"/>
          <w:szCs w:val="20"/>
          <w:color w:val="auto"/>
        </w:rPr>
      </w:pPr>
      <w:r>
        <w:rPr>
          <w:rFonts w:ascii="Arial" w:cs="Arial" w:eastAsia="Arial" w:hAnsi="Arial"/>
          <w:sz w:val="18"/>
          <w:szCs w:val="18"/>
          <w:color w:val="auto"/>
        </w:rPr>
        <w:t>The SLB Group operates through a geographical structure of five basins that are aligned with critical concentrations of activity: North America Land; Americas; Europe and Africa; Middle East and North Africa; and Asia. The basins are configured around common regional characteristics that enable the SLB Group to deploy fit-for-purpose technologies, operating models, and skills to meet the specific customer needs in each basin. The basins are further organized into GeoUnits, which can be a region, a single country, or comprise several countries. With a strong focus on customers, the basins identify opportunities for growth, and are focused on agility, responsiveness, and competitiveness.</w:t>
      </w:r>
    </w:p>
    <w:p>
      <w:pPr>
        <w:spacing w:after="0" w:line="179" w:lineRule="exact"/>
        <w:rPr>
          <w:sz w:val="20"/>
          <w:szCs w:val="20"/>
          <w:color w:val="auto"/>
        </w:rPr>
      </w:pPr>
    </w:p>
    <w:p>
      <w:pPr>
        <w:ind w:left="300" w:right="240" w:firstLine="426"/>
        <w:spacing w:after="0" w:line="247" w:lineRule="auto"/>
        <w:rPr>
          <w:sz w:val="20"/>
          <w:szCs w:val="20"/>
          <w:color w:val="auto"/>
        </w:rPr>
      </w:pPr>
      <w:r>
        <w:rPr>
          <w:rFonts w:ascii="Arial" w:cs="Arial" w:eastAsia="Arial" w:hAnsi="Arial"/>
          <w:sz w:val="18"/>
          <w:szCs w:val="18"/>
          <w:color w:val="auto"/>
        </w:rPr>
        <w:t>Supporting the Divisions is a global network of research and development centers. Through these centers the SLB Group advance its technology programs to enhance industry efficiency, lower finding and producing costs, improve productivity, maximize reserve recovery, and increase asset value safely, securely, and sustainably. These centers also support the SLB Group’s investments in lower carbon energy sources and carbon capture technologies.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the Guarantor</w:t>
      </w:r>
    </w:p>
    <w:p>
      <w:pPr>
        <w:spacing w:after="0" w:line="104" w:lineRule="exact"/>
        <w:rPr>
          <w:sz w:val="20"/>
          <w:szCs w:val="20"/>
          <w:color w:val="auto"/>
        </w:rPr>
      </w:pPr>
    </w:p>
    <w:p>
      <w:pPr>
        <w:ind w:left="300" w:right="260" w:firstLine="426"/>
        <w:spacing w:after="0" w:line="253" w:lineRule="auto"/>
        <w:rPr>
          <w:sz w:val="20"/>
          <w:szCs w:val="20"/>
          <w:color w:val="auto"/>
        </w:rPr>
      </w:pPr>
      <w:r>
        <w:rPr>
          <w:rFonts w:ascii="Arial" w:cs="Arial" w:eastAsia="Arial" w:hAnsi="Arial"/>
          <w:sz w:val="18"/>
          <w:szCs w:val="18"/>
          <w:color w:val="auto"/>
        </w:rPr>
        <w:t>The SLB Group was founded in 1926, and SLB Limited, the NYSE-listed parent of the SLB Group, was incorporated in 1956. SLB Limited is governed by the applicable laws of Curaçao, and is entered into the Curaçao Commercial Register with company number 1674.</w:t>
      </w:r>
    </w:p>
    <w:p>
      <w:pPr>
        <w:spacing w:after="0" w:line="169" w:lineRule="exact"/>
        <w:rPr>
          <w:sz w:val="20"/>
          <w:szCs w:val="20"/>
          <w:color w:val="auto"/>
        </w:rPr>
      </w:pPr>
    </w:p>
    <w:p>
      <w:pPr>
        <w:ind w:left="300" w:right="100" w:firstLine="426"/>
        <w:spacing w:after="0" w:line="271" w:lineRule="auto"/>
        <w:rPr>
          <w:sz w:val="20"/>
          <w:szCs w:val="20"/>
          <w:color w:val="auto"/>
        </w:rPr>
      </w:pPr>
      <w:r>
        <w:rPr>
          <w:rFonts w:ascii="Arial" w:cs="Arial" w:eastAsia="Arial" w:hAnsi="Arial"/>
          <w:sz w:val="18"/>
          <w:szCs w:val="18"/>
          <w:color w:val="auto"/>
        </w:rPr>
        <w:t>The Guarantor has executive offices in Paris, Houston, and The Hague. The principal U.S. market for the Guarantor’s common stock is the New York Stock Exchange, where it is traded under the symbol “SLB.”</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the Company</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and organizational status</w:t>
      </w:r>
    </w:p>
    <w:p>
      <w:pPr>
        <w:spacing w:after="0" w:line="102" w:lineRule="exact"/>
        <w:rPr>
          <w:sz w:val="20"/>
          <w:szCs w:val="20"/>
          <w:color w:val="auto"/>
        </w:rPr>
      </w:pPr>
    </w:p>
    <w:p>
      <w:pPr>
        <w:ind w:left="300" w:right="20" w:firstLine="426"/>
        <w:spacing w:after="0" w:line="271" w:lineRule="auto"/>
        <w:rPr>
          <w:sz w:val="20"/>
          <w:szCs w:val="20"/>
          <w:color w:val="auto"/>
        </w:rPr>
      </w:pPr>
      <w:r>
        <w:rPr>
          <w:rFonts w:ascii="Arial" w:cs="Arial" w:eastAsia="Arial" w:hAnsi="Arial"/>
          <w:sz w:val="18"/>
          <w:szCs w:val="18"/>
          <w:color w:val="auto"/>
        </w:rPr>
        <w:t>Schlumberger Investment S.A. is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in 2011 under the laws of the Grand Duchy of Luxembourg and registered with the Luxembourg Trade</w:t>
      </w: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28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12896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1" w:lineRule="auto"/>
        <w:rPr>
          <w:sz w:val="20"/>
          <w:szCs w:val="20"/>
          <w:color w:val="auto"/>
        </w:rPr>
      </w:pPr>
      <w:r>
        <w:rPr>
          <w:rFonts w:ascii="Arial" w:cs="Arial" w:eastAsia="Arial" w:hAnsi="Arial"/>
          <w:sz w:val="18"/>
          <w:szCs w:val="18"/>
          <w:color w:val="auto"/>
        </w:rPr>
        <w:t>and Companies Register (Registre de Commerce et des Sociétés, Luxembourg) under number B 163.122. The Company’s registered office is at 5, Place de la Gare, L-1616 Luxembourg and its telephone number is +352 284 878 1045.</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is part of the SLB Group and all shares of the Company are owned indirectly by the Guarantor.</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Activities</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12" w:lineRule="exact"/>
        <w:rPr>
          <w:sz w:val="20"/>
          <w:szCs w:val="20"/>
          <w:color w:val="auto"/>
        </w:rPr>
      </w:pPr>
    </w:p>
    <w:p>
      <w:pPr>
        <w:ind w:left="300" w:right="320" w:firstLine="426"/>
        <w:spacing w:after="0" w:line="253" w:lineRule="auto"/>
        <w:rPr>
          <w:sz w:val="20"/>
          <w:szCs w:val="20"/>
          <w:color w:val="auto"/>
        </w:rPr>
      </w:pPr>
      <w:r>
        <w:rPr>
          <w:rFonts w:ascii="Arial" w:cs="Arial" w:eastAsia="Arial" w:hAnsi="Arial"/>
          <w:sz w:val="18"/>
          <w:szCs w:val="18"/>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26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220" w:type="dxa"/>
            <w:vAlign w:val="bottom"/>
            <w:gridSpan w:val="2"/>
          </w:tcPr>
          <w:p>
            <w:pPr>
              <w:ind w:left="1420"/>
              <w:spacing w:after="0"/>
              <w:rPr>
                <w:sz w:val="20"/>
                <w:szCs w:val="20"/>
                <w:color w:val="auto"/>
              </w:rPr>
            </w:pPr>
            <w:r>
              <w:rPr>
                <w:rFonts w:ascii="Arial" w:cs="Arial" w:eastAsia="Arial" w:hAnsi="Arial"/>
                <w:sz w:val="18"/>
                <w:szCs w:val="18"/>
                <w:color w:val="auto"/>
              </w:rPr>
              <w:t>Schlumberger Investment S.A.</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Guarantor</w:t>
            </w:r>
          </w:p>
        </w:tc>
        <w:tc>
          <w:tcPr>
            <w:tcW w:w="2480" w:type="dxa"/>
            <w:vAlign w:val="bottom"/>
          </w:tcPr>
          <w:p>
            <w:pPr>
              <w:ind w:left="1420"/>
              <w:spacing w:after="0"/>
              <w:rPr>
                <w:sz w:val="20"/>
                <w:szCs w:val="20"/>
                <w:color w:val="auto"/>
              </w:rPr>
            </w:pPr>
            <w:r>
              <w:rPr>
                <w:rFonts w:ascii="Arial" w:cs="Arial" w:eastAsia="Arial" w:hAnsi="Arial"/>
                <w:sz w:val="18"/>
                <w:szCs w:val="18"/>
                <w:color w:val="auto"/>
              </w:rPr>
              <w:t>SLB Limited.</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Notes Offered</w:t>
            </w:r>
          </w:p>
        </w:tc>
        <w:tc>
          <w:tcPr>
            <w:tcW w:w="2480" w:type="dxa"/>
            <w:vAlign w:val="bottom"/>
          </w:tcPr>
          <w:p>
            <w:pPr>
              <w:ind w:left="1420"/>
              <w:spacing w:after="0"/>
              <w:rPr>
                <w:sz w:val="20"/>
                <w:szCs w:val="20"/>
                <w:color w:val="auto"/>
              </w:rPr>
            </w:pPr>
            <w:r>
              <w:rPr>
                <w:rFonts w:ascii="Arial" w:cs="Arial" w:eastAsia="Arial" w:hAnsi="Arial"/>
                <w:sz w:val="18"/>
                <w:szCs w:val="18"/>
                <w:color w:val="auto"/>
              </w:rPr>
              <w:t xml:space="preserve">US$           </w:t>
            </w:r>
          </w:p>
        </w:tc>
        <w:tc>
          <w:tcPr>
            <w:tcW w:w="1740" w:type="dxa"/>
            <w:vAlign w:val="bottom"/>
          </w:tcPr>
          <w:p>
            <w:pPr>
              <w:ind w:left="60"/>
              <w:spacing w:after="0"/>
              <w:rPr>
                <w:sz w:val="20"/>
                <w:szCs w:val="20"/>
                <w:color w:val="auto"/>
              </w:rPr>
            </w:pPr>
            <w:r>
              <w:rPr>
                <w:rFonts w:ascii="Arial" w:cs="Arial" w:eastAsia="Arial" w:hAnsi="Arial"/>
                <w:sz w:val="18"/>
                <w:szCs w:val="18"/>
                <w:color w:val="auto"/>
                <w:w w:val="94"/>
              </w:rPr>
              <w:t>principal amount of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340" w:type="dxa"/>
            <w:vAlign w:val="bottom"/>
          </w:tcPr>
          <w:p>
            <w:pPr>
              <w:ind w:left="60"/>
              <w:spacing w:after="0"/>
              <w:rPr>
                <w:sz w:val="20"/>
                <w:szCs w:val="20"/>
                <w:color w:val="auto"/>
              </w:rPr>
            </w:pPr>
            <w:r>
              <w:rPr>
                <w:rFonts w:ascii="Arial" w:cs="Arial" w:eastAsia="Arial" w:hAnsi="Arial"/>
                <w:sz w:val="18"/>
                <w:szCs w:val="18"/>
                <w:color w:val="auto"/>
                <w:w w:val="94"/>
              </w:rPr>
              <w:t>   % Senior Notes due 2031.</w:t>
            </w:r>
          </w:p>
        </w:tc>
      </w:tr>
      <w:tr>
        <w:trPr>
          <w:trHeight w:val="330"/>
        </w:trPr>
        <w:tc>
          <w:tcPr>
            <w:tcW w:w="2620" w:type="dxa"/>
            <w:vAlign w:val="bottom"/>
          </w:tcPr>
          <w:p>
            <w:pPr>
              <w:spacing w:after="0"/>
              <w:rPr>
                <w:sz w:val="24"/>
                <w:szCs w:val="24"/>
                <w:color w:val="auto"/>
              </w:rPr>
            </w:pPr>
          </w:p>
        </w:tc>
        <w:tc>
          <w:tcPr>
            <w:tcW w:w="2480" w:type="dxa"/>
            <w:vAlign w:val="bottom"/>
          </w:tcPr>
          <w:p>
            <w:pPr>
              <w:ind w:left="1420"/>
              <w:spacing w:after="0"/>
              <w:rPr>
                <w:sz w:val="20"/>
                <w:szCs w:val="20"/>
                <w:color w:val="auto"/>
              </w:rPr>
            </w:pPr>
            <w:r>
              <w:rPr>
                <w:rFonts w:ascii="Arial" w:cs="Arial" w:eastAsia="Arial" w:hAnsi="Arial"/>
                <w:sz w:val="18"/>
                <w:szCs w:val="18"/>
                <w:color w:val="auto"/>
              </w:rPr>
              <w:t xml:space="preserve">US$           </w:t>
            </w:r>
          </w:p>
        </w:tc>
        <w:tc>
          <w:tcPr>
            <w:tcW w:w="1740" w:type="dxa"/>
            <w:vAlign w:val="bottom"/>
          </w:tcPr>
          <w:p>
            <w:pPr>
              <w:ind w:left="60"/>
              <w:spacing w:after="0"/>
              <w:rPr>
                <w:sz w:val="20"/>
                <w:szCs w:val="20"/>
                <w:color w:val="auto"/>
              </w:rPr>
            </w:pPr>
            <w:r>
              <w:rPr>
                <w:rFonts w:ascii="Arial" w:cs="Arial" w:eastAsia="Arial" w:hAnsi="Arial"/>
                <w:sz w:val="18"/>
                <w:szCs w:val="18"/>
                <w:color w:val="auto"/>
                <w:w w:val="94"/>
              </w:rPr>
              <w:t>principal amount of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340" w:type="dxa"/>
            <w:vAlign w:val="bottom"/>
          </w:tcPr>
          <w:p>
            <w:pPr>
              <w:ind w:left="60"/>
              <w:spacing w:after="0"/>
              <w:rPr>
                <w:sz w:val="20"/>
                <w:szCs w:val="20"/>
                <w:color w:val="auto"/>
              </w:rPr>
            </w:pPr>
            <w:r>
              <w:rPr>
                <w:rFonts w:ascii="Arial" w:cs="Arial" w:eastAsia="Arial" w:hAnsi="Arial"/>
                <w:sz w:val="18"/>
                <w:szCs w:val="18"/>
                <w:color w:val="auto"/>
                <w:w w:val="94"/>
              </w:rPr>
              <w:t>   % Senior Notes due 2033.</w:t>
            </w:r>
          </w:p>
        </w:tc>
      </w:tr>
      <w:tr>
        <w:trPr>
          <w:trHeight w:val="324"/>
        </w:trPr>
        <w:tc>
          <w:tcPr>
            <w:tcW w:w="2620" w:type="dxa"/>
            <w:vAlign w:val="bottom"/>
          </w:tcPr>
          <w:p>
            <w:pPr>
              <w:spacing w:after="0"/>
              <w:rPr>
                <w:sz w:val="24"/>
                <w:szCs w:val="24"/>
                <w:color w:val="auto"/>
              </w:rPr>
            </w:pPr>
          </w:p>
        </w:tc>
        <w:tc>
          <w:tcPr>
            <w:tcW w:w="2480" w:type="dxa"/>
            <w:vAlign w:val="bottom"/>
          </w:tcPr>
          <w:p>
            <w:pPr>
              <w:ind w:left="1420"/>
              <w:spacing w:after="0"/>
              <w:rPr>
                <w:sz w:val="20"/>
                <w:szCs w:val="20"/>
                <w:color w:val="auto"/>
              </w:rPr>
            </w:pPr>
            <w:r>
              <w:rPr>
                <w:rFonts w:ascii="Arial" w:cs="Arial" w:eastAsia="Arial" w:hAnsi="Arial"/>
                <w:sz w:val="18"/>
                <w:szCs w:val="18"/>
                <w:color w:val="auto"/>
              </w:rPr>
              <w:t xml:space="preserve">US$           </w:t>
            </w:r>
          </w:p>
        </w:tc>
        <w:tc>
          <w:tcPr>
            <w:tcW w:w="1740" w:type="dxa"/>
            <w:vAlign w:val="bottom"/>
          </w:tcPr>
          <w:p>
            <w:pPr>
              <w:ind w:left="60"/>
              <w:spacing w:after="0"/>
              <w:rPr>
                <w:sz w:val="20"/>
                <w:szCs w:val="20"/>
                <w:color w:val="auto"/>
              </w:rPr>
            </w:pPr>
            <w:r>
              <w:rPr>
                <w:rFonts w:ascii="Arial" w:cs="Arial" w:eastAsia="Arial" w:hAnsi="Arial"/>
                <w:sz w:val="18"/>
                <w:szCs w:val="18"/>
                <w:color w:val="auto"/>
                <w:w w:val="94"/>
              </w:rPr>
              <w:t>principal amount of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340" w:type="dxa"/>
            <w:vAlign w:val="bottom"/>
          </w:tcPr>
          <w:p>
            <w:pPr>
              <w:ind w:left="60"/>
              <w:spacing w:after="0"/>
              <w:rPr>
                <w:sz w:val="20"/>
                <w:szCs w:val="20"/>
                <w:color w:val="auto"/>
              </w:rPr>
            </w:pPr>
            <w:r>
              <w:rPr>
                <w:rFonts w:ascii="Arial" w:cs="Arial" w:eastAsia="Arial" w:hAnsi="Arial"/>
                <w:sz w:val="18"/>
                <w:szCs w:val="18"/>
                <w:color w:val="auto"/>
                <w:w w:val="94"/>
              </w:rPr>
              <w:t>   % Senior Notes due 2036.</w:t>
            </w:r>
          </w:p>
        </w:tc>
      </w:tr>
      <w:tr>
        <w:trPr>
          <w:trHeight w:val="332"/>
        </w:trPr>
        <w:tc>
          <w:tcPr>
            <w:tcW w:w="262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4220" w:type="dxa"/>
            <w:vAlign w:val="bottom"/>
            <w:gridSpan w:val="2"/>
          </w:tcPr>
          <w:p>
            <w:pPr>
              <w:ind w:left="1420"/>
              <w:spacing w:after="0"/>
              <w:rPr>
                <w:sz w:val="20"/>
                <w:szCs w:val="20"/>
                <w:color w:val="auto"/>
              </w:rPr>
            </w:pPr>
            <w:r>
              <w:rPr>
                <w:rFonts w:ascii="Arial" w:cs="Arial" w:eastAsia="Arial" w:hAnsi="Arial"/>
                <w:sz w:val="18"/>
                <w:szCs w:val="18"/>
                <w:color w:val="auto"/>
              </w:rPr>
              <w:t xml:space="preserve">The 2031 Notes will mature on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2340" w:type="dxa"/>
            <w:vAlign w:val="bottom"/>
          </w:tcPr>
          <w:p>
            <w:pPr>
              <w:ind w:left="40"/>
              <w:spacing w:after="0"/>
              <w:rPr>
                <w:sz w:val="20"/>
                <w:szCs w:val="20"/>
                <w:color w:val="auto"/>
              </w:rPr>
            </w:pPr>
            <w:r>
              <w:rPr>
                <w:rFonts w:ascii="Arial" w:cs="Arial" w:eastAsia="Arial" w:hAnsi="Arial"/>
                <w:sz w:val="18"/>
                <w:szCs w:val="18"/>
                <w:color w:val="auto"/>
              </w:rPr>
              <w:t>, 2031.</w:t>
            </w:r>
          </w:p>
        </w:tc>
      </w:tr>
    </w:tbl>
    <w:p>
      <w:pPr>
        <w:spacing w:after="0" w:line="9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The 2033 Notes will mature on            , 2033.</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The 2036 Notes will mature on            , 2036.</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Interest</w:t>
            </w:r>
          </w:p>
        </w:tc>
        <w:tc>
          <w:tcPr>
            <w:tcW w:w="3960" w:type="dxa"/>
            <w:vAlign w:val="bottom"/>
          </w:tcPr>
          <w:p>
            <w:pPr>
              <w:ind w:left="960"/>
              <w:spacing w:after="0"/>
              <w:rPr>
                <w:sz w:val="20"/>
                <w:szCs w:val="20"/>
                <w:color w:val="auto"/>
              </w:rPr>
            </w:pPr>
            <w:r>
              <w:rPr>
                <w:rFonts w:ascii="Arial" w:cs="Arial" w:eastAsia="Arial" w:hAnsi="Arial"/>
                <w:sz w:val="18"/>
                <w:szCs w:val="18"/>
                <w:color w:val="auto"/>
                <w:w w:val="97"/>
              </w:rPr>
              <w:t>The 2031 Notes will bear interest at  </w:t>
            </w:r>
          </w:p>
        </w:tc>
        <w:tc>
          <w:tcPr>
            <w:tcW w:w="220" w:type="dxa"/>
            <w:vAlign w:val="bottom"/>
          </w:tcPr>
          <w:p>
            <w:pPr>
              <w:ind w:left="60"/>
              <w:spacing w:after="0"/>
              <w:rPr>
                <w:sz w:val="20"/>
                <w:szCs w:val="20"/>
                <w:color w:val="auto"/>
              </w:rPr>
            </w:pPr>
            <w:r>
              <w:rPr>
                <w:rFonts w:ascii="Arial" w:cs="Arial" w:eastAsia="Arial" w:hAnsi="Arial"/>
                <w:sz w:val="18"/>
                <w:szCs w:val="18"/>
                <w:color w:val="auto"/>
                <w:w w:val="77"/>
              </w:rPr>
              <w:t> </w:t>
            </w:r>
          </w:p>
        </w:tc>
        <w:tc>
          <w:tcPr>
            <w:tcW w:w="160" w:type="dxa"/>
            <w:vAlign w:val="bottom"/>
          </w:tcPr>
          <w:p>
            <w:pPr>
              <w:ind w:left="20"/>
              <w:spacing w:after="0"/>
              <w:rPr>
                <w:sz w:val="20"/>
                <w:szCs w:val="20"/>
                <w:color w:val="auto"/>
              </w:rPr>
            </w:pPr>
            <w:r>
              <w:rPr>
                <w:rFonts w:ascii="Arial" w:cs="Arial" w:eastAsia="Arial" w:hAnsi="Arial"/>
                <w:sz w:val="17"/>
                <w:szCs w:val="17"/>
                <w:color w:val="auto"/>
                <w:w w:val="70"/>
              </w:rPr>
              <w: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3240" w:type="dxa"/>
            <w:vAlign w:val="bottom"/>
          </w:tcPr>
          <w:p>
            <w:pPr>
              <w:ind w:left="40"/>
              <w:spacing w:after="0"/>
              <w:rPr>
                <w:sz w:val="20"/>
                <w:szCs w:val="20"/>
                <w:color w:val="auto"/>
              </w:rPr>
            </w:pPr>
            <w:r>
              <w:rPr>
                <w:rFonts w:ascii="Arial" w:cs="Arial" w:eastAsia="Arial" w:hAnsi="Arial"/>
                <w:sz w:val="18"/>
                <w:szCs w:val="18"/>
                <w:color w:val="auto"/>
              </w:rPr>
              <w:t>% per annum.</w:t>
            </w:r>
          </w:p>
        </w:tc>
      </w:tr>
      <w:tr>
        <w:trPr>
          <w:trHeight w:val="330"/>
        </w:trPr>
        <w:tc>
          <w:tcPr>
            <w:tcW w:w="3260" w:type="dxa"/>
            <w:vAlign w:val="bottom"/>
          </w:tcPr>
          <w:p>
            <w:pPr>
              <w:spacing w:after="0"/>
              <w:rPr>
                <w:sz w:val="24"/>
                <w:szCs w:val="24"/>
                <w:color w:val="auto"/>
              </w:rPr>
            </w:pPr>
          </w:p>
        </w:tc>
        <w:tc>
          <w:tcPr>
            <w:tcW w:w="3960" w:type="dxa"/>
            <w:vAlign w:val="bottom"/>
          </w:tcPr>
          <w:p>
            <w:pPr>
              <w:ind w:left="960"/>
              <w:spacing w:after="0"/>
              <w:rPr>
                <w:sz w:val="20"/>
                <w:szCs w:val="20"/>
                <w:color w:val="auto"/>
              </w:rPr>
            </w:pPr>
            <w:r>
              <w:rPr>
                <w:rFonts w:ascii="Arial" w:cs="Arial" w:eastAsia="Arial" w:hAnsi="Arial"/>
                <w:sz w:val="18"/>
                <w:szCs w:val="18"/>
                <w:color w:val="auto"/>
                <w:w w:val="97"/>
              </w:rPr>
              <w:t>The 2033 Notes will bear interest at  </w:t>
            </w:r>
          </w:p>
        </w:tc>
        <w:tc>
          <w:tcPr>
            <w:tcW w:w="220" w:type="dxa"/>
            <w:vAlign w:val="bottom"/>
          </w:tcPr>
          <w:p>
            <w:pPr>
              <w:ind w:left="60"/>
              <w:spacing w:after="0"/>
              <w:rPr>
                <w:sz w:val="20"/>
                <w:szCs w:val="20"/>
                <w:color w:val="auto"/>
              </w:rPr>
            </w:pPr>
            <w:r>
              <w:rPr>
                <w:rFonts w:ascii="Arial" w:cs="Arial" w:eastAsia="Arial" w:hAnsi="Arial"/>
                <w:sz w:val="18"/>
                <w:szCs w:val="18"/>
                <w:color w:val="auto"/>
                <w:w w:val="77"/>
              </w:rPr>
              <w:t> </w:t>
            </w:r>
          </w:p>
        </w:tc>
        <w:tc>
          <w:tcPr>
            <w:tcW w:w="160" w:type="dxa"/>
            <w:vAlign w:val="bottom"/>
          </w:tcPr>
          <w:p>
            <w:pPr>
              <w:ind w:left="20"/>
              <w:spacing w:after="0"/>
              <w:rPr>
                <w:sz w:val="20"/>
                <w:szCs w:val="20"/>
                <w:color w:val="auto"/>
              </w:rPr>
            </w:pPr>
            <w:r>
              <w:rPr>
                <w:rFonts w:ascii="Arial" w:cs="Arial" w:eastAsia="Arial" w:hAnsi="Arial"/>
                <w:sz w:val="17"/>
                <w:szCs w:val="17"/>
                <w:color w:val="auto"/>
                <w:w w:val="70"/>
              </w:rPr>
              <w: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3240" w:type="dxa"/>
            <w:vAlign w:val="bottom"/>
          </w:tcPr>
          <w:p>
            <w:pPr>
              <w:ind w:left="40"/>
              <w:spacing w:after="0"/>
              <w:rPr>
                <w:sz w:val="20"/>
                <w:szCs w:val="20"/>
                <w:color w:val="auto"/>
              </w:rPr>
            </w:pPr>
            <w:r>
              <w:rPr>
                <w:rFonts w:ascii="Arial" w:cs="Arial" w:eastAsia="Arial" w:hAnsi="Arial"/>
                <w:sz w:val="18"/>
                <w:szCs w:val="18"/>
                <w:color w:val="auto"/>
              </w:rPr>
              <w:t>% per annum.</w:t>
            </w:r>
          </w:p>
        </w:tc>
      </w:tr>
      <w:tr>
        <w:trPr>
          <w:trHeight w:val="324"/>
        </w:trPr>
        <w:tc>
          <w:tcPr>
            <w:tcW w:w="3260" w:type="dxa"/>
            <w:vAlign w:val="bottom"/>
          </w:tcPr>
          <w:p>
            <w:pPr>
              <w:spacing w:after="0"/>
              <w:rPr>
                <w:sz w:val="24"/>
                <w:szCs w:val="24"/>
                <w:color w:val="auto"/>
              </w:rPr>
            </w:pPr>
          </w:p>
        </w:tc>
        <w:tc>
          <w:tcPr>
            <w:tcW w:w="3960" w:type="dxa"/>
            <w:vAlign w:val="bottom"/>
          </w:tcPr>
          <w:p>
            <w:pPr>
              <w:ind w:left="960"/>
              <w:spacing w:after="0"/>
              <w:rPr>
                <w:sz w:val="20"/>
                <w:szCs w:val="20"/>
                <w:color w:val="auto"/>
              </w:rPr>
            </w:pPr>
            <w:r>
              <w:rPr>
                <w:rFonts w:ascii="Arial" w:cs="Arial" w:eastAsia="Arial" w:hAnsi="Arial"/>
                <w:sz w:val="18"/>
                <w:szCs w:val="18"/>
                <w:color w:val="auto"/>
                <w:w w:val="97"/>
              </w:rPr>
              <w:t>The 2036 Notes will bear interest at  </w:t>
            </w:r>
          </w:p>
        </w:tc>
        <w:tc>
          <w:tcPr>
            <w:tcW w:w="220" w:type="dxa"/>
            <w:vAlign w:val="bottom"/>
          </w:tcPr>
          <w:p>
            <w:pPr>
              <w:ind w:left="60"/>
              <w:spacing w:after="0"/>
              <w:rPr>
                <w:sz w:val="20"/>
                <w:szCs w:val="20"/>
                <w:color w:val="auto"/>
              </w:rPr>
            </w:pPr>
            <w:r>
              <w:rPr>
                <w:rFonts w:ascii="Arial" w:cs="Arial" w:eastAsia="Arial" w:hAnsi="Arial"/>
                <w:sz w:val="18"/>
                <w:szCs w:val="18"/>
                <w:color w:val="auto"/>
                <w:w w:val="77"/>
              </w:rPr>
              <w:t> </w:t>
            </w:r>
          </w:p>
        </w:tc>
        <w:tc>
          <w:tcPr>
            <w:tcW w:w="160" w:type="dxa"/>
            <w:vAlign w:val="bottom"/>
          </w:tcPr>
          <w:p>
            <w:pPr>
              <w:ind w:left="20"/>
              <w:spacing w:after="0"/>
              <w:rPr>
                <w:sz w:val="20"/>
                <w:szCs w:val="20"/>
                <w:color w:val="auto"/>
              </w:rPr>
            </w:pPr>
            <w:r>
              <w:rPr>
                <w:rFonts w:ascii="Arial" w:cs="Arial" w:eastAsia="Arial" w:hAnsi="Arial"/>
                <w:sz w:val="17"/>
                <w:szCs w:val="17"/>
                <w:color w:val="auto"/>
                <w:w w:val="70"/>
              </w:rPr>
              <w: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3240" w:type="dxa"/>
            <w:vAlign w:val="bottom"/>
          </w:tcPr>
          <w:p>
            <w:pPr>
              <w:ind w:left="40"/>
              <w:spacing w:after="0"/>
              <w:rPr>
                <w:sz w:val="20"/>
                <w:szCs w:val="20"/>
                <w:color w:val="auto"/>
              </w:rPr>
            </w:pPr>
            <w:r>
              <w:rPr>
                <w:rFonts w:ascii="Arial" w:cs="Arial" w:eastAsia="Arial" w:hAnsi="Arial"/>
                <w:sz w:val="18"/>
                <w:szCs w:val="18"/>
                <w:color w:val="auto"/>
              </w:rPr>
              <w:t>% per annum.</w:t>
            </w:r>
          </w:p>
        </w:tc>
      </w:tr>
      <w:tr>
        <w:trPr>
          <w:trHeight w:val="288"/>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Interest Payment Dates</w:t>
            </w:r>
          </w:p>
        </w:tc>
        <w:tc>
          <w:tcPr>
            <w:tcW w:w="7760" w:type="dxa"/>
            <w:vAlign w:val="bottom"/>
            <w:gridSpan w:val="5"/>
          </w:tcPr>
          <w:p>
            <w:pPr>
              <w:ind w:left="960"/>
              <w:spacing w:after="0"/>
              <w:rPr>
                <w:sz w:val="20"/>
                <w:szCs w:val="20"/>
                <w:color w:val="auto"/>
              </w:rPr>
            </w:pPr>
            <w:r>
              <w:rPr>
                <w:rFonts w:ascii="Arial" w:cs="Arial" w:eastAsia="Arial" w:hAnsi="Arial"/>
                <w:sz w:val="18"/>
                <w:szCs w:val="18"/>
                <w:color w:val="auto"/>
              </w:rPr>
              <w:t>Interest on the Notes will be payable semi-annually on             and             of</w:t>
            </w:r>
          </w:p>
        </w:tc>
      </w:tr>
      <w:tr>
        <w:trPr>
          <w:trHeight w:val="239"/>
        </w:trPr>
        <w:tc>
          <w:tcPr>
            <w:tcW w:w="3260" w:type="dxa"/>
            <w:vAlign w:val="bottom"/>
          </w:tcPr>
          <w:p>
            <w:pPr>
              <w:spacing w:after="0"/>
              <w:rPr>
                <w:sz w:val="20"/>
                <w:szCs w:val="20"/>
                <w:color w:val="auto"/>
              </w:rPr>
            </w:pPr>
          </w:p>
        </w:tc>
        <w:tc>
          <w:tcPr>
            <w:tcW w:w="4180" w:type="dxa"/>
            <w:vAlign w:val="bottom"/>
            <w:gridSpan w:val="2"/>
          </w:tcPr>
          <w:p>
            <w:pPr>
              <w:ind w:left="960"/>
              <w:spacing w:after="0"/>
              <w:rPr>
                <w:sz w:val="20"/>
                <w:szCs w:val="20"/>
                <w:color w:val="auto"/>
              </w:rPr>
            </w:pPr>
            <w:r>
              <w:rPr>
                <w:rFonts w:ascii="Arial" w:cs="Arial" w:eastAsia="Arial" w:hAnsi="Arial"/>
                <w:sz w:val="18"/>
                <w:szCs w:val="18"/>
                <w:color w:val="auto"/>
                <w:w w:val="98"/>
              </w:rPr>
              <w:t>each year, commencing             , 2026.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88"/>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Guarantees</w:t>
            </w:r>
          </w:p>
        </w:tc>
        <w:tc>
          <w:tcPr>
            <w:tcW w:w="7760" w:type="dxa"/>
            <w:vAlign w:val="bottom"/>
            <w:gridSpan w:val="5"/>
          </w:tcPr>
          <w:p>
            <w:pPr>
              <w:ind w:left="960"/>
              <w:spacing w:after="0"/>
              <w:rPr>
                <w:sz w:val="20"/>
                <w:szCs w:val="20"/>
                <w:color w:val="auto"/>
              </w:rPr>
            </w:pPr>
            <w:r>
              <w:rPr>
                <w:rFonts w:ascii="Arial" w:cs="Arial" w:eastAsia="Arial" w:hAnsi="Arial"/>
                <w:sz w:val="18"/>
                <w:szCs w:val="18"/>
                <w:color w:val="auto"/>
              </w:rPr>
              <w:t>The Guarantor will fully and unconditionally guarantee the principal of, and any</w:t>
            </w:r>
          </w:p>
        </w:tc>
      </w:tr>
      <w:tr>
        <w:trPr>
          <w:trHeight w:val="203"/>
        </w:trPr>
        <w:tc>
          <w:tcPr>
            <w:tcW w:w="3260" w:type="dxa"/>
            <w:vAlign w:val="bottom"/>
          </w:tcPr>
          <w:p>
            <w:pPr>
              <w:spacing w:after="0"/>
              <w:rPr>
                <w:sz w:val="17"/>
                <w:szCs w:val="17"/>
                <w:color w:val="auto"/>
              </w:rPr>
            </w:pPr>
          </w:p>
        </w:tc>
        <w:tc>
          <w:tcPr>
            <w:tcW w:w="776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premium and interest on, the Notes and the Company’s obligations under the</w:t>
            </w:r>
          </w:p>
        </w:tc>
      </w:tr>
      <w:tr>
        <w:trPr>
          <w:trHeight w:val="239"/>
        </w:trPr>
        <w:tc>
          <w:tcPr>
            <w:tcW w:w="3260" w:type="dxa"/>
            <w:vAlign w:val="bottom"/>
          </w:tcPr>
          <w:p>
            <w:pPr>
              <w:spacing w:after="0"/>
              <w:rPr>
                <w:sz w:val="20"/>
                <w:szCs w:val="20"/>
                <w:color w:val="auto"/>
              </w:rPr>
            </w:pPr>
          </w:p>
        </w:tc>
        <w:tc>
          <w:tcPr>
            <w:tcW w:w="7760" w:type="dxa"/>
            <w:vAlign w:val="bottom"/>
            <w:gridSpan w:val="5"/>
          </w:tcPr>
          <w:p>
            <w:pPr>
              <w:ind w:left="960"/>
              <w:spacing w:after="0"/>
              <w:rPr>
                <w:sz w:val="20"/>
                <w:szCs w:val="20"/>
                <w:color w:val="auto"/>
              </w:rPr>
            </w:pPr>
            <w:r>
              <w:rPr>
                <w:rFonts w:ascii="Arial" w:cs="Arial" w:eastAsia="Arial" w:hAnsi="Arial"/>
                <w:sz w:val="18"/>
                <w:szCs w:val="18"/>
                <w:color w:val="auto"/>
              </w:rPr>
              <w:t>indenture, as described under “Description of the Notes—Guarantees.”</w:t>
            </w:r>
          </w:p>
        </w:tc>
      </w:tr>
      <w:tr>
        <w:trPr>
          <w:trHeight w:val="324"/>
        </w:trPr>
        <w:tc>
          <w:tcPr>
            <w:tcW w:w="3260" w:type="dxa"/>
            <w:vAlign w:val="bottom"/>
          </w:tcPr>
          <w:p>
            <w:pPr>
              <w:spacing w:after="0"/>
              <w:rPr>
                <w:sz w:val="24"/>
                <w:szCs w:val="24"/>
                <w:color w:val="auto"/>
              </w:rPr>
            </w:pPr>
          </w:p>
        </w:tc>
        <w:tc>
          <w:tcPr>
            <w:tcW w:w="7760" w:type="dxa"/>
            <w:vAlign w:val="bottom"/>
            <w:gridSpan w:val="5"/>
          </w:tcPr>
          <w:p>
            <w:pPr>
              <w:ind w:left="960"/>
              <w:spacing w:after="0"/>
              <w:rPr>
                <w:sz w:val="20"/>
                <w:szCs w:val="20"/>
                <w:color w:val="auto"/>
              </w:rPr>
            </w:pPr>
            <w:r>
              <w:rPr>
                <w:rFonts w:ascii="Arial" w:cs="Arial" w:eastAsia="Arial" w:hAnsi="Arial"/>
                <w:sz w:val="18"/>
                <w:szCs w:val="18"/>
                <w:color w:val="auto"/>
              </w:rPr>
              <w:t>The Notes will not be guaranteed by any of the Guarantor’s subsidiaries.</w:t>
            </w:r>
          </w:p>
        </w:tc>
      </w:tr>
      <w:tr>
        <w:trPr>
          <w:trHeight w:val="332"/>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Minimum Denominations</w:t>
            </w:r>
          </w:p>
        </w:tc>
        <w:tc>
          <w:tcPr>
            <w:tcW w:w="7760" w:type="dxa"/>
            <w:vAlign w:val="bottom"/>
            <w:gridSpan w:val="5"/>
          </w:tcPr>
          <w:p>
            <w:pPr>
              <w:ind w:left="960"/>
              <w:spacing w:after="0"/>
              <w:rPr>
                <w:sz w:val="20"/>
                <w:szCs w:val="20"/>
                <w:color w:val="auto"/>
              </w:rPr>
            </w:pPr>
            <w:r>
              <w:rPr>
                <w:rFonts w:ascii="Arial" w:cs="Arial" w:eastAsia="Arial" w:hAnsi="Arial"/>
                <w:sz w:val="18"/>
                <w:szCs w:val="18"/>
                <w:color w:val="auto"/>
              </w:rPr>
              <w:t>US$2,000 and integral multiples of US$1,000 in excess thereof.</w:t>
            </w:r>
          </w:p>
        </w:tc>
      </w:tr>
      <w:tr>
        <w:trPr>
          <w:trHeight w:val="293"/>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Optional Redemption</w:t>
            </w:r>
          </w:p>
        </w:tc>
        <w:tc>
          <w:tcPr>
            <w:tcW w:w="7760" w:type="dxa"/>
            <w:vAlign w:val="bottom"/>
            <w:gridSpan w:val="5"/>
          </w:tcPr>
          <w:p>
            <w:pPr>
              <w:ind w:left="960"/>
              <w:spacing w:after="0"/>
              <w:rPr>
                <w:sz w:val="20"/>
                <w:szCs w:val="20"/>
                <w:color w:val="auto"/>
              </w:rPr>
            </w:pPr>
            <w:r>
              <w:rPr>
                <w:rFonts w:ascii="Arial" w:cs="Arial" w:eastAsia="Arial" w:hAnsi="Arial"/>
                <w:sz w:val="18"/>
                <w:szCs w:val="18"/>
                <w:color w:val="auto"/>
              </w:rPr>
              <w:t>At any time prior to             , 2031 (one month prior to the maturity date of the</w:t>
            </w:r>
          </w:p>
        </w:tc>
      </w:tr>
      <w:tr>
        <w:trPr>
          <w:trHeight w:val="203"/>
        </w:trPr>
        <w:tc>
          <w:tcPr>
            <w:tcW w:w="3260" w:type="dxa"/>
            <w:vAlign w:val="bottom"/>
          </w:tcPr>
          <w:p>
            <w:pPr>
              <w:spacing w:after="0"/>
              <w:rPr>
                <w:sz w:val="17"/>
                <w:szCs w:val="17"/>
                <w:color w:val="auto"/>
              </w:rPr>
            </w:pPr>
          </w:p>
        </w:tc>
        <w:tc>
          <w:tcPr>
            <w:tcW w:w="776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2031 Notes), in the case of the 2031 Notes, to             , 2033 (two months prior to</w:t>
            </w:r>
          </w:p>
        </w:tc>
      </w:tr>
      <w:tr>
        <w:trPr>
          <w:trHeight w:val="203"/>
        </w:trPr>
        <w:tc>
          <w:tcPr>
            <w:tcW w:w="3260" w:type="dxa"/>
            <w:vAlign w:val="bottom"/>
          </w:tcPr>
          <w:p>
            <w:pPr>
              <w:spacing w:after="0"/>
              <w:rPr>
                <w:sz w:val="17"/>
                <w:szCs w:val="17"/>
                <w:color w:val="auto"/>
              </w:rPr>
            </w:pPr>
          </w:p>
        </w:tc>
        <w:tc>
          <w:tcPr>
            <w:tcW w:w="776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the maturity date of the 2033 Notes), in the case of the 2033 Notes, and to</w:t>
            </w:r>
          </w:p>
        </w:tc>
      </w:tr>
      <w:tr>
        <w:trPr>
          <w:trHeight w:val="203"/>
        </w:trPr>
        <w:tc>
          <w:tcPr>
            <w:tcW w:w="3260" w:type="dxa"/>
            <w:vAlign w:val="bottom"/>
          </w:tcPr>
          <w:p>
            <w:pPr>
              <w:spacing w:after="0"/>
              <w:rPr>
                <w:sz w:val="17"/>
                <w:szCs w:val="17"/>
                <w:color w:val="auto"/>
              </w:rPr>
            </w:pPr>
          </w:p>
        </w:tc>
        <w:tc>
          <w:tcPr>
            <w:tcW w:w="776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            , 2036 (three months prior to the maturity date of the 2036 Notes), in the</w:t>
            </w:r>
          </w:p>
        </w:tc>
      </w:tr>
      <w:tr>
        <w:trPr>
          <w:trHeight w:val="203"/>
        </w:trPr>
        <w:tc>
          <w:tcPr>
            <w:tcW w:w="3260" w:type="dxa"/>
            <w:vAlign w:val="bottom"/>
          </w:tcPr>
          <w:p>
            <w:pPr>
              <w:spacing w:after="0"/>
              <w:rPr>
                <w:sz w:val="17"/>
                <w:szCs w:val="17"/>
                <w:color w:val="auto"/>
              </w:rPr>
            </w:pPr>
          </w:p>
        </w:tc>
        <w:tc>
          <w:tcPr>
            <w:tcW w:w="776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case of the 2036 Notes, we may redeem some or all of the Notes of the applicable</w:t>
            </w:r>
          </w:p>
        </w:tc>
      </w:tr>
      <w:tr>
        <w:trPr>
          <w:trHeight w:val="203"/>
        </w:trPr>
        <w:tc>
          <w:tcPr>
            <w:tcW w:w="3260" w:type="dxa"/>
            <w:vAlign w:val="bottom"/>
          </w:tcPr>
          <w:p>
            <w:pPr>
              <w:spacing w:after="0"/>
              <w:rPr>
                <w:sz w:val="17"/>
                <w:szCs w:val="17"/>
                <w:color w:val="auto"/>
              </w:rPr>
            </w:pPr>
          </w:p>
        </w:tc>
        <w:tc>
          <w:tcPr>
            <w:tcW w:w="776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series at the applicable “make whole” redemption price described in “Description of</w:t>
            </w:r>
          </w:p>
        </w:tc>
      </w:tr>
      <w:tr>
        <w:trPr>
          <w:trHeight w:val="203"/>
        </w:trPr>
        <w:tc>
          <w:tcPr>
            <w:tcW w:w="3260" w:type="dxa"/>
            <w:vAlign w:val="bottom"/>
          </w:tcPr>
          <w:p>
            <w:pPr>
              <w:spacing w:after="0"/>
              <w:rPr>
                <w:sz w:val="17"/>
                <w:szCs w:val="17"/>
                <w:color w:val="auto"/>
              </w:rPr>
            </w:pPr>
          </w:p>
        </w:tc>
        <w:tc>
          <w:tcPr>
            <w:tcW w:w="776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the Notes—Optional Redemption,” plus accrued and unpaid interest, if any, to, but</w:t>
            </w:r>
          </w:p>
        </w:tc>
      </w:tr>
      <w:tr>
        <w:trPr>
          <w:trHeight w:val="239"/>
        </w:trPr>
        <w:tc>
          <w:tcPr>
            <w:tcW w:w="3260" w:type="dxa"/>
            <w:vAlign w:val="bottom"/>
          </w:tcPr>
          <w:p>
            <w:pPr>
              <w:spacing w:after="0"/>
              <w:rPr>
                <w:sz w:val="20"/>
                <w:szCs w:val="20"/>
                <w:color w:val="auto"/>
              </w:rPr>
            </w:pPr>
          </w:p>
        </w:tc>
        <w:tc>
          <w:tcPr>
            <w:tcW w:w="3960" w:type="dxa"/>
            <w:vAlign w:val="bottom"/>
          </w:tcPr>
          <w:p>
            <w:pPr>
              <w:ind w:left="960"/>
              <w:spacing w:after="0"/>
              <w:rPr>
                <w:sz w:val="20"/>
                <w:szCs w:val="20"/>
                <w:color w:val="auto"/>
              </w:rPr>
            </w:pPr>
            <w:r>
              <w:rPr>
                <w:rFonts w:ascii="Arial" w:cs="Arial" w:eastAsia="Arial" w:hAnsi="Arial"/>
                <w:sz w:val="18"/>
                <w:szCs w:val="18"/>
                <w:color w:val="auto"/>
              </w:rPr>
              <w:t>not including, the redemption date.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88"/>
        </w:trPr>
        <w:tc>
          <w:tcPr>
            <w:tcW w:w="3260" w:type="dxa"/>
            <w:vAlign w:val="bottom"/>
          </w:tcPr>
          <w:p>
            <w:pPr>
              <w:spacing w:after="0"/>
              <w:rPr>
                <w:sz w:val="24"/>
                <w:szCs w:val="24"/>
                <w:color w:val="auto"/>
              </w:rPr>
            </w:pPr>
          </w:p>
        </w:tc>
        <w:tc>
          <w:tcPr>
            <w:tcW w:w="7760" w:type="dxa"/>
            <w:vAlign w:val="bottom"/>
            <w:gridSpan w:val="5"/>
          </w:tcPr>
          <w:p>
            <w:pPr>
              <w:ind w:left="960"/>
              <w:spacing w:after="0"/>
              <w:rPr>
                <w:sz w:val="20"/>
                <w:szCs w:val="20"/>
                <w:color w:val="auto"/>
              </w:rPr>
            </w:pPr>
            <w:r>
              <w:rPr>
                <w:rFonts w:ascii="Arial" w:cs="Arial" w:eastAsia="Arial" w:hAnsi="Arial"/>
                <w:sz w:val="18"/>
                <w:szCs w:val="18"/>
                <w:color w:val="auto"/>
              </w:rPr>
              <w:t>At any time on or after             , 2031, in the case of the 2031 Notes,             ,</w:t>
            </w:r>
          </w:p>
        </w:tc>
      </w:tr>
      <w:tr>
        <w:trPr>
          <w:trHeight w:val="203"/>
        </w:trPr>
        <w:tc>
          <w:tcPr>
            <w:tcW w:w="3260" w:type="dxa"/>
            <w:vAlign w:val="bottom"/>
          </w:tcPr>
          <w:p>
            <w:pPr>
              <w:spacing w:after="0"/>
              <w:rPr>
                <w:sz w:val="17"/>
                <w:szCs w:val="17"/>
                <w:color w:val="auto"/>
              </w:rPr>
            </w:pPr>
          </w:p>
        </w:tc>
        <w:tc>
          <w:tcPr>
            <w:tcW w:w="4340" w:type="dxa"/>
            <w:vAlign w:val="bottom"/>
            <w:gridSpan w:val="3"/>
          </w:tcPr>
          <w:p>
            <w:pPr>
              <w:ind w:left="960"/>
              <w:spacing w:after="0" w:line="202" w:lineRule="exact"/>
              <w:rPr>
                <w:sz w:val="20"/>
                <w:szCs w:val="20"/>
                <w:color w:val="auto"/>
              </w:rPr>
            </w:pPr>
            <w:r>
              <w:rPr>
                <w:rFonts w:ascii="Arial" w:cs="Arial" w:eastAsia="Arial" w:hAnsi="Arial"/>
                <w:sz w:val="18"/>
                <w:szCs w:val="18"/>
                <w:color w:val="auto"/>
                <w:w w:val="96"/>
              </w:rPr>
              <w:t>2033, in the case of the 2033 Notes, and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3240" w:type="dxa"/>
            <w:vAlign w:val="bottom"/>
          </w:tcPr>
          <w:p>
            <w:pPr>
              <w:ind w:left="80"/>
              <w:spacing w:after="0" w:line="202" w:lineRule="exact"/>
              <w:rPr>
                <w:sz w:val="20"/>
                <w:szCs w:val="20"/>
                <w:color w:val="auto"/>
              </w:rPr>
            </w:pPr>
            <w:r>
              <w:rPr>
                <w:rFonts w:ascii="Arial" w:cs="Arial" w:eastAsia="Arial" w:hAnsi="Arial"/>
                <w:sz w:val="18"/>
                <w:szCs w:val="18"/>
                <w:color w:val="auto"/>
              </w:rPr>
              <w:t>      , 2036, in the case of the 2036</w:t>
            </w:r>
          </w:p>
        </w:tc>
      </w:tr>
      <w:tr>
        <w:trPr>
          <w:trHeight w:val="239"/>
        </w:trPr>
        <w:tc>
          <w:tcPr>
            <w:tcW w:w="3260" w:type="dxa"/>
            <w:vAlign w:val="bottom"/>
          </w:tcPr>
          <w:p>
            <w:pPr>
              <w:spacing w:after="0"/>
              <w:rPr>
                <w:sz w:val="20"/>
                <w:szCs w:val="20"/>
                <w:color w:val="auto"/>
              </w:rPr>
            </w:pPr>
          </w:p>
        </w:tc>
        <w:tc>
          <w:tcPr>
            <w:tcW w:w="3960" w:type="dxa"/>
            <w:vAlign w:val="bottom"/>
          </w:tcPr>
          <w:p>
            <w:pPr>
              <w:ind w:left="960"/>
              <w:spacing w:after="0"/>
              <w:rPr>
                <w:sz w:val="20"/>
                <w:szCs w:val="20"/>
                <w:color w:val="auto"/>
              </w:rPr>
            </w:pPr>
            <w:r>
              <w:rPr>
                <w:rFonts w:ascii="Arial" w:cs="Arial" w:eastAsia="Arial" w:hAnsi="Arial"/>
                <w:sz w:val="18"/>
                <w:szCs w:val="18"/>
                <w:color w:val="auto"/>
              </w:rPr>
              <w:t>Notes, we may redeem</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155"/>
        </w:trPr>
        <w:tc>
          <w:tcPr>
            <w:tcW w:w="326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tcPr>
          <w:p>
            <w:pPr>
              <w:spacing w:after="0"/>
              <w:rPr>
                <w:sz w:val="13"/>
                <w:szCs w:val="13"/>
                <w:color w:val="auto"/>
              </w:rPr>
            </w:pPr>
          </w:p>
        </w:tc>
      </w:tr>
      <w:tr>
        <w:trPr>
          <w:trHeight w:val="365"/>
        </w:trPr>
        <w:tc>
          <w:tcPr>
            <w:tcW w:w="3260" w:type="dxa"/>
            <w:vAlign w:val="bottom"/>
          </w:tcPr>
          <w:p>
            <w:pPr>
              <w:spacing w:after="0"/>
              <w:rPr>
                <w:sz w:val="24"/>
                <w:szCs w:val="24"/>
                <w:color w:val="auto"/>
              </w:rPr>
            </w:pPr>
          </w:p>
        </w:tc>
        <w:tc>
          <w:tcPr>
            <w:tcW w:w="3960" w:type="dxa"/>
            <w:vAlign w:val="bottom"/>
          </w:tcPr>
          <w:p>
            <w:pPr>
              <w:ind w:left="2100"/>
              <w:spacing w:after="0"/>
              <w:rPr>
                <w:sz w:val="20"/>
                <w:szCs w:val="20"/>
                <w:color w:val="auto"/>
              </w:rPr>
            </w:pPr>
            <w:r>
              <w:rPr>
                <w:rFonts w:ascii="Arial" w:cs="Arial" w:eastAsia="Arial" w:hAnsi="Arial"/>
                <w:sz w:val="18"/>
                <w:szCs w:val="18"/>
                <w:color w:val="auto"/>
              </w:rPr>
              <w:t>S-3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62"/>
        </w:trPr>
        <w:tc>
          <w:tcPr>
            <w:tcW w:w="3560" w:type="dxa"/>
            <w:vAlign w:val="bottom"/>
            <w:tcBorders>
              <w:top w:val="single" w:sz="8" w:color="auto"/>
              <w:left w:val="single" w:sz="8" w:color="auto"/>
            </w:tcBorders>
          </w:tcPr>
          <w:p>
            <w:pPr>
              <w:spacing w:after="0"/>
              <w:rPr>
                <w:sz w:val="24"/>
                <w:szCs w:val="24"/>
                <w:color w:val="auto"/>
              </w:rPr>
            </w:pPr>
          </w:p>
        </w:tc>
        <w:tc>
          <w:tcPr>
            <w:tcW w:w="746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some or all of the Notes of the applicable series at a redemption price equal to</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100% of the principal amount of such Notes to be redeemed, plus accrued and</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unpaid interest, if any, to, but not including, the redemption date. See “Description</w:t>
            </w:r>
          </w:p>
        </w:tc>
      </w:tr>
      <w:tr>
        <w:trPr>
          <w:trHeight w:val="239"/>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of the Notes—Optional Redemption.”</w:t>
            </w:r>
          </w:p>
        </w:tc>
      </w:tr>
      <w:tr>
        <w:trPr>
          <w:trHeight w:val="301"/>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Optional Tax Redemption</w:t>
            </w: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In the event that, as a result of certain tax law changes, the Company (or the</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Guarantor) becomes obligated to pay Additional Amounts as described under</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“Description of the Notes—Additional Amounts,” the Company (or the Guarantor)</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may redeem all of the Notes of a series prior to maturity at a redemption price</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equal to 100% of their principal amount plus accrued interest to, but not including,</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the date of redemption as described under “Description of the Notes—Redemption</w:t>
            </w:r>
          </w:p>
        </w:tc>
      </w:tr>
      <w:tr>
        <w:trPr>
          <w:trHeight w:val="239"/>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Upon Changes in Tax Law.”</w:t>
            </w:r>
          </w:p>
        </w:tc>
      </w:tr>
      <w:tr>
        <w:trPr>
          <w:trHeight w:val="288"/>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Payment of Additional Amounts</w:t>
            </w: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Any payments made by the Company, or the Guarantor under the Guarantees, will</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be made without withholding or deduction for taxes imposed by any jurisdiction in</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which the Company or the Guarantor is incorporated, organized or resident for tax</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purposes or through which a payment is made on the Notes on their behalf, except</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as required by law. If any such withholding or deduction is required with respect to</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Notes of a series, the Company (or the Guarantor, if applicable) will pay, subject to</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certain exceptions, Additional Amounts necessary so that the net amount received</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by the beneficial owners of such Notes after the withholding is not less than the</w:t>
            </w:r>
          </w:p>
        </w:tc>
      </w:tr>
      <w:tr>
        <w:trPr>
          <w:trHeight w:val="239"/>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amount that they would have received in the absence of the withholding.</w:t>
            </w:r>
          </w:p>
        </w:tc>
      </w:tr>
      <w:tr>
        <w:trPr>
          <w:trHeight w:val="288"/>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For more information on Additional Amounts and the situations in which the</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Company may be required to pay Additional Amounts, see “Description of the</w:t>
            </w:r>
          </w:p>
        </w:tc>
      </w:tr>
      <w:tr>
        <w:trPr>
          <w:trHeight w:val="239"/>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Notes—Additional Amounts.”</w:t>
            </w:r>
          </w:p>
        </w:tc>
      </w:tr>
      <w:tr>
        <w:trPr>
          <w:trHeight w:val="288"/>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Ranking</w:t>
            </w: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Notes will rank equally and ratably with all other unsecured and</w:t>
            </w:r>
          </w:p>
        </w:tc>
      </w:tr>
      <w:tr>
        <w:trPr>
          <w:trHeight w:val="239"/>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unsubordinated indebtedness of the Company.</w:t>
            </w:r>
          </w:p>
        </w:tc>
      </w:tr>
      <w:tr>
        <w:trPr>
          <w:trHeight w:val="288"/>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Guarantees will rank equally and ratably with all other unsecured and</w:t>
            </w:r>
          </w:p>
        </w:tc>
      </w:tr>
      <w:tr>
        <w:trPr>
          <w:trHeight w:val="239"/>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unsubordinated indebtedness of the Guarantor.</w:t>
            </w:r>
          </w:p>
        </w:tc>
      </w:tr>
      <w:tr>
        <w:trPr>
          <w:trHeight w:val="324"/>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See “Description of the Notes—Ranking of the Notes and Guarantees.”</w:t>
            </w:r>
          </w:p>
        </w:tc>
      </w:tr>
      <w:tr>
        <w:trPr>
          <w:trHeight w:val="288"/>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Certain Covenants</w:t>
            </w: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Company will issue the Notes under an indenture with The Bank of New York</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Mellon, as trustee, as supplemented and amended by one or more supplemental</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indentures (as supplemented and amended, the “Indenture”). The Indenture will,</w:t>
            </w:r>
          </w:p>
        </w:tc>
      </w:tr>
      <w:tr>
        <w:trPr>
          <w:trHeight w:val="203"/>
        </w:trPr>
        <w:tc>
          <w:tcPr>
            <w:tcW w:w="3560" w:type="dxa"/>
            <w:vAlign w:val="bottom"/>
            <w:tcBorders>
              <w:left w:val="single" w:sz="8" w:color="auto"/>
            </w:tcBorders>
          </w:tcPr>
          <w:p>
            <w:pPr>
              <w:spacing w:after="0"/>
              <w:rPr>
                <w:sz w:val="17"/>
                <w:szCs w:val="17"/>
                <w:color w:val="auto"/>
              </w:rPr>
            </w:pPr>
          </w:p>
        </w:tc>
        <w:tc>
          <w:tcPr>
            <w:tcW w:w="746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among other things, restrict the ability of the Guarantor, the Company and the</w:t>
            </w:r>
          </w:p>
        </w:tc>
      </w:tr>
      <w:tr>
        <w:trPr>
          <w:trHeight w:val="239"/>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Guarantor’s other subsidiaries to:</w:t>
            </w:r>
          </w:p>
        </w:tc>
      </w:tr>
      <w:tr>
        <w:trPr>
          <w:trHeight w:val="324"/>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incur indebtedness secured by liens on specified restricted properties; and</w:t>
            </w:r>
          </w:p>
        </w:tc>
      </w:tr>
      <w:tr>
        <w:trPr>
          <w:trHeight w:val="324"/>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consolidate or merge under specific circumstances.</w:t>
            </w:r>
          </w:p>
        </w:tc>
      </w:tr>
      <w:tr>
        <w:trPr>
          <w:trHeight w:val="324"/>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For more details, see “Description of the Notes—Certain Covenants.”</w:t>
            </w:r>
          </w:p>
        </w:tc>
      </w:tr>
      <w:tr>
        <w:trPr>
          <w:trHeight w:val="155"/>
        </w:trPr>
        <w:tc>
          <w:tcPr>
            <w:tcW w:w="3560" w:type="dxa"/>
            <w:vAlign w:val="bottom"/>
            <w:tcBorders>
              <w:left w:val="single" w:sz="8" w:color="auto"/>
              <w:bottom w:val="single" w:sz="8" w:color="auto"/>
            </w:tcBorders>
          </w:tcPr>
          <w:p>
            <w:pPr>
              <w:spacing w:after="0"/>
              <w:rPr>
                <w:sz w:val="13"/>
                <w:szCs w:val="13"/>
                <w:color w:val="auto"/>
              </w:rPr>
            </w:pPr>
          </w:p>
        </w:tc>
        <w:tc>
          <w:tcPr>
            <w:tcW w:w="7460" w:type="dxa"/>
            <w:vAlign w:val="bottom"/>
            <w:tcBorders>
              <w:bottom w:val="single" w:sz="8" w:color="auto"/>
              <w:right w:val="single" w:sz="8" w:color="auto"/>
            </w:tcBorders>
          </w:tcPr>
          <w:p>
            <w:pPr>
              <w:spacing w:after="0"/>
              <w:rPr>
                <w:sz w:val="13"/>
                <w:szCs w:val="13"/>
                <w:color w:val="auto"/>
              </w:rPr>
            </w:pPr>
          </w:p>
        </w:tc>
      </w:tr>
      <w:tr>
        <w:trPr>
          <w:trHeight w:val="365"/>
        </w:trPr>
        <w:tc>
          <w:tcPr>
            <w:tcW w:w="3560" w:type="dxa"/>
            <w:vAlign w:val="bottom"/>
          </w:tcPr>
          <w:p>
            <w:pPr>
              <w:spacing w:after="0"/>
              <w:rPr>
                <w:sz w:val="24"/>
                <w:szCs w:val="24"/>
                <w:color w:val="auto"/>
              </w:rPr>
            </w:pPr>
          </w:p>
        </w:tc>
        <w:tc>
          <w:tcPr>
            <w:tcW w:w="7460" w:type="dxa"/>
            <w:vAlign w:val="bottom"/>
          </w:tcPr>
          <w:p>
            <w:pPr>
              <w:ind w:left="18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62"/>
        </w:trPr>
        <w:tc>
          <w:tcPr>
            <w:tcW w:w="39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708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We intend to use the net proceeds from this offering for general corporate</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purposes, including to repay our near-term debt maturities including our 1.375%</w:t>
            </w:r>
          </w:p>
        </w:tc>
      </w:tr>
      <w:tr>
        <w:trPr>
          <w:trHeight w:val="239"/>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Guaranteed Notes due 2026. See “Use of Proceeds.”</w:t>
            </w:r>
          </w:p>
        </w:tc>
      </w:tr>
      <w:tr>
        <w:trPr>
          <w:trHeight w:val="28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Conflicts of Interest</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Certain of the underwriters and/or their affiliates may hold a portion of our 1.375%</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Guaranteed Notes due 2026 that are being repaid or otherwise retired and may</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receive a portion of the net proceeds of this offering. In such event, it is possible</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that one or more of the underwriters or their affiliates may receive more than 5% of</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the net proceeds of this offering, not including underwriting compensation, thus</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creating a conflict of interest within the meaning of Rule 5121 (Public Offerings of</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Securities with Conflicts of Interest) of the Financial Industry Regulatory Authority,</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Inc. (“FINRA Rule 5121”). Accordingly, this offering is being made in compliance</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with the requirements of FINRA Rule 5121. The appointment of a “qualified</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independent underwriter” is not necessary in connection with this offering as the</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notes are investment grade rated securities. See “Underwriting (Conflicts of</w:t>
            </w:r>
          </w:p>
        </w:tc>
      </w:tr>
      <w:tr>
        <w:trPr>
          <w:trHeight w:val="239"/>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Interest)—Conflicts of Interest.”</w:t>
            </w:r>
          </w:p>
        </w:tc>
      </w:tr>
      <w:tr>
        <w:trPr>
          <w:trHeight w:val="28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Absence of a Public Market for the Notes</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Notes are new securities and there is currently no existing market for the</w:t>
            </w:r>
          </w:p>
        </w:tc>
      </w:tr>
      <w:tr>
        <w:trPr>
          <w:trHeight w:val="239"/>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Notes.</w:t>
            </w:r>
          </w:p>
        </w:tc>
      </w:tr>
      <w:tr>
        <w:trPr>
          <w:trHeight w:val="288"/>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Accordingly, there can be no assurances as to the development or liquidity of any</w:t>
            </w:r>
          </w:p>
        </w:tc>
      </w:tr>
      <w:tr>
        <w:trPr>
          <w:trHeight w:val="239"/>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market for the Notes.</w:t>
            </w:r>
          </w:p>
        </w:tc>
      </w:tr>
      <w:tr>
        <w:trPr>
          <w:trHeight w:val="28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Further Issuances</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Company may, from time to time, without notice to or the consent of the</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registered holders of the Notes of a series, create and issue additional Notes of</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such series having the same terms as, and ranking equally and ratably with, any of</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the outstanding Notes of such series in all respects; provided, however, that a</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separate CUSIP or ISIN will be issued for the additional Notes of a series, unless</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the Notes of such series and the additional Notes are fungible for U.S. federal</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income tax purposes. Such additional Notes will also be fully and unconditionally</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guaranteed by the Guarantor (on the same terms and with the same ranking as the</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Guarantee for such series of Notes). See “Description of the Notes—Further</w:t>
            </w:r>
          </w:p>
        </w:tc>
      </w:tr>
      <w:tr>
        <w:trPr>
          <w:trHeight w:val="239"/>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Issuances.”</w:t>
            </w:r>
          </w:p>
        </w:tc>
      </w:tr>
      <w:tr>
        <w:trPr>
          <w:trHeight w:val="28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Assumption by a Subsidiary</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Any subsidiary of the Guarantor may, at its option, assume the obligations of the</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Company as the issuer of the Notes and the Company will be released from its</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liability as obligor under the Notes. See “Description of the Notes—Assumption by</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a Subsidiary.” For a description of U.S. federal income tax considerations related</w:t>
            </w:r>
          </w:p>
        </w:tc>
      </w:tr>
      <w:tr>
        <w:trPr>
          <w:trHeight w:val="239"/>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to these provisions, see “U.S. Federal Income Tax Considerations.”</w:t>
            </w:r>
          </w:p>
        </w:tc>
      </w:tr>
      <w:tr>
        <w:trPr>
          <w:trHeight w:val="28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Governing Law</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Indenture, including the Guarantees contained therein, and the Notes will be</w:t>
            </w:r>
          </w:p>
        </w:tc>
      </w:tr>
      <w:tr>
        <w:trPr>
          <w:trHeight w:val="203"/>
        </w:trPr>
        <w:tc>
          <w:tcPr>
            <w:tcW w:w="3940" w:type="dxa"/>
            <w:vAlign w:val="bottom"/>
            <w:tcBorders>
              <w:left w:val="single" w:sz="8" w:color="auto"/>
            </w:tcBorders>
          </w:tcPr>
          <w:p>
            <w:pPr>
              <w:spacing w:after="0"/>
              <w:rPr>
                <w:sz w:val="17"/>
                <w:szCs w:val="17"/>
                <w:color w:val="auto"/>
              </w:rPr>
            </w:pPr>
          </w:p>
        </w:tc>
        <w:tc>
          <w:tcPr>
            <w:tcW w:w="708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governed by, and construed in accordance with, the laws of the State of New York.</w:t>
            </w:r>
          </w:p>
        </w:tc>
      </w:tr>
      <w:tr>
        <w:trPr>
          <w:trHeight w:val="239"/>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application of the</w:t>
            </w:r>
          </w:p>
        </w:tc>
      </w:tr>
      <w:tr>
        <w:trPr>
          <w:trHeight w:val="155"/>
        </w:trPr>
        <w:tc>
          <w:tcPr>
            <w:tcW w:w="3940" w:type="dxa"/>
            <w:vAlign w:val="bottom"/>
            <w:tcBorders>
              <w:left w:val="single" w:sz="8" w:color="auto"/>
              <w:bottom w:val="single" w:sz="8" w:color="auto"/>
            </w:tcBorders>
          </w:tcPr>
          <w:p>
            <w:pPr>
              <w:spacing w:after="0"/>
              <w:rPr>
                <w:sz w:val="13"/>
                <w:szCs w:val="13"/>
                <w:color w:val="auto"/>
              </w:rPr>
            </w:pPr>
          </w:p>
        </w:tc>
        <w:tc>
          <w:tcPr>
            <w:tcW w:w="7080" w:type="dxa"/>
            <w:vAlign w:val="bottom"/>
            <w:tcBorders>
              <w:bottom w:val="single" w:sz="8" w:color="auto"/>
              <w:right w:val="single" w:sz="8" w:color="auto"/>
            </w:tcBorders>
          </w:tcPr>
          <w:p>
            <w:pPr>
              <w:spacing w:after="0"/>
              <w:rPr>
                <w:sz w:val="13"/>
                <w:szCs w:val="13"/>
                <w:color w:val="auto"/>
              </w:rPr>
            </w:pPr>
          </w:p>
        </w:tc>
      </w:tr>
      <w:tr>
        <w:trPr>
          <w:trHeight w:val="365"/>
        </w:trPr>
        <w:tc>
          <w:tcPr>
            <w:tcW w:w="3940" w:type="dxa"/>
            <w:vAlign w:val="bottom"/>
          </w:tcPr>
          <w:p>
            <w:pPr>
              <w:spacing w:after="0"/>
              <w:rPr>
                <w:sz w:val="24"/>
                <w:szCs w:val="24"/>
                <w:color w:val="auto"/>
              </w:rPr>
            </w:pPr>
          </w:p>
        </w:tc>
        <w:tc>
          <w:tcPr>
            <w:tcW w:w="7080" w:type="dxa"/>
            <w:vAlign w:val="bottom"/>
          </w:tcPr>
          <w:p>
            <w:pPr>
              <w:ind w:left="14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972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972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3" w:lineRule="auto"/>
        <w:rPr>
          <w:sz w:val="20"/>
          <w:szCs w:val="20"/>
          <w:color w:val="auto"/>
        </w:rPr>
      </w:pPr>
      <w:r>
        <w:rPr>
          <w:rFonts w:ascii="Arial" w:cs="Arial" w:eastAsia="Arial" w:hAnsi="Arial"/>
          <w:sz w:val="18"/>
          <w:szCs w:val="18"/>
          <w:color w:val="auto"/>
        </w:rPr>
        <w:t>provisions of articles 470-1 to 470-19 (inclusive) of the Luxembourg law of 10 August 1915 on commercial companies, as amended, is hereby expressly excluded.</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Trustee, Registrar, Paying Agent and Transfer  </w:t>
      </w:r>
      <w:r>
        <w:rPr>
          <w:rFonts w:ascii="Arial" w:cs="Arial" w:eastAsia="Arial" w:hAnsi="Arial"/>
          <w:sz w:val="18"/>
          <w:szCs w:val="18"/>
          <w:color w:val="auto"/>
        </w:rPr>
        <w:t>The Bank of New York Mellon.</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Agent</w:t>
      </w:r>
    </w:p>
    <w:p>
      <w:pPr>
        <w:spacing w:after="0" w:line="3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460"/>
          </w:cols>
          <w:pgMar w:left="320" w:top="455" w:right="11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2025 and the Guarantor’s Quarterly Report on Form 10-Q for the fiscal quarter ended March 31, 2026, before making a decision to invest in the Notes. If any of the matters included in the “Risk Factors” sections were to occur, the SLB Group’s business, properties, assets, financial condition, results of operations, cash flows or prospects could be materially adversely affected. Additional risks and uncertainties not currently known to the SLB Group or that the SLB Group currently deems immaterial may also adversely affect the SLB Group’s business, reputation, financial condition, results of operations, cash flows and prospects.</w:t>
      </w:r>
    </w:p>
    <w:p>
      <w:pPr>
        <w:spacing w:after="0" w:line="293" w:lineRule="exact"/>
        <w:rPr>
          <w:sz w:val="20"/>
          <w:szCs w:val="20"/>
          <w:color w:val="auto"/>
        </w:rPr>
      </w:pPr>
    </w:p>
    <w:p>
      <w:pPr>
        <w:ind w:left="120"/>
        <w:spacing w:after="0" w:line="281" w:lineRule="auto"/>
        <w:rPr>
          <w:sz w:val="20"/>
          <w:szCs w:val="20"/>
          <w:color w:val="auto"/>
        </w:rPr>
      </w:pPr>
      <w:r>
        <w:rPr>
          <w:rFonts w:ascii="Arial" w:cs="Arial" w:eastAsia="Arial" w:hAnsi="Arial"/>
          <w:sz w:val="18"/>
          <w:szCs w:val="18"/>
          <w:b w:val="1"/>
          <w:bCs w:val="1"/>
          <w:color w:val="auto"/>
        </w:rPr>
        <w:t>The Company’s and the Guarantor’s ability to service their debt depends on the SLB Group’s future performance, which may not generate the cash required to service their debt.</w:t>
      </w:r>
    </w:p>
    <w:p>
      <w:pPr>
        <w:spacing w:after="0" w:line="28"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The Company’s ability to make scheduled payments on the Notes depends on the SLB Group’s future operating and financial performance and ability to generate cash. This will be affected by the SLB Group’s ability to successfully implement its business strategy, as well as by general economic, financial, competitive, regulatory, technical and other factors beyond its control. If the SLB Group cannot generate sufficient cash to meet its debt service obligations or fund its other business needs, the Company or the Guarantor may, among other things, need to refinance all or a portion of its obligations, including the Notes or the Guarantees,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and the Guarantees will be effectively subordinated to any secured indebtedness of the Company and the Guarantor.</w:t>
      </w:r>
    </w:p>
    <w:p>
      <w:pPr>
        <w:spacing w:after="0" w:line="104"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color w:val="auto"/>
        </w:rPr>
        <w:t xml:space="preserve">The Notes will be unsecured and unsubordinated obligations of the Company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existing and future unsecured and unsubordinated indebtedness of the Company and senior in right of payment to all subordinated indebtedness of the Company, if any. The Guarantees will be the unsecured and unsubordinated obligation of the Guarantor and will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to all other existing and future unsecured and unsubordinated indebtedness of the Guarantor, and senior in</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payment to all subordinated indebtedness of the Guarantor, if any. However, the Notes and the Guarantees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291" w:lineRule="exact"/>
        <w:rPr>
          <w:sz w:val="20"/>
          <w:szCs w:val="20"/>
          <w:color w:val="auto"/>
        </w:rPr>
      </w:pPr>
    </w:p>
    <w:p>
      <w:pPr>
        <w:ind w:left="120" w:right="80"/>
        <w:spacing w:after="0" w:line="281" w:lineRule="auto"/>
        <w:rPr>
          <w:sz w:val="20"/>
          <w:szCs w:val="20"/>
          <w:color w:val="auto"/>
        </w:rPr>
      </w:pPr>
      <w:r>
        <w:rPr>
          <w:rFonts w:ascii="Arial" w:cs="Arial" w:eastAsia="Arial" w:hAnsi="Arial"/>
          <w:sz w:val="18"/>
          <w:szCs w:val="18"/>
          <w:b w:val="1"/>
          <w:bCs w:val="1"/>
          <w:color w:val="auto"/>
        </w:rPr>
        <w:t>The Guarantees and the Notes will be structurally subordinated to the obligations of the Guarantor’s subsidiaries other than the Company</w:t>
      </w:r>
      <w:r>
        <w:rPr>
          <w:rFonts w:ascii="Arial" w:cs="Arial" w:eastAsia="Arial" w:hAnsi="Arial"/>
          <w:sz w:val="18"/>
          <w:szCs w:val="18"/>
          <w:color w:val="auto"/>
        </w:rPr>
        <w:t>.</w:t>
      </w:r>
    </w:p>
    <w:p>
      <w:pPr>
        <w:spacing w:after="0" w:line="28" w:lineRule="exact"/>
        <w:rPr>
          <w:sz w:val="20"/>
          <w:szCs w:val="20"/>
          <w:color w:val="auto"/>
        </w:rPr>
      </w:pPr>
    </w:p>
    <w:p>
      <w:pPr>
        <w:jc w:val="both"/>
        <w:ind w:left="120" w:right="660" w:firstLine="440"/>
        <w:spacing w:after="0" w:line="253" w:lineRule="auto"/>
        <w:rPr>
          <w:sz w:val="20"/>
          <w:szCs w:val="20"/>
          <w:color w:val="auto"/>
        </w:rPr>
      </w:pPr>
      <w:r>
        <w:rPr>
          <w:rFonts w:ascii="Arial" w:cs="Arial" w:eastAsia="Arial" w:hAnsi="Arial"/>
          <w:sz w:val="18"/>
          <w:szCs w:val="18"/>
          <w:color w:val="auto"/>
        </w:rPr>
        <w:t>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(including any Additional Amounts), on the Guarantees,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79"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7"/>
          <w:szCs w:val="17"/>
          <w:color w:val="auto"/>
        </w:rPr>
        <w:t>As a result, the Guarantees will be structurally subordinated to the obligations and liabilities of all of the Guarantor’s subsidiaries (other than the Company’s obligations and liabilities with respect to the Notes). As of March 31, 2026, the Guarantor had accounts payable and accrued liabilities of approximately US$11.1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274" w:lineRule="exact"/>
        <w:rPr>
          <w:sz w:val="20"/>
          <w:szCs w:val="20"/>
          <w:color w:val="auto"/>
        </w:rPr>
      </w:pPr>
    </w:p>
    <w:p>
      <w:pPr>
        <w:ind w:left="120" w:right="200"/>
        <w:spacing w:after="0" w:line="281" w:lineRule="auto"/>
        <w:rPr>
          <w:sz w:val="20"/>
          <w:szCs w:val="20"/>
          <w:color w:val="auto"/>
        </w:rPr>
      </w:pPr>
      <w:r>
        <w:rPr>
          <w:rFonts w:ascii="Arial" w:cs="Arial" w:eastAsia="Arial" w:hAnsi="Arial"/>
          <w:sz w:val="18"/>
          <w:szCs w:val="18"/>
          <w:b w:val="1"/>
          <w:bCs w:val="1"/>
          <w:color w:val="auto"/>
        </w:rPr>
        <w:t>There is currently no trading market for any series of the Notes and an active trading market for the Notes may not develop, in which case you may not be able to resell the Notes.</w:t>
      </w:r>
    </w:p>
    <w:p>
      <w:pPr>
        <w:spacing w:after="0" w:line="28"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There is no existing trading market for any series of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any series of the Notes, the Company’s and the Guarantor’s financial performance, the market for similar securities and the interest of securities dealers in making a market in the Notes. In addition, changes in the overall market for investment grade securities and changes in the Company’s or the Guarantor’s financial performance or in the markets where we operate may adversely affect the liquidity of the trading market in the Notes and the market price quoted for the Notes. The conditions of the financial markets and prevailing interest rates have fluctuated in the past and are likely to fluctuate in the future. The market, if any, for the Notes may be subject to disruptions that may cause substantial volatility in their prices. Any disruptions may have an adverse effect on the holders of the Notes.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may be unable to recover in civil proceedings for U.S. securities laws violations</w:t>
      </w:r>
      <w:r>
        <w:rPr>
          <w:rFonts w:ascii="Arial" w:cs="Arial" w:eastAsia="Arial" w:hAnsi="Arial"/>
          <w:sz w:val="18"/>
          <w:szCs w:val="18"/>
          <w:color w:val="auto"/>
        </w:rPr>
        <w:t>.</w:t>
      </w:r>
    </w:p>
    <w:p>
      <w:pPr>
        <w:spacing w:after="0" w:line="104" w:lineRule="exact"/>
        <w:rPr>
          <w:sz w:val="20"/>
          <w:szCs w:val="20"/>
          <w:color w:val="auto"/>
        </w:rPr>
      </w:pPr>
    </w:p>
    <w:p>
      <w:pPr>
        <w:ind w:left="120" w:right="200" w:firstLine="440"/>
        <w:spacing w:after="0" w:line="242" w:lineRule="auto"/>
        <w:rPr>
          <w:sz w:val="20"/>
          <w:szCs w:val="20"/>
          <w:color w:val="auto"/>
        </w:rPr>
      </w:pPr>
      <w:r>
        <w:rPr>
          <w:rFonts w:ascii="Arial" w:cs="Arial" w:eastAsia="Arial" w:hAnsi="Arial"/>
          <w:sz w:val="18"/>
          <w:szCs w:val="18"/>
          <w:color w:val="auto"/>
        </w:rPr>
        <w:t>The Company is organized under the laws of Luxembourg and does not have any assets in the United States. It is anticipated that some or all of the directors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We estimate that the net proceeds (after deducting the underwriting discount and the estimated expenses of the offering payable by us) from the sale of the Notes will be approximately US$        . We intend to use the net proceeds from this offering for general corporate purposes, including to repay our near-term debt maturities including our 1.375% Guaranteed Notes due 2026. We intend to invest the new proceeds prior to repaying the 1.375% Guaranteed Notes due 2026.</w:t>
      </w:r>
    </w:p>
    <w:p>
      <w:pPr>
        <w:spacing w:after="0" w:line="17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Certain of the underwriters and/or their affiliates may hold a portion of our 1.375% Guaranteed Notes due 2026 that are being repaid or otherwise retired and may receive a portion of the net proceeds of this offering. See “Underwriting (Conflicts of Interest)—Conflicts of Interest.”</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NOTES</w:t>
      </w:r>
    </w:p>
    <w:p>
      <w:pPr>
        <w:spacing w:after="0" w:line="21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Schlumberger Investment S.A. (the “Company”) is offering US$        principal amount of its         % Senior Notes due 2031 (the “2031 Notes”), US$        principal amount of its         % Senior Notes due 2033 (the “2033 Notes”) and US$        principal amount of its         % Senior Notes due 2036 (the “2036 Notes” and, together with the 2031 Notes and the 2033 Notes, the “Notes”). The Notes are to be issued under an indenture, dated December 3, 2013, as amended by the second supplemental indenture, dated June 26, 2020, the fourth supplemental indenture, dated May 29, 2024, and a supplemental indenture to be dated as of the closing date of this offering (as amended and supplemented from time to time, the “Indenture”), among the Company, SLB Limited, as guarantor (the “Guarantor”), and The Bank of New York Mellon, as trustee (the “Trustee”). When we refer to the Indenture, we are referring to such indenture, as so amended and supplemented, unless the context requires otherwise. The Guarantor will fully and unconditionally guarantee the Notes under a guarantee contained in the Indenture (the “Guarantees”). The terms of the Notes include those stated in the Indenture. Copies of the Indenture are available as set forth under “Where You Can Find More Information.”</w:t>
      </w:r>
    </w:p>
    <w:p>
      <w:pPr>
        <w:spacing w:after="0" w:line="18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 The Notes will constitute three series of debt securities under the Indenture.</w:t>
      </w:r>
    </w:p>
    <w:p>
      <w:pPr>
        <w:spacing w:after="0" w:line="16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As used in this “Description of the Notes,” the terms “we,” “us” and “our” and similar expressions refer to the Company; and the term “Guarantor” refers to our parent company, the Guarantor, and not to any of its subsidiaries, in each case unless otherwise stated or the context otherwise requires.</w:t>
      </w:r>
    </w:p>
    <w:p>
      <w:pPr>
        <w:spacing w:after="0" w:line="169"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69"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8"/>
          <w:szCs w:val="18"/>
          <w:color w:val="auto"/>
        </w:rPr>
        <w:t>The registered holder of a Note will be treated as the owner of it for all purposes. Only registered holders will have rights under the Indenture.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2031 Notes</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2031 Notes are initially issuable in an aggregate principal amount of US$        and will mature on         , 2031. Interest on the 2031 Notes will be payable in U.S. dollars at the office of the Paying Agent in the Borough of Manhattan, the City of New York, New York, or, at the Company’s option, by check mailed to the address of the registered holder or, with respect to any global 2031 Note or upon application by the holder of a definitive, non-global 2031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2031 Notes then maturing will be due and payable, plus accrued and unpaid interest to the applicable maturity date.</w:t>
      </w:r>
    </w:p>
    <w:p>
      <w:pPr>
        <w:spacing w:after="0" w:line="185"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The Company may create and issue additional 2031 Notes under the Indenture with the same terms as the 2031 Notes offered hereby (other than the date of issuance and in certain circumstances the initial interest payment date). The 2031 Notes issued by the Company and any additional 2031 Notes subsequently issued by the Company under the Indenture will be treated as a single class for all purposes under the Indenture, including, without limitation, waivers, amendments and redemptions. See “—Further Issuances.”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00" w:firstLine="440"/>
        <w:spacing w:after="0" w:line="271" w:lineRule="auto"/>
        <w:rPr>
          <w:sz w:val="20"/>
          <w:szCs w:val="20"/>
          <w:color w:val="auto"/>
        </w:rPr>
      </w:pPr>
      <w:r>
        <w:rPr>
          <w:rFonts w:ascii="Arial" w:cs="Arial" w:eastAsia="Arial" w:hAnsi="Arial"/>
          <w:sz w:val="18"/>
          <w:szCs w:val="18"/>
          <w:color w:val="auto"/>
        </w:rPr>
        <w:t>The 2031 Notes will be issued only in registered form without interest coupons, in minimum denominations of US$2,000 and in integral multiples of US$1,000 in excess thereof.</w:t>
      </w:r>
    </w:p>
    <w:p>
      <w:pPr>
        <w:spacing w:after="0" w:line="154"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 2031 Notes will bear interest at         % per annum. Interest on the 2031 Notes will accrue from         , 2026 and will be payable by the Company on         and         of each year, beginning on         , 2026 to the person in whose name such 2031 Note is registered, subject to certain exceptions as provided in the Indenture, at the close of business on the         and         immediately preceding such interest payment date (whether or not a business day).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2031 Notes are not subject to any mandatory redemption or any sinking fund provision.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2033 Notes</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2033 Notes are initially issuable in an aggregate principal amount of US$        and will mature on         , 2033. Interest on the 2033 Notes will be payable in U.S. dollars at the office of the Paying Agent in the Borough of Manhattan, the City of New York, New York, or, at the Company’s option, by check mailed to the address of the registered holder or, with respect to any global 2033 Note or upon application by the holder of a definitive, non-global 2033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2033 Notes then maturing will be due and payable, plus accrued and unpaid interest to the applicable maturity date.</w:t>
      </w:r>
    </w:p>
    <w:p>
      <w:pPr>
        <w:spacing w:after="0" w:line="185"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The Company may create and issue additional 2033 Notes under the Indenture with the same terms as the 2033 Notes offered hereby (other than the date of issuance and in certain circumstances the initial interest payment date). The 2033 Notes issued by the Company and any additional 2033 Notes subsequently issued by the Company under the Indenture will be treated as a single class for all purposes under the Indenture, including, without limitation, waivers, amendments and redemptions. See “—Further Issuances.”</w:t>
      </w:r>
    </w:p>
    <w:p>
      <w:pPr>
        <w:spacing w:after="0" w:line="174" w:lineRule="exact"/>
        <w:rPr>
          <w:sz w:val="20"/>
          <w:szCs w:val="20"/>
          <w:color w:val="auto"/>
        </w:rPr>
      </w:pPr>
    </w:p>
    <w:p>
      <w:pPr>
        <w:ind w:left="120" w:right="500" w:firstLine="440"/>
        <w:spacing w:after="0" w:line="271" w:lineRule="auto"/>
        <w:rPr>
          <w:sz w:val="20"/>
          <w:szCs w:val="20"/>
          <w:color w:val="auto"/>
        </w:rPr>
      </w:pPr>
      <w:r>
        <w:rPr>
          <w:rFonts w:ascii="Arial" w:cs="Arial" w:eastAsia="Arial" w:hAnsi="Arial"/>
          <w:sz w:val="18"/>
          <w:szCs w:val="18"/>
          <w:color w:val="auto"/>
        </w:rPr>
        <w:t>The 2033 Notes will be issued only in registered form without interest coupons, in minimum denominations of US$2,000 and in integral multiples of US$1,000 in excess thereof.</w:t>
      </w:r>
    </w:p>
    <w:p>
      <w:pPr>
        <w:spacing w:after="0" w:line="154"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 2033 Notes will bear interest at         % per annum. Interest on the 2033 Notes will accrue from         , 2026 and will be payable by the Company on         and         of each year, beginning on         , 2026 to the person in whose name such 2033 Note is registered, subject to certain exceptions as provided in the Indenture, at the close of business on the         and         immediately preceding such interest payment date (whether or not a business day).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2033 Notes are not subject to any mandatory redemption or any sinking fund provision.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2036 Notes</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2036 Notes are initially issuable in an aggregate principal amount of US$        and will mature on         , 2036. Interest on the 2036 Notes will be payable in U.S. dollars at the office of the Paying Agent in the Borough of Manhattan, the City of New York, New York, or, at the Company’s option, by check mailed to the address of the registered holder or, with respect to any global 2036 Note or upon application by the holder of a definitive, non-global 2036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2036 Notes then maturing will be due and payable, plus accrued and unpaid interest to the applicable maturity date.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The Company may create and issue additional 2036 Notes under the Indenture with the same terms as the 2036 Notes offered hereby (other than the date of issuance and in certain circumstances the initial interest payment date). The 2036 Notes issued by the Company and any additional 2036 Notes subsequently issued by the Company under the Indenture will be treated as a single class for all purposes under the Indenture, including, without limitation, waivers, amendments and redemptions. See “—Further Issuances.”</w:t>
      </w:r>
    </w:p>
    <w:p>
      <w:pPr>
        <w:spacing w:after="0" w:line="174" w:lineRule="exact"/>
        <w:rPr>
          <w:sz w:val="20"/>
          <w:szCs w:val="20"/>
          <w:color w:val="auto"/>
        </w:rPr>
      </w:pPr>
    </w:p>
    <w:p>
      <w:pPr>
        <w:ind w:left="120" w:right="540" w:firstLine="440"/>
        <w:spacing w:after="0" w:line="271" w:lineRule="auto"/>
        <w:rPr>
          <w:sz w:val="20"/>
          <w:szCs w:val="20"/>
          <w:color w:val="auto"/>
        </w:rPr>
      </w:pPr>
      <w:r>
        <w:rPr>
          <w:rFonts w:ascii="Arial" w:cs="Arial" w:eastAsia="Arial" w:hAnsi="Arial"/>
          <w:sz w:val="18"/>
          <w:szCs w:val="18"/>
          <w:color w:val="auto"/>
        </w:rPr>
        <w:t>The 2036 Notes will be issued only in registered form without interest coupons, in minimum denominations of US$2,000 and in integral multiples of US$1,000 in excess thereof.</w:t>
      </w:r>
    </w:p>
    <w:p>
      <w:pPr>
        <w:spacing w:after="0" w:line="154"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color w:val="auto"/>
        </w:rPr>
        <w:t>The 2036 Notes will bear interest at         % per annum. Interest on the 2036 Notes will accrue from         , 2026 and will be payable by the Company on         and         of each year, beginning on         , 2026 to the person in whose name such 2036 Note is registered, subject to certain exceptions as provided in the Indenture, at the close of business on the         and         immediately preceding such interest payment date (whether or not a business day).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2036 Notes are not subject to any mandatory redemption or any sinking fund provision.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04" w:lineRule="exact"/>
        <w:rPr>
          <w:sz w:val="20"/>
          <w:szCs w:val="20"/>
          <w:color w:val="auto"/>
        </w:rPr>
      </w:pPr>
    </w:p>
    <w:p>
      <w:pPr>
        <w:ind w:left="120" w:right="200" w:firstLine="440"/>
        <w:spacing w:after="0" w:line="247" w:lineRule="auto"/>
        <w:rPr>
          <w:sz w:val="20"/>
          <w:szCs w:val="20"/>
          <w:color w:val="auto"/>
        </w:rPr>
      </w:pPr>
      <w:r>
        <w:rPr>
          <w:rFonts w:ascii="Arial" w:cs="Arial" w:eastAsia="Arial" w:hAnsi="Arial"/>
          <w:sz w:val="18"/>
          <w:szCs w:val="18"/>
          <w:color w:val="auto"/>
        </w:rPr>
        <w:t>The Guarantor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Guarantor will:</w:t>
      </w:r>
    </w:p>
    <w:p>
      <w:pPr>
        <w:spacing w:after="0" w:line="117" w:lineRule="exact"/>
        <w:rPr>
          <w:sz w:val="20"/>
          <w:szCs w:val="20"/>
          <w:color w:val="auto"/>
        </w:rPr>
      </w:pPr>
    </w:p>
    <w:p>
      <w:pPr>
        <w:ind w:left="1080" w:right="400" w:hanging="424"/>
        <w:spacing w:after="0" w:line="25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Notes, its obligations under the Guarantees will be absolute and unconditional and will be enforceable irrespective of any invalidity, irregularity or unenforceability of the Indenture or any supplement thereto; and</w:t>
      </w:r>
    </w:p>
    <w:p>
      <w:pPr>
        <w:spacing w:after="0" w:line="74" w:lineRule="exact"/>
        <w:rPr>
          <w:rFonts w:ascii="Arial" w:cs="Arial" w:eastAsia="Arial" w:hAnsi="Arial"/>
          <w:sz w:val="18"/>
          <w:szCs w:val="18"/>
          <w:color w:val="auto"/>
        </w:rPr>
      </w:pPr>
    </w:p>
    <w:p>
      <w:pPr>
        <w:ind w:left="1080" w:right="180" w:hanging="424"/>
        <w:spacing w:after="0" w:line="27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Notes to pursue or exhaust their legal or equitable remedies against the Company before exercising their rights under the Guarantees.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Notes and Guarantees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be:</w:t>
      </w:r>
    </w:p>
    <w:p>
      <w:pPr>
        <w:spacing w:after="0" w:line="117" w:lineRule="exact"/>
        <w:rPr>
          <w:sz w:val="20"/>
          <w:szCs w:val="20"/>
          <w:color w:val="auto"/>
        </w:rPr>
      </w:pPr>
    </w:p>
    <w:p>
      <w:pPr>
        <w:ind w:left="1080" w:right="80" w:hanging="424"/>
        <w:spacing w:after="0" w:line="271"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59" w:lineRule="exact"/>
        <w:rPr>
          <w:rFonts w:ascii="Arial" w:cs="Arial" w:eastAsia="Arial" w:hAnsi="Arial"/>
          <w:sz w:val="18"/>
          <w:szCs w:val="18"/>
          <w:color w:val="auto"/>
        </w:rPr>
      </w:pPr>
    </w:p>
    <w:p>
      <w:pPr>
        <w:ind w:left="1080" w:right="580" w:hanging="424"/>
        <w:spacing w:after="0" w:line="271"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Guarantees will rank equally and ratably with all other unsecured and unsubordinated indebtedness of the Guarantor.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0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All payments made by the Company under or with respect to the Notes, or by the Guarantor with respect to the Guarantees,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jurisdiction in which the Company (or a successor), or the Guarantor (or a successor), is then incorporated, organized or resident for tax purposes or any political subdivision thereof or therein or (2) any jurisdiction from or through which payment is made or deemed made by or on behalf of the Company, or the Guarantor (including the jurisdiction of any Paying Agent for the Notes) or any political subdivision thereof or therein (each of clauses (1) and (2), a “Relevant Tax Jurisdiction”) will at any time be required to be made from any payments made or deemed made by or on behalf of the Company under or with respect to the Notes, as applicable, or the Guarantor under or with respect to the Guarantees,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91" w:lineRule="exact"/>
        <w:rPr>
          <w:sz w:val="20"/>
          <w:szCs w:val="20"/>
          <w:color w:val="auto"/>
        </w:rPr>
      </w:pPr>
    </w:p>
    <w:p>
      <w:pPr>
        <w:ind w:left="1080" w:right="140" w:hanging="532"/>
        <w:spacing w:after="0" w:line="242"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Notes or Guarantees, as applicable,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Guarantees or the receipt of any payments in respect of such Note or Guarantees;</w:t>
      </w:r>
    </w:p>
    <w:p>
      <w:pPr>
        <w:spacing w:after="0" w:line="84" w:lineRule="exact"/>
        <w:rPr>
          <w:rFonts w:ascii="Arial" w:cs="Arial" w:eastAsia="Arial" w:hAnsi="Arial"/>
          <w:sz w:val="18"/>
          <w:szCs w:val="18"/>
          <w:color w:val="auto"/>
        </w:rPr>
      </w:pPr>
    </w:p>
    <w:p>
      <w:pPr>
        <w:ind w:left="1080" w:right="60" w:hanging="532"/>
        <w:spacing w:after="0" w:line="24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7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1080" w:right="320" w:hanging="532"/>
        <w:spacing w:after="0" w:line="24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or the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79" w:lineRule="exact"/>
        <w:rPr>
          <w:rFonts w:ascii="Arial" w:cs="Arial" w:eastAsia="Arial" w:hAnsi="Arial"/>
          <w:sz w:val="18"/>
          <w:szCs w:val="18"/>
          <w:color w:val="auto"/>
        </w:rPr>
      </w:pPr>
    </w:p>
    <w:p>
      <w:pPr>
        <w:ind w:left="1080" w:right="200" w:hanging="532"/>
        <w:spacing w:after="0" w:line="27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Taxes withheld, deducted or imposed pursuant to the Luxembourg law of 23 December 2005, as amended from time to time;</w:t>
      </w:r>
    </w:p>
    <w:p>
      <w:pPr>
        <w:spacing w:after="0" w:line="59" w:lineRule="exact"/>
        <w:rPr>
          <w:rFonts w:ascii="Arial" w:cs="Arial" w:eastAsia="Arial" w:hAnsi="Arial"/>
          <w:sz w:val="18"/>
          <w:szCs w:val="18"/>
          <w:color w:val="auto"/>
        </w:rPr>
      </w:pPr>
    </w:p>
    <w:p>
      <w:pPr>
        <w:ind w:left="1080" w:right="480" w:hanging="532"/>
        <w:spacing w:after="0" w:line="27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59" w:lineRule="exact"/>
        <w:rPr>
          <w:rFonts w:ascii="Arial" w:cs="Arial" w:eastAsia="Arial" w:hAnsi="Arial"/>
          <w:sz w:val="18"/>
          <w:szCs w:val="18"/>
          <w:color w:val="auto"/>
        </w:rPr>
      </w:pPr>
    </w:p>
    <w:p>
      <w:pPr>
        <w:ind w:left="1080" w:right="700" w:hanging="532"/>
        <w:spacing w:after="0" w:line="27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Notes or the Guarantees;</w:t>
      </w:r>
    </w:p>
    <w:p>
      <w:pPr>
        <w:spacing w:after="0" w:line="5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Relevant Tax Jurisdiction, as a precondition to exemption from, or reduction in the rate of deduction or withholding of, Taxes imposed by the Relevant Tax Jurisdiction (including, without limitation, a certification that the holder or beneficial owner is not resident in such Relevant Tax Jurisdiction), but in each case, only to the extent the holder or beneficial owner is legally entitled to provide such certification or documentation;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080" w:right="300" w:hanging="532"/>
        <w:spacing w:after="0" w:line="24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Taxes imposed, deducted or withheld pursuant to section 1471(b) of the U.S. Internal Revenue Code of 1986, as amended (the “Code”), or otherwise imposed pursuant to sections 1471 through 1474 of the Code, in each case, as of the date of the original issuance of the Notes (the “Issue Date”) (and any amended or successor version that is substantively comparable), any current or future regulations or agreements thereunder, official interpretations thereof or any law implementing an intergovernmental agreement relating thereto; or</w:t>
      </w:r>
    </w:p>
    <w:p>
      <w:pPr>
        <w:spacing w:after="0" w:line="81"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combination of items (1) through (9) above.</w:t>
      </w:r>
    </w:p>
    <w:p>
      <w:pPr>
        <w:spacing w:after="0" w:line="21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the Notes, or the Indenture, Guarantees or any other document or instrument referred to therein, except in the case of Luxembourg, any registration duties (</w:t>
      </w:r>
      <w:r>
        <w:rPr>
          <w:rFonts w:ascii="Arial" w:cs="Arial" w:eastAsia="Arial" w:hAnsi="Arial"/>
          <w:sz w:val="18"/>
          <w:szCs w:val="18"/>
          <w:i w:val="1"/>
          <w:iCs w:val="1"/>
          <w:color w:val="auto"/>
        </w:rPr>
        <w:t>droits d’enregistrement</w:t>
      </w:r>
      <w:r>
        <w:rPr>
          <w:rFonts w:ascii="Arial" w:cs="Arial" w:eastAsia="Arial" w:hAnsi="Arial"/>
          <w:sz w:val="18"/>
          <w:szCs w:val="18"/>
          <w:color w:val="auto"/>
        </w:rPr>
        <w:t>) that would become payable upon a voluntary registration made by any party in Luxembourg of the Notes, the Indenture, Guarantees or any other document or instrument referred to therein.</w:t>
      </w:r>
    </w:p>
    <w:p>
      <w:pPr>
        <w:spacing w:after="0" w:line="18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the Notes or the Guarantees, the Company or the Guarantor, as the case may be, will deliver to the Trustee on a date that is at least 30 days prior to the date of that payment (unless the obligation to pay Additional Amounts arises fewer than 45 days prior to that payment date, in which case the Company or the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80"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The Company or the Guarantor, as the case may be, will make all withholdings and deductions required by law in respect of the Notes or the Guarantees, as applicable,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of the relevant series of Notes upon written request), within a reasonable time after the date the payment of any Taxes so deducted or withheld is made, certified copies of Tax receipts evidencing payment by the Company or the Guarantor, as the case may be, or if, notwithstanding such entity’s efforts to obtain receipts, receipts are not obtained, other evidence of payments (reasonably satisfactory to the Trustee) by such entity.</w:t>
      </w:r>
    </w:p>
    <w:p>
      <w:pPr>
        <w:spacing w:after="0" w:line="180"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of a series or the applicable Guarantee, such mention will be deemed to include mention of the payment of Additional Amounts to the extent that, in such context, Additional Amounts are, were or would be payable in respect thereof.</w:t>
      </w:r>
    </w:p>
    <w:p>
      <w:pPr>
        <w:spacing w:after="0" w:line="174"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 xml:space="preserve">The above obligations will survive any termination, defeasance or discharge of the Indenture, any transfer of Notes by a holder or beneficial owner, and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any jurisdiction in</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which any successor person to the Company or the Guarantor is incorporated, organized or resident for Tax purposes or any jurisdiction from or through which payment is made by or on behalf of such person on the Notes (or the Guarantees) and any political subdivision thereof or therein.</w:t>
      </w:r>
    </w:p>
    <w:p>
      <w:pPr>
        <w:spacing w:after="0" w:line="169" w:lineRule="exact"/>
        <w:rPr>
          <w:sz w:val="20"/>
          <w:szCs w:val="20"/>
          <w:color w:val="auto"/>
        </w:rPr>
      </w:pPr>
    </w:p>
    <w:p>
      <w:pPr>
        <w:jc w:val="both"/>
        <w:ind w:left="120" w:right="560" w:firstLine="440"/>
        <w:spacing w:after="0" w:line="253" w:lineRule="auto"/>
        <w:rPr>
          <w:sz w:val="20"/>
          <w:szCs w:val="20"/>
          <w:color w:val="auto"/>
        </w:rPr>
      </w:pPr>
      <w:r>
        <w:rPr>
          <w:rFonts w:ascii="Arial" w:cs="Arial" w:eastAsia="Arial" w:hAnsi="Arial"/>
          <w:sz w:val="18"/>
          <w:szCs w:val="18"/>
          <w:color w:val="auto"/>
        </w:rPr>
        <w:t>Notwithstanding any provision herein or in the Indenture, the Notes or the Guarantees to the contrary, none of the Trustee, the Registrar, any transfer agent or any Paying Agent will be required to determine the identity of a beneficial owner or be liable for any determination thereof by the Company or the Guarantor.</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0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At any time prior to the 2031 Par Call Date, in the case of the 2031 Notes, the 2033 Par Call Date, in the case of the 2033 Notes, and the 2036 Par Call Date, in the case of the 2036 Notes, we may, at our option, redeem the Notes of the applicable series, in whole or in part, at any time and from time to time, at a redemption price (expressed as a percentage of principal amount and rounded to three decimal places) equal to the greater of:</w:t>
      </w:r>
    </w:p>
    <w:p>
      <w:pPr>
        <w:spacing w:after="0" w:line="79" w:lineRule="exact"/>
        <w:rPr>
          <w:sz w:val="20"/>
          <w:szCs w:val="20"/>
          <w:color w:val="auto"/>
        </w:rPr>
      </w:pPr>
    </w:p>
    <w:p>
      <w:pPr>
        <w:ind w:left="1080" w:right="100" w:hanging="532"/>
        <w:spacing w:after="0" w:line="242"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the sum of the present values of the remaining scheduled payments of principal and interest thereon discounted to the redemption date (assuming the Notes matured on the 2031 Par Call Date, in the case of the 2031 Notes, the 2033 Par Call Date, in the case of the 2033 Notes, and the 2036 Par Call Date, in the case of the 2036 Notes) on a semi-annual basis (assuming a 360-day year consisting of twelve 30-day months) at the Treasury Rate plus        basis points, in the case of the 2031 Notes,        basis points, in the case of the 2033 Notes, and        basis points, in the case of the 2036 Notes, less (b) interest accrued to the date of redemption, and</w:t>
      </w:r>
    </w:p>
    <w:p>
      <w:pPr>
        <w:spacing w:after="0" w:line="84"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either case, accrued and unpaid interest thereon, if any, to, but not including, the applicable redemption date.</w:t>
      </w:r>
    </w:p>
    <w:p>
      <w:pPr>
        <w:spacing w:after="0" w:line="212"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At any time on or after the 2031 Par Call Date, in the case of the 2031 Notes, the 2033 Par Call Date, in the case of the 2033 Notes, and the 2036 Par Call Date, in the case of the 2036 Notes, we may, at our option, redeem the Notes of the applicable series, in whole or in part, at any time and from time to time, at a redemption price equal to 100% of the principal amount of such series of Notes to be redeemed plus accrued and unpaid interest thereon, if any, to, but not including, the applicable redemption date.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“2031 Par Call Date” means             .</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“2033 Par Call Date” means             .</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“2036 Par Call Date” means             .</w:t>
      </w:r>
    </w:p>
    <w:p>
      <w:pPr>
        <w:spacing w:after="0" w:line="212"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“Treasury Rate” means, with respect to any redemption date, the yield determined by the Company in accordance with the following two paragraphs.</w:t>
      </w:r>
    </w:p>
    <w:p>
      <w:pPr>
        <w:spacing w:after="0" w:line="154"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caption “U.S. government securities–Treasury constant maturities–Nominal” (or any successor caption or heading) (“H.15 TCM”). In determining the Treasury Rate, the Company will select, as applicable: (1) the yield for the Treasury constant maturity on H.15 exactly equal to the period from the redemption date to the 2031 Par Call Date, in the case of the 2031 Notes, the 2033 Par Call Date, in the case of the 2033 Notes, and the 2036 Par Call Date, in the case of the 2036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2031 Par Call Date, in the case of the 2031 Notes, the 2033 Par Call Date, in the case of the 2033 Notes, and the 2036 Par Call Date, in the case of the 2036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18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2031 Par Call Date, in the case of the 2031 Notes, the 2033 Par Call Date, in the case of the 2033 Notes, and the 2036 Par Call Date, in the case of the 2036 Notes, as applicable. If there is no United States Treasury security maturing on the 2031 Par Call Date, in the case of the 2031 Notes, the 2033 Par Call Date, in the case of the 2033 Notes, and the 2036 Par Call Date, in the case of the 2036 Notes, but there are two or more United States Treasury securities with a maturity date equally distant from the 2031 Par Call Date, in the case of the 2031 Notes, the 2033 Par Call Date, in the case of the 2033 Notes, and the 2036 Par Call Date, in the case of the 2036 Notes, and one with a maturity date preceding the 2031 Par Call Date, in the case of the 2031 Notes, the 2033 Par Call Date, in the case of the 2033 Notes, and the 2036 Par Call Date, in the case of the 2036 Notes, and one with a maturity date following the 2031 Par Call Date, in the case of the 2031 Notes, the 2033 Par Call Date, in the case of the 2033 Notes, and the 2036 Par Call Date, in the case of the 2036 Notes, the Company will select the United States Treasury security with a maturity date preceding the 2031 Par Call Date, in the case of the 2031 Notes, the 2033 Par Call Date, in the case of the 2033 Notes, and the 2036 Par Call Date, in the case of the 2036 Notes. If there are two or more United States Treasury securities maturing on the 2031 Par Call Date, in the case of the 2031 Notes, the 2033 Par Call Date, in the case of the 2033 Notes, and the 2036 Par Call Date, in the case of the 2036 Notes,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w:t>
      </w:r>
    </w:p>
    <w:p>
      <w:pPr>
        <w:spacing w:after="0" w:line="194"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04"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The Company or the Guarantor may redeem any series of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the Guarantor cannot avoid any such payment obligation by taking reasonable measures available to it (but not including substitution of the obligor of the Notes and, for avoidance of doubt, in the case of the Guarantor, by causing the payment to be made by the Company), and the requirement arises as a result of:</w:t>
      </w:r>
    </w:p>
    <w:p>
      <w:pPr>
        <w:spacing w:after="0" w:line="85" w:lineRule="exact"/>
        <w:rPr>
          <w:sz w:val="20"/>
          <w:szCs w:val="20"/>
          <w:color w:val="auto"/>
        </w:rPr>
      </w:pPr>
    </w:p>
    <w:p>
      <w:pPr>
        <w:ind w:left="1080" w:right="160" w:hanging="532"/>
        <w:spacing w:after="0" w:line="24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79" w:lineRule="exact"/>
        <w:rPr>
          <w:rFonts w:ascii="Arial" w:cs="Arial" w:eastAsia="Arial" w:hAnsi="Arial"/>
          <w:sz w:val="18"/>
          <w:szCs w:val="18"/>
          <w:color w:val="auto"/>
        </w:rPr>
      </w:pPr>
    </w:p>
    <w:p>
      <w:pPr>
        <w:ind w:left="1080" w:right="20" w:hanging="532"/>
        <w:spacing w:after="0" w:line="266"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amendment to, or change in, an official interpretation or application of such laws, regulations or rulings (including by virtue of a holding, judgment, order by a court of competent jurisdiction, action taken by any legislative body or taxing authority,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5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series of Notes was then due, and the law (or any regulations or rulings promulgated thereunder, or amendment to, or change in, an official interpretation or application of) giving rise to the obligation to pay Additional Amounts (whether the obligation to withhold is then effective or will become effective after the notice) must be in effect at the time such notice is given. Prior to giving any notice of redemption of any series of Notes pursuant to the foregoing, the Company or the Guarantor, as applicable, will deliver to the Trustee an opinion of independent tax counsel to the effect that there has been such amendment or change which would entitle the Company or the Guarantor to redeem such Notes in accordance with the foregoing. In addition, before the Company or the Guarantor, as applicable, gives notice of redemption of such Notes as described above, it will deliver to the Trustee an Officer’s Certificate to the effect that the Company or the Guarantor, as applicable, cannot avoid its obligation to pay Additional Amounts by the Company or the Guarantor, as applicable, taking reasonable measures available to it.</w:t>
      </w:r>
    </w:p>
    <w:p>
      <w:pPr>
        <w:spacing w:after="0" w:line="186"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The Trustee will accept and be entitled to rely on such Officer’s Certificate and opinion of counsel as sufficient evidence of the existence and satisfaction of the conditions precedent as described above, in which event it will be conclusive and binding on the holders of the applicable Notes.</w:t>
      </w:r>
    </w:p>
    <w:p>
      <w:pPr>
        <w:spacing w:after="0" w:line="16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or any jurisdiction from or through which payment is made by or on behalf of such person on the Notes or the Guarantees, and any political subdivision thereof or therein.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04" w:lineRule="exact"/>
        <w:rPr>
          <w:sz w:val="20"/>
          <w:szCs w:val="20"/>
          <w:color w:val="auto"/>
        </w:rPr>
      </w:pPr>
    </w:p>
    <w:p>
      <w:pPr>
        <w:ind w:left="120" w:right="360" w:firstLine="440"/>
        <w:spacing w:after="0" w:line="247" w:lineRule="auto"/>
        <w:rPr>
          <w:sz w:val="20"/>
          <w:szCs w:val="20"/>
          <w:color w:val="auto"/>
        </w:rPr>
      </w:pPr>
      <w:r>
        <w:rPr>
          <w:rFonts w:ascii="Arial" w:cs="Arial" w:eastAsia="Arial" w:hAnsi="Arial"/>
          <w:sz w:val="18"/>
          <w:szCs w:val="18"/>
          <w:color w:val="auto"/>
        </w:rPr>
        <w:t>If fewer than all of the Notes of a series are to be redeemed at any time, the Trustee will select Notes of such series in definitive, non-global form for redemption on a pro rata basis (or, in the case of Notes issued in global form as discussed under “—Book-Entry, Delivery and Form,” such Notes to be redeemed will be selected in accordance with the procedures of the depository therefor) unless otherwise required by law or applicable stock exchange.</w:t>
      </w:r>
    </w:p>
    <w:p>
      <w:pPr>
        <w:spacing w:after="0" w:line="174" w:lineRule="exact"/>
        <w:rPr>
          <w:sz w:val="20"/>
          <w:szCs w:val="20"/>
          <w:color w:val="auto"/>
        </w:rPr>
      </w:pPr>
    </w:p>
    <w:p>
      <w:pPr>
        <w:ind w:left="120" w:right="240" w:firstLine="440"/>
        <w:spacing w:after="0" w:line="247" w:lineRule="auto"/>
        <w:rPr>
          <w:sz w:val="20"/>
          <w:szCs w:val="20"/>
          <w:color w:val="auto"/>
        </w:rPr>
      </w:pPr>
      <w:r>
        <w:rPr>
          <w:rFonts w:ascii="Arial" w:cs="Arial" w:eastAsia="Arial" w:hAnsi="Arial"/>
          <w:sz w:val="18"/>
          <w:szCs w:val="18"/>
          <w:color w:val="auto"/>
        </w:rPr>
        <w:t>No Notes in principal amount of US$ 2,000 or less can be redeemed in part. Notices of redemption will be given at least 10 but not more than 60 days before the redemption date to each holder of Notes of such series to be redeemed, except that redemption notices may be given more than 60 days prior to a redemption date if the notice is issued in connection with a defeasance of such Notes or a satisfaction and discharge of the Indenture with respect to such Notes.</w:t>
      </w:r>
    </w:p>
    <w:p>
      <w:pPr>
        <w:spacing w:after="0" w:line="17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definitive, non-global Note in principal amount equal to the unredeemed portion of the original definitive, non-global Note will be issued in the name of the holder of such definitive, non-global Notes upon cancellation of the original definitive, non-global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79" w:lineRule="exact"/>
        <w:rPr>
          <w:sz w:val="20"/>
          <w:szCs w:val="20"/>
          <w:color w:val="auto"/>
        </w:rPr>
      </w:pPr>
    </w:p>
    <w:p>
      <w:pPr>
        <w:jc w:val="both"/>
        <w:ind w:left="120" w:right="120" w:firstLine="440"/>
        <w:spacing w:after="0" w:line="247" w:lineRule="auto"/>
        <w:rPr>
          <w:sz w:val="20"/>
          <w:szCs w:val="20"/>
          <w:color w:val="auto"/>
        </w:rPr>
      </w:pPr>
      <w:r>
        <w:rPr>
          <w:rFonts w:ascii="Arial" w:cs="Arial" w:eastAsia="Arial" w:hAnsi="Arial"/>
          <w:sz w:val="18"/>
          <w:szCs w:val="18"/>
          <w:color w:val="auto"/>
        </w:rPr>
        <w:t>The Trustee will not be liable for selections made as contemplated in this section. For Notes which are represented by global Notes held on behalf of The Depository Trust Company (“DTC”), Euroclear Bank SA/NV, as operator of the Euroclear system (“Euroclear”) and Clearstream Banking S.A. (“Clearstream”), notices shall be given by delivery of the relevant notices to DTC, Euroclear or Clearstream for communication to entitled account holders.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04"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Other than the restrictions on liens described below, the Indenture and the Notes do not contain any covenants or other provisions designed to protect holders of the Notes, including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will not obligate us to provide, and we do not intend to provide, holders of the Notes with financial statements of the Company that are separate from the consolidated financial statements of the Guarantor.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04"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so determine, any of its other indebtedness or the indebtedness of any such restricted subsidiary then existing or thereafter created ranking on a parity with the Notes or the Guarantees) will be secured equally and ratably with (or prior to) such secured indebtedness, so long as such secured indebtedness shall be so secured, unless, after giving effect thereto, the aggregate amount of all such secured indebtedness (excluding any indebtedness secured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mortgages of the types referred to in clauses (1) through (10) below) would not exceed 20% of consolidated net worth as shown on the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Guarantor’s most recent consolidated quarterly financial statements; provided, however, that these provisions will not apply to:</w:t>
      </w:r>
    </w:p>
    <w:p>
      <w:pPr>
        <w:spacing w:after="0" w:line="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Notes;</w:t>
      </w:r>
    </w:p>
    <w:p>
      <w:pPr>
        <w:spacing w:after="0" w:line="117" w:lineRule="exact"/>
        <w:rPr>
          <w:rFonts w:ascii="Arial" w:cs="Arial" w:eastAsia="Arial" w:hAnsi="Arial"/>
          <w:sz w:val="18"/>
          <w:szCs w:val="18"/>
          <w:color w:val="auto"/>
        </w:rPr>
      </w:pPr>
    </w:p>
    <w:p>
      <w:pPr>
        <w:ind w:left="1080" w:right="120" w:hanging="532"/>
        <w:spacing w:after="0" w:line="27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9" w:lineRule="exact"/>
        <w:rPr>
          <w:rFonts w:ascii="Arial" w:cs="Arial" w:eastAsia="Arial" w:hAnsi="Arial"/>
          <w:sz w:val="18"/>
          <w:szCs w:val="18"/>
          <w:color w:val="auto"/>
        </w:rPr>
      </w:pPr>
    </w:p>
    <w:p>
      <w:pPr>
        <w:ind w:left="1080" w:right="280" w:hanging="532"/>
        <w:spacing w:after="0" w:line="24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4"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17" w:lineRule="exact"/>
        <w:rPr>
          <w:rFonts w:ascii="Arial" w:cs="Arial" w:eastAsia="Arial" w:hAnsi="Arial"/>
          <w:sz w:val="18"/>
          <w:szCs w:val="18"/>
          <w:color w:val="auto"/>
        </w:rPr>
      </w:pPr>
    </w:p>
    <w:p>
      <w:pPr>
        <w:ind w:left="1080" w:hanging="532"/>
        <w:spacing w:after="0" w:line="24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9" w:lineRule="exact"/>
        <w:rPr>
          <w:rFonts w:ascii="Arial" w:cs="Arial" w:eastAsia="Arial" w:hAnsi="Arial"/>
          <w:sz w:val="18"/>
          <w:szCs w:val="18"/>
          <w:color w:val="auto"/>
        </w:rPr>
      </w:pPr>
    </w:p>
    <w:p>
      <w:pPr>
        <w:ind w:left="1080" w:right="320" w:hanging="532"/>
        <w:spacing w:after="0" w:line="27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mortgage of any property or assets to secure indebtedness of the pollution control, industrial revenue or other revenue bond type;</w:t>
      </w:r>
    </w:p>
    <w:p>
      <w:pPr>
        <w:spacing w:after="0" w:line="59"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9" w:lineRule="exact"/>
        <w:rPr>
          <w:rFonts w:ascii="Arial" w:cs="Arial" w:eastAsia="Arial" w:hAnsi="Arial"/>
          <w:sz w:val="18"/>
          <w:szCs w:val="18"/>
          <w:color w:val="auto"/>
        </w:rPr>
      </w:pPr>
    </w:p>
    <w:p>
      <w:pPr>
        <w:ind w:left="1080" w:right="260" w:hanging="532"/>
        <w:spacing w:after="0" w:line="27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5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1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5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52" w:lineRule="exact"/>
        <w:rPr>
          <w:sz w:val="20"/>
          <w:szCs w:val="20"/>
          <w:color w:val="auto"/>
        </w:rPr>
      </w:pPr>
    </w:p>
    <w:p>
      <w:pPr>
        <w:ind w:left="120" w:right="620" w:firstLine="440"/>
        <w:spacing w:after="0" w:line="301" w:lineRule="auto"/>
        <w:rPr>
          <w:sz w:val="20"/>
          <w:szCs w:val="20"/>
          <w:color w:val="auto"/>
        </w:rPr>
      </w:pPr>
      <w:r>
        <w:rPr>
          <w:rFonts w:ascii="Arial" w:cs="Arial" w:eastAsia="Arial" w:hAnsi="Arial"/>
          <w:sz w:val="17"/>
          <w:szCs w:val="17"/>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1"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212"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w:t>
      </w:r>
    </w:p>
    <w:p>
      <w:pPr>
        <w:ind w:left="120" w:hanging="4"/>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0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Guarantees, as applicable,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It is possible that a merger, transfer, or other transaction could be treated for U.S. federal income tax purposes as a taxable exchange by the beneficial owners of the Notes for new securities, which could result in beneficial owners of the Notes being required to recognize taxable gain or loss for U.S. federal income tax purposes. A merger, transfer, lease or other transaction could also have adverse tax consequences to beneficial owners of the Notes under other tax laws to which the beneficial owners are subject.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04"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Any subsidiary of the Guarantor may, at its option, assume the obligations of the Company under the Indenture and the Notes of a series, provided that:</w:t>
      </w:r>
    </w:p>
    <w:p>
      <w:pPr>
        <w:spacing w:after="0" w:line="59" w:lineRule="exact"/>
        <w:rPr>
          <w:sz w:val="20"/>
          <w:szCs w:val="20"/>
          <w:color w:val="auto"/>
        </w:rPr>
      </w:pPr>
    </w:p>
    <w:p>
      <w:pPr>
        <w:ind w:left="1080" w:right="260" w:hanging="532"/>
        <w:spacing w:after="0" w:line="27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subsidiary expressly assumes such obligations in an assumption agreement or supplemental indenture duly executed and delivered to the Trustee, and</w:t>
      </w:r>
    </w:p>
    <w:p>
      <w:pPr>
        <w:spacing w:after="0" w:line="59" w:lineRule="exact"/>
        <w:rPr>
          <w:rFonts w:ascii="Arial" w:cs="Arial" w:eastAsia="Arial" w:hAnsi="Arial"/>
          <w:sz w:val="18"/>
          <w:szCs w:val="18"/>
          <w:color w:val="auto"/>
        </w:rPr>
      </w:pPr>
    </w:p>
    <w:p>
      <w:pPr>
        <w:ind w:left="1080" w:right="340" w:hanging="532"/>
        <w:spacing w:after="0" w:line="27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54" w:lineRule="exact"/>
        <w:rPr>
          <w:sz w:val="20"/>
          <w:szCs w:val="20"/>
          <w:color w:val="auto"/>
        </w:rPr>
      </w:pPr>
    </w:p>
    <w:p>
      <w:pPr>
        <w:ind w:left="120" w:right="220" w:firstLine="440"/>
        <w:spacing w:after="0" w:line="244" w:lineRule="auto"/>
        <w:rPr>
          <w:sz w:val="20"/>
          <w:szCs w:val="20"/>
          <w:color w:val="auto"/>
        </w:rPr>
      </w:pPr>
      <w:r>
        <w:rPr>
          <w:rFonts w:ascii="Arial" w:cs="Arial" w:eastAsia="Arial" w:hAnsi="Arial"/>
          <w:sz w:val="18"/>
          <w:szCs w:val="18"/>
          <w:color w:val="auto"/>
        </w:rPr>
        <w:t>Upon any such assumption, the person so assuming the Company’s obligations under the Indenture and the Notes of such series will succeed to, and be substituted for, and may exercise any right and power of, the Company under such Notes and the Indenture with the same effect as if such person had been the issuer thereof, and the Company will be released from its liability as obligor under such Notes. An Officer’s Certificate and an opinion of counsel will be delivered to the Trustee, which will serve as conclusive evidence of compliance with these provisions.</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 assumption of the Company’s obligations as the issuer of the Notes of a series by a subsidiary of the Guarantor may be treated for U.S. federal income tax purposes as a taxable exchange of the Notes for new Notes issued by such subsidiary of the Guarantor. In that event, U.S. Holders (as defined in “U.S. Federal Income Tax Considerations”) of such Notes may recognize taxable gain for U.S. federal income tax purposes, generally in an amount equal to the excess (if any) of the “issue price” of the new Notes over their basis in the old Notes, even though such U.S. Holders continue to hold the Notes and receive no distribution in connection with the deemed disposition. Beneficial owners of Notes who are U.S. Holders should consult their tax advisors regarding the non-U.S., U.S. federal, state and local income tax consequences of an assumption of the Company’s obligations as issuer of Notes by a subsidiary of the Guarantor. See “U.S. Federal Income Tax Considerations.”</w:t>
      </w:r>
    </w:p>
    <w:p>
      <w:pPr>
        <w:spacing w:after="0" w:line="180"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Pursuant to the Indenture, the Trustee will notify holders of an assumption of the Company’s obligations as the issuer of the Notes by a subsidiary of the Guarantor. Upon an assumption treated as a taxable exchange,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 The information on or accessible through the Guarantor’s website is not incorporated herein by reference.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“Events of Default” with respect to a series of Notes:</w:t>
      </w:r>
    </w:p>
    <w:p>
      <w:pPr>
        <w:spacing w:after="0" w:line="117" w:lineRule="exact"/>
        <w:rPr>
          <w:sz w:val="20"/>
          <w:szCs w:val="20"/>
          <w:color w:val="auto"/>
        </w:rPr>
      </w:pPr>
    </w:p>
    <w:p>
      <w:pPr>
        <w:ind w:left="1080" w:right="400" w:hanging="424"/>
        <w:spacing w:after="0" w:line="271"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failure to pay any interest on the Notes of such series within 30 days after such interest becomes due and payable;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080" w:right="140" w:hanging="424"/>
        <w:spacing w:after="0" w:line="271"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failure to pay principal of the Notes of such series at maturity, or if applicable, the redemption price, when the same become due and payable;</w:t>
      </w:r>
    </w:p>
    <w:p>
      <w:pPr>
        <w:spacing w:after="0" w:line="59" w:lineRule="exact"/>
        <w:rPr>
          <w:rFonts w:ascii="Arial" w:cs="Arial" w:eastAsia="Arial" w:hAnsi="Arial"/>
          <w:sz w:val="18"/>
          <w:szCs w:val="18"/>
          <w:color w:val="auto"/>
        </w:rPr>
      </w:pPr>
    </w:p>
    <w:p>
      <w:pPr>
        <w:ind w:left="1080" w:right="20" w:hanging="424"/>
        <w:spacing w:after="0" w:line="24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such series of Notes or the Indenture (other than an agreement or covenant that the Company has included in the Indenture solely for the benefit of another series of debt securities that does not constitute part of such series of Notes) for 90 days after written notice by the Trustee or by the holders of at least 25% in principal amount of all outstanding debt securities affected by that failure;</w:t>
      </w:r>
    </w:p>
    <w:p>
      <w:pPr>
        <w:spacing w:after="0" w:line="79" w:lineRule="exact"/>
        <w:rPr>
          <w:rFonts w:ascii="Arial" w:cs="Arial" w:eastAsia="Arial" w:hAnsi="Arial"/>
          <w:sz w:val="18"/>
          <w:szCs w:val="18"/>
          <w:color w:val="auto"/>
        </w:rPr>
      </w:pPr>
    </w:p>
    <w:p>
      <w:pPr>
        <w:ind w:left="1080" w:right="380" w:hanging="424"/>
        <w:spacing w:after="0" w:line="24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such series of Notes is held in any judicial proceeding to be unenforceable or invalid or ceases for any reason to be in full force and effect, or the Guarantor, or any authorized person acting on behalf of the Guarantor, denies or disaffirms the Guarantor’s obligations under its Guarantee of such series of Notes; and</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12"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A default under one series of Notes or another series of debt securities issued under the Indenture will not necessarily be a default under another series of debt securities under the Indenture. The Trustee may withhold notice to the holders of a series of Notes issued under such Indenture of any default or Event of Default relating to such series of Notes (except in any payment on such series of Notes) if the Trustee considers it in the interest of the holders of such Notes to do so.</w:t>
      </w:r>
    </w:p>
    <w:p>
      <w:pPr>
        <w:spacing w:after="0" w:line="17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an Event of Default for a series of Notes occurs and is continuing, the Trustee or the holders of at least 25% in principal amount of the outstanding Notes of such series (or, in some cases, 25% in principal amount of all outstanding debt securities under the Indenture affected, voting as one class) may require the Company to pay immediately the principal amount plus accrued and unpaid interest on such series of Notes. If an Event of Default relating to certain events of bankruptcy, insolvency or reorganization occurs with respect to the Company or the Guarantor, the principal amount plus accrued and unpaid interest on the Notes will become immediately due and payable without any action on the part of the Trustee or any holder. The holders of a majority in principal amount of the outstanding Notes of such series (or of all outstanding debt securities under the Indenture affected, voting as one class) may in some cases rescind this accelerated payment requirement.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of a series of Notes may pursue any remedy under the Indenture applicable to such Notes only if:</w:t>
      </w:r>
    </w:p>
    <w:p>
      <w:pPr>
        <w:spacing w:after="0" w:line="117"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Notes;</w:t>
      </w:r>
    </w:p>
    <w:p>
      <w:pPr>
        <w:spacing w:after="0" w:line="117" w:lineRule="exact"/>
        <w:rPr>
          <w:rFonts w:ascii="Arial" w:cs="Arial" w:eastAsia="Arial" w:hAnsi="Arial"/>
          <w:sz w:val="18"/>
          <w:szCs w:val="18"/>
          <w:color w:val="auto"/>
        </w:rPr>
      </w:pPr>
    </w:p>
    <w:p>
      <w:pPr>
        <w:ind w:left="1080" w:right="80" w:hanging="424"/>
        <w:spacing w:after="0" w:line="271"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such outstanding Notes make a written request to the Trustee to pursue the remedy;</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1080" w:right="280" w:hanging="424"/>
        <w:spacing w:after="0" w:line="271"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outstanding Notes do not give the Trustee a direction inconsistent with the request.</w:t>
      </w:r>
    </w:p>
    <w:p>
      <w:pPr>
        <w:spacing w:after="0" w:line="15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This provision does not, however, affect the right of a holder of a series of Notes to sue for enforcement of any overdue payment with respect to such Notes.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8"/>
          <w:szCs w:val="18"/>
          <w:color w:val="auto"/>
        </w:rPr>
        <w:t>In most cases, holders of a majority in principal amount of the outstanding Notes of a particular series issued by the Company may direct the time, method and place of:</w:t>
      </w:r>
    </w:p>
    <w:p>
      <w:pPr>
        <w:spacing w:after="0" w:line="5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such Notes; and</w:t>
      </w:r>
    </w:p>
    <w:p>
      <w:pPr>
        <w:spacing w:after="0" w:line="117" w:lineRule="exact"/>
        <w:rPr>
          <w:rFonts w:ascii="Arial" w:cs="Arial" w:eastAsia="Arial" w:hAnsi="Arial"/>
          <w:sz w:val="18"/>
          <w:szCs w:val="18"/>
          <w:color w:val="auto"/>
        </w:rPr>
      </w:pPr>
    </w:p>
    <w:p>
      <w:pPr>
        <w:ind w:left="1080" w:right="40" w:hanging="424"/>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such Notes.</w:t>
      </w:r>
    </w:p>
    <w:p>
      <w:pPr>
        <w:spacing w:after="0" w:line="154"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0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Except as provided in the next two succeeding paragraphs, the Indenture or the Notes of a series or the related Guarantee may be amended or supplemented, and waivers may be obtained, with the consent of the holders of at least a majority in aggregate principal amount of the outstanding Notes of such series (including, without limitation, additional Notes of such series,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of a series or the related Guarantee may be waived with the consent of the holders of a majority in aggregate principal amount of the outstanding Notes of such series (including, without limitation, additional Notes of such series, if any) voting as a single class (including, without limitation, consents obtained in connection with a tender offer or exchange offer for, or purchase of, such Notes).</w:t>
      </w:r>
    </w:p>
    <w:p>
      <w:pPr>
        <w:spacing w:after="0" w:line="180"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8"/>
          <w:szCs w:val="18"/>
          <w:color w:val="auto"/>
        </w:rPr>
        <w:t>Without the consent of each holder of Notes of the relevant series affected thereby, an amendment, supplement or waiver may not (with respect to any Notes of such series held by a non-consenting holder):</w:t>
      </w:r>
    </w:p>
    <w:p>
      <w:pPr>
        <w:spacing w:after="0" w:line="5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amount of Notes of such series whose holders must consent to an amendment, supplement or waiver;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Notes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the Notes of such series;</w:t>
      </w:r>
    </w:p>
    <w:p>
      <w:pPr>
        <w:spacing w:after="0" w:line="117" w:lineRule="exact"/>
        <w:rPr>
          <w:rFonts w:ascii="Arial" w:cs="Arial" w:eastAsia="Arial" w:hAnsi="Arial"/>
          <w:sz w:val="18"/>
          <w:szCs w:val="18"/>
          <w:color w:val="auto"/>
        </w:rPr>
      </w:pPr>
    </w:p>
    <w:p>
      <w:pPr>
        <w:ind w:left="1080" w:right="320" w:hanging="424"/>
        <w:spacing w:after="0" w:line="271"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Notes of such series or change the time at which the Notes of such series may or must be redeemed;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Notes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payments on the Notes of such series payable in currency other than as originally stated in the Notes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the Notes of such series;</w:t>
      </w:r>
    </w:p>
    <w:p>
      <w:pPr>
        <w:spacing w:after="0" w:line="117" w:lineRule="exact"/>
        <w:rPr>
          <w:rFonts w:ascii="Arial" w:cs="Arial" w:eastAsia="Arial" w:hAnsi="Arial"/>
          <w:sz w:val="18"/>
          <w:szCs w:val="18"/>
          <w:color w:val="auto"/>
        </w:rPr>
      </w:pPr>
    </w:p>
    <w:p>
      <w:pPr>
        <w:ind w:left="1080" w:right="380" w:hanging="424"/>
        <w:spacing w:after="0" w:line="25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the Notes of such series necessary to waive compliance with certain provisions of the Indenture the Notes of such series were issued under or to make any change in this provision for modification; or</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Notes of such series.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Notwithstanding the preceding, without the consent of any holder of Notes of the applicable series, the Company, the Guarantor and the Trustee may amend or supplement the Indenture or the Notes of such series or the related Guarantee in certain circumstances, including:</w:t>
      </w:r>
    </w:p>
    <w:p>
      <w:pPr>
        <w:spacing w:after="0" w:line="74"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1080" w:right="160" w:hanging="424"/>
        <w:spacing w:after="0" w:line="24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the assumption of the Company’s or the Guarantor’s obligations under the Indenture, and such Notes or such Guarantee, as applicable, by a successor upon any merger, consolidation or asset transfer in accordance with the requirements under “—Consolidation, Merger and Sale of Assets” or to provide for the assumption of the Company’s obligations under the Indenture and such Notes by a subsidiary of the Guarantor in accordance with the requirements under “—Assumption by a Subsidiary” above;</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Notes of such series in addition to or in place of certificated Notes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any security for or guarantees of the Notes of such series or for the addition of an additional obligor on such Notes;</w:t>
      </w:r>
    </w:p>
    <w:p>
      <w:pPr>
        <w:spacing w:after="0" w:line="117" w:lineRule="exact"/>
        <w:rPr>
          <w:rFonts w:ascii="Arial" w:cs="Arial" w:eastAsia="Arial" w:hAnsi="Arial"/>
          <w:sz w:val="18"/>
          <w:szCs w:val="18"/>
          <w:color w:val="auto"/>
        </w:rPr>
      </w:pPr>
    </w:p>
    <w:p>
      <w:pPr>
        <w:ind w:left="1080" w:right="200" w:hanging="424"/>
        <w:spacing w:after="0" w:line="271"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(the “Trust Indenture Act”), if applicable;</w:t>
      </w:r>
    </w:p>
    <w:p>
      <w:pPr>
        <w:spacing w:after="0" w:line="59" w:lineRule="exact"/>
        <w:rPr>
          <w:rFonts w:ascii="Arial" w:cs="Arial" w:eastAsia="Arial" w:hAnsi="Arial"/>
          <w:sz w:val="18"/>
          <w:szCs w:val="18"/>
          <w:color w:val="auto"/>
        </w:rPr>
      </w:pPr>
    </w:p>
    <w:p>
      <w:pPr>
        <w:ind w:left="1080" w:right="200" w:hanging="424"/>
        <w:spacing w:after="0" w:line="271"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such series of outstanding Notes or to surrender any rights the Company has under the Indenture;</w:t>
      </w:r>
    </w:p>
    <w:p>
      <w:pPr>
        <w:spacing w:after="0" w:line="59" w:lineRule="exact"/>
        <w:rPr>
          <w:rFonts w:ascii="Arial" w:cs="Arial" w:eastAsia="Arial" w:hAnsi="Arial"/>
          <w:sz w:val="18"/>
          <w:szCs w:val="18"/>
          <w:color w:val="auto"/>
        </w:rPr>
      </w:pPr>
    </w:p>
    <w:p>
      <w:pPr>
        <w:ind w:left="1080" w:right="100" w:hanging="424"/>
        <w:spacing w:after="0" w:line="25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will not become effective with respect to such Notes or any other series of debt securities created prior to the execution of such supplemental indenture which is entitled to the benefit of such provision;</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17"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issue additional Notes of such series; provided that such additional Notes have the same terms as, and will be deemed part of the same series as, such Notes to the extent required under the Indenture;</w:t>
      </w:r>
    </w:p>
    <w:p>
      <w:pPr>
        <w:spacing w:after="0" w:line="59" w:lineRule="exact"/>
        <w:rPr>
          <w:rFonts w:ascii="Arial" w:cs="Arial" w:eastAsia="Arial" w:hAnsi="Arial"/>
          <w:sz w:val="18"/>
          <w:szCs w:val="18"/>
          <w:color w:val="auto"/>
        </w:rPr>
      </w:pPr>
    </w:p>
    <w:p>
      <w:pPr>
        <w:ind w:left="1080" w:hanging="424"/>
        <w:spacing w:after="0" w:line="25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such Notes and to add to or change any of the provisions of the Indenture as are necessary to provide for or facilitate the administration of the trust by more than one trustee;</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the Notes of such series;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the outstanding Notes of such series in any material respect.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Liability of Directors, Officers, Employees, Stockholders and Certain Others</w:t>
      </w:r>
    </w:p>
    <w:p>
      <w:pPr>
        <w:spacing w:after="0" w:line="104"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0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with respect to a series of Notes. If the Company deposits with the Trustee funds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and/or Government Obligations sufficient to make payments on a series of Notes on the dates those payments are due and payable and satisfies certain other requirements, then, at the Company’s option, either of the following will occur:</w:t>
      </w:r>
    </w:p>
    <w:p>
      <w:pPr>
        <w:spacing w:after="0" w:line="59" w:lineRule="exact"/>
        <w:rPr>
          <w:sz w:val="20"/>
          <w:szCs w:val="20"/>
          <w:color w:val="auto"/>
        </w:rPr>
      </w:pPr>
    </w:p>
    <w:p>
      <w:pPr>
        <w:ind w:left="1080" w:right="240" w:hanging="424"/>
        <w:spacing w:after="0" w:line="271"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such series of Notes, except as described in the second succeeding paragraph below (“legal defeasance”); or</w:t>
      </w:r>
    </w:p>
    <w:p>
      <w:pPr>
        <w:spacing w:after="0" w:line="59" w:lineRule="exact"/>
        <w:rPr>
          <w:rFonts w:ascii="Arial" w:cs="Arial" w:eastAsia="Arial" w:hAnsi="Arial"/>
          <w:sz w:val="18"/>
          <w:szCs w:val="18"/>
          <w:color w:val="auto"/>
        </w:rPr>
      </w:pPr>
    </w:p>
    <w:p>
      <w:pPr>
        <w:ind w:left="1080" w:right="180" w:hanging="424"/>
        <w:spacing w:after="0" w:line="24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and the Guarantor will no longer have any obligation to comply with the covenants described under “—Limitation on Liens” and “—Consolidation, Merger and Sale of Assets” with respect to such series of Notes (the defeased covenants”) and the failure to comply with the defeased covenants would not constitute an Event of Default with respect to such series of Notes (“covenant defeasance”).</w:t>
      </w:r>
    </w:p>
    <w:p>
      <w:pPr>
        <w:spacing w:after="0" w:line="174"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We may exercise our legal defeasance option with respect to a series of Notes notwithstanding our prior exercise of our covenant defeasance option with respect to such series of Notes.</w:t>
      </w:r>
    </w:p>
    <w:p>
      <w:pPr>
        <w:spacing w:after="0" w:line="15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7"/>
          <w:szCs w:val="17"/>
          <w:color w:val="auto"/>
        </w:rPr>
        <w:t>If we exercise our legal defeasance option with respect to a series of Notes, the Company and the Guarantor will be deemed to have paid and discharged the entire indebtedness represented by such outstanding Notes and the applicable Guarantee, and to have satisfied all other obligations under such Notes, the applicable Guarantee and the Indenture with respect to such series of Notes, except as to</w:t>
      </w:r>
    </w:p>
    <w:p>
      <w:pPr>
        <w:spacing w:after="0" w:line="2" w:lineRule="exact"/>
        <w:rPr>
          <w:sz w:val="20"/>
          <w:szCs w:val="20"/>
          <w:color w:val="auto"/>
        </w:rPr>
      </w:pPr>
    </w:p>
    <w:p>
      <w:pPr>
        <w:jc w:val="both"/>
        <w:ind w:left="120" w:right="300" w:hanging="4"/>
        <w:spacing w:after="0" w:line="242" w:lineRule="auto"/>
        <w:tabs>
          <w:tab w:leader="none" w:pos="3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obligations to register the transfer or exchange of such Notes, replace stolen, lost or mutilated Notes, pay Additional Amounts, maintain paying agencies, and hold moneys for payment in trust, and (ii) the obligation of the Company and the Guarantor to compensate and indemnify the Trustee.</w:t>
      </w:r>
    </w:p>
    <w:p>
      <w:pPr>
        <w:spacing w:after="0" w:line="17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If we exercise our covenant defeasance option with respect to a series of Notes, the Company and the Guarantor will no longer have any obligation to comply with the defeased covenants with respect to such Notes, and the failure to comply with the defeased covenants would not constitute an Event of Default with respect to such series of Notes. Except as specified in the Indenture, however, the remainder of the Indenture and such series of Notes will be unaffected by the occurrence of covenant defeasance, and such Notes will continue to be deemed “outstanding” for all other purposes under the Indenture other than for the purposes of any direction, waiver, consent or declaration or act of holders (and the consequences of any thereof) in connection with any of the defeased covenants.</w:t>
      </w:r>
    </w:p>
    <w:p>
      <w:pPr>
        <w:spacing w:after="0" w:line="179" w:lineRule="exact"/>
        <w:rPr>
          <w:sz w:val="20"/>
          <w:szCs w:val="20"/>
          <w:color w:val="auto"/>
        </w:rPr>
      </w:pPr>
    </w:p>
    <w:p>
      <w:pPr>
        <w:ind w:left="120" w:right="280" w:firstLine="440"/>
        <w:spacing w:after="0" w:line="245"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or a tax ruling to the effect that the deposit and related defeasance would not cause the beneficial owners of the Notes to recognize income, gain or loss for</w:t>
      </w:r>
    </w:p>
    <w:p>
      <w:pPr>
        <w:ind w:left="120" w:right="160"/>
        <w:spacing w:after="0" w:line="250" w:lineRule="auto"/>
        <w:rPr>
          <w:sz w:val="20"/>
          <w:szCs w:val="20"/>
          <w:color w:val="auto"/>
        </w:rPr>
      </w:pPr>
      <w:r>
        <w:rPr>
          <w:rFonts w:ascii="Arial" w:cs="Arial" w:eastAsia="Arial" w:hAnsi="Arial"/>
          <w:sz w:val="18"/>
          <w:szCs w:val="18"/>
          <w:color w:val="auto"/>
        </w:rPr>
        <w:t>U.S. federal income tax purposes. If the Company elects legal defeasance, that opinion of counsel must be based upon a ruling from the U.S. Internal Revenue Service (or successor agency) or changes in law to that effect.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0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The Bank of New York Mellon is Trustee under the Indenture for all series of Notes. The Trustee performs services for the Guarantor and its subsidiaries in the ordinary course of business.</w:t>
      </w:r>
    </w:p>
    <w:p>
      <w:pPr>
        <w:spacing w:after="0" w:line="15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such person’s own affairs. The Trustee will become obligated to exercise any of its powers under the Indenture at the request of any of the holders of the Notes of any series issued under the Indenture only after those holders have furnished the Trustee indemnity or security reasonably satisfactory to it.</w:t>
      </w:r>
    </w:p>
    <w:p>
      <w:pPr>
        <w:spacing w:after="0" w:line="174"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on its rights to obtain payment of claims or to realize on certain property received for any such claim,</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as security or otherwise. The Trustee is permitted to engage in other transactions with us. If, however, it acquires any conflicting interest (as defined under the Trust Indenture Act) with respect to a series of Notes, it must eliminate such conflict, resign as trustee for such Notes or obtain an order from the SEC permitting it to remain as Trustee for such Notes.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04" w:lineRule="exact"/>
        <w:rPr>
          <w:sz w:val="20"/>
          <w:szCs w:val="20"/>
          <w:color w:val="auto"/>
        </w:rPr>
      </w:pPr>
    </w:p>
    <w:p>
      <w:pPr>
        <w:ind w:left="120" w:right="120" w:firstLine="440"/>
        <w:spacing w:after="0" w:line="244" w:lineRule="auto"/>
        <w:rPr>
          <w:sz w:val="20"/>
          <w:szCs w:val="20"/>
          <w:color w:val="auto"/>
        </w:rPr>
      </w:pPr>
      <w:r>
        <w:rPr>
          <w:rFonts w:ascii="Arial" w:cs="Arial" w:eastAsia="Arial" w:hAnsi="Arial"/>
          <w:sz w:val="18"/>
          <w:szCs w:val="18"/>
          <w:color w:val="auto"/>
        </w:rPr>
        <w:t>We will maintain one or more paying agents (each a “Paying Agent”) for the Notes in the Borough of Manhattan, City of New York. Upon written notice to the Trustee accompanied by an Officer’s Certificate, we may appoint one or more Paying Agents, other than the Trustee, for the Notes. If we fail to appoint or maintain another entity as Paying Agent in the Borough of Manhattan, City of New York, the Trustee will act as such. The Company, the Guarantor or any of the Guarantor’s subsidiaries, upon notice to the Trustee, may act as Paying Agent. The initial Paying Agent will be The Bank of New York Mellon in New York.</w:t>
      </w:r>
    </w:p>
    <w:p>
      <w:pPr>
        <w:spacing w:after="0" w:line="176"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We will also maintain a registrar (the “Registrar”) with an office in the Borough of Manhattan, City of New York. Upon written notice to the Trustee accompanied by an Officer’s Certificate, we may appoint one or more registrars, other than the Trustee, for the Notes. If we fail to appoint or maintain another entity as Registrar, the Trustee will act as such. The Company, the Guarantor or any of the Guarantor’s subsidiaries, upon notice to the Trustee, may act as Registrar. The initial Registrar will be The Bank of New York Mellon in New York.</w:t>
      </w:r>
    </w:p>
    <w:p>
      <w:pPr>
        <w:spacing w:after="0" w:line="174" w:lineRule="exact"/>
        <w:rPr>
          <w:sz w:val="20"/>
          <w:szCs w:val="20"/>
          <w:color w:val="auto"/>
        </w:rPr>
      </w:pPr>
    </w:p>
    <w:p>
      <w:pPr>
        <w:jc w:val="both"/>
        <w:ind w:left="120" w:right="80" w:firstLine="440"/>
        <w:spacing w:after="0" w:line="244"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the Notes. If we fail to appoint or maintain another entity as transfer agent, the Trustee will act as such. The Company, the Guarantor or any of the Guarantor’s subsidiaries, upon notice to the Trustee, may act as transfer agent. The initial transfer agent will be The Bank of New York Mellon in New York.</w:t>
      </w:r>
    </w:p>
    <w:p>
      <w:pPr>
        <w:spacing w:after="0" w:line="176"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The Registrar will maintain a register reflecting ownership of Notes outstanding from time to time and the Paying Agent will make payments on and facilitate transfer of Notes on our behalf.</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change any Paying Agents, Registrars or transfer agents without prior notice to the holders of Notes.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Issuances</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Company may, from time to time, without notice to or consent of the registered holders of the Notes of a series, increase the principal amount of such Notes that may be issued under the Indenture and issue such increased principal amount (or any portion thereof), in which case any such additional Notes so issued will have the same form and terms (other than the date of issuance and initial interest payment date), and will carry the same right to receive accrued and unpaid interest, as the Notes of such series previously issued, and such additional Notes will form a single series with the previously issued Notes of such series, including for purposes of voting and redemptions; provided, however, that a separate CUSIP or ISIN would be issued for such additional Notes, unless the previously outstanding Notes of the series and such additional Notes are fungible for U.S. federal income tax purposes. Such additional Notes will also be guaranteed by the Guarantor (with the same ranking as the existing Guarantee for the Notes of such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0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We will issue the Notes of each series in registered, global form (each, a “global Note”), without coupons, in minimum denominations of US$2,000 and integral multiples of US$1,000 in excess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thereof, that will be deposited with, or on behalf of, DTC. The global Notes will be registered in the name of Cede &amp; Co., DTC’s nominee.</w:t>
      </w:r>
    </w:p>
    <w:p>
      <w:pPr>
        <w:spacing w:after="0" w:line="212"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5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7"/>
          <w:szCs w:val="17"/>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w:t>
      </w:r>
    </w:p>
    <w:p>
      <w:pPr>
        <w:ind w:left="120" w:right="40"/>
        <w:spacing w:after="0" w:line="242" w:lineRule="auto"/>
        <w:rPr>
          <w:sz w:val="20"/>
          <w:szCs w:val="20"/>
          <w:color w:val="auto"/>
        </w:rPr>
      </w:pPr>
      <w:r>
        <w:rPr>
          <w:rFonts w:ascii="Arial" w:cs="Arial" w:eastAsia="Arial" w:hAnsi="Arial"/>
          <w:sz w:val="18"/>
          <w:szCs w:val="18"/>
          <w:color w:val="auto"/>
        </w:rPr>
        <w:t>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of a series represented by a global Note can be exchanged for definitive securities of such series in registered form only if:</w:t>
      </w:r>
    </w:p>
    <w:p>
      <w:pPr>
        <w:spacing w:after="0" w:line="117" w:lineRule="exact"/>
        <w:rPr>
          <w:sz w:val="20"/>
          <w:szCs w:val="20"/>
          <w:color w:val="auto"/>
        </w:rPr>
      </w:pPr>
    </w:p>
    <w:p>
      <w:pPr>
        <w:ind w:left="1080" w:right="60" w:hanging="424"/>
        <w:spacing w:after="0" w:line="25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DTC (a) notifies us that it is unwilling or unable to continue as depositary for the global Notes of such series or (b) has ceased to be a clearing agency registered under the Securities Exchange Act of 1934, as amended (the “Exchange Act”), and, in either case, we fail to appoint a successor depositary within 90 days of such event; or</w:t>
      </w:r>
    </w:p>
    <w:p>
      <w:pPr>
        <w:spacing w:after="0" w:line="74" w:lineRule="exact"/>
        <w:rPr>
          <w:rFonts w:ascii="Arial" w:cs="Arial" w:eastAsia="Arial" w:hAnsi="Arial"/>
          <w:sz w:val="18"/>
          <w:szCs w:val="18"/>
          <w:color w:val="auto"/>
        </w:rPr>
      </w:pPr>
    </w:p>
    <w:p>
      <w:pPr>
        <w:ind w:left="1080" w:right="580" w:hanging="424"/>
        <w:spacing w:after="0" w:line="271"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determine that such Notes will no longer be represented by a global Note and execute and deliver to the Trustee an Officer’s Certificate to such effect.</w:t>
      </w:r>
    </w:p>
    <w:p>
      <w:pPr>
        <w:spacing w:after="0" w:line="154" w:lineRule="exact"/>
        <w:rPr>
          <w:sz w:val="20"/>
          <w:szCs w:val="20"/>
          <w:color w:val="auto"/>
        </w:rPr>
      </w:pPr>
    </w:p>
    <w:p>
      <w:pPr>
        <w:jc w:val="both"/>
        <w:ind w:left="120" w:right="40" w:firstLine="440"/>
        <w:spacing w:after="0" w:line="253" w:lineRule="auto"/>
        <w:rPr>
          <w:sz w:val="20"/>
          <w:szCs w:val="20"/>
          <w:color w:val="auto"/>
        </w:rPr>
      </w:pPr>
      <w:r>
        <w:rPr>
          <w:rFonts w:ascii="Arial" w:cs="Arial" w:eastAsia="Arial" w:hAnsi="Arial"/>
          <w:sz w:val="18"/>
          <w:szCs w:val="18"/>
          <w:color w:val="auto"/>
        </w:rPr>
        <w:t>A global Note of a series that can be exchanged as described in the preceding sentence will be exchanged for definitive Notes of the same series issued in authorized denominations in registered form for the same aggregate amount. The definitive Notes will be registered in the names of the owners of the beneficial interests in the global Note as directed by DTC.</w:t>
      </w:r>
    </w:p>
    <w:p>
      <w:pPr>
        <w:spacing w:after="0" w:line="169" w:lineRule="exact"/>
        <w:rPr>
          <w:sz w:val="20"/>
          <w:szCs w:val="20"/>
          <w:color w:val="auto"/>
        </w:rPr>
      </w:pPr>
    </w:p>
    <w:p>
      <w:pPr>
        <w:ind w:left="120" w:right="280" w:firstLine="440"/>
        <w:spacing w:after="0" w:line="247" w:lineRule="auto"/>
        <w:rPr>
          <w:sz w:val="20"/>
          <w:szCs w:val="20"/>
          <w:color w:val="auto"/>
        </w:rPr>
      </w:pPr>
      <w:r>
        <w:rPr>
          <w:rFonts w:ascii="Arial" w:cs="Arial" w:eastAsia="Arial" w:hAnsi="Arial"/>
          <w:sz w:val="18"/>
          <w:szCs w:val="18"/>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79" w:lineRule="exact"/>
        <w:rPr>
          <w:sz w:val="20"/>
          <w:szCs w:val="20"/>
          <w:color w:val="auto"/>
        </w:rPr>
      </w:pPr>
    </w:p>
    <w:p>
      <w:pPr>
        <w:ind w:left="1080" w:right="980" w:hanging="424"/>
        <w:spacing w:after="0" w:line="271"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Note represented by a global Note;</w:t>
      </w:r>
    </w:p>
    <w:p>
      <w:pPr>
        <w:spacing w:after="0" w:line="5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of the relationship between those participants and the owners of beneficial interests in a global Note held through those participants; or</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maintenance, supervision or review of any of DTC’s records relating to those beneficial ownership interests.</w:t>
      </w:r>
    </w:p>
    <w:p>
      <w:pPr>
        <w:spacing w:after="0" w:line="212"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one of its participating organizations (collectively, the “DTC Participants”),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80"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6"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174"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52"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w:t>
      </w:r>
    </w:p>
    <w:p>
      <w:pPr>
        <w:spacing w:after="0" w:line="17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w:t>
      </w:r>
      <w:r>
        <w:rPr>
          <w:rFonts w:ascii="Arial" w:cs="Arial" w:eastAsia="Arial" w:hAnsi="Arial"/>
          <w:sz w:val="18"/>
          <w:szCs w:val="18"/>
          <w:i w:val="1"/>
          <w:iCs w:val="1"/>
          <w:color w:val="auto"/>
        </w:rPr>
        <w:t>Commission de Surveillance du Secteur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Financier</w:t>
      </w:r>
      <w:r>
        <w:rPr>
          <w:rFonts w:ascii="Arial" w:cs="Arial" w:eastAsia="Arial" w:hAnsi="Arial"/>
          <w:sz w:val="18"/>
          <w:szCs w:val="18"/>
          <w:color w:val="auto"/>
        </w:rPr>
        <w:t>). Clearstream Participants are recognized financial institutions around the world, including underwriters, securities brokers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3" w:lineRule="exact"/>
        <w:rPr>
          <w:sz w:val="20"/>
          <w:szCs w:val="20"/>
          <w:color w:val="auto"/>
        </w:rPr>
      </w:pPr>
    </w:p>
    <w:p>
      <w:pPr>
        <w:ind w:left="120" w:right="960" w:firstLine="440"/>
        <w:spacing w:after="0" w:line="301" w:lineRule="auto"/>
        <w:rPr>
          <w:sz w:val="20"/>
          <w:szCs w:val="20"/>
          <w:color w:val="auto"/>
        </w:rPr>
      </w:pPr>
      <w:r>
        <w:rPr>
          <w:rFonts w:ascii="Arial" w:cs="Arial" w:eastAsia="Arial" w:hAnsi="Arial"/>
          <w:sz w:val="17"/>
          <w:szCs w:val="17"/>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Euroclear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6" w:lineRule="exact"/>
        <w:rPr>
          <w:sz w:val="20"/>
          <w:szCs w:val="20"/>
          <w:color w:val="auto"/>
        </w:rPr>
      </w:pPr>
    </w:p>
    <w:p>
      <w:pPr>
        <w:ind w:left="120" w:right="500" w:firstLine="440"/>
        <w:spacing w:after="0" w:line="271"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5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04"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76"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hand,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Because of time 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9" w:lineRule="exact"/>
        <w:rPr>
          <w:sz w:val="20"/>
          <w:szCs w:val="20"/>
          <w:color w:val="auto"/>
        </w:rPr>
      </w:pPr>
    </w:p>
    <w:p>
      <w:pPr>
        <w:jc w:val="both"/>
        <w:ind w:left="120" w:right="560" w:firstLine="440"/>
        <w:spacing w:after="0" w:line="253" w:lineRule="auto"/>
        <w:rPr>
          <w:sz w:val="20"/>
          <w:szCs w:val="20"/>
          <w:color w:val="auto"/>
        </w:rPr>
      </w:pPr>
      <w:r>
        <w:rPr>
          <w:rFonts w:ascii="Arial" w:cs="Arial" w:eastAsia="Arial" w:hAnsi="Arial"/>
          <w:sz w:val="18"/>
          <w:szCs w:val="18"/>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those systems are open for business. Those systems may not be open for business on days when banks, brokers, and other institutions are open for business in the United States. In addition, because of time 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79"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NON-U.S. FEDERAL INCOME TAX CONSIDERATIONS</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This summary solely addresses the principal Luxembourg tax consequences of the acquisition, ownership and disposal of the Notes and does not purport to describe every aspect of taxation that may be relevant to a particular holder. Tax matters are complex, and the tax consequences of the offer to a particular holder of Notes will depend in part on such holder’s circumstances. Accordingly, a holder is urged to consult his tax advisor for a full understanding of the tax consequences of the offer to him, including the applicability and effect of Luxembourg tax laws.</w:t>
      </w:r>
    </w:p>
    <w:p>
      <w:pPr>
        <w:spacing w:after="0" w:line="176"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7"/>
          <w:szCs w:val="17"/>
          <w:color w:val="auto"/>
        </w:rPr>
        <w:t>Where in this summary English terms and expressions are used to refer to Luxembourg concepts, the meaning to be attributed to such terms and expressions shall be the meaning to be attributed to the equivalent Luxembourg concepts under Luxembourg tax law.</w:t>
      </w:r>
    </w:p>
    <w:p>
      <w:pPr>
        <w:spacing w:after="0" w:line="131" w:lineRule="exact"/>
        <w:rPr>
          <w:sz w:val="20"/>
          <w:szCs w:val="20"/>
          <w:color w:val="auto"/>
        </w:rPr>
      </w:pPr>
    </w:p>
    <w:p>
      <w:pPr>
        <w:jc w:val="both"/>
        <w:ind w:left="120" w:right="80" w:firstLine="440"/>
        <w:spacing w:after="0" w:line="253" w:lineRule="auto"/>
        <w:rPr>
          <w:sz w:val="20"/>
          <w:szCs w:val="20"/>
          <w:color w:val="auto"/>
        </w:rPr>
      </w:pPr>
      <w:r>
        <w:rPr>
          <w:rFonts w:ascii="Arial" w:cs="Arial" w:eastAsia="Arial" w:hAnsi="Arial"/>
          <w:sz w:val="18"/>
          <w:szCs w:val="18"/>
          <w:color w:val="auto"/>
        </w:rPr>
        <w:t>This summary is based on the tax law of Luxembourg (unpublished case law not included) as it stands at the date of this prospectus supplement. The tax law upon which this summary is based, is subject to changes, possibly with retroactive effect. Any such change may invalidate the contents of this summary, which will not be updated to reflect such change.</w:t>
      </w:r>
    </w:p>
    <w:p>
      <w:pPr>
        <w:spacing w:after="0" w:line="169"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8"/>
          <w:szCs w:val="18"/>
          <w:color w:val="auto"/>
        </w:rPr>
        <w:t>This overview assumes that the notes are debt obligations of the Company for Luxembourg tax purposes and that each transaction with respect to the Notes is at arm’s length.</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summary in this Luxembourg taxation paragraph does not address the Luxembourg tax consequences for a noteholder who:</w:t>
      </w:r>
    </w:p>
    <w:p>
      <w:pPr>
        <w:spacing w:after="0" w:line="117" w:lineRule="exact"/>
        <w:rPr>
          <w:sz w:val="20"/>
          <w:szCs w:val="20"/>
          <w:color w:val="auto"/>
        </w:rPr>
      </w:pPr>
    </w:p>
    <w:p>
      <w:pPr>
        <w:ind w:left="1080" w:hanging="532"/>
        <w:spacing w:after="0" w:line="24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an investor as defined in a specific law (such as the law on family wealth management companies of 11 May 2007, as amended, the law on undertakings for collective investment of 17 December 2010, as amended, the law on specialized investment funds of 13 February 2007, as amended, the law on reserved alternative investment funds of 23 July 2016, the law on securitisation of 22 March 2004, as amended, the law on venture capital vehicles of 15 June 2004, as amended and the law on pension saving companies and associations of 13 July 2005);</w:t>
      </w:r>
    </w:p>
    <w:p>
      <w:pPr>
        <w:spacing w:after="0" w:line="8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in whole or in part, exempt from tax;</w:t>
      </w:r>
    </w:p>
    <w:p>
      <w:pPr>
        <w:spacing w:after="0" w:line="117" w:lineRule="exact"/>
        <w:rPr>
          <w:rFonts w:ascii="Arial" w:cs="Arial" w:eastAsia="Arial" w:hAnsi="Arial"/>
          <w:sz w:val="18"/>
          <w:szCs w:val="18"/>
          <w:color w:val="auto"/>
        </w:rPr>
      </w:pPr>
    </w:p>
    <w:p>
      <w:pPr>
        <w:ind w:left="1080" w:right="240" w:hanging="532"/>
        <w:spacing w:after="0" w:line="27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acquires, owns or disposes of the Notes in connection with a membership of a management board, a supervisory board, an employment relationship, a deemed employment relationship or management role; or</w:t>
      </w:r>
    </w:p>
    <w:p>
      <w:pPr>
        <w:spacing w:after="0" w:line="59" w:lineRule="exact"/>
        <w:rPr>
          <w:rFonts w:ascii="Arial" w:cs="Arial" w:eastAsia="Arial" w:hAnsi="Arial"/>
          <w:sz w:val="18"/>
          <w:szCs w:val="18"/>
          <w:color w:val="auto"/>
        </w:rPr>
      </w:pPr>
    </w:p>
    <w:p>
      <w:pPr>
        <w:ind w:left="1080" w:right="40" w:hanging="532"/>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has a substantial interest in the Company or a deemed substantial interest in the Company for Luxembourg tax purposes. Generally, a person holds a substantial interest if such person owns or is deemed to own, directly or indirectly, more than 10% of the shares or interest in an entity.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Tax</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Non-resident noteholders</w:t>
      </w:r>
    </w:p>
    <w:p>
      <w:pPr>
        <w:spacing w:after="0" w:line="102"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All payments of interest and principal under the Notes made to non-residents of Luxembourg may be made free from withholding or deduction of or for any taxes of whatever nature imposed, levied, withheld or assessed by Luxembourg or any political subdivision or taxing authority of or in Luxembourg.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Individual resident noteholders</w:t>
      </w:r>
    </w:p>
    <w:p>
      <w:pPr>
        <w:spacing w:after="0" w:line="10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Under the law of 23 December 2005 as amended (the “Relibi Law”), payments of interest and similar income made or deemed to be made to an individual who is resident in Luxembourg are subject to a withholding tax of 20% of the payment.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 on Income and Capital Gains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Non-resident noteholders</w:t>
      </w:r>
    </w:p>
    <w:p>
      <w:pPr>
        <w:spacing w:after="0" w:line="1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Non-resident noteholders that do not have a permanent establishment in Luxembourg to which the Notes or income thereon are attributable are not subject to Luxembourg income taxes in respect of any benefits derived or deemed to be derived in connection with the Notes.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Resident noteholders</w:t>
      </w:r>
    </w:p>
    <w:p>
      <w:pPr>
        <w:spacing w:after="0" w:line="102"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i w:val="1"/>
          <w:iCs w:val="1"/>
          <w:color w:val="auto"/>
        </w:rPr>
        <w:t>Individuals</w:t>
      </w:r>
      <w:r>
        <w:rPr>
          <w:rFonts w:ascii="Arial" w:cs="Arial" w:eastAsia="Arial" w:hAnsi="Arial"/>
          <w:sz w:val="18"/>
          <w:szCs w:val="18"/>
          <w:color w:val="auto"/>
        </w:rPr>
        <w:t>. Any benefits derived or deemed to be derived from or in connection with Notes that are attributable to an enterprise from</w:t>
      </w:r>
      <w:r>
        <w:rPr>
          <w:rFonts w:ascii="Arial" w:cs="Arial" w:eastAsia="Arial" w:hAnsi="Arial"/>
          <w:sz w:val="18"/>
          <w:szCs w:val="18"/>
          <w:i w:val="1"/>
          <w:iCs w:val="1"/>
          <w:color w:val="auto"/>
        </w:rPr>
        <w:t xml:space="preserve"> </w:t>
      </w:r>
      <w:r>
        <w:rPr>
          <w:rFonts w:ascii="Arial" w:cs="Arial" w:eastAsia="Arial" w:hAnsi="Arial"/>
          <w:sz w:val="18"/>
          <w:szCs w:val="18"/>
          <w:color w:val="auto"/>
        </w:rPr>
        <w:t>which an individual derives profits, whether as an entrepreneur or pursuant to a co-entitlement to the net value of an enterprise, are generally subject to Luxembourg income tax. A resident individual who invests in the Notes as part of such person’s private wealth management, is subject to Luxembourg income tax in respect of interest and similar income (such as premiums or issue discounts) derived from the Notes, except if tax is levied on such income in accordance with the Relibi Law. A gain realised by a resident individual, acting in the course of the management of that person’s private wealth, upon the sale or disposal, in any form whatsoever, of Notes is not subject to Luxembourg income tax, provided this sale or disposal takes place more than six months after the Notes are acquired.</w:t>
      </w:r>
    </w:p>
    <w:p>
      <w:pPr>
        <w:spacing w:after="0" w:line="18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However, any portion of such gain corresponding to accrued but unpaid interest is subject to Luxembourg income tax, except if tax is levied on such interest in accordance with the Relibi Law. Any benefit derived by a resident individual from the disposal of Notes prior to their acquisition is subject to income tax as well.</w:t>
      </w:r>
    </w:p>
    <w:p>
      <w:pPr>
        <w:spacing w:after="0" w:line="169"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i w:val="1"/>
          <w:iCs w:val="1"/>
          <w:color w:val="auto"/>
        </w:rPr>
        <w:t>Corporations</w:t>
      </w:r>
      <w:r>
        <w:rPr>
          <w:rFonts w:ascii="Arial" w:cs="Arial" w:eastAsia="Arial" w:hAnsi="Arial"/>
          <w:sz w:val="18"/>
          <w:szCs w:val="18"/>
          <w:color w:val="auto"/>
        </w:rPr>
        <w:t>. A corporate resident noteholder must include any benefits derived or deemed to be derived from or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such as interest accrued or received, any redemption premium or issue discount, as well as any gain realized on the sale or disposal, in any form whatsoever, of the Notes, in its taxable income for Luxembourg income tax purposes.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02"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If a noteholder is neither resident nor deemed to be resident in Luxembourg, such holder will for Luxembourg tax purposes not carry on or be deemed to carry on an enterprise, in whole or in part, through a permanent establishment or a permanent representative in Luxembourg by reason only of the execution of the documents relating to the issue of Notes or the performance by the Company of its obligations under such documents or under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Wealth Tax</w:t>
      </w:r>
    </w:p>
    <w:p>
      <w:pPr>
        <w:spacing w:after="0" w:line="10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 xml:space="preserve">Corporate noteholders resident in Luxembourg and non-resident corporate noteholders that maintain a permanent establishment in Luxembourg to which such Notes are attributable are subject to annual net wealth tax on their unitary value (i.e., non-exempt assets minus liabilities and certain provisions as valued according to the Luxembourg valuation rules), levied at a rate of 0.5% if the unitary value does not exceed </w:t>
      </w:r>
      <w:r>
        <w:rPr>
          <w:rFonts w:ascii="Times New Roman" w:cs="Times New Roman" w:eastAsia="Times New Roman" w:hAnsi="Times New Roman"/>
          <w:sz w:val="18"/>
          <w:szCs w:val="18"/>
          <w:color w:val="auto"/>
        </w:rPr>
        <w:t>€</w:t>
      </w:r>
      <w:r>
        <w:rPr>
          <w:rFonts w:ascii="Arial" w:cs="Arial" w:eastAsia="Arial" w:hAnsi="Arial"/>
          <w:sz w:val="18"/>
          <w:szCs w:val="18"/>
          <w:color w:val="auto"/>
        </w:rPr>
        <w:t>500,000,000.</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Individuals are not subject to Luxembourg net wealth tax.</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Inheritance and Gift Tax</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transferred for non-consideration:</w:t>
      </w:r>
    </w:p>
    <w:p>
      <w:pPr>
        <w:spacing w:after="0" w:line="117" w:lineRule="exact"/>
        <w:rPr>
          <w:sz w:val="20"/>
          <w:szCs w:val="20"/>
          <w:color w:val="auto"/>
        </w:rPr>
      </w:pPr>
    </w:p>
    <w:p>
      <w:pPr>
        <w:ind w:left="1080" w:right="580" w:hanging="532"/>
        <w:spacing w:after="0" w:line="27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Luxembourg inheritance tax is levied on the transfer of the Notes upon the death of a noteholder in cases where the deceased was not a resident or a deemed resident of Luxembourg for inheritance tax purposes;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80" w:right="140" w:hanging="532"/>
        <w:spacing w:after="0" w:line="25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way of gift, Luxembourg gift tax will be levied in the event that the gift is made pursuant to a notarial deed signed before a Luxembourg notary or produced for registration, directly or indirectly, before the Registration and Estates Department (</w:t>
      </w:r>
      <w:r>
        <w:rPr>
          <w:rFonts w:ascii="Arial" w:cs="Arial" w:eastAsia="Arial" w:hAnsi="Arial"/>
          <w:sz w:val="18"/>
          <w:szCs w:val="18"/>
          <w:i w:val="1"/>
          <w:iCs w:val="1"/>
          <w:color w:val="auto"/>
        </w:rPr>
        <w:t>Administration de l’enregistrement, des domaines et de la TVA</w:t>
      </w:r>
      <w:r>
        <w:rPr>
          <w:rFonts w:ascii="Arial" w:cs="Arial" w:eastAsia="Arial" w:hAnsi="Arial"/>
          <w:sz w:val="18"/>
          <w:szCs w:val="18"/>
          <w:color w:val="auto"/>
        </w:rPr>
        <w: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Taxes and Duties</w:t>
      </w:r>
    </w:p>
    <w:p>
      <w:pPr>
        <w:spacing w:after="0" w:line="104"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It is not compulsory that the Notes be filed, recorded, or enrolled with any court or other authority in Luxembourg. No registration tax, stamp duty or any other similar documentary tax or duty is due in respect of or in connection with the issue of Notes, the performance by the Company of its obligations under the Notes, or the transfer of the Notes.</w:t>
      </w:r>
    </w:p>
    <w:p>
      <w:pPr>
        <w:spacing w:after="0" w:line="169"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A fixed or proportional registration duty in Luxembourg may however apply upon registration of the Notes before the Registration and Estates Department (</w:t>
      </w:r>
      <w:r>
        <w:rPr>
          <w:rFonts w:ascii="Arial" w:cs="Arial" w:eastAsia="Arial" w:hAnsi="Arial"/>
          <w:sz w:val="18"/>
          <w:szCs w:val="18"/>
          <w:i w:val="1"/>
          <w:iCs w:val="1"/>
          <w:color w:val="auto"/>
        </w:rPr>
        <w:t>Administration de l’enregistrement, des domaines et de la TVA</w:t>
      </w:r>
      <w:r>
        <w:rPr>
          <w:rFonts w:ascii="Arial" w:cs="Arial" w:eastAsia="Arial" w:hAnsi="Arial"/>
          <w:sz w:val="18"/>
          <w:szCs w:val="18"/>
          <w:color w:val="auto"/>
        </w:rPr>
        <w:t>) in Luxembourg where (i) this registration is not required by law, or (ii) if the Notes are (a) enclosed to a compulsory registrable deed under Luxembourg law, or (b) deposited with the official records of a notary.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04" w:lineRule="exact"/>
        <w:rPr>
          <w:sz w:val="20"/>
          <w:szCs w:val="20"/>
          <w:color w:val="auto"/>
        </w:rPr>
      </w:pPr>
    </w:p>
    <w:p>
      <w:pPr>
        <w:ind w:left="120" w:right="400" w:firstLine="440"/>
        <w:spacing w:after="0" w:line="247" w:lineRule="auto"/>
        <w:rPr>
          <w:sz w:val="20"/>
          <w:szCs w:val="20"/>
          <w:color w:val="auto"/>
        </w:rPr>
      </w:pPr>
      <w:r>
        <w:rPr>
          <w:rFonts w:ascii="Arial" w:cs="Arial" w:eastAsia="Arial" w:hAnsi="Arial"/>
          <w:sz w:val="18"/>
          <w:szCs w:val="18"/>
          <w:color w:val="auto"/>
        </w:rPr>
        <w:t>The Foreign Account Tax Compliance Act (“FATCA”) was enacted into U.S. law in March 2010 as part of the Hiring Incentives to Restore Employment Act. FATCA aims at reducing tax evasion by U.S. citizens and requires, among other things, foreign financial institutions outside the United States (“FFIs”) to provide information about financial accounts held, directly or indirectly, by specified U.S. persons or face a 30% U.S. federal withholding tax imposed on certain U.S.-source payment (“FATCA Withholding”).</w:t>
      </w:r>
    </w:p>
    <w:p>
      <w:pPr>
        <w:spacing w:after="0" w:line="174"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To implement FATCA in Luxembourg, Luxembourg entered into a so-called Model 1 Intergovernmental Agreement (the “IGA”) with the U.S., and a memorandum of understanding in respect thereof, on 28 March 2014. The IGA was implemented under Luxembourg domestic law by Law of 24 July 2015 (the “Luxembourg FATCA Law”). Luxembourg FFIs that comply with the requirements of the IGA and the Luxembourg FATCA Law will not be subject to FATCA Withholding.</w:t>
      </w:r>
    </w:p>
    <w:p>
      <w:pPr>
        <w:spacing w:after="0" w:line="17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7"/>
          <w:szCs w:val="17"/>
          <w:color w:val="auto"/>
        </w:rPr>
        <w:t>Under the IGA and the Luxembourg FATCA Law, Luxembourg FFIs are required to perform certain necessary due diligence and monitoring of investors, and to report to the Luxembourg tax authorities on an annual basis information about financial accounts held by</w:t>
      </w:r>
    </w:p>
    <w:p>
      <w:pPr>
        <w:spacing w:after="0" w:line="1" w:lineRule="exact"/>
        <w:rPr>
          <w:sz w:val="20"/>
          <w:szCs w:val="20"/>
          <w:color w:val="auto"/>
        </w:rPr>
      </w:pPr>
    </w:p>
    <w:p>
      <w:pPr>
        <w:ind w:left="120" w:right="280" w:hanging="4"/>
        <w:spacing w:after="0" w:line="279" w:lineRule="auto"/>
        <w:tabs>
          <w:tab w:leader="none" w:pos="39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specified U.S. investors, (b) certain U.S.-controlled entity investors and (c) non-U.S. financial institution investors that do not comply with FATCA. Such information will subsequently be remitted by the Luxembourg tax authorities to the U.S. Internal Revenue Service.</w:t>
      </w:r>
    </w:p>
    <w:p>
      <w:pPr>
        <w:spacing w:after="0" w:line="149" w:lineRule="exact"/>
        <w:rPr>
          <w:sz w:val="20"/>
          <w:szCs w:val="20"/>
          <w:color w:val="auto"/>
        </w:rPr>
      </w:pPr>
    </w:p>
    <w:p>
      <w:pPr>
        <w:jc w:val="both"/>
        <w:ind w:left="120" w:right="460" w:firstLine="440"/>
        <w:spacing w:after="0" w:line="253" w:lineRule="auto"/>
        <w:rPr>
          <w:sz w:val="20"/>
          <w:szCs w:val="20"/>
          <w:color w:val="auto"/>
        </w:rPr>
      </w:pPr>
      <w:r>
        <w:rPr>
          <w:rFonts w:ascii="Arial" w:cs="Arial" w:eastAsia="Arial" w:hAnsi="Arial"/>
          <w:sz w:val="18"/>
          <w:szCs w:val="18"/>
          <w:color w:val="auto"/>
        </w:rPr>
        <w:t>Noteholders may be required to provide information to the Company to ensure the Company’s compliance with the IGA and the Luxembourg FATCA Law. In the event that a noteholder does not provide the required information, the Company may need to report financial account information of such noteholder to Luxembourg tax authorities.</w:t>
      </w:r>
    </w:p>
    <w:p>
      <w:pPr>
        <w:spacing w:after="0" w:line="169" w:lineRule="exact"/>
        <w:rPr>
          <w:sz w:val="20"/>
          <w:szCs w:val="20"/>
          <w:color w:val="auto"/>
        </w:rPr>
      </w:pPr>
    </w:p>
    <w:p>
      <w:pPr>
        <w:ind w:left="120" w:right="720" w:firstLine="440"/>
        <w:spacing w:after="0" w:line="271" w:lineRule="auto"/>
        <w:rPr>
          <w:sz w:val="20"/>
          <w:szCs w:val="20"/>
          <w:color w:val="auto"/>
        </w:rPr>
      </w:pPr>
      <w:r>
        <w:rPr>
          <w:rFonts w:ascii="Arial" w:cs="Arial" w:eastAsia="Arial" w:hAnsi="Arial"/>
          <w:sz w:val="18"/>
          <w:szCs w:val="18"/>
          <w:color w:val="auto"/>
        </w:rPr>
        <w:t>Noteholders should consult with their tax advisers regarding the effects of the IGA and the Luxembourg FATCA Law on their investment in the Notes.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Reporting Standard</w:t>
      </w:r>
    </w:p>
    <w:p>
      <w:pPr>
        <w:spacing w:after="0" w:line="10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The Organisation for Economic Co-operation and Development has developed a new global standard for the automatic exchange of financial information between tax authorities (the “CRS”).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Luxembourg is a signatory jurisdiction to the CRS and has conducted its first exchange of information with tax authorities of other signatory jurisdictions in September 2017, as regards reportable financial information gathered in relation to fiscal year 2016. The CRS has been implemented in Luxembourg via the law dated 18 December 2015 concerning the automatic exchange of information on financial accounts and tax matters and implementing the EU Directive 2014/107/EU.</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The regulations may impose obligations on the Company and the noteholders, if the Company is considered as a Reporting Financial Institution (e.g., an Investment Entity) under the CRS, so that the latter could be required to conduct due diligence and obtain (among other things) confirmation of the tax residency, tax identification number and CRS classification of noteholders in order to fulfil its own legal obligations.</w:t>
      </w:r>
    </w:p>
    <w:p>
      <w:pPr>
        <w:spacing w:after="0" w:line="1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0960"/>
          </w:cols>
          <w:pgMar w:left="320" w:top="455" w:right="6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12" w:lineRule="exact"/>
        <w:rPr>
          <w:sz w:val="20"/>
          <w:szCs w:val="20"/>
          <w:color w:val="auto"/>
        </w:rPr>
      </w:pPr>
    </w:p>
    <w:p>
      <w:pPr>
        <w:ind w:left="120" w:right="120" w:firstLine="440"/>
        <w:spacing w:after="0" w:line="241" w:lineRule="auto"/>
        <w:rPr>
          <w:sz w:val="20"/>
          <w:szCs w:val="20"/>
          <w:color w:val="auto"/>
        </w:rPr>
      </w:pPr>
      <w:r>
        <w:rPr>
          <w:rFonts w:ascii="Arial" w:cs="Arial" w:eastAsia="Arial" w:hAnsi="Arial"/>
          <w:sz w:val="18"/>
          <w:szCs w:val="18"/>
          <w:color w:val="auto"/>
        </w:rPr>
        <w:t>The following is a summary of material U.S. federal income tax considerations relating to the ownership and disposition of Notes as of the date hereof, and does not purport to be a complete analysis of all the potential tax considerations relating thereto. Except where noted, this summary deals only with Notes that are held as capital assets (within the meaning of section 1221 of the Code) by a</w:t>
      </w:r>
    </w:p>
    <w:p>
      <w:pPr>
        <w:spacing w:after="0" w:line="2" w:lineRule="exact"/>
        <w:rPr>
          <w:sz w:val="20"/>
          <w:szCs w:val="20"/>
          <w:color w:val="auto"/>
        </w:rPr>
      </w:pPr>
    </w:p>
    <w:p>
      <w:pPr>
        <w:jc w:val="both"/>
        <w:ind w:left="120" w:right="100"/>
        <w:spacing w:after="0" w:line="242" w:lineRule="auto"/>
        <w:rPr>
          <w:sz w:val="20"/>
          <w:szCs w:val="20"/>
          <w:color w:val="auto"/>
        </w:rPr>
      </w:pPr>
      <w:r>
        <w:rPr>
          <w:rFonts w:ascii="Arial" w:cs="Arial" w:eastAsia="Arial" w:hAnsi="Arial"/>
          <w:sz w:val="18"/>
          <w:szCs w:val="18"/>
          <w:color w:val="auto"/>
        </w:rPr>
        <w:t>U.S. Holder (as defined below) that acquired the Notes upon original issuance at their “issue price” for cash (</w:t>
      </w:r>
      <w:r>
        <w:rPr>
          <w:rFonts w:ascii="Arial" w:cs="Arial" w:eastAsia="Arial" w:hAnsi="Arial"/>
          <w:sz w:val="18"/>
          <w:szCs w:val="18"/>
          <w:i w:val="1"/>
          <w:iCs w:val="1"/>
          <w:color w:val="auto"/>
        </w:rPr>
        <w:t>i.e.</w:t>
      </w:r>
      <w:r>
        <w:rPr>
          <w:rFonts w:ascii="Arial" w:cs="Arial" w:eastAsia="Arial" w:hAnsi="Arial"/>
          <w:sz w:val="18"/>
          <w:szCs w:val="18"/>
          <w:color w:val="auto"/>
        </w:rPr>
        <w:t>, the first price at which a substantial amount of Notes is sold for cash to purchasers, not including bond houses, brokers, or similar persons or organizations acting in the capacity of underwriters, placement agents, or wholesalers).</w:t>
      </w:r>
    </w:p>
    <w:p>
      <w:pPr>
        <w:spacing w:after="0" w:line="179"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For purposes of this summary, a “U.S. Holder” is a beneficial owner of a Note that, for U.S. federal income tax purposes, is: (a) an individual citizen or resident of the United States; (b) a corporation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79" w:lineRule="exact"/>
        <w:rPr>
          <w:sz w:val="20"/>
          <w:szCs w:val="20"/>
          <w:color w:val="auto"/>
        </w:rPr>
      </w:pPr>
    </w:p>
    <w:p>
      <w:pPr>
        <w:ind w:left="120" w:right="280" w:firstLine="440"/>
        <w:spacing w:after="0" w:line="247" w:lineRule="auto"/>
        <w:rPr>
          <w:sz w:val="20"/>
          <w:szCs w:val="20"/>
          <w:color w:val="auto"/>
        </w:rPr>
      </w:pPr>
      <w:r>
        <w:rPr>
          <w:rFonts w:ascii="Arial" w:cs="Arial" w:eastAsia="Arial" w:hAnsi="Arial"/>
          <w:sz w:val="18"/>
          <w:szCs w:val="18"/>
          <w:color w:val="auto"/>
        </w:rPr>
        <w:t>If any entity or arrangement that is classified as a partnership for U.S. federal income tax purposes holds the Notes, the tax treatment of a partner generally will depend upon the status of the partner and the activities of the partnership. If you are a partnership considering an investment in the Notes, you and your partners should consult your tax advisors concerning the U.S. federal income tax consequences of the ownership and disposition of the Notes.</w:t>
      </w:r>
    </w:p>
    <w:p>
      <w:pPr>
        <w:spacing w:after="0" w:line="17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This summary is based upon the Code, existing and proposed U.S. Treasury regulations promulgated thereunder, and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including the consequences under any U.S. minimum tax rules or the net investment income tax, and does not deal with any state, local, non-U.S.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government entity, a regulated investment company, a real estate investment trust, a grantor trust, an employee stock ownership plan, an individual retirement account or any other tax deferred account, a pass-through entity (or an owner of a pass-through entity), a corporation that accumulates earnings to avoid U.S. federal income tax, an insurance company, a tax-exempt organization, a former citizen or resident of the United States,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If you are considering the purchase of Notes, you should consult your tax advisors concerning the particular U.S. federal income tax consequences to you of the ownership and disposition of the Notes, as well as the consequences to you arising under the laws of any other taxing jurisdiction and the possible effects of changes in tax laws.</w:t>
      </w:r>
    </w:p>
    <w:p>
      <w:pPr>
        <w:spacing w:after="0" w:line="16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b w:val="1"/>
          <w:bCs w:val="1"/>
          <w:i w:val="1"/>
          <w:iCs w:val="1"/>
          <w:color w:val="auto"/>
        </w:rPr>
        <w:t>Assumption by Subsidiary and Changes to the Issuer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assumption of the Company’s obligations as the issuer of the Notes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subsidiary of the Guarantor may be treated for U.S. federal income tax purposes as a taxable exchange of the Notes for new Notes issued by such subsidiary of the Guarantor. In addition, in certain circumstances, a merger, transfer, or other transaction described in “Description of the Notes—Consolidation, Merger and Sale of Assets” could be treated for U.S. federal income tax purposes as a taxable exchange of the Notes for new notes. In such events, you may be required to recognize taxable gain or loss for U.S. federal income tax purposes, generally in an amount equal to the difference between the “issue price” of the new notes (which will be the trading price of the Notes at such time if they are treated as traded on an established securities market) and your adjusted tax basis in the Notes, even though you continue to hold the Notes and receive no distribution in connection with the deemed disposition. Such gain or loss generally will be capital, and any loss could be disallowed under the wash sale rules. In addition, the new notes deemed issued in such a deemed exchange could be treated as issued with original issue discount (“OID”) if the new notes or the Notes are treated as traded on an established securities market at such time and the principal amount of the new notes were to exceed the new notes or the Notes’ trading price, as applicable. See “Description of the Notes—Assumption by a Subsidiary” for the information to be made available to holders in this regard. In such a case, U.S. Holders would be required to include such OID in their income as it accrues, in advance of the receipt of cash corresponding to such income, regardless of their regular method of tax accounting. Beneficial owners of the Notes who are</w:t>
      </w:r>
    </w:p>
    <w:p>
      <w:pPr>
        <w:spacing w:after="0" w:line="4" w:lineRule="exact"/>
        <w:rPr>
          <w:sz w:val="20"/>
          <w:szCs w:val="20"/>
          <w:color w:val="auto"/>
        </w:rPr>
      </w:pPr>
    </w:p>
    <w:p>
      <w:pPr>
        <w:ind w:left="120" w:right="320"/>
        <w:spacing w:after="0" w:line="242" w:lineRule="auto"/>
        <w:rPr>
          <w:sz w:val="20"/>
          <w:szCs w:val="20"/>
          <w:color w:val="auto"/>
        </w:rPr>
      </w:pPr>
      <w:r>
        <w:rPr>
          <w:rFonts w:ascii="Arial" w:cs="Arial" w:eastAsia="Arial" w:hAnsi="Arial"/>
          <w:sz w:val="18"/>
          <w:szCs w:val="18"/>
          <w:color w:val="auto"/>
        </w:rPr>
        <w:t>U.S. Holders should consult their tax advisors regarding the non-U.S. and U.S. federal, state and local income tax consequences of an assumption of the Company’s obligations as issuer of the Notes by a subsidiary of the Guarantor. See “Description of the Notes— Assumption by a Subsidiary” for additional information.</w:t>
      </w:r>
    </w:p>
    <w:p>
      <w:pPr>
        <w:spacing w:after="0" w:line="179" w:lineRule="exact"/>
        <w:rPr>
          <w:sz w:val="20"/>
          <w:szCs w:val="20"/>
          <w:color w:val="auto"/>
        </w:rPr>
      </w:pPr>
    </w:p>
    <w:p>
      <w:pPr>
        <w:jc w:val="both"/>
        <w:ind w:left="120" w:right="100" w:firstLine="440"/>
        <w:spacing w:after="0" w:line="253" w:lineRule="auto"/>
        <w:rPr>
          <w:sz w:val="20"/>
          <w:szCs w:val="20"/>
          <w:color w:val="auto"/>
        </w:rPr>
      </w:pPr>
      <w:r>
        <w:rPr>
          <w:rFonts w:ascii="Arial" w:cs="Arial" w:eastAsia="Arial" w:hAnsi="Arial"/>
          <w:sz w:val="18"/>
          <w:szCs w:val="18"/>
          <w:b w:val="1"/>
          <w:bCs w:val="1"/>
          <w:i w:val="1"/>
          <w:iCs w:val="1"/>
          <w:color w:val="auto"/>
        </w:rPr>
        <w:t>Interest</w:t>
      </w:r>
      <w:r>
        <w:rPr>
          <w:rFonts w:ascii="Arial" w:cs="Arial" w:eastAsia="Arial" w:hAnsi="Arial"/>
          <w:sz w:val="18"/>
          <w:szCs w:val="18"/>
          <w:color w:val="auto"/>
        </w:rPr>
        <w:t>. It is anticipated, and this discussion assumes, that the Notes will be issued without original issue discount for U.S.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purposes. Interest on a Note (including Additional Amounts, if any) generally will be taxable to you as ordinary interest income as it accrues or is received by you in accordance with your usual method of accounting for U.S. federal income tax purposes.</w:t>
      </w:r>
    </w:p>
    <w:p>
      <w:pPr>
        <w:spacing w:after="0" w:line="169"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If withholding taxes are imposed in Luxembourg or in another jurisdiction, you will be treated as having actually received an amount equal to the amount of such taxes and as having paid such amount to the relevant taxing authority. As a result, the amount of income included in gross income may be greater than the amount of cash actually received. You should consult your tax advisors concerning the U.S. federal income tax consequences of the imposition of such taxes and the availability of any credit or deduction.</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Interest income (and Additional Amounts, if any) from the Notes generally will constitute foreign-source income, and generally will constitute “passive category income,” which may be relevant to you in calculating your foreign tax credit limitation. The limitation on foreign taxes eligible for credit is calculated separately with respect to specific classes of income. You should consult your tax advisors regarding the application of the U.S. foreign tax credit rules.</w:t>
      </w:r>
    </w:p>
    <w:p>
      <w:pPr>
        <w:spacing w:after="0" w:line="174" w:lineRule="exact"/>
        <w:rPr>
          <w:sz w:val="20"/>
          <w:szCs w:val="20"/>
          <w:color w:val="auto"/>
        </w:rPr>
      </w:pPr>
    </w:p>
    <w:p>
      <w:pPr>
        <w:ind w:left="120" w:right="140" w:firstLine="440"/>
        <w:spacing w:after="0" w:line="244" w:lineRule="auto"/>
        <w:rPr>
          <w:sz w:val="20"/>
          <w:szCs w:val="20"/>
          <w:color w:val="auto"/>
        </w:rPr>
      </w:pPr>
      <w:r>
        <w:rPr>
          <w:rFonts w:ascii="Arial" w:cs="Arial" w:eastAsia="Arial" w:hAnsi="Arial"/>
          <w:sz w:val="18"/>
          <w:szCs w:val="18"/>
          <w:b w:val="1"/>
          <w:bCs w:val="1"/>
          <w:i w:val="1"/>
          <w:iCs w:val="1"/>
          <w:color w:val="auto"/>
        </w:rPr>
        <w:t xml:space="preserve">Sale, Exchange, or Other Taxable Dispositions of Notes. </w:t>
      </w:r>
      <w:r>
        <w:rPr>
          <w:rFonts w:ascii="Arial" w:cs="Arial" w:eastAsia="Arial" w:hAnsi="Arial"/>
          <w:sz w:val="18"/>
          <w:szCs w:val="18"/>
          <w:color w:val="auto"/>
        </w:rPr>
        <w:t>If you are a U.S. Holder, upon the sale, exchange, or other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disposition of a Note, you generally will recognize gain or loss for U.S. federal income tax purposes in an amount equal to the difference between (i) the amount of the cash and the fair market value of any property you receive on the sale, exchange, or other taxable disposition (less an amount attributable to any accrued but unpaid interest, which will be taxable as ordinary interest income to the extent not previously taken into income), and (ii) your adjusted tax basis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in the Note. Your adjusted tax basis in a Note generally will be equal to your cost for the Note (increased by any accrued but unpaid interest that you have previously taken into income).</w:t>
      </w:r>
    </w:p>
    <w:p>
      <w:pPr>
        <w:spacing w:after="0" w:line="154"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Such gain or loss generally will be treated as capital gain or loss, and will be treated as long-term capital gain or loss if your holding period for the Note exceeds one year at the time of the sale, exchange, or other taxable disposition. Long-term capital gains of non-corporate taxpayers are subject to reduced rates of taxation. The deductibility of capital losses is subject to limitations. Gain or loss, if any, generally will be U.S.-source income for purposes of computing your foreign tax credit limitation. You should consult your tax advisors as to the U.S. federal income tax and foreign tax credit implications of such sale, exchange, or other taxable disposition of a Note.</w:t>
      </w:r>
    </w:p>
    <w:p>
      <w:pPr>
        <w:spacing w:after="0" w:line="166" w:lineRule="exact"/>
        <w:rPr>
          <w:sz w:val="20"/>
          <w:szCs w:val="20"/>
          <w:color w:val="auto"/>
        </w:rPr>
      </w:pPr>
    </w:p>
    <w:p>
      <w:pPr>
        <w:jc w:val="both"/>
        <w:ind w:left="120" w:right="140" w:firstLine="440"/>
        <w:spacing w:after="0" w:line="247" w:lineRule="auto"/>
        <w:rPr>
          <w:sz w:val="20"/>
          <w:szCs w:val="20"/>
          <w:color w:val="auto"/>
        </w:rPr>
      </w:pPr>
      <w:r>
        <w:rPr>
          <w:rFonts w:ascii="Arial" w:cs="Arial" w:eastAsia="Arial" w:hAnsi="Arial"/>
          <w:sz w:val="18"/>
          <w:szCs w:val="18"/>
          <w:b w:val="1"/>
          <w:bCs w:val="1"/>
          <w:i w:val="1"/>
          <w:iCs w:val="1"/>
          <w:color w:val="auto"/>
        </w:rPr>
        <w:t>Information With Respect to Foreign Financial Assets</w:t>
      </w:r>
      <w:r>
        <w:rPr>
          <w:rFonts w:ascii="Arial" w:cs="Arial" w:eastAsia="Arial" w:hAnsi="Arial"/>
          <w:sz w:val="18"/>
          <w:szCs w:val="18"/>
          <w:color w:val="auto"/>
        </w:rPr>
        <w:t>. Certain U.S. Holders who are individuals (and certain specified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hold certain foreign financial assets (which may include the Notes) other than in an account at a financial institution may be required to report information relating to such assets to the IRS. Failure to report such information, if required, may result in substantial penalties. You should consult your tax advisor regarding the application of these rules to your ownership of the Notes.</w:t>
      </w:r>
    </w:p>
    <w:p>
      <w:pPr>
        <w:spacing w:after="0" w:line="17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Payments of interest and cash proceeds from sales or other taxable dispositions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made within the United States or through certain U.S.-related financial intermediaries may be subject to information reporting and backup withholding unless the U.S. Holder is an exempt recipient or, in the case of backup withholding, provides a correct taxpayer identification number and certifies that it is not subject to backup withholding and otherwise complies with applicable requirements of the backup withholding rules.</w:t>
      </w:r>
    </w:p>
    <w:p>
      <w:pPr>
        <w:spacing w:after="0" w:line="176" w:lineRule="exact"/>
        <w:rPr>
          <w:sz w:val="20"/>
          <w:szCs w:val="20"/>
          <w:color w:val="auto"/>
        </w:rPr>
      </w:pPr>
    </w:p>
    <w:p>
      <w:pPr>
        <w:jc w:val="both"/>
        <w:ind w:left="120" w:right="220" w:firstLine="440"/>
        <w:spacing w:after="0" w:line="25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credit against your U.S. federal income tax liability and may entitle you to a refund, provided the required information is timely furnished to the IRS.</w:t>
      </w:r>
    </w:p>
    <w:p>
      <w:pPr>
        <w:spacing w:after="0" w:line="16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non-U.S., state, local or other tax laws, and of any pending or subsequent changes in applicable laws.</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 (CONFLICTS OF INTEREST)</w:t>
      </w:r>
    </w:p>
    <w:p>
      <w:pPr>
        <w:spacing w:after="0" w:line="212" w:lineRule="exact"/>
        <w:rPr>
          <w:sz w:val="20"/>
          <w:szCs w:val="20"/>
          <w:color w:val="auto"/>
        </w:rPr>
      </w:pPr>
    </w:p>
    <w:p>
      <w:pPr>
        <w:ind w:left="120" w:right="240" w:firstLine="440"/>
        <w:spacing w:after="0" w:line="247" w:lineRule="auto"/>
        <w:rPr>
          <w:sz w:val="20"/>
          <w:szCs w:val="20"/>
          <w:color w:val="auto"/>
        </w:rPr>
      </w:pPr>
      <w:r>
        <w:rPr>
          <w:rFonts w:ascii="Arial" w:cs="Arial" w:eastAsia="Arial" w:hAnsi="Arial"/>
          <w:sz w:val="18"/>
          <w:szCs w:val="18"/>
          <w:color w:val="auto"/>
        </w:rPr>
        <w:t>Subject to the terms and conditions contained in an underwriting agreement, dated as of the date of this prospectus supplement among us, the Guarantor and the underwriters named below, for whom J.P. Morgan Securities LLC, HSBC Securities (USA) Inc. and Standard Chartered Bank are acting as representatives, we have agreed to sell to each underwriter, and each underwriter has severally agreed to purchase from us, the principal amount of Notes that appears opposite its name in the table below:</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2120" w:type="dxa"/>
            <w:vAlign w:val="bottom"/>
            <w:vMerge w:val="restart"/>
          </w:tcPr>
          <w:p>
            <w:pPr>
              <w:spacing w:after="0"/>
              <w:rPr>
                <w:sz w:val="14"/>
                <w:szCs w:val="14"/>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Principal Amount of</w:t>
            </w:r>
          </w:p>
        </w:tc>
        <w:tc>
          <w:tcPr>
            <w:tcW w:w="2400" w:type="dxa"/>
            <w:vAlign w:val="bottom"/>
            <w:gridSpan w:val="5"/>
          </w:tcPr>
          <w:p>
            <w:pPr>
              <w:ind w:left="1020"/>
              <w:spacing w:after="0"/>
              <w:rPr>
                <w:sz w:val="20"/>
                <w:szCs w:val="20"/>
                <w:color w:val="auto"/>
              </w:rPr>
            </w:pPr>
            <w:r>
              <w:rPr>
                <w:rFonts w:ascii="Arial" w:cs="Arial" w:eastAsia="Arial" w:hAnsi="Arial"/>
                <w:sz w:val="14"/>
                <w:szCs w:val="14"/>
                <w:b w:val="1"/>
                <w:bCs w:val="1"/>
                <w:color w:val="auto"/>
              </w:rPr>
              <w:t>Principal Amount of</w:t>
            </w:r>
          </w:p>
        </w:tc>
        <w:tc>
          <w:tcPr>
            <w:tcW w:w="2460" w:type="dxa"/>
            <w:vAlign w:val="bottom"/>
            <w:gridSpan w:val="6"/>
          </w:tcPr>
          <w:p>
            <w:pPr>
              <w:ind w:left="1040"/>
              <w:spacing w:after="0"/>
              <w:rPr>
                <w:sz w:val="20"/>
                <w:szCs w:val="20"/>
                <w:color w:val="auto"/>
              </w:rPr>
            </w:pPr>
            <w:r>
              <w:rPr>
                <w:rFonts w:ascii="Arial" w:cs="Arial" w:eastAsia="Arial" w:hAnsi="Arial"/>
                <w:sz w:val="14"/>
                <w:szCs w:val="14"/>
                <w:b w:val="1"/>
                <w:bCs w:val="1"/>
                <w:color w:val="auto"/>
              </w:rPr>
              <w:t>Principal Amount of</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ind w:left="280"/>
              <w:spacing w:after="0" w:line="158" w:lineRule="exact"/>
              <w:rPr>
                <w:sz w:val="20"/>
                <w:szCs w:val="20"/>
                <w:color w:val="auto"/>
              </w:rPr>
            </w:pPr>
            <w:r>
              <w:rPr>
                <w:rFonts w:ascii="Arial" w:cs="Arial" w:eastAsia="Arial" w:hAnsi="Arial"/>
                <w:sz w:val="14"/>
                <w:szCs w:val="14"/>
                <w:b w:val="1"/>
                <w:bCs w:val="1"/>
                <w:color w:val="auto"/>
              </w:rPr>
              <w:t>2031 Notes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gridSpan w:val="3"/>
          </w:tcPr>
          <w:p>
            <w:pPr>
              <w:ind w:left="280"/>
              <w:spacing w:after="0" w:line="158" w:lineRule="exact"/>
              <w:rPr>
                <w:sz w:val="20"/>
                <w:szCs w:val="20"/>
                <w:color w:val="auto"/>
              </w:rPr>
            </w:pPr>
            <w:r>
              <w:rPr>
                <w:rFonts w:ascii="Arial" w:cs="Arial" w:eastAsia="Arial" w:hAnsi="Arial"/>
                <w:sz w:val="14"/>
                <w:szCs w:val="14"/>
                <w:b w:val="1"/>
                <w:bCs w:val="1"/>
                <w:color w:val="auto"/>
              </w:rPr>
              <w:t>2033 Notes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gridSpan w:val="3"/>
          </w:tcPr>
          <w:p>
            <w:pPr>
              <w:ind w:left="300"/>
              <w:spacing w:after="0" w:line="158" w:lineRule="exact"/>
              <w:rPr>
                <w:sz w:val="20"/>
                <w:szCs w:val="20"/>
                <w:color w:val="auto"/>
              </w:rPr>
            </w:pPr>
            <w:r>
              <w:rPr>
                <w:rFonts w:ascii="Arial" w:cs="Arial" w:eastAsia="Arial" w:hAnsi="Arial"/>
                <w:sz w:val="14"/>
                <w:szCs w:val="14"/>
                <w:b w:val="1"/>
                <w:bCs w:val="1"/>
                <w:color w:val="auto"/>
              </w:rPr>
              <w:t>2036 Notes</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02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8"/>
                <w:szCs w:val="18"/>
                <w:color w:val="auto"/>
              </w:rPr>
              <w:t>J.P. Morgan Securities</w:t>
            </w: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ind w:left="220"/>
              <w:spacing w:after="0"/>
              <w:rPr>
                <w:sz w:val="20"/>
                <w:szCs w:val="20"/>
                <w:color w:val="auto"/>
              </w:rPr>
            </w:pPr>
            <w:r>
              <w:rPr>
                <w:rFonts w:ascii="Arial" w:cs="Arial" w:eastAsia="Arial" w:hAnsi="Arial"/>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Arial" w:cs="Arial" w:eastAsia="Arial" w:hAnsi="Arial"/>
                <w:sz w:val="17"/>
                <w:szCs w:val="17"/>
                <w:color w:val="auto"/>
                <w:w w:val="70"/>
              </w:rPr>
              <w:t> </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5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ind w:left="220"/>
              <w:spacing w:after="0"/>
              <w:rPr>
                <w:sz w:val="20"/>
                <w:szCs w:val="20"/>
                <w:color w:val="auto"/>
              </w:rPr>
            </w:pPr>
            <w:r>
              <w:rPr>
                <w:rFonts w:ascii="Arial" w:cs="Arial" w:eastAsia="Arial" w:hAnsi="Arial"/>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Arial" w:cs="Arial" w:eastAsia="Arial" w:hAnsi="Arial"/>
                <w:sz w:val="17"/>
                <w:szCs w:val="17"/>
                <w:color w:val="auto"/>
                <w:w w:val="70"/>
              </w:rPr>
              <w:t> </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Arial" w:cs="Arial" w:eastAsia="Arial" w:hAnsi="Arial"/>
                <w:sz w:val="17"/>
                <w:szCs w:val="17"/>
                <w:color w:val="auto"/>
                <w:w w:val="70"/>
              </w:rPr>
              <w:t> </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4"/>
        </w:trPr>
        <w:tc>
          <w:tcPr>
            <w:tcW w:w="3020" w:type="dxa"/>
            <w:vAlign w:val="bottom"/>
            <w:gridSpan w:val="2"/>
          </w:tcPr>
          <w:p>
            <w:pPr>
              <w:spacing w:after="0" w:line="183" w:lineRule="exact"/>
              <w:rPr>
                <w:sz w:val="20"/>
                <w:szCs w:val="20"/>
                <w:color w:val="auto"/>
              </w:rPr>
            </w:pPr>
            <w:r>
              <w:rPr>
                <w:rFonts w:ascii="Arial" w:cs="Arial" w:eastAsia="Arial" w:hAnsi="Arial"/>
                <w:sz w:val="18"/>
                <w:szCs w:val="18"/>
                <w:color w:val="auto"/>
              </w:rPr>
              <w:t>HSBC Securities (USA)</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Standard Chartered</w:t>
            </w: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spacing w:after="0"/>
              <w:rPr>
                <w:sz w:val="20"/>
                <w:szCs w:val="20"/>
                <w:color w:val="auto"/>
              </w:rPr>
            </w:pPr>
            <w:r>
              <w:rPr>
                <w:rFonts w:ascii="Arial" w:cs="Arial" w:eastAsia="Arial" w:hAnsi="Arial"/>
                <w:sz w:val="18"/>
                <w:szCs w:val="18"/>
                <w:color w:val="auto"/>
              </w:rPr>
              <w:t>US$</w:t>
            </w:r>
          </w:p>
        </w:tc>
        <w:tc>
          <w:tcPr>
            <w:tcW w:w="340" w:type="dxa"/>
            <w:vAlign w:val="bottom"/>
          </w:tcPr>
          <w:p>
            <w:pPr>
              <w:ind w:left="22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ind w:left="1020"/>
              <w:spacing w:after="0"/>
              <w:rPr>
                <w:sz w:val="20"/>
                <w:szCs w:val="20"/>
                <w:color w:val="auto"/>
              </w:rPr>
            </w:pPr>
            <w:r>
              <w:rPr>
                <w:rFonts w:ascii="Arial" w:cs="Arial" w:eastAsia="Arial" w:hAnsi="Arial"/>
                <w:sz w:val="18"/>
                <w:szCs w:val="18"/>
                <w:color w:val="auto"/>
              </w:rPr>
              <w:t>US$</w:t>
            </w:r>
          </w:p>
        </w:tc>
        <w:tc>
          <w:tcPr>
            <w:tcW w:w="340" w:type="dxa"/>
            <w:vAlign w:val="bottom"/>
          </w:tcPr>
          <w:p>
            <w:pPr>
              <w:ind w:left="22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rPr>
              <w:t>US$</w:t>
            </w:r>
          </w:p>
        </w:tc>
        <w:tc>
          <w:tcPr>
            <w:tcW w:w="320" w:type="dxa"/>
            <w:vAlign w:val="bottom"/>
          </w:tcPr>
          <w:p>
            <w:pPr>
              <w:ind w:left="20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174"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 of the principal amount of the 2031 Notes,         % of the principal amount of the 2033 Notes or</w:t>
      </w:r>
    </w:p>
    <w:p>
      <w:pPr>
        <w:spacing w:after="0" w:line="2" w:lineRule="exact"/>
        <w:rPr>
          <w:sz w:val="20"/>
          <w:szCs w:val="20"/>
          <w:color w:val="auto"/>
        </w:rPr>
      </w:pPr>
    </w:p>
    <w:p>
      <w:pPr>
        <w:ind w:left="120" w:right="20" w:hanging="4"/>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 of the principal amount of the 2036 Notes. Any underwriter may allow, and any such dealer may reallow, a concession not in excess of         % of the principal amount of the 2031 Notes,         % of the principal amount of the 2033 Notes or         % of the principal amount of the 2036 Notes to certain other dealers. After the initial offering of the Notes, the underwriters may from time to time vary the offering prices and other selling terms. The underwriters may offer and sell Notes through certain of their affiliates.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underwriting discount that we will pay to the underwriters in connection with the offering of the Notes: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Paid by Us</w:t>
            </w:r>
          </w:p>
        </w:tc>
      </w:tr>
      <w:tr>
        <w:trPr>
          <w:trHeight w:val="196"/>
        </w:trPr>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2031 Note</w:t>
            </w:r>
          </w:p>
        </w:tc>
        <w:tc>
          <w:tcPr>
            <w:tcW w:w="24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60"/>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2031 Notes Total</w:t>
            </w:r>
          </w:p>
        </w:tc>
        <w:tc>
          <w:tcPr>
            <w:tcW w:w="3660" w:type="dxa"/>
            <w:vAlign w:val="bottom"/>
            <w:gridSpan w:val="3"/>
          </w:tcPr>
          <w:p>
            <w:pPr>
              <w:ind w:left="2480"/>
              <w:spacing w:after="0"/>
              <w:rPr>
                <w:sz w:val="20"/>
                <w:szCs w:val="20"/>
                <w:color w:val="auto"/>
              </w:rPr>
            </w:pPr>
            <w:r>
              <w:rPr>
                <w:rFonts w:ascii="Arial" w:cs="Arial" w:eastAsia="Arial" w:hAnsi="Arial"/>
                <w:sz w:val="18"/>
                <w:szCs w:val="18"/>
                <w:color w:val="auto"/>
              </w:rPr>
              <w:t xml:space="preserve">US$          </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Per 2033 Note</w:t>
            </w:r>
          </w:p>
        </w:tc>
        <w:tc>
          <w:tcPr>
            <w:tcW w:w="3660" w:type="dxa"/>
            <w:vAlign w:val="bottom"/>
            <w:gridSpan w:val="3"/>
            <w:shd w:val="clear" w:color="auto" w:fill="CCEEFF"/>
          </w:tcPr>
          <w:p>
            <w:pPr>
              <w:ind w:left="344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2033 Notes Total</w:t>
            </w:r>
          </w:p>
        </w:tc>
        <w:tc>
          <w:tcPr>
            <w:tcW w:w="3660" w:type="dxa"/>
            <w:vAlign w:val="bottom"/>
            <w:gridSpan w:val="3"/>
          </w:tcPr>
          <w:p>
            <w:pPr>
              <w:ind w:left="2480"/>
              <w:spacing w:after="0"/>
              <w:rPr>
                <w:sz w:val="20"/>
                <w:szCs w:val="20"/>
                <w:color w:val="auto"/>
              </w:rPr>
            </w:pPr>
            <w:r>
              <w:rPr>
                <w:rFonts w:ascii="Arial" w:cs="Arial" w:eastAsia="Arial" w:hAnsi="Arial"/>
                <w:sz w:val="18"/>
                <w:szCs w:val="18"/>
                <w:color w:val="auto"/>
              </w:rPr>
              <w:t>US$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Per 2036 Note</w:t>
            </w:r>
          </w:p>
        </w:tc>
        <w:tc>
          <w:tcPr>
            <w:tcW w:w="3660" w:type="dxa"/>
            <w:vAlign w:val="bottom"/>
            <w:gridSpan w:val="3"/>
            <w:shd w:val="clear" w:color="auto" w:fill="CCEEFF"/>
          </w:tcPr>
          <w:p>
            <w:pPr>
              <w:ind w:left="3440"/>
              <w:spacing w:after="0"/>
              <w:rPr>
                <w:sz w:val="20"/>
                <w:szCs w:val="20"/>
                <w:color w:val="auto"/>
              </w:rPr>
            </w:pPr>
            <w:r>
              <w:rPr>
                <w:rFonts w:ascii="Arial" w:cs="Arial" w:eastAsia="Arial" w:hAnsi="Arial"/>
                <w:sz w:val="18"/>
                <w:szCs w:val="18"/>
                <w:color w:val="auto"/>
              </w:rPr>
              <w:t>%</w:t>
            </w:r>
          </w:p>
        </w:tc>
      </w:tr>
      <w:tr>
        <w:trPr>
          <w:trHeight w:val="239"/>
        </w:trPr>
        <w:tc>
          <w:tcPr>
            <w:tcW w:w="3820" w:type="dxa"/>
            <w:vAlign w:val="bottom"/>
          </w:tcPr>
          <w:p>
            <w:pPr>
              <w:spacing w:after="0"/>
              <w:rPr>
                <w:sz w:val="20"/>
                <w:szCs w:val="20"/>
                <w:color w:val="auto"/>
              </w:rPr>
            </w:pPr>
            <w:r>
              <w:rPr>
                <w:rFonts w:ascii="Arial" w:cs="Arial" w:eastAsia="Arial" w:hAnsi="Arial"/>
                <w:sz w:val="18"/>
                <w:szCs w:val="18"/>
                <w:color w:val="auto"/>
              </w:rPr>
              <w:t>2036 Notes Total</w:t>
            </w:r>
          </w:p>
        </w:tc>
        <w:tc>
          <w:tcPr>
            <w:tcW w:w="3660" w:type="dxa"/>
            <w:vAlign w:val="bottom"/>
            <w:gridSpan w:val="3"/>
          </w:tcPr>
          <w:p>
            <w:pPr>
              <w:ind w:left="2480"/>
              <w:spacing w:after="0"/>
              <w:rPr>
                <w:sz w:val="20"/>
                <w:szCs w:val="20"/>
                <w:color w:val="auto"/>
              </w:rPr>
            </w:pPr>
            <w:r>
              <w:rPr>
                <w:rFonts w:ascii="Arial" w:cs="Arial" w:eastAsia="Arial" w:hAnsi="Arial"/>
                <w:sz w:val="18"/>
                <w:szCs w:val="18"/>
                <w:color w:val="auto"/>
              </w:rPr>
              <w:t>US$</w:t>
            </w:r>
          </w:p>
        </w:tc>
      </w:tr>
    </w:tbl>
    <w:p>
      <w:pPr>
        <w:spacing w:after="0" w:line="174" w:lineRule="exact"/>
        <w:rPr>
          <w:sz w:val="20"/>
          <w:szCs w:val="20"/>
          <w:color w:val="auto"/>
        </w:rPr>
      </w:pPr>
    </w:p>
    <w:p>
      <w:pPr>
        <w:ind w:left="120" w:right="640" w:firstLine="440"/>
        <w:spacing w:after="0" w:line="271" w:lineRule="auto"/>
        <w:rPr>
          <w:sz w:val="20"/>
          <w:szCs w:val="20"/>
          <w:color w:val="auto"/>
        </w:rPr>
      </w:pPr>
      <w:r>
        <w:rPr>
          <w:rFonts w:ascii="Arial" w:cs="Arial" w:eastAsia="Arial" w:hAnsi="Arial"/>
          <w:sz w:val="18"/>
          <w:szCs w:val="18"/>
          <w:color w:val="auto"/>
        </w:rPr>
        <w:t>Expenses associated with this offering to be paid by us, other than underwriting discounts, are estimated to be approximately US$        million.</w:t>
      </w:r>
    </w:p>
    <w:p>
      <w:pPr>
        <w:spacing w:after="0" w:line="154"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8"/>
          <w:szCs w:val="18"/>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7"/>
          <w:szCs w:val="17"/>
          <w:color w:val="auto"/>
        </w:rPr>
        <w:t>The Notes are new issues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6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185"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To the extent any underwriter that is not a U.S.-registered broker-dealer intends to effect sales of the Notes in the United States, it will do so through one or more U.S.-registered broker-dealers in accordance with the applicable U.S. securities laws and regulations.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02"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400" w:firstLine="44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02"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Directive”), where that customer would not qualify as a professional client as defined in point (10) of Article 4(1) of MiFID II; or (iii) not a qualified investor as defined in Article 2 of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76" w:lineRule="exact"/>
        <w:rPr>
          <w:sz w:val="20"/>
          <w:szCs w:val="20"/>
          <w:color w:val="auto"/>
        </w:rPr>
      </w:pPr>
    </w:p>
    <w:p>
      <w:pPr>
        <w:ind w:left="120" w:right="240" w:firstLine="440"/>
        <w:spacing w:after="0" w:line="25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2"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 (ii) a qualified investor as defined in paragraph 15 of Schedule 1 to the Public Offers and Admissions to Trading Regulations 2024.</w:t>
      </w:r>
    </w:p>
    <w:p>
      <w:pPr>
        <w:spacing w:after="0" w:line="176"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74"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Luxembourg</w:t>
      </w:r>
    </w:p>
    <w:p>
      <w:pPr>
        <w:spacing w:after="0" w:line="102"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This prospectus supplement has not been approved by and will not be submitted for approval to the Luxembourg Financial Sector Authority (</w:t>
      </w:r>
      <w:r>
        <w:rPr>
          <w:rFonts w:ascii="Arial" w:cs="Arial" w:eastAsia="Arial" w:hAnsi="Arial"/>
          <w:sz w:val="18"/>
          <w:szCs w:val="18"/>
          <w:i w:val="1"/>
          <w:iCs w:val="1"/>
          <w:color w:val="auto"/>
        </w:rPr>
        <w:t>Commission de Surveillance du Secteur Financier</w:t>
      </w:r>
      <w:r>
        <w:rPr>
          <w:rFonts w:ascii="Arial" w:cs="Arial" w:eastAsia="Arial" w:hAnsi="Arial"/>
          <w:sz w:val="18"/>
          <w:szCs w:val="18"/>
          <w:color w:val="auto"/>
        </w:rPr>
        <w:t>) (the “CSSF”),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otherwise not subject to the requirement to publish a prospectus for the purposes of the Prospectus Regulation and the Luxembourg law of 16 July 2019 on prospectuses for securities.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0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0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7"/>
          <w:szCs w:val="17"/>
          <w:color w:val="auto"/>
        </w:rPr>
        <w:t>The Notes have not and may not be offered or sold in Hong Kong by means of any document other than (i) to “professional investors” as defined in the Securities and Futures Ordinance (Cap. 571, Laws of Hong Kong) (“SFO”) and any rules made thereunder, or</w:t>
      </w:r>
    </w:p>
    <w:p>
      <w:pPr>
        <w:spacing w:after="0" w:line="1" w:lineRule="exact"/>
        <w:rPr>
          <w:sz w:val="20"/>
          <w:szCs w:val="20"/>
          <w:color w:val="auto"/>
        </w:rPr>
      </w:pPr>
    </w:p>
    <w:p>
      <w:pPr>
        <w:ind w:left="120" w:hanging="4"/>
        <w:spacing w:after="0" w:line="237" w:lineRule="auto"/>
        <w:tabs>
          <w:tab w:leader="none" w:pos="3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Laws of Hong Kong) or which do not constitute an offer to the public within the meaning of that Ordinance, and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0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7"/>
          <w:szCs w:val="17"/>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transferable for six months after that corporation or that trust has acquired the Notes pursuant to an offer made under Section 275 of the SFA except: (1) to an institutional investor or to a relevant person defined in Section 275(2) of the SFA or to any person arising from an offer referred to in Section 275(1A) or Section 276(4)(i)(B) of the SFA, (2) where no consideration is given for the transfer, (3) where the transfer is by operation of law, (4) as specified in Section 276(7) of the SFA; or (5) as specified in Regulation 37A of the Securities and Futures (Offers of Investments) (Securities and Securities-based Derivatives Contracts) Regulations 2018 of Singapore.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Singapore Securities and Futures Act Product Classification—Solely for the purposes of its obligations pursuant to sections 309B(1)</w:t>
      </w:r>
    </w:p>
    <w:p>
      <w:pPr>
        <w:spacing w:after="0" w:line="14" w:lineRule="exact"/>
        <w:rPr>
          <w:sz w:val="20"/>
          <w:szCs w:val="20"/>
          <w:color w:val="auto"/>
        </w:rPr>
      </w:pPr>
    </w:p>
    <w:p>
      <w:pPr>
        <w:ind w:left="120" w:hanging="4"/>
        <w:spacing w:after="0" w:line="239" w:lineRule="auto"/>
        <w:tabs>
          <w:tab w:leader="none" w:pos="3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Taiwan</w:t>
      </w:r>
    </w:p>
    <w:p>
      <w:pPr>
        <w:spacing w:after="0" w:line="102"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This prospectus supplement and the accompanying prospectus have not been approved by or filed with the Central Bank of the United Arab Emirates, the Securities Commodities Authority, the Financial Services Regulatory Authority or the Dubai Financial Services Authority.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and Sale of the Notes</w:t>
      </w:r>
    </w:p>
    <w:p>
      <w:pPr>
        <w:spacing w:after="0" w:line="104"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last paragraph of the cover page of this prospectus supplement, which will be the         business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day following the date of the pricing of the Notes. Since trades in the secondary market generally settle in one business day, purchasers who wish to trade Notes prior to the business day before delivery will be required, by virtue of the fact that the Notes initially will settle in T+        , to specify alternative settlement arrangements to prevent a failed settlement.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0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5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Certain of the underwriters and/or their affiliates may hold a portion of our 1.375% Guaranteed Notes due 2026 that are being repaid or otherwise retired and may receive a portion of the net proceeds of this offering. In such event, it is possible that one or more of the underwriters or their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In such event, the underwriters will not confirm sales of the notes to accounts over which they exercise discretionary authority without the prior written approval of the customer. The appointment of a “qualified independent underwriter” is not necessary in connection with this offering as the notes are investment grade rated securities.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right="200" w:firstLine="440"/>
        <w:spacing w:after="0" w:line="253" w:lineRule="auto"/>
        <w:rPr>
          <w:sz w:val="20"/>
          <w:szCs w:val="20"/>
          <w:color w:val="auto"/>
        </w:rPr>
      </w:pPr>
      <w:r>
        <w:rPr>
          <w:rFonts w:ascii="Arial" w:cs="Arial" w:eastAsia="Arial" w:hAnsi="Arial"/>
          <w:sz w:val="18"/>
          <w:szCs w:val="18"/>
          <w:color w:val="auto"/>
        </w:rPr>
        <w:t>Certain legal matters in connection with the Notes and Guarantees offered hereby will be passed upon for us by Gibson, Dunn &amp; Crutcher LLP, New York, New York, LOYENS &amp; LOEFF LUXEMBOURG SARL, Luxembourg, and STvB Advocaten (Europe) N.V., Amsterdam, The Netherlands, and for the underwriters by Davis Polk &amp; Wardwell LLP, New York, New York.</w:t>
      </w:r>
    </w:p>
    <w:p>
      <w:pPr>
        <w:spacing w:after="0" w:line="3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SLB Limited’s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6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69" w:lineRule="exact"/>
        <w:rPr>
          <w:sz w:val="20"/>
          <w:szCs w:val="20"/>
          <w:color w:val="auto"/>
        </w:rPr>
      </w:pPr>
    </w:p>
    <w:p>
      <w:pPr>
        <w:ind w:left="120" w:right="280" w:firstLine="440"/>
        <w:spacing w:after="0" w:line="253" w:lineRule="auto"/>
        <w:rPr>
          <w:sz w:val="20"/>
          <w:szCs w:val="20"/>
          <w:color w:val="auto"/>
        </w:rPr>
      </w:pPr>
      <w:r>
        <w:rPr>
          <w:rFonts w:ascii="Arial" w:cs="Arial" w:eastAsia="Arial" w:hAnsi="Arial"/>
          <w:sz w:val="18"/>
          <w:szCs w:val="18"/>
          <w:color w:val="auto"/>
        </w:rPr>
        <w:t>Please note that any internet addresses provided in this prospectus supplement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10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0960"/>
          </w:cols>
          <w:pgMar w:left="320" w:top="455" w:right="6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1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SLB Group and its financial condition, business and results.</w:t>
      </w:r>
    </w:p>
    <w:p>
      <w:pPr>
        <w:spacing w:after="0" w:line="179"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are incorporating by reference into this prospectus supplement and the accompanying prospectus the following documents listed below and any other filings made by the Guarantor under Section 13(a), 13(c), 14 or 15(d) of the Exchange Act on or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82" w:lineRule="exact"/>
        <w:rPr>
          <w:sz w:val="20"/>
          <w:szCs w:val="20"/>
          <w:color w:val="auto"/>
        </w:rPr>
      </w:pPr>
    </w:p>
    <w:p>
      <w:pPr>
        <w:ind w:left="1080" w:right="180" w:hanging="424"/>
        <w:spacing w:after="0" w:line="25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Guarantor’s Annual Report on </w:t>
      </w:r>
      <w:hyperlink r:id="rId6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2025, as filed with the SEC on January 23, 2026 (including the portions of the Guarantor’s proxy statement for its 2026 annual meeting of shareholders, as filed with the SEC on February 26, 2026, and incorporated by reference therein);</w:t>
      </w:r>
    </w:p>
    <w:p>
      <w:pPr>
        <w:spacing w:after="0" w:line="74"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29"/>
        </w:numPr>
        <w:rPr>
          <w:rFonts w:ascii="Arial" w:cs="Arial" w:eastAsia="Arial" w:hAnsi="Arial"/>
          <w:sz w:val="18"/>
          <w:szCs w:val="18"/>
          <w:color w:val="0000EE"/>
        </w:rPr>
      </w:pPr>
      <w:hyperlink r:id="rId70">
        <w:r>
          <w:rPr>
            <w:rFonts w:ascii="Arial" w:cs="Arial" w:eastAsia="Arial" w:hAnsi="Arial"/>
            <w:sz w:val="18"/>
            <w:szCs w:val="18"/>
            <w:color w:val="auto"/>
          </w:rPr>
          <w:t xml:space="preserve">the Guarantor’s Quarterly Report on Form 10-Q for the fiscal quarter ended March 31, 2026, as filed with the SEC on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2026</w:t>
        </w:r>
        <w:r>
          <w:rPr>
            <w:rFonts w:ascii="Arial" w:cs="Arial" w:eastAsia="Arial" w:hAnsi="Arial"/>
            <w:sz w:val="18"/>
            <w:szCs w:val="18"/>
            <w:color w:val="000000"/>
          </w:rPr>
          <w:t>; and</w:t>
        </w:r>
      </w:hyperlink>
    </w:p>
    <w:p>
      <w:pPr>
        <w:spacing w:after="0" w:line="59" w:lineRule="exact"/>
        <w:rPr>
          <w:rFonts w:ascii="Arial" w:cs="Arial" w:eastAsia="Arial" w:hAnsi="Arial"/>
          <w:sz w:val="18"/>
          <w:szCs w:val="18"/>
          <w:color w:val="0000EE"/>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Guarantor’s Current Report on </w:t>
      </w:r>
      <w:hyperlink r:id="rId71">
        <w:r>
          <w:rPr>
            <w:rFonts w:ascii="Arial" w:cs="Arial" w:eastAsia="Arial" w:hAnsi="Arial"/>
            <w:sz w:val="18"/>
            <w:szCs w:val="18"/>
            <w:u w:val="single" w:color="auto"/>
            <w:color w:val="0000EE"/>
          </w:rPr>
          <w:t>Form 8-K</w:t>
        </w:r>
      </w:hyperlink>
      <w:r>
        <w:rPr>
          <w:rFonts w:ascii="Arial" w:cs="Arial" w:eastAsia="Arial" w:hAnsi="Arial"/>
          <w:sz w:val="18"/>
          <w:szCs w:val="18"/>
          <w:color w:val="auto"/>
        </w:rPr>
        <w:t>, as filed with the SEC on April 8, 2026.</w:t>
      </w:r>
    </w:p>
    <w:p>
      <w:pPr>
        <w:spacing w:after="0" w:line="212" w:lineRule="exact"/>
        <w:rPr>
          <w:rFonts w:ascii="Arial" w:cs="Arial" w:eastAsia="Arial" w:hAnsi="Arial"/>
          <w:sz w:val="18"/>
          <w:szCs w:val="18"/>
          <w:color w:val="auto"/>
        </w:rPr>
      </w:pPr>
    </w:p>
    <w:p>
      <w:pPr>
        <w:ind w:left="120" w:right="100" w:firstLine="440"/>
        <w:spacing w:after="0"/>
        <w:rPr>
          <w:sz w:val="20"/>
          <w:szCs w:val="20"/>
          <w:color w:val="auto"/>
        </w:rPr>
      </w:pPr>
      <w:r>
        <w:rPr>
          <w:rFonts w:ascii="Arial" w:cs="Arial" w:eastAsia="Arial" w:hAnsi="Arial"/>
          <w:sz w:val="18"/>
          <w:szCs w:val="18"/>
          <w:color w:val="auto"/>
        </w:rPr>
        <w:t>Any statement contained in this prospectus supplement and accompanying prospectus or in a document incorporated or deemed to be incorporated by reference in this prospectus supplement and accompanying prospectus will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will be deemed, except as so modified or superseded, to constitute a part of this prospectus supplement and accompanying prospectus.</w:t>
      </w:r>
    </w:p>
    <w:p>
      <w:pPr>
        <w:spacing w:after="0" w:line="185" w:lineRule="exact"/>
        <w:rPr>
          <w:rFonts w:ascii="Arial" w:cs="Arial" w:eastAsia="Arial" w:hAnsi="Arial"/>
          <w:sz w:val="18"/>
          <w:szCs w:val="18"/>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69" w:lineRule="exact"/>
        <w:rPr>
          <w:rFonts w:ascii="Arial" w:cs="Arial" w:eastAsia="Arial" w:hAnsi="Arial"/>
          <w:sz w:val="18"/>
          <w:szCs w:val="18"/>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6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SLB Limited</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5599 San Felipe</w:t>
      </w:r>
    </w:p>
    <w:p>
      <w:pPr>
        <w:jc w:val="center"/>
        <w:ind w:right="-159"/>
        <w:spacing w:after="0" w:line="234" w:lineRule="auto"/>
        <w:rPr>
          <w:sz w:val="20"/>
          <w:szCs w:val="20"/>
          <w:color w:val="auto"/>
        </w:rPr>
      </w:pPr>
      <w:r>
        <w:rPr>
          <w:rFonts w:ascii="Arial" w:cs="Arial" w:eastAsia="Arial" w:hAnsi="Arial"/>
          <w:sz w:val="18"/>
          <w:szCs w:val="18"/>
          <w:color w:val="auto"/>
        </w:rPr>
        <w:t>Houston, Texas 77056</w:t>
      </w:r>
    </w:p>
    <w:p>
      <w:pPr>
        <w:ind w:left="5480" w:hanging="471"/>
        <w:spacing w:after="0" w:line="235" w:lineRule="auto"/>
        <w:tabs>
          <w:tab w:leader="none" w:pos="5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375-3535</w:t>
      </w:r>
    </w:p>
    <w:p>
      <w:pPr>
        <w:ind w:left="45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94" w:lineRule="exact"/>
        <w:rPr>
          <w:rFonts w:ascii="Arial" w:cs="Arial" w:eastAsia="Arial" w:hAnsi="Arial"/>
          <w:sz w:val="18"/>
          <w:szCs w:val="18"/>
          <w:color w:val="auto"/>
        </w:rPr>
      </w:pPr>
    </w:p>
    <w:p>
      <w:pPr>
        <w:ind w:left="120" w:right="780" w:firstLine="440"/>
        <w:spacing w:after="0" w:line="271"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 supplement and accompanying prospectus.</w:t>
      </w:r>
    </w:p>
    <w:p>
      <w:pPr>
        <w:spacing w:after="0" w:line="86"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163195</wp:posOffset>
            </wp:positionV>
            <wp:extent cx="1251585" cy="763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2515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Investment S.A.</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Senior Debt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SLB N.V. (SLB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Schlumberger Investment S.A.,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and existing under the laws of the Grand Duchy of Luxembourg, having its registered office located at 5, Place de la Gare, L-1616 Luxembourg, Grand Duchy of Luxembourg, and registered with the Luxembourg Trade and Companies Register (</w:t>
      </w:r>
      <w:r>
        <w:rPr>
          <w:rFonts w:ascii="Arial" w:cs="Arial" w:eastAsia="Arial" w:hAnsi="Arial"/>
          <w:sz w:val="18"/>
          <w:szCs w:val="18"/>
          <w:i w:val="1"/>
          <w:iCs w:val="1"/>
          <w:color w:val="auto"/>
        </w:rPr>
        <w:t>Registre de Commerce et des Sociétés</w:t>
      </w:r>
      <w:r>
        <w:rPr>
          <w:rFonts w:ascii="Arial" w:cs="Arial" w:eastAsia="Arial" w:hAnsi="Arial"/>
          <w:sz w:val="18"/>
          <w:szCs w:val="18"/>
          <w:color w:val="auto"/>
        </w:rPr>
        <w:t>) under number B 163.122 (the “Company”) may, from time to time, offer to sell senior debt securities. Such senior debt securities will be fully and unconditionally guaranteed by SLB N.V. (SLB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22"/>
          <w:szCs w:val="22"/>
          <w:b w:val="1"/>
          <w:bCs w:val="1"/>
          <w:color w:val="auto"/>
        </w:rPr>
        <w:t>Investing in the securities involves risks. You should carefully consider the information in the “</w:t>
      </w:r>
      <w:r>
        <w:rPr>
          <w:rFonts w:ascii="Arial" w:cs="Arial" w:eastAsia="Arial" w:hAnsi="Arial"/>
          <w:sz w:val="22"/>
          <w:szCs w:val="22"/>
          <w:b w:val="1"/>
          <w:bCs w:val="1"/>
          <w:u w:val="single" w:color="auto"/>
          <w:color w:val="0000EE"/>
        </w:rPr>
        <w:t>Risk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0000EE"/>
        </w:rPr>
        <w:t>Factors</w:t>
      </w:r>
      <w:r>
        <w:rPr>
          <w:rFonts w:ascii="Arial" w:cs="Arial" w:eastAsia="Arial" w:hAnsi="Arial"/>
          <w:sz w:val="22"/>
          <w:szCs w:val="22"/>
          <w:b w:val="1"/>
          <w:bCs w:val="1"/>
          <w:color w:val="000000"/>
        </w:rPr>
        <w:t>” section beginning on page 6 of this prospectus, including those risks incorporated by reference</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in this prospectus and in any prospectus supplement, before deciding whether to invest in the offered securities.</w:t>
      </w:r>
    </w:p>
    <w:p>
      <w:pPr>
        <w:spacing w:after="0" w:line="171" w:lineRule="exact"/>
        <w:rPr>
          <w:sz w:val="20"/>
          <w:szCs w:val="20"/>
          <w:color w:val="auto"/>
        </w:rPr>
      </w:pPr>
    </w:p>
    <w:p>
      <w:pPr>
        <w:ind w:left="120" w:firstLine="440"/>
        <w:spacing w:after="0" w:line="309"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239395</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April 30, 2026</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20" w:type="dxa"/>
            <w:vAlign w:val="bottom"/>
            <w:gridSpan w:val="13"/>
            <w:vMerge w:val="restart"/>
          </w:tcPr>
          <w:p>
            <w:pPr>
              <w:spacing w:after="0"/>
              <w:rPr>
                <w:sz w:val="20"/>
                <w:szCs w:val="20"/>
                <w:color w:val="auto"/>
              </w:rPr>
            </w:pPr>
            <w:r>
              <w:rPr>
                <w:rFonts w:ascii="Arial" w:cs="Arial" w:eastAsia="Arial" w:hAnsi="Arial"/>
                <w:sz w:val="18"/>
                <w:szCs w:val="18"/>
                <w:color w:val="0000EE"/>
              </w:rPr>
              <w:t>About this Prospectus</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2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About the Guarantor</w:t>
            </w:r>
          </w:p>
        </w:tc>
        <w:tc>
          <w:tcPr>
            <w:tcW w:w="888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6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About the Company</w:t>
            </w:r>
          </w:p>
        </w:tc>
        <w:tc>
          <w:tcPr>
            <w:tcW w:w="900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9"/>
              </w:rPr>
              <w:t>Cautionary Statement Regarding Forward-Looking Statements</w:t>
            </w:r>
          </w:p>
        </w:tc>
        <w:tc>
          <w:tcPr>
            <w:tcW w:w="56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Risk Factors</w:t>
            </w:r>
          </w:p>
        </w:tc>
        <w:tc>
          <w:tcPr>
            <w:tcW w:w="9620" w:type="dxa"/>
            <w:vAlign w:val="bottom"/>
            <w:gridSpan w:val="1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620" w:type="dxa"/>
            <w:vAlign w:val="bottom"/>
            <w:gridSpan w:val="13"/>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96"/>
        </w:trPr>
        <w:tc>
          <w:tcPr>
            <w:tcW w:w="10620" w:type="dxa"/>
            <w:vAlign w:val="bottom"/>
            <w:gridSpan w:val="13"/>
          </w:tcPr>
          <w:p>
            <w:pPr>
              <w:spacing w:after="0" w:line="196" w:lineRule="exact"/>
              <w:rPr>
                <w:sz w:val="20"/>
                <w:szCs w:val="20"/>
                <w:color w:val="auto"/>
              </w:rPr>
            </w:pPr>
            <w:r>
              <w:rPr>
                <w:rFonts w:ascii="Arial" w:cs="Arial" w:eastAsia="Arial" w:hAnsi="Arial"/>
                <w:sz w:val="18"/>
                <w:szCs w:val="18"/>
                <w:color w:val="0000EE"/>
              </w:rPr>
              <w:t>Incorporation of Documents by Reference</w:t>
            </w:r>
          </w:p>
        </w:tc>
        <w:tc>
          <w:tcPr>
            <w:tcW w:w="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Use of Proceeds</w:t>
            </w:r>
          </w:p>
        </w:tc>
        <w:tc>
          <w:tcPr>
            <w:tcW w:w="730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60" w:type="dxa"/>
            <w:vAlign w:val="bottom"/>
            <w:gridSpan w:val="4"/>
          </w:tcPr>
          <w:p>
            <w:pPr>
              <w:spacing w:after="0" w:line="20" w:lineRule="exact"/>
              <w:rPr>
                <w:sz w:val="1"/>
                <w:szCs w:val="1"/>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96"/>
        </w:trPr>
        <w:tc>
          <w:tcPr>
            <w:tcW w:w="10620" w:type="dxa"/>
            <w:vAlign w:val="bottom"/>
            <w:gridSpan w:val="13"/>
          </w:tcPr>
          <w:p>
            <w:pPr>
              <w:spacing w:after="0" w:line="196" w:lineRule="exact"/>
              <w:rPr>
                <w:sz w:val="20"/>
                <w:szCs w:val="20"/>
                <w:color w:val="auto"/>
              </w:rPr>
            </w:pPr>
            <w:r>
              <w:rPr>
                <w:rFonts w:ascii="Arial" w:cs="Arial" w:eastAsia="Arial" w:hAnsi="Arial"/>
                <w:sz w:val="18"/>
                <w:szCs w:val="18"/>
                <w:color w:val="0000EE"/>
              </w:rPr>
              <w:t>Description of Debt Securities</w:t>
            </w:r>
          </w:p>
        </w:tc>
        <w:tc>
          <w:tcPr>
            <w:tcW w:w="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Plan of Distribution</w:t>
            </w:r>
          </w:p>
        </w:tc>
        <w:tc>
          <w:tcPr>
            <w:tcW w:w="826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720" w:type="dxa"/>
            <w:vAlign w:val="bottom"/>
            <w:gridSpan w:val="5"/>
          </w:tcPr>
          <w:p>
            <w:pPr>
              <w:spacing w:after="0" w:line="20" w:lineRule="exact"/>
              <w:rPr>
                <w:sz w:val="1"/>
                <w:szCs w:val="1"/>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96"/>
        </w:trPr>
        <w:tc>
          <w:tcPr>
            <w:tcW w:w="10620" w:type="dxa"/>
            <w:vAlign w:val="bottom"/>
            <w:gridSpan w:val="13"/>
          </w:tcPr>
          <w:p>
            <w:pPr>
              <w:spacing w:after="0" w:line="196" w:lineRule="exact"/>
              <w:rPr>
                <w:sz w:val="20"/>
                <w:szCs w:val="20"/>
                <w:color w:val="auto"/>
              </w:rPr>
            </w:pPr>
            <w:r>
              <w:rPr>
                <w:rFonts w:ascii="Arial" w:cs="Arial" w:eastAsia="Arial" w:hAnsi="Arial"/>
                <w:sz w:val="18"/>
                <w:szCs w:val="18"/>
                <w:color w:val="0000EE"/>
              </w:rPr>
              <w:t>Validity of the Securities</w:t>
            </w:r>
          </w:p>
        </w:tc>
        <w:tc>
          <w:tcPr>
            <w:tcW w:w="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Experts</w:t>
            </w:r>
          </w:p>
        </w:tc>
        <w:tc>
          <w:tcPr>
            <w:tcW w:w="872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17"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refers to Schlumberger Investment S.A., as defined on the first page of this prospectus;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“Guarantor” refers to SLB N.V. (SLB Limited), the ultimate parent of the Company;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“SLB Group” refers to SLB N.V. (SLB Limited) and its consolidated subsidiaries, including the Company; and</w:t>
      </w:r>
    </w:p>
    <w:p>
      <w:pPr>
        <w:spacing w:after="0" w:line="117" w:lineRule="exact"/>
        <w:rPr>
          <w:rFonts w:ascii="Arial" w:cs="Arial" w:eastAsia="Arial" w:hAnsi="Arial"/>
          <w:sz w:val="18"/>
          <w:szCs w:val="18"/>
          <w:color w:val="auto"/>
        </w:rPr>
      </w:pPr>
    </w:p>
    <w:p>
      <w:pPr>
        <w:ind w:left="1080" w:right="80" w:hanging="424"/>
        <w:spacing w:after="0" w:line="27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“us” and “our” and similar expressions refer to the SLB Group, including the Company, except when used in connection with “securities,” in which case these terms refer only to the Company.</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12"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7"/>
          <w:szCs w:val="17"/>
          <w:color w:val="auto"/>
        </w:rPr>
        <w:t>This prospectus is part of an automatic shelf registration statement that we have filed with the Securities and Exchange Commission (the “SEC”) as a “well-known seasoned issuer” as defined in Rule 405 under the Securities Act of 1933, as amended (the “Securities Act”).</w:t>
      </w:r>
    </w:p>
    <w:p>
      <w:pPr>
        <w:spacing w:after="0" w:line="131"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85"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SLB Group and SLB N.V. (SLB Limited)’s financial statements. You can read the registration statement and exhibits on the SEC’s website as described under “Where You Can Find More Information.”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Guarantor</w:t>
      </w:r>
    </w:p>
    <w:p>
      <w:pPr>
        <w:spacing w:after="0" w:line="212"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SLB N.V. (SLB Limited), together with its subsidiaries, form a global technology company driving energy innovation for a balanced planet. With a global presence in more than 100 countries and employees representing almost twice as many nationalities, the SLB Group works each day on innovating energy technology, delivering digital at scale, decarbonizing industries, and developing and scaling new energy systems that accelerate the energy transition.</w:t>
      </w:r>
    </w:p>
    <w:p>
      <w:pPr>
        <w:spacing w:after="0" w:line="174"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The Guarantor, formerly known as Schlumberger, was founded in 1926 and is the NYSE-listed parent of the SLB family of companies. The Guarantor is the ultimate parent of the Company. The Guarantor is incorporated under the laws of Curaçao with principal executive offices in Paris, Houston, and The Hague. The Guarantor’s executive offices in the United States are at 5599 San Felipe, Houston, Texas 77056, and its telephone number is (713) 513-2000. The Guarantor changed its brand name to SLB in 2022 and the legal name of its listed parent company in 2025. The principal U.S. market for the Guarantor’s common stock is the New York Stock Exchange, where it is traded under the symbol “SLB.”</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Company</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Schlumberger Investment S.A. is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in 2011 under the laws of the Grand Duchy of Luxembourg (“Luxembourg”) and registered with the Luxembourg Trade and Companies Register (</w:t>
      </w:r>
      <w:r>
        <w:rPr>
          <w:rFonts w:ascii="Arial" w:cs="Arial" w:eastAsia="Arial" w:hAnsi="Arial"/>
          <w:sz w:val="18"/>
          <w:szCs w:val="18"/>
          <w:i w:val="1"/>
          <w:iCs w:val="1"/>
          <w:color w:val="auto"/>
        </w:rPr>
        <w:t>Registre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 et des Sociétés</w:t>
      </w:r>
      <w:r>
        <w:rPr>
          <w:rFonts w:ascii="Arial" w:cs="Arial" w:eastAsia="Arial" w:hAnsi="Arial"/>
          <w:sz w:val="18"/>
          <w:szCs w:val="18"/>
          <w:color w:val="auto"/>
        </w:rPr>
        <w:t>) under number B 163.122. The Company has no subsidiaries, and its principal activities are debt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group financing. The Company is part of the SLB Group and all shares of the Company are owned indirectly by the Guarantor.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2"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7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“expect,” “may,” “can,” “believe,” “predict,” “plan,” “potential,” “projected,” “projections,” “precursor,” “forecast,” “outlook,” “expectations,” “estimate,” “intend,” “anticipate,” “ambition,” “goal,” “target,” “scheduled,” “think,” “should,” “could,” “would,” “will,” “see,” “likely,” and other similar words, are forward-looking statements. The following important factors, in addition to those discussed under “Risk Factors” in this prospectus and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90" w:lineRule="exact"/>
        <w:rPr>
          <w:sz w:val="20"/>
          <w:szCs w:val="20"/>
          <w:color w:val="auto"/>
        </w:rPr>
      </w:pPr>
    </w:p>
    <w:p>
      <w:pPr>
        <w:ind w:left="1080" w:right="600" w:hanging="424"/>
        <w:spacing w:after="0" w:line="271"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SLB Group’s financial and performance targets and other forecasts or expectations regarding, or dependent on, its business outlook;</w:t>
      </w:r>
    </w:p>
    <w:p>
      <w:pPr>
        <w:spacing w:after="0" w:line="59" w:lineRule="exact"/>
        <w:rPr>
          <w:rFonts w:ascii="Arial" w:cs="Arial" w:eastAsia="Arial" w:hAnsi="Arial"/>
          <w:sz w:val="18"/>
          <w:szCs w:val="18"/>
          <w:color w:val="auto"/>
        </w:rPr>
      </w:pPr>
    </w:p>
    <w:p>
      <w:pPr>
        <w:ind w:left="1080" w:right="480" w:hanging="424"/>
        <w:spacing w:after="0" w:line="271"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growth for the SLB Group as a whole and for each of its Divisions (and for specified business lines, geographic areas or technologies within each Division);</w:t>
      </w:r>
    </w:p>
    <w:p>
      <w:pPr>
        <w:spacing w:after="0" w:line="59" w:lineRule="exact"/>
        <w:rPr>
          <w:rFonts w:ascii="Arial" w:cs="Arial" w:eastAsia="Arial" w:hAnsi="Arial"/>
          <w:sz w:val="18"/>
          <w:szCs w:val="18"/>
          <w:color w:val="auto"/>
        </w:rPr>
      </w:pPr>
    </w:p>
    <w:p>
      <w:pPr>
        <w:ind w:left="1080" w:right="600" w:hanging="424"/>
        <w:spacing w:after="0" w:line="271"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benefits of the ChampionX acquisition, including the ability of the SLB Group to integrate the ChampionX business successfully and to achieve anticipated synergies and value creation from the acquisition;</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forecasts or expectations regarding energy transition and global climate change;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expenditures by the SLB Group and the oil and gas industry;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strategies of the SLB Group, including digital and “fit for basin,” as well as the strategies of its customers;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SLB Group’s capital allocation plans, including dividend plans and share repurchase programs;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SLB Group’s Asset Performance Solutions projects, joint ventures, and other alliances;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ongoing or escalating conflicts on global energy supply;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access to raw materials;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global economic and geopolitical conditions;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liquidity, including free cash flow;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results of operations, such as margin levels.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17"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changing global economic and geopolitical conditions;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80" w:right="280" w:hanging="424"/>
        <w:spacing w:after="0" w:line="27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SLB Group’s customers, and changes in the level of oil and natural gas exploration and development;</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operations and financial condition of the SLB Group’s customers and suppliers;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SLB Group’s inability to achieve its financial and performance targets and other forecasts and expectations;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SLB Group’s inability to achieve its net-zero carbon emissions goals or interim emissions reduction goals;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geopolitical and business conditions in key regions of the world;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monetary policy by governments;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tariffs;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effects of health pandemics;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and cost of raw materials;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in the SLB Group’s supply chain;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of future charges;</w:t>
      </w:r>
    </w:p>
    <w:p>
      <w:pPr>
        <w:spacing w:after="0" w:line="117"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SLB Group’s inability to recognize efficiencies and other intended benefits from its business strategies and initiatives, such as digital or new energy, as well as its cost reduction strategies;</w:t>
      </w:r>
    </w:p>
    <w:p>
      <w:pPr>
        <w:spacing w:after="0" w:line="59"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and climate- related initiatives;</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competitiveness of alternative energy sources or product substitutes;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212"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2025 and the Guarantor’s Quarterly Report on Form 10-Q for the fiscal quarter ended March 31, 2026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Guarantor files annual, quarterly and current reports, proxy statements and other information with the SEC. You may read and download any materials the Guarantor files with the SEC over the Internet from several commercial document retrieval services, as well as at the SEC’s website at www.sec.gov.</w:t>
      </w:r>
    </w:p>
    <w:p>
      <w:pPr>
        <w:spacing w:after="0" w:line="169" w:lineRule="exact"/>
        <w:rPr>
          <w:sz w:val="20"/>
          <w:szCs w:val="20"/>
          <w:color w:val="auto"/>
        </w:rPr>
      </w:pPr>
    </w:p>
    <w:p>
      <w:pPr>
        <w:ind w:left="120" w:right="240" w:firstLine="440"/>
        <w:spacing w:after="0" w:line="253" w:lineRule="auto"/>
        <w:rPr>
          <w:sz w:val="20"/>
          <w:szCs w:val="20"/>
          <w:color w:val="auto"/>
        </w:rPr>
      </w:pPr>
      <w:r>
        <w:rPr>
          <w:rFonts w:ascii="Arial" w:cs="Arial" w:eastAsia="Arial" w:hAnsi="Arial"/>
          <w:sz w:val="18"/>
          <w:szCs w:val="18"/>
          <w:color w:val="auto"/>
        </w:rPr>
        <w:t>In addition, the Guarantor makes its SEC filings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69" w:lineRule="exact"/>
        <w:rPr>
          <w:sz w:val="20"/>
          <w:szCs w:val="20"/>
          <w:color w:val="auto"/>
        </w:rPr>
      </w:pPr>
    </w:p>
    <w:p>
      <w:pPr>
        <w:jc w:val="both"/>
        <w:ind w:left="120" w:right="220" w:firstLine="440"/>
        <w:spacing w:after="0" w:line="253" w:lineRule="auto"/>
        <w:rPr>
          <w:sz w:val="20"/>
          <w:szCs w:val="20"/>
          <w:color w:val="auto"/>
        </w:rPr>
      </w:pPr>
      <w:r>
        <w:rPr>
          <w:rFonts w:ascii="Arial" w:cs="Arial" w:eastAsia="Arial" w:hAnsi="Arial"/>
          <w:sz w:val="18"/>
          <w:szCs w:val="18"/>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12"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SLB Group and its financial condition, business and results.</w:t>
      </w:r>
    </w:p>
    <w:p>
      <w:pPr>
        <w:spacing w:after="0" w:line="159"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We are incorporating by reference into this prospectus the documents listed below and any documents subsequently filed by the Guarantor under Sections 13(a), 13(c), 14 or 15(d) of the Securities Exchange Act of 1934, as amended (the “Exchange Act”), on or after the date of this prospectus and prior to the termination of any offering shall be deemed to be incorporated by reference into this prospectus; except that we are not incorporating by reference any information furnished (but not filed) under Item 2.02 or Item 7.01 of any Current Report on Form 8-K, unless specifically noted below or in a prospectus supplement or pricing supplement:</w:t>
      </w:r>
    </w:p>
    <w:p>
      <w:pPr>
        <w:spacing w:after="0" w:line="82" w:lineRule="exact"/>
        <w:rPr>
          <w:sz w:val="20"/>
          <w:szCs w:val="20"/>
          <w:color w:val="auto"/>
        </w:rPr>
      </w:pPr>
    </w:p>
    <w:p>
      <w:pPr>
        <w:jc w:val="both"/>
        <w:ind w:left="1080" w:right="120" w:hanging="424"/>
        <w:spacing w:after="0" w:line="25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Guarantor’s </w:t>
      </w:r>
      <w:hyperlink r:id="rId87">
        <w:r>
          <w:rPr>
            <w:rFonts w:ascii="Arial" w:cs="Arial" w:eastAsia="Arial" w:hAnsi="Arial"/>
            <w:sz w:val="18"/>
            <w:szCs w:val="18"/>
            <w:u w:val="single" w:color="auto"/>
            <w:color w:val="0000EE"/>
          </w:rPr>
          <w:t>Annual Report on Form 10-K for the fiscal year ended December 31, 2025</w:t>
        </w:r>
      </w:hyperlink>
      <w:r>
        <w:rPr>
          <w:rFonts w:ascii="Arial" w:cs="Arial" w:eastAsia="Arial" w:hAnsi="Arial"/>
          <w:sz w:val="18"/>
          <w:szCs w:val="18"/>
          <w:color w:val="auto"/>
        </w:rPr>
        <w:t xml:space="preserve">, as filed with the SEC on January 23, 2026 (including the portions of the Guarantor’s </w:t>
      </w:r>
      <w:hyperlink r:id="rId88">
        <w:r>
          <w:rPr>
            <w:rFonts w:ascii="Arial" w:cs="Arial" w:eastAsia="Arial" w:hAnsi="Arial"/>
            <w:sz w:val="18"/>
            <w:szCs w:val="18"/>
            <w:u w:val="single" w:color="auto"/>
            <w:color w:val="0000EE"/>
          </w:rPr>
          <w:t>proxy statement for the Guarantor’s 2026 annual meeting of shareholders</w:t>
        </w:r>
      </w:hyperlink>
      <w:r>
        <w:rPr>
          <w:rFonts w:ascii="Arial" w:cs="Arial" w:eastAsia="Arial" w:hAnsi="Arial"/>
          <w:sz w:val="18"/>
          <w:szCs w:val="18"/>
          <w:color w:val="auto"/>
        </w:rPr>
        <w:t xml:space="preserve"> incorporated by reference therein);</w:t>
      </w:r>
    </w:p>
    <w:p>
      <w:pPr>
        <w:spacing w:after="0" w:line="74"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Guarantor’s Quarterly Report on </w:t>
      </w:r>
      <w:hyperlink r:id="rId7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2026, as filed with the SEC on April 29, 2026; and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Guarantor’s Current Report on Form 8-K as filed with the SEC on </w:t>
      </w:r>
      <w:hyperlink r:id="rId89">
        <w:r>
          <w:rPr>
            <w:rFonts w:ascii="Arial" w:cs="Arial" w:eastAsia="Arial" w:hAnsi="Arial"/>
            <w:sz w:val="18"/>
            <w:szCs w:val="18"/>
            <w:u w:val="single" w:color="auto"/>
            <w:color w:val="0000EE"/>
          </w:rPr>
          <w:t>April 8, 2026</w:t>
        </w:r>
      </w:hyperlink>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20" w:firstLine="440"/>
        <w:spacing w:after="0" w:line="242"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79" w:lineRule="exact"/>
        <w:rPr>
          <w:rFonts w:ascii="Arial" w:cs="Arial" w:eastAsia="Arial" w:hAnsi="Arial"/>
          <w:sz w:val="18"/>
          <w:szCs w:val="18"/>
          <w:color w:val="auto"/>
        </w:rPr>
      </w:pPr>
    </w:p>
    <w:p>
      <w:pPr>
        <w:jc w:val="both"/>
        <w:ind w:left="120" w:right="40" w:firstLine="440"/>
        <w:spacing w:after="0" w:line="25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69" w:lineRule="exact"/>
        <w:rPr>
          <w:rFonts w:ascii="Arial" w:cs="Arial" w:eastAsia="Arial" w:hAnsi="Arial"/>
          <w:sz w:val="18"/>
          <w:szCs w:val="18"/>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6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SLB N.V. (SLB Limited)</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5599 San Felipe</w:t>
      </w:r>
    </w:p>
    <w:p>
      <w:pPr>
        <w:jc w:val="center"/>
        <w:ind w:right="-119"/>
        <w:spacing w:after="0" w:line="234" w:lineRule="auto"/>
        <w:rPr>
          <w:sz w:val="20"/>
          <w:szCs w:val="20"/>
          <w:color w:val="auto"/>
        </w:rPr>
      </w:pPr>
      <w:r>
        <w:rPr>
          <w:rFonts w:ascii="Arial" w:cs="Arial" w:eastAsia="Arial" w:hAnsi="Arial"/>
          <w:sz w:val="18"/>
          <w:szCs w:val="18"/>
          <w:color w:val="auto"/>
        </w:rPr>
        <w:t>Houston, Texas 77056</w:t>
      </w:r>
    </w:p>
    <w:p>
      <w:pPr>
        <w:ind w:left="5480" w:hanging="471"/>
        <w:spacing w:after="0" w:line="235" w:lineRule="auto"/>
        <w:tabs>
          <w:tab w:leader="none" w:pos="5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375-3535</w:t>
      </w:r>
    </w:p>
    <w:p>
      <w:pPr>
        <w:ind w:left="45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94" w:lineRule="exact"/>
        <w:rPr>
          <w:rFonts w:ascii="Arial" w:cs="Arial" w:eastAsia="Arial" w:hAnsi="Arial"/>
          <w:sz w:val="18"/>
          <w:szCs w:val="18"/>
          <w:color w:val="auto"/>
        </w:rPr>
      </w:pPr>
    </w:p>
    <w:p>
      <w:pPr>
        <w:ind w:left="120" w:right="800" w:firstLine="440"/>
        <w:spacing w:after="0" w:line="271"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w:t>
      </w:r>
    </w:p>
    <w:p>
      <w:pPr>
        <w:spacing w:after="0" w:line="8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Unless we otherwise state in a prospectus supplement or pricing supplement, we will use the net proceeds from the sale of the offered securities for general corporate purposes of the SLB Group. General corporate purposes may include repayment of debt, additions to working capital, capital expenditures, investments in subsidiaries of the Guarantor, possible acquisitions and the repurchase, redemption or retirement of securities, including the Guarantor’s common stock. The net proceeds may be temporarily invested or applied to repay short-term or revolving debt prior to use.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1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following is a general description of the debt securities that the Company may offer and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5" w:lineRule="exact"/>
        <w:rPr>
          <w:sz w:val="20"/>
          <w:szCs w:val="20"/>
          <w:color w:val="auto"/>
        </w:rPr>
      </w:pPr>
    </w:p>
    <w:p>
      <w:pPr>
        <w:jc w:val="both"/>
        <w:ind w:left="120" w:right="100" w:firstLine="440"/>
        <w:spacing w:after="0" w:line="253"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 “Guarantor” refers to our parent company, SLB N.V. (SLB Limited), and not to any of its subsidiaries, in each case unless otherwise indicated or the context otherwise requires.</w:t>
      </w:r>
    </w:p>
    <w:p>
      <w:pPr>
        <w:spacing w:after="0" w:line="169" w:lineRule="exact"/>
        <w:rPr>
          <w:sz w:val="20"/>
          <w:szCs w:val="20"/>
          <w:color w:val="auto"/>
        </w:rPr>
      </w:pPr>
    </w:p>
    <w:p>
      <w:pPr>
        <w:ind w:left="120" w:right="400" w:firstLine="440"/>
        <w:spacing w:after="0" w:line="271" w:lineRule="auto"/>
        <w:rPr>
          <w:sz w:val="20"/>
          <w:szCs w:val="20"/>
          <w:color w:val="auto"/>
        </w:rPr>
      </w:pPr>
      <w:r>
        <w:rPr>
          <w:rFonts w:ascii="Arial" w:cs="Arial" w:eastAsia="Arial" w:hAnsi="Arial"/>
          <w:sz w:val="18"/>
          <w:szCs w:val="18"/>
          <w:color w:val="auto"/>
        </w:rPr>
        <w:t>Certain capitalized terms used but not defined in this section have the respective meanings set forth in the indenture (as defined below).</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debt securities that we may offer and issue will be senior debt securities that will be issued under an indenture, dated December 3, 2013, by and among us, SLB N.V. (SLB Limited) (formerly known as Schlumberger Limited), as guarantor, and The Bank of New York Mellon, as trustee, as amended by the second supplemental indenture dated June 26, 2020 and the fourth supplemental indenture, dated May 29, 2024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 (the “Trust Indenture Act”).</w:t>
      </w:r>
    </w:p>
    <w:p>
      <w:pPr>
        <w:spacing w:after="0" w:line="183"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54" w:lineRule="exact"/>
        <w:rPr>
          <w:sz w:val="20"/>
          <w:szCs w:val="20"/>
          <w:color w:val="auto"/>
        </w:rPr>
      </w:pPr>
    </w:p>
    <w:p>
      <w:pPr>
        <w:ind w:left="120" w:firstLine="440"/>
        <w:spacing w:after="0" w:line="259"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6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5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w:t>
      </w:r>
    </w:p>
    <w:p>
      <w:pPr>
        <w:spacing w:after="0" w:line="117" w:lineRule="exact"/>
        <w:rPr>
          <w:rFonts w:ascii="Arial" w:cs="Arial" w:eastAsia="Arial" w:hAnsi="Arial"/>
          <w:sz w:val="18"/>
          <w:szCs w:val="18"/>
          <w:color w:val="auto"/>
        </w:rPr>
      </w:pPr>
    </w:p>
    <w:p>
      <w:pPr>
        <w:ind w:left="1080" w:right="80" w:hanging="424"/>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17" w:lineRule="exact"/>
        <w:rPr>
          <w:rFonts w:ascii="Arial" w:cs="Arial" w:eastAsia="Arial" w:hAnsi="Arial"/>
          <w:sz w:val="18"/>
          <w:szCs w:val="18"/>
          <w:color w:val="auto"/>
        </w:rPr>
      </w:pPr>
    </w:p>
    <w:p>
      <w:pPr>
        <w:ind w:left="1080" w:right="40" w:hanging="424"/>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74" w:lineRule="exact"/>
        <w:rPr>
          <w:rFonts w:ascii="Arial" w:cs="Arial" w:eastAsia="Arial" w:hAnsi="Arial"/>
          <w:sz w:val="18"/>
          <w:szCs w:val="18"/>
          <w:color w:val="auto"/>
        </w:rPr>
      </w:pPr>
    </w:p>
    <w:p>
      <w:pPr>
        <w:ind w:left="1080" w:right="60" w:hanging="424"/>
        <w:spacing w:after="0" w:line="24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79" w:lineRule="exact"/>
        <w:rPr>
          <w:rFonts w:ascii="Arial" w:cs="Arial" w:eastAsia="Arial" w:hAnsi="Arial"/>
          <w:sz w:val="18"/>
          <w:szCs w:val="18"/>
          <w:color w:val="auto"/>
        </w:rPr>
      </w:pPr>
    </w:p>
    <w:p>
      <w:pPr>
        <w:ind w:left="1080" w:right="320" w:hanging="424"/>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74" w:lineRule="exact"/>
        <w:rPr>
          <w:rFonts w:ascii="Arial" w:cs="Arial" w:eastAsia="Arial" w:hAnsi="Arial"/>
          <w:sz w:val="18"/>
          <w:szCs w:val="18"/>
          <w:color w:val="auto"/>
        </w:rPr>
      </w:pPr>
    </w:p>
    <w:p>
      <w:pPr>
        <w:ind w:left="1080" w:right="68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trustees, authenticating agents or paying agents with respect to such series, if different from those set forth in the indenture;</w:t>
      </w:r>
    </w:p>
    <w:p>
      <w:pPr>
        <w:spacing w:after="0" w:line="59" w:lineRule="exact"/>
        <w:rPr>
          <w:rFonts w:ascii="Arial" w:cs="Arial" w:eastAsia="Arial" w:hAnsi="Arial"/>
          <w:sz w:val="18"/>
          <w:szCs w:val="18"/>
          <w:color w:val="auto"/>
        </w:rPr>
      </w:pPr>
    </w:p>
    <w:p>
      <w:pPr>
        <w:ind w:left="1080" w:right="10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defer the payment of interest and the duration of such extension or deferral;</w:t>
      </w:r>
    </w:p>
    <w:p>
      <w:pPr>
        <w:spacing w:after="0" w:line="5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us, in whole or in part, at our option;</w:t>
      </w:r>
    </w:p>
    <w:p>
      <w:pPr>
        <w:spacing w:after="0" w:line="59" w:lineRule="exact"/>
        <w:rPr>
          <w:rFonts w:ascii="Arial" w:cs="Arial" w:eastAsia="Arial" w:hAnsi="Arial"/>
          <w:sz w:val="18"/>
          <w:szCs w:val="18"/>
          <w:color w:val="auto"/>
        </w:rPr>
      </w:pPr>
    </w:p>
    <w:p>
      <w:pPr>
        <w:ind w:left="1080" w:right="300" w:hanging="424"/>
        <w:spacing w:after="0" w:line="24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17"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will be issuable;</w:t>
      </w:r>
    </w:p>
    <w:p>
      <w:pPr>
        <w:spacing w:after="0" w:line="59" w:lineRule="exact"/>
        <w:rPr>
          <w:rFonts w:ascii="Arial" w:cs="Arial" w:eastAsia="Arial" w:hAnsi="Arial"/>
          <w:sz w:val="18"/>
          <w:szCs w:val="18"/>
          <w:color w:val="auto"/>
        </w:rPr>
      </w:pPr>
    </w:p>
    <w:p>
      <w:pPr>
        <w:ind w:left="1080" w:right="16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will be payable;</w:t>
      </w:r>
    </w:p>
    <w:p>
      <w:pPr>
        <w:spacing w:after="0" w:line="59" w:lineRule="exact"/>
        <w:rPr>
          <w:rFonts w:ascii="Arial" w:cs="Arial" w:eastAsia="Arial" w:hAnsi="Arial"/>
          <w:sz w:val="18"/>
          <w:szCs w:val="18"/>
          <w:color w:val="auto"/>
        </w:rPr>
      </w:pPr>
    </w:p>
    <w:p>
      <w:pPr>
        <w:ind w:left="1080" w:right="30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will be payable upon declaration of acceleration of the maturity thereof;</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17" w:lineRule="exact"/>
        <w:rPr>
          <w:rFonts w:ascii="Arial" w:cs="Arial" w:eastAsia="Arial" w:hAnsi="Arial"/>
          <w:sz w:val="18"/>
          <w:szCs w:val="18"/>
          <w:color w:val="auto"/>
        </w:rPr>
      </w:pPr>
    </w:p>
    <w:p>
      <w:pPr>
        <w:ind w:left="1080" w:right="36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debt securities of the series will be issued in whole or in part in the form of a global security or securities, the type of global security to be issued; the terms and conditions, if</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100"/>
        <w:spacing w:after="0" w:line="247" w:lineRule="auto"/>
        <w:rPr>
          <w:sz w:val="20"/>
          <w:szCs w:val="20"/>
          <w:color w:val="auto"/>
        </w:rPr>
      </w:pPr>
      <w:r>
        <w:rPr>
          <w:rFonts w:ascii="Arial" w:cs="Arial" w:eastAsia="Arial" w:hAnsi="Arial"/>
          <w:sz w:val="18"/>
          <w:szCs w:val="18"/>
          <w:color w:val="auto"/>
        </w:rPr>
        <w:t>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79" w:lineRule="exact"/>
        <w:rPr>
          <w:sz w:val="20"/>
          <w:szCs w:val="20"/>
          <w:color w:val="auto"/>
        </w:rPr>
      </w:pPr>
    </w:p>
    <w:p>
      <w:pPr>
        <w:ind w:left="1080" w:right="20" w:hanging="424"/>
        <w:spacing w:after="0" w:line="24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17" w:lineRule="exact"/>
        <w:rPr>
          <w:rFonts w:ascii="Arial" w:cs="Arial" w:eastAsia="Arial" w:hAnsi="Arial"/>
          <w:sz w:val="18"/>
          <w:szCs w:val="18"/>
          <w:color w:val="auto"/>
        </w:rPr>
      </w:pPr>
    </w:p>
    <w:p>
      <w:pPr>
        <w:ind w:left="1080" w:right="360" w:hanging="424"/>
        <w:spacing w:after="0" w:line="271"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17" w:lineRule="exact"/>
        <w:rPr>
          <w:rFonts w:ascii="Arial" w:cs="Arial" w:eastAsia="Arial" w:hAnsi="Arial"/>
          <w:sz w:val="18"/>
          <w:szCs w:val="18"/>
          <w:color w:val="auto"/>
        </w:rPr>
      </w:pPr>
    </w:p>
    <w:p>
      <w:pPr>
        <w:ind w:left="1080" w:right="540" w:hanging="424"/>
        <w:spacing w:after="0" w:line="271"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and upon what terms debt securities of a series may be defeased if different from the provisions set forth in the indenture;</w:t>
      </w:r>
    </w:p>
    <w:p>
      <w:pPr>
        <w:spacing w:after="0" w:line="59" w:lineRule="exact"/>
        <w:rPr>
          <w:rFonts w:ascii="Arial" w:cs="Arial" w:eastAsia="Arial" w:hAnsi="Arial"/>
          <w:sz w:val="18"/>
          <w:szCs w:val="18"/>
          <w:color w:val="auto"/>
        </w:rPr>
      </w:pPr>
    </w:p>
    <w:p>
      <w:pPr>
        <w:ind w:left="1080" w:right="480" w:hanging="424"/>
        <w:spacing w:after="0" w:line="271"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17" w:lineRule="exact"/>
        <w:rPr>
          <w:rFonts w:ascii="Arial" w:cs="Arial" w:eastAsia="Arial" w:hAnsi="Arial"/>
          <w:sz w:val="18"/>
          <w:szCs w:val="18"/>
          <w:color w:val="auto"/>
        </w:rPr>
      </w:pPr>
    </w:p>
    <w:p>
      <w:pPr>
        <w:ind w:left="1080" w:right="580" w:hanging="424"/>
        <w:spacing w:after="0" w:line="271"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59" w:lineRule="exact"/>
        <w:rPr>
          <w:rFonts w:ascii="Arial" w:cs="Arial" w:eastAsia="Arial" w:hAnsi="Arial"/>
          <w:sz w:val="18"/>
          <w:szCs w:val="18"/>
          <w:color w:val="auto"/>
        </w:rPr>
      </w:pPr>
    </w:p>
    <w:p>
      <w:pPr>
        <w:ind w:left="1080" w:right="100" w:hanging="424"/>
        <w:spacing w:after="0" w:line="242"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84" w:lineRule="exact"/>
        <w:rPr>
          <w:rFonts w:ascii="Arial" w:cs="Arial" w:eastAsia="Arial" w:hAnsi="Arial"/>
          <w:sz w:val="18"/>
          <w:szCs w:val="18"/>
          <w:color w:val="auto"/>
        </w:rPr>
      </w:pPr>
    </w:p>
    <w:p>
      <w:pPr>
        <w:ind w:left="1080" w:right="100" w:hanging="424"/>
        <w:spacing w:after="0" w:line="25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212"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20" w:firstLine="440"/>
        <w:spacing w:after="0" w:line="253" w:lineRule="auto"/>
        <w:rPr>
          <w:sz w:val="20"/>
          <w:szCs w:val="20"/>
          <w:color w:val="auto"/>
        </w:rPr>
      </w:pPr>
      <w:r>
        <w:rPr>
          <w:rFonts w:ascii="Arial" w:cs="Arial" w:eastAsia="Arial" w:hAnsi="Arial"/>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69" w:lineRule="exact"/>
        <w:rPr>
          <w:sz w:val="20"/>
          <w:szCs w:val="20"/>
          <w:color w:val="auto"/>
        </w:rPr>
      </w:pPr>
    </w:p>
    <w:p>
      <w:pPr>
        <w:ind w:left="120" w:right="540" w:firstLine="440"/>
        <w:spacing w:after="0" w:line="253"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04"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SLB N.V. (SLB Limited)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Guarantor will:</w:t>
      </w:r>
    </w:p>
    <w:p>
      <w:pPr>
        <w:spacing w:after="0" w:line="117" w:lineRule="exact"/>
        <w:rPr>
          <w:sz w:val="20"/>
          <w:szCs w:val="20"/>
          <w:color w:val="auto"/>
        </w:rPr>
      </w:pPr>
    </w:p>
    <w:p>
      <w:pPr>
        <w:jc w:val="both"/>
        <w:ind w:left="1080" w:right="60" w:hanging="424"/>
        <w:spacing w:after="0" w:line="25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74" w:lineRule="exact"/>
        <w:rPr>
          <w:rFonts w:ascii="Arial" w:cs="Arial" w:eastAsia="Arial" w:hAnsi="Arial"/>
          <w:sz w:val="18"/>
          <w:szCs w:val="18"/>
          <w:color w:val="auto"/>
        </w:rPr>
      </w:pPr>
    </w:p>
    <w:p>
      <w:pPr>
        <w:ind w:left="1080" w:right="260" w:hanging="424"/>
        <w:spacing w:after="0" w:line="271"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of any series will be:</w:t>
      </w:r>
    </w:p>
    <w:p>
      <w:pPr>
        <w:spacing w:after="0" w:line="117" w:lineRule="exact"/>
        <w:rPr>
          <w:sz w:val="20"/>
          <w:szCs w:val="20"/>
          <w:color w:val="auto"/>
        </w:rPr>
      </w:pPr>
    </w:p>
    <w:p>
      <w:pPr>
        <w:ind w:left="1080" w:right="30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Company’s other unsecured and unsubordinated indebtedness; and</w:t>
      </w:r>
    </w:p>
    <w:p>
      <w:pPr>
        <w:spacing w:after="0" w:line="59" w:lineRule="exact"/>
        <w:rPr>
          <w:rFonts w:ascii="Arial" w:cs="Arial" w:eastAsia="Arial" w:hAnsi="Arial"/>
          <w:sz w:val="18"/>
          <w:szCs w:val="18"/>
          <w:color w:val="auto"/>
        </w:rPr>
      </w:pPr>
    </w:p>
    <w:p>
      <w:pPr>
        <w:ind w:left="1080" w:right="58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any of its debt securities, as applicable, or the Guarantor under or with respect to the Guarantee, including payments of principal, redemption price, interest or premium, the Company or the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5"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82" w:lineRule="exact"/>
        <w:rPr>
          <w:sz w:val="20"/>
          <w:szCs w:val="20"/>
          <w:color w:val="auto"/>
        </w:rPr>
      </w:pPr>
    </w:p>
    <w:p>
      <w:pPr>
        <w:ind w:left="1080" w:right="180" w:hanging="532"/>
        <w:spacing w:after="0" w:line="242"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84" w:lineRule="exact"/>
        <w:rPr>
          <w:rFonts w:ascii="Arial" w:cs="Arial" w:eastAsia="Arial" w:hAnsi="Arial"/>
          <w:sz w:val="18"/>
          <w:szCs w:val="18"/>
          <w:color w:val="auto"/>
        </w:rPr>
      </w:pPr>
    </w:p>
    <w:p>
      <w:pPr>
        <w:ind w:left="1080" w:right="160" w:hanging="532"/>
        <w:spacing w:after="0" w:line="24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7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57" w:lineRule="exact"/>
        <w:rPr>
          <w:rFonts w:ascii="Arial" w:cs="Arial" w:eastAsia="Arial" w:hAnsi="Arial"/>
          <w:sz w:val="17"/>
          <w:szCs w:val="17"/>
          <w:color w:val="auto"/>
        </w:rPr>
      </w:pPr>
    </w:p>
    <w:p>
      <w:pPr>
        <w:ind w:left="1080" w:right="240" w:hanging="532"/>
        <w:spacing w:after="0" w:line="24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79" w:lineRule="exact"/>
        <w:rPr>
          <w:rFonts w:ascii="Arial" w:cs="Arial" w:eastAsia="Arial" w:hAnsi="Arial"/>
          <w:sz w:val="18"/>
          <w:szCs w:val="18"/>
          <w:color w:val="auto"/>
        </w:rPr>
      </w:pPr>
    </w:p>
    <w:p>
      <w:pPr>
        <w:jc w:val="both"/>
        <w:ind w:left="1080" w:right="300" w:hanging="532"/>
        <w:spacing w:after="0" w:line="25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Taxes imposed on or with respect to a payment made to a holder of such debt securities who would have been able to avoid such withholding or deduction by presenting such debt securities (where presentation is required) to another Paying Agent;</w:t>
      </w:r>
    </w:p>
    <w:p>
      <w:pPr>
        <w:spacing w:after="0" w:line="74" w:lineRule="exact"/>
        <w:rPr>
          <w:rFonts w:ascii="Arial" w:cs="Arial" w:eastAsia="Arial" w:hAnsi="Arial"/>
          <w:sz w:val="18"/>
          <w:szCs w:val="18"/>
          <w:color w:val="auto"/>
        </w:rPr>
      </w:pPr>
    </w:p>
    <w:p>
      <w:pPr>
        <w:ind w:left="1080" w:right="40" w:hanging="532"/>
        <w:spacing w:after="0" w:line="271"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debt securities or the Guarantee;</w:t>
      </w:r>
    </w:p>
    <w:p>
      <w:pPr>
        <w:spacing w:after="0" w:line="59" w:lineRule="exact"/>
        <w:rPr>
          <w:rFonts w:ascii="Arial" w:cs="Arial" w:eastAsia="Arial" w:hAnsi="Arial"/>
          <w:sz w:val="18"/>
          <w:szCs w:val="18"/>
          <w:color w:val="auto"/>
        </w:rPr>
      </w:pPr>
    </w:p>
    <w:p>
      <w:pPr>
        <w:ind w:left="1080" w:right="16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7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80"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7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74"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74"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7"/>
          <w:szCs w:val="17"/>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159" w:lineRule="exact"/>
        <w:rPr>
          <w:sz w:val="20"/>
          <w:szCs w:val="20"/>
          <w:color w:val="auto"/>
        </w:rPr>
      </w:pPr>
    </w:p>
    <w:p>
      <w:pPr>
        <w:ind w:left="120" w:right="260" w:firstLine="440"/>
        <w:spacing w:after="0" w:line="253" w:lineRule="auto"/>
        <w:rPr>
          <w:sz w:val="20"/>
          <w:szCs w:val="20"/>
          <w:color w:val="auto"/>
        </w:rPr>
      </w:pPr>
      <w:r>
        <w:rPr>
          <w:rFonts w:ascii="Arial" w:cs="Arial" w:eastAsia="Arial" w:hAnsi="Arial"/>
          <w:sz w:val="18"/>
          <w:szCs w:val="18"/>
          <w:color w:val="auto"/>
        </w:rPr>
        <w:t>Notwithstanding any provision in the indenture to the contrary, none of the trustee, the Registrar, any transfer agent or any Paying Agent will be required to determine the identity of a beneficial owner or be liable for any determination thereof by the Company or the Guarantor.</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04"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If specified in the applicable prospectus supplement, we may redeem the debt securities of any series, as a whole or in part, at our option on and after the dates and in accordance with the terms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04"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The Company or the Guarantor, as applicable, may redeem the debt securities of any series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5" w:lineRule="exact"/>
        <w:rPr>
          <w:sz w:val="20"/>
          <w:szCs w:val="20"/>
          <w:color w:val="auto"/>
        </w:rPr>
      </w:pPr>
    </w:p>
    <w:p>
      <w:pPr>
        <w:ind w:left="1080" w:right="20" w:hanging="532"/>
        <w:spacing w:after="0" w:line="24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79" w:lineRule="exact"/>
        <w:rPr>
          <w:rFonts w:ascii="Arial" w:cs="Arial" w:eastAsia="Arial" w:hAnsi="Arial"/>
          <w:sz w:val="18"/>
          <w:szCs w:val="18"/>
          <w:color w:val="auto"/>
        </w:rPr>
      </w:pPr>
    </w:p>
    <w:p>
      <w:pPr>
        <w:ind w:left="1080" w:hanging="532"/>
        <w:spacing w:after="0" w:line="24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7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taking reasonable measures available to it.</w:t>
      </w:r>
    </w:p>
    <w:p>
      <w:pPr>
        <w:spacing w:after="0" w:line="183"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6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or any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940"/>
        <w:spacing w:after="0" w:line="271" w:lineRule="auto"/>
        <w:rPr>
          <w:sz w:val="20"/>
          <w:szCs w:val="20"/>
          <w:color w:val="auto"/>
        </w:rPr>
      </w:pPr>
      <w:r>
        <w:rPr>
          <w:rFonts w:ascii="Arial" w:cs="Arial" w:eastAsia="Arial" w:hAnsi="Arial"/>
          <w:sz w:val="18"/>
          <w:szCs w:val="18"/>
          <w:color w:val="auto"/>
        </w:rPr>
        <w:t>jurisdiction from or through which payment is made by or on behalf of such person on the debt securities of such series (or any Guarantee) and any political subdivision thereof or therein.</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0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in definitive, non-global form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7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No debt securities in principal amount of less than the minimum authorized denomination can be redeemed in part. Unless otherwise described in a prospectus supplement relating to any debt securities, notices of redemption will be delivered at least 30 but not more than 60 days before the redemption date to each holder of debt securities of such series to be redeemed, except that redemption notices may be delivered more than 60 days prior to a redemption date if the notice is issued in connection with a defeasance of the debt securities of such series or a satisfaction and discharge of the indenture.</w:t>
      </w:r>
    </w:p>
    <w:p>
      <w:pPr>
        <w:spacing w:after="0" w:line="176"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79"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04"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constructive notice of any information contained therein or determinable from information contained therein, including compliance by us or the Guarantor with any covenants under the indenture (as to which the trustee is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04"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will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04"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85"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17" w:lineRule="exact"/>
        <w:rPr>
          <w:rFonts w:ascii="Arial" w:cs="Arial" w:eastAsia="Arial" w:hAnsi="Arial"/>
          <w:sz w:val="18"/>
          <w:szCs w:val="18"/>
          <w:color w:val="auto"/>
        </w:rPr>
      </w:pPr>
    </w:p>
    <w:p>
      <w:pPr>
        <w:ind w:left="1080" w:right="120" w:hanging="532"/>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9" w:lineRule="exact"/>
        <w:rPr>
          <w:rFonts w:ascii="Arial" w:cs="Arial" w:eastAsia="Arial" w:hAnsi="Arial"/>
          <w:sz w:val="18"/>
          <w:szCs w:val="18"/>
          <w:color w:val="auto"/>
        </w:rPr>
      </w:pPr>
    </w:p>
    <w:p>
      <w:pPr>
        <w:ind w:left="1080" w:right="280" w:hanging="532"/>
        <w:spacing w:after="0" w:line="242"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4"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17" w:lineRule="exact"/>
        <w:rPr>
          <w:rFonts w:ascii="Arial" w:cs="Arial" w:eastAsia="Arial" w:hAnsi="Arial"/>
          <w:sz w:val="18"/>
          <w:szCs w:val="18"/>
          <w:color w:val="auto"/>
        </w:rPr>
      </w:pPr>
    </w:p>
    <w:p>
      <w:pPr>
        <w:ind w:left="1080" w:hanging="532"/>
        <w:spacing w:after="0" w:line="24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9" w:lineRule="exact"/>
        <w:rPr>
          <w:rFonts w:ascii="Arial" w:cs="Arial" w:eastAsia="Arial" w:hAnsi="Arial"/>
          <w:sz w:val="18"/>
          <w:szCs w:val="18"/>
          <w:color w:val="auto"/>
        </w:rPr>
      </w:pPr>
    </w:p>
    <w:p>
      <w:pPr>
        <w:ind w:left="1080" w:right="320" w:hanging="532"/>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mortgage of any property or assets to secure indebtedness of the pollution control, industrial revenue or other revenue bond type;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80" w:right="120" w:hanging="532"/>
        <w:spacing w:after="0" w:line="24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9" w:lineRule="exact"/>
        <w:rPr>
          <w:rFonts w:ascii="Arial" w:cs="Arial" w:eastAsia="Arial" w:hAnsi="Arial"/>
          <w:sz w:val="18"/>
          <w:szCs w:val="18"/>
          <w:color w:val="auto"/>
        </w:rPr>
      </w:pPr>
    </w:p>
    <w:p>
      <w:pPr>
        <w:ind w:left="1080" w:right="260" w:hanging="532"/>
        <w:spacing w:after="0" w:line="271"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5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5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52" w:lineRule="exact"/>
        <w:rPr>
          <w:sz w:val="20"/>
          <w:szCs w:val="20"/>
          <w:color w:val="auto"/>
        </w:rPr>
      </w:pPr>
    </w:p>
    <w:p>
      <w:pPr>
        <w:ind w:left="120" w:right="620" w:firstLine="440"/>
        <w:spacing w:after="0" w:line="301" w:lineRule="auto"/>
        <w:rPr>
          <w:sz w:val="20"/>
          <w:szCs w:val="20"/>
          <w:color w:val="auto"/>
        </w:rPr>
      </w:pPr>
      <w:r>
        <w:rPr>
          <w:rFonts w:ascii="Arial" w:cs="Arial" w:eastAsia="Arial" w:hAnsi="Arial"/>
          <w:sz w:val="17"/>
          <w:szCs w:val="17"/>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1"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w:t>
      </w:r>
    </w:p>
    <w:p>
      <w:pPr>
        <w:ind w:left="120" w:hanging="4"/>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04"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04" w:lineRule="exact"/>
        <w:rPr>
          <w:sz w:val="20"/>
          <w:szCs w:val="20"/>
          <w:color w:val="auto"/>
        </w:rPr>
      </w:pPr>
    </w:p>
    <w:p>
      <w:pPr>
        <w:ind w:left="120" w:right="720" w:firstLine="440"/>
        <w:spacing w:after="0" w:line="271" w:lineRule="auto"/>
        <w:rPr>
          <w:sz w:val="20"/>
          <w:szCs w:val="20"/>
          <w:color w:val="auto"/>
        </w:rPr>
      </w:pPr>
      <w:r>
        <w:rPr>
          <w:rFonts w:ascii="Arial" w:cs="Arial" w:eastAsia="Arial" w:hAnsi="Arial"/>
          <w:sz w:val="18"/>
          <w:szCs w:val="18"/>
          <w:color w:val="auto"/>
        </w:rPr>
        <w:t>Any subsidiary of the Guarantor may, at its option, assume the obligations of the Company under the indenture and the debt securities, provided that:</w:t>
      </w:r>
    </w:p>
    <w:p>
      <w:pPr>
        <w:spacing w:after="0" w:line="59" w:lineRule="exact"/>
        <w:rPr>
          <w:sz w:val="20"/>
          <w:szCs w:val="20"/>
          <w:color w:val="auto"/>
        </w:rPr>
      </w:pPr>
    </w:p>
    <w:p>
      <w:pPr>
        <w:ind w:left="1080" w:right="26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subsidiary expressly assumes such obligations in an assumption agreement or supplemental indenture duly executed and delivered to the trustee, and</w:t>
      </w:r>
    </w:p>
    <w:p>
      <w:pPr>
        <w:spacing w:after="0" w:line="59" w:lineRule="exact"/>
        <w:rPr>
          <w:rFonts w:ascii="Arial" w:cs="Arial" w:eastAsia="Arial" w:hAnsi="Arial"/>
          <w:sz w:val="18"/>
          <w:szCs w:val="18"/>
          <w:color w:val="auto"/>
        </w:rPr>
      </w:pPr>
    </w:p>
    <w:p>
      <w:pPr>
        <w:ind w:left="1080" w:right="40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54" w:lineRule="exact"/>
        <w:rPr>
          <w:sz w:val="20"/>
          <w:szCs w:val="20"/>
          <w:color w:val="auto"/>
        </w:rPr>
      </w:pPr>
    </w:p>
    <w:p>
      <w:pPr>
        <w:ind w:left="120" w:right="200" w:firstLine="440"/>
        <w:spacing w:after="0" w:line="244" w:lineRule="auto"/>
        <w:rPr>
          <w:sz w:val="20"/>
          <w:szCs w:val="20"/>
          <w:color w:val="auto"/>
        </w:rPr>
      </w:pPr>
      <w:r>
        <w:rPr>
          <w:rFonts w:ascii="Arial" w:cs="Arial" w:eastAsia="Arial" w:hAnsi="Arial"/>
          <w:sz w:val="18"/>
          <w:szCs w:val="18"/>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28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0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59" w:lineRule="exact"/>
        <w:rPr>
          <w:sz w:val="20"/>
          <w:szCs w:val="20"/>
          <w:color w:val="auto"/>
        </w:rPr>
      </w:pPr>
    </w:p>
    <w:p>
      <w:pPr>
        <w:ind w:left="1080" w:right="640" w:hanging="424"/>
        <w:spacing w:after="0" w:line="271"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failure to pay any interest on any of the debt securities of such series within 30 days after such interest becomes due and payable;</w:t>
      </w:r>
    </w:p>
    <w:p>
      <w:pPr>
        <w:spacing w:after="0" w:line="59" w:lineRule="exact"/>
        <w:rPr>
          <w:rFonts w:ascii="Arial" w:cs="Arial" w:eastAsia="Arial" w:hAnsi="Arial"/>
          <w:sz w:val="18"/>
          <w:szCs w:val="18"/>
          <w:color w:val="auto"/>
        </w:rPr>
      </w:pPr>
    </w:p>
    <w:p>
      <w:pPr>
        <w:ind w:left="1080" w:right="140" w:hanging="424"/>
        <w:spacing w:after="0" w:line="271"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59" w:lineRule="exact"/>
        <w:rPr>
          <w:rFonts w:ascii="Arial" w:cs="Arial" w:eastAsia="Arial" w:hAnsi="Arial"/>
          <w:sz w:val="18"/>
          <w:szCs w:val="18"/>
          <w:color w:val="auto"/>
        </w:rPr>
      </w:pPr>
    </w:p>
    <w:p>
      <w:pPr>
        <w:ind w:left="1080" w:right="240" w:hanging="424"/>
        <w:spacing w:after="0" w:line="271"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becomes due and payable by the terms of the debt securities of such series, and continuance of such default for a period of 30 days;</w:t>
      </w:r>
    </w:p>
    <w:p>
      <w:pPr>
        <w:spacing w:after="0" w:line="59" w:lineRule="exact"/>
        <w:rPr>
          <w:rFonts w:ascii="Arial" w:cs="Arial" w:eastAsia="Arial" w:hAnsi="Arial"/>
          <w:sz w:val="18"/>
          <w:szCs w:val="18"/>
          <w:color w:val="auto"/>
        </w:rPr>
      </w:pPr>
    </w:p>
    <w:p>
      <w:pPr>
        <w:ind w:left="1080" w:right="340" w:hanging="424"/>
        <w:spacing w:after="0" w:line="244"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81"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57" w:lineRule="exact"/>
        <w:rPr>
          <w:rFonts w:ascii="Arial" w:cs="Arial" w:eastAsia="Arial" w:hAnsi="Arial"/>
          <w:sz w:val="17"/>
          <w:szCs w:val="17"/>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1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a series of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7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85"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A holder of debt securities of any series may pursue any remedy under the indenture applicable to the debt securities of that series only if:</w:t>
      </w:r>
    </w:p>
    <w:p>
      <w:pPr>
        <w:spacing w:after="0" w:line="59"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1080" w:right="140" w:hanging="424"/>
        <w:spacing w:after="0" w:line="271"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154"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5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59"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17" w:lineRule="exact"/>
        <w:rPr>
          <w:rFonts w:ascii="Arial" w:cs="Arial" w:eastAsia="Arial" w:hAnsi="Arial"/>
          <w:sz w:val="18"/>
          <w:szCs w:val="18"/>
          <w:color w:val="auto"/>
        </w:rPr>
      </w:pPr>
    </w:p>
    <w:p>
      <w:pPr>
        <w:ind w:left="1080" w:right="300" w:hanging="424"/>
        <w:spacing w:after="0" w:line="27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applicable indenture that cannot be modified or amended without the consent of the holder of each outstanding debt security affected thereby).</w:t>
      </w:r>
    </w:p>
    <w:p>
      <w:pPr>
        <w:spacing w:after="0" w:line="183"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59"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17"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117" w:lineRule="exact"/>
        <w:rPr>
          <w:rFonts w:ascii="Arial" w:cs="Arial" w:eastAsia="Arial" w:hAnsi="Arial"/>
          <w:sz w:val="18"/>
          <w:szCs w:val="18"/>
          <w:color w:val="auto"/>
        </w:rPr>
      </w:pPr>
    </w:p>
    <w:p>
      <w:pPr>
        <w:ind w:left="1080" w:right="160" w:hanging="424"/>
        <w:spacing w:after="0" w:line="25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12"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74"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1080" w:hanging="424"/>
        <w:spacing w:after="0" w:line="24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“—Consolidation, Merger and Sale of Assets” or to provide for the assumption of the Company’s obligations under the indenture by a subsidiary of the Guarantor in accordance with the requirements under “—Assumption by a Subsidiary” above;</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117" w:lineRule="exact"/>
        <w:rPr>
          <w:rFonts w:ascii="Arial" w:cs="Arial" w:eastAsia="Arial" w:hAnsi="Arial"/>
          <w:sz w:val="18"/>
          <w:szCs w:val="18"/>
          <w:color w:val="auto"/>
        </w:rPr>
      </w:pPr>
    </w:p>
    <w:p>
      <w:pPr>
        <w:ind w:left="1080" w:right="800" w:hanging="424"/>
        <w:spacing w:after="0" w:line="27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59" w:lineRule="exact"/>
        <w:rPr>
          <w:rFonts w:ascii="Arial" w:cs="Arial" w:eastAsia="Arial" w:hAnsi="Arial"/>
          <w:sz w:val="18"/>
          <w:szCs w:val="18"/>
          <w:color w:val="auto"/>
        </w:rPr>
      </w:pPr>
    </w:p>
    <w:p>
      <w:pPr>
        <w:ind w:left="1080" w:right="700" w:hanging="424"/>
        <w:spacing w:after="0" w:line="27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if applicable;</w:t>
      </w:r>
    </w:p>
    <w:p>
      <w:pPr>
        <w:spacing w:after="0" w:line="59" w:lineRule="exact"/>
        <w:rPr>
          <w:rFonts w:ascii="Arial" w:cs="Arial" w:eastAsia="Arial" w:hAnsi="Arial"/>
          <w:sz w:val="18"/>
          <w:szCs w:val="18"/>
          <w:color w:val="auto"/>
        </w:rPr>
      </w:pPr>
    </w:p>
    <w:p>
      <w:pPr>
        <w:ind w:left="1080" w:right="400" w:hanging="424"/>
        <w:spacing w:after="0" w:line="27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59" w:lineRule="exact"/>
        <w:rPr>
          <w:rFonts w:ascii="Arial" w:cs="Arial" w:eastAsia="Arial" w:hAnsi="Arial"/>
          <w:sz w:val="18"/>
          <w:szCs w:val="18"/>
          <w:color w:val="auto"/>
        </w:rPr>
      </w:pPr>
    </w:p>
    <w:p>
      <w:pPr>
        <w:ind w:left="1080" w:right="260" w:hanging="424"/>
        <w:spacing w:after="0" w:line="25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17" w:lineRule="exact"/>
        <w:rPr>
          <w:rFonts w:ascii="Arial" w:cs="Arial" w:eastAsia="Arial" w:hAnsi="Arial"/>
          <w:sz w:val="18"/>
          <w:szCs w:val="18"/>
          <w:color w:val="auto"/>
        </w:rPr>
      </w:pPr>
    </w:p>
    <w:p>
      <w:pPr>
        <w:ind w:left="1080" w:right="60" w:hanging="424"/>
        <w:spacing w:after="0" w:line="27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59" w:lineRule="exact"/>
        <w:rPr>
          <w:rFonts w:ascii="Arial" w:cs="Arial" w:eastAsia="Arial" w:hAnsi="Arial"/>
          <w:sz w:val="18"/>
          <w:szCs w:val="18"/>
          <w:color w:val="auto"/>
        </w:rPr>
      </w:pPr>
    </w:p>
    <w:p>
      <w:pPr>
        <w:ind w:left="1080" w:right="80" w:hanging="424"/>
        <w:spacing w:after="0" w:line="25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17" w:lineRule="exact"/>
        <w:rPr>
          <w:rFonts w:ascii="Arial" w:cs="Arial" w:eastAsia="Arial" w:hAnsi="Arial"/>
          <w:sz w:val="18"/>
          <w:szCs w:val="18"/>
          <w:color w:val="auto"/>
        </w:rPr>
      </w:pPr>
    </w:p>
    <w:p>
      <w:pPr>
        <w:ind w:left="1080" w:right="640" w:hanging="424"/>
        <w:spacing w:after="0" w:line="27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Personal Liability of Directors, Officers, Employees, Stockholders and Certain Others</w:t>
      </w:r>
    </w:p>
    <w:p>
      <w:pPr>
        <w:spacing w:after="0" w:line="102"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04"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79" w:lineRule="exact"/>
        <w:rPr>
          <w:sz w:val="20"/>
          <w:szCs w:val="20"/>
          <w:color w:val="auto"/>
        </w:rPr>
      </w:pPr>
    </w:p>
    <w:p>
      <w:pPr>
        <w:ind w:left="1080" w:right="840" w:hanging="424"/>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59" w:lineRule="exact"/>
        <w:rPr>
          <w:rFonts w:ascii="Arial" w:cs="Arial" w:eastAsia="Arial" w:hAnsi="Arial"/>
          <w:sz w:val="18"/>
          <w:szCs w:val="18"/>
          <w:color w:val="auto"/>
        </w:rPr>
      </w:pPr>
    </w:p>
    <w:p>
      <w:pPr>
        <w:ind w:left="1080" w:right="440" w:hanging="424"/>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5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pay Additional Amounts, maintain paying agencies and hold moneys for payment in trust and to compensate and indemnify the trustee. In the case of covenant defeasance, the Company’s obligation to pay principal, premium and interest on the debt securities of such series will also survive.</w:t>
      </w:r>
    </w:p>
    <w:p>
      <w:pPr>
        <w:spacing w:after="0" w:line="179" w:lineRule="exact"/>
        <w:rPr>
          <w:sz w:val="20"/>
          <w:szCs w:val="20"/>
          <w:color w:val="auto"/>
        </w:rPr>
      </w:pPr>
    </w:p>
    <w:p>
      <w:pPr>
        <w:jc w:val="both"/>
        <w:ind w:left="120" w:right="120" w:firstLine="440"/>
        <w:spacing w:after="0" w:line="247"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U.S. Internal Revenue Service addressed to the Company or trustee or a change in law to that effect.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0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74"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301" w:lineRule="auto"/>
        <w:rPr>
          <w:sz w:val="20"/>
          <w:szCs w:val="20"/>
          <w:color w:val="auto"/>
        </w:rPr>
      </w:pPr>
      <w:r>
        <w:rPr>
          <w:rFonts w:ascii="Arial" w:cs="Arial" w:eastAsia="Arial" w:hAnsi="Arial"/>
          <w:sz w:val="17"/>
          <w:szCs w:val="17"/>
          <w:color w:val="auto"/>
        </w:rPr>
        <w:t>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will maintain one or more paying agents (each, a “Paying Agent”) for any debt securities we issue in the Borough of Manhattan, City of New York. We will also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180"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7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76"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our behalf.</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change any Paying Agents, Registrars or transfer agents without prior notice to the holders of debt securities.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04" w:lineRule="exact"/>
        <w:rPr>
          <w:sz w:val="20"/>
          <w:szCs w:val="20"/>
          <w:color w:val="auto"/>
        </w:rPr>
      </w:pPr>
    </w:p>
    <w:p>
      <w:pPr>
        <w:ind w:left="120" w:right="300" w:firstLine="440"/>
        <w:spacing w:after="0" w:line="244"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6"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54"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Investors may elect to hold their interests in the global securities in DTC (in the United States) through its direct and indirect participants, including Euroclear Bank SA/NV, or “Euroclear,” and Clearstream Banking S.A., or “Clearstream.”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17" w:lineRule="exact"/>
        <w:rPr>
          <w:sz w:val="20"/>
          <w:szCs w:val="20"/>
          <w:color w:val="auto"/>
        </w:rPr>
      </w:pPr>
    </w:p>
    <w:p>
      <w:pPr>
        <w:ind w:left="1080" w:right="300" w:hanging="424"/>
        <w:spacing w:after="0" w:line="271"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59" w:lineRule="exact"/>
        <w:rPr>
          <w:rFonts w:ascii="Arial" w:cs="Arial" w:eastAsia="Arial" w:hAnsi="Arial"/>
          <w:sz w:val="18"/>
          <w:szCs w:val="18"/>
          <w:color w:val="auto"/>
        </w:rPr>
      </w:pPr>
    </w:p>
    <w:p>
      <w:pPr>
        <w:ind w:left="1080" w:right="20" w:hanging="424"/>
        <w:spacing w:after="0" w:line="25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74" w:lineRule="exact"/>
        <w:rPr>
          <w:rFonts w:ascii="Arial" w:cs="Arial" w:eastAsia="Arial" w:hAnsi="Arial"/>
          <w:sz w:val="18"/>
          <w:szCs w:val="18"/>
          <w:color w:val="auto"/>
        </w:rPr>
      </w:pPr>
    </w:p>
    <w:p>
      <w:pPr>
        <w:ind w:left="1080" w:right="120" w:hanging="424"/>
        <w:spacing w:after="0" w:line="271"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54"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69"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79" w:lineRule="exact"/>
        <w:rPr>
          <w:sz w:val="20"/>
          <w:szCs w:val="20"/>
          <w:color w:val="auto"/>
        </w:rPr>
      </w:pPr>
    </w:p>
    <w:p>
      <w:pPr>
        <w:ind w:left="1080" w:right="340" w:hanging="424"/>
        <w:spacing w:after="0" w:line="271"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59" w:lineRule="exact"/>
        <w:rPr>
          <w:rFonts w:ascii="Arial" w:cs="Arial" w:eastAsia="Arial" w:hAnsi="Arial"/>
          <w:sz w:val="18"/>
          <w:szCs w:val="18"/>
          <w:color w:val="auto"/>
        </w:rPr>
      </w:pPr>
    </w:p>
    <w:p>
      <w:pPr>
        <w:ind w:left="1080" w:right="40" w:hanging="424"/>
        <w:spacing w:after="0" w:line="25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69" w:lineRule="exact"/>
        <w:rPr>
          <w:sz w:val="20"/>
          <w:szCs w:val="20"/>
          <w:color w:val="auto"/>
        </w:rPr>
      </w:pPr>
    </w:p>
    <w:p>
      <w:pPr>
        <w:ind w:left="120" w:right="240" w:firstLine="440"/>
        <w:spacing w:after="0" w:line="244" w:lineRule="auto"/>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practices, as is the case with securities held for customer accounts registered in “street name,” and will be the sole responsibility of those participants. Book-entry notes may be more difficult to pledge because of the lack of a physical note.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80"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6"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74"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52"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w:t>
      </w:r>
      <w:r>
        <w:rPr>
          <w:rFonts w:ascii="Arial" w:cs="Arial" w:eastAsia="Arial" w:hAnsi="Arial"/>
          <w:sz w:val="18"/>
          <w:szCs w:val="18"/>
          <w:i w:val="1"/>
          <w:iCs w:val="1"/>
          <w:color w:val="auto"/>
        </w:rPr>
        <w:t>Commission de Surveillance du Secteur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Financier</w:t>
      </w:r>
      <w:r>
        <w:rPr>
          <w:rFonts w:ascii="Arial" w:cs="Arial" w:eastAsia="Arial" w:hAnsi="Arial"/>
          <w:sz w:val="18"/>
          <w:szCs w:val="18"/>
          <w:color w:val="auto"/>
        </w:rPr>
        <w:t>). Clearstream Participants are recognized financial institutions around the world, including underwriters, securities brokers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dealers, banks, trust companies and clearing corporations. In the United States,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3"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0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6" w:lineRule="exact"/>
        <w:rPr>
          <w:sz w:val="20"/>
          <w:szCs w:val="20"/>
          <w:color w:val="auto"/>
        </w:rPr>
      </w:pPr>
    </w:p>
    <w:p>
      <w:pPr>
        <w:ind w:left="120" w:right="520" w:firstLine="440"/>
        <w:spacing w:after="0" w:line="271"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5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4" w:lineRule="exact"/>
        <w:rPr>
          <w:sz w:val="20"/>
          <w:szCs w:val="20"/>
          <w:color w:val="auto"/>
        </w:rPr>
      </w:pPr>
    </w:p>
    <w:p>
      <w:pPr>
        <w:ind w:left="120" w:right="380" w:firstLine="440"/>
        <w:spacing w:after="0" w:line="271"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54"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Clearance and Settlement Procedures</w:t>
      </w:r>
    </w:p>
    <w:p>
      <w:pPr>
        <w:spacing w:after="0" w:line="102" w:lineRule="exact"/>
        <w:rPr>
          <w:sz w:val="20"/>
          <w:szCs w:val="20"/>
          <w:color w:val="auto"/>
        </w:rPr>
      </w:pPr>
    </w:p>
    <w:p>
      <w:pPr>
        <w:ind w:left="120" w:right="380" w:firstLine="440"/>
        <w:spacing w:after="0" w:line="244"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76"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5" w:lineRule="exact"/>
        <w:rPr>
          <w:sz w:val="20"/>
          <w:szCs w:val="20"/>
          <w:color w:val="auto"/>
        </w:rPr>
      </w:pPr>
    </w:p>
    <w:p>
      <w:pPr>
        <w:ind w:left="120" w:right="580" w:firstLine="440"/>
        <w:spacing w:after="0" w:line="271" w:lineRule="auto"/>
        <w:rPr>
          <w:sz w:val="20"/>
          <w:szCs w:val="20"/>
          <w:color w:val="auto"/>
        </w:rPr>
      </w:pPr>
      <w:r>
        <w:rPr>
          <w:rFonts w:ascii="Arial" w:cs="Arial" w:eastAsia="Arial" w:hAnsi="Arial"/>
          <w:sz w:val="18"/>
          <w:szCs w:val="18"/>
          <w:color w:val="auto"/>
        </w:rPr>
        <w:t>If the debt securities are cleared only through Euroclear and Clearstream (and not DTC), you will be able to make and receive through Euroclear and Clearstream payments, deliveries, transfers,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85" w:lineRule="exact"/>
        <w:rPr>
          <w:sz w:val="20"/>
          <w:szCs w:val="20"/>
          <w:color w:val="auto"/>
        </w:rPr>
      </w:pPr>
    </w:p>
    <w:p>
      <w:pPr>
        <w:ind w:left="120" w:right="120" w:firstLine="440"/>
        <w:spacing w:after="0" w:line="24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17"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underwriters, brokers or dealers;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1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5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320" w:top="455" w:right="5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Validity of the Securities</w:t>
      </w:r>
    </w:p>
    <w:p>
      <w:pPr>
        <w:spacing w:after="0" w:line="212"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The validity of the debt securities and guarantees offered hereby will be passed upon for us by Gibson, Dunn &amp; Crutcher LLP, New York, New York. Certain matters of Luxembourg law will be passed upon by Loyens &amp; Loeff Luxembourg SARL, Luxembourg, Grand Duchy of Luxembourg; and certain matters of Curaçao will be passed upon by STvB Advocaten (Europe) N.V., Amsterdam, The Netherlands.</w:t>
      </w:r>
    </w:p>
    <w:p>
      <w:pPr>
        <w:spacing w:after="0" w:line="1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320" w:top="455" w:right="6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SLB Limited’s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320" w:top="455" w:right="6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auto"/>
        </w:rPr>
        <w:t>Schlumberger Investment S.A.</w:t>
      </w:r>
    </w:p>
    <w:p>
      <w:pPr>
        <w:spacing w:after="0" w:line="215" w:lineRule="exact"/>
        <w:rPr>
          <w:sz w:val="20"/>
          <w:szCs w:val="20"/>
          <w:color w:val="auto"/>
        </w:rPr>
      </w:pPr>
    </w:p>
    <w:p>
      <w:pPr>
        <w:ind w:left="2440"/>
        <w:spacing w:after="0"/>
        <w:rPr>
          <w:sz w:val="20"/>
          <w:szCs w:val="20"/>
          <w:color w:val="auto"/>
        </w:rPr>
      </w:pPr>
      <w:r>
        <w:rPr>
          <w:rFonts w:ascii="Arial" w:cs="Arial" w:eastAsia="Arial" w:hAnsi="Arial"/>
          <w:sz w:val="29"/>
          <w:szCs w:val="29"/>
          <w:b w:val="1"/>
          <w:bCs w:val="1"/>
          <w:color w:val="auto"/>
        </w:rPr>
        <w:t>US$                         % Senior Notes due 2031</w:t>
      </w:r>
    </w:p>
    <w:p>
      <w:pPr>
        <w:spacing w:after="0" w:line="34" w:lineRule="exact"/>
        <w:rPr>
          <w:sz w:val="20"/>
          <w:szCs w:val="20"/>
          <w:color w:val="auto"/>
        </w:rPr>
      </w:pPr>
    </w:p>
    <w:p>
      <w:pPr>
        <w:ind w:left="2440"/>
        <w:spacing w:after="0"/>
        <w:rPr>
          <w:sz w:val="20"/>
          <w:szCs w:val="20"/>
          <w:color w:val="auto"/>
        </w:rPr>
      </w:pPr>
      <w:r>
        <w:rPr>
          <w:rFonts w:ascii="Arial" w:cs="Arial" w:eastAsia="Arial" w:hAnsi="Arial"/>
          <w:sz w:val="29"/>
          <w:szCs w:val="29"/>
          <w:b w:val="1"/>
          <w:bCs w:val="1"/>
          <w:color w:val="auto"/>
        </w:rPr>
        <w:t>US$                         % Senior Notes due 2033</w:t>
      </w:r>
    </w:p>
    <w:p>
      <w:pPr>
        <w:spacing w:after="0" w:line="4" w:lineRule="exact"/>
        <w:rPr>
          <w:sz w:val="20"/>
          <w:szCs w:val="20"/>
          <w:color w:val="auto"/>
        </w:rPr>
      </w:pPr>
    </w:p>
    <w:p>
      <w:pPr>
        <w:ind w:left="2440"/>
        <w:spacing w:after="0"/>
        <w:rPr>
          <w:sz w:val="20"/>
          <w:szCs w:val="20"/>
          <w:color w:val="auto"/>
        </w:rPr>
      </w:pPr>
      <w:r>
        <w:rPr>
          <w:rFonts w:ascii="Arial" w:cs="Arial" w:eastAsia="Arial" w:hAnsi="Arial"/>
          <w:sz w:val="29"/>
          <w:szCs w:val="29"/>
          <w:b w:val="1"/>
          <w:bCs w:val="1"/>
          <w:color w:val="auto"/>
        </w:rPr>
        <w:t>US$                         % Senior Notes due 2036</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Fully and unconditionally guaranteed by</w:t>
      </w:r>
    </w:p>
    <w:p>
      <w:pPr>
        <w:spacing w:after="0" w:line="3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SLB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1308100</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159385</wp:posOffset>
            </wp:positionV>
            <wp:extent cx="1251585" cy="763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12515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253365</wp:posOffset>
            </wp:positionV>
            <wp:extent cx="1474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27" w:lineRule="exact"/>
        <w:rPr>
          <w:sz w:val="20"/>
          <w:szCs w:val="20"/>
          <w:color w:val="auto"/>
        </w:rPr>
      </w:pPr>
    </w:p>
    <w:p>
      <w:pPr>
        <w:ind w:left="120"/>
        <w:spacing w:after="0"/>
        <w:tabs>
          <w:tab w:leader="none" w:pos="5360" w:val="left"/>
          <w:tab w:leader="none" w:pos="850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HSBC</w:t>
      </w:r>
      <w:r>
        <w:rPr>
          <w:sz w:val="20"/>
          <w:szCs w:val="20"/>
          <w:color w:val="auto"/>
        </w:rPr>
        <w:tab/>
      </w:r>
      <w:r>
        <w:rPr>
          <w:rFonts w:ascii="Arial" w:cs="Arial" w:eastAsia="Arial" w:hAnsi="Arial"/>
          <w:sz w:val="21"/>
          <w:szCs w:val="21"/>
          <w:b w:val="1"/>
          <w:bCs w:val="1"/>
          <w:color w:val="auto"/>
        </w:rPr>
        <w:t>Standard Chartered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423545</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492125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9"/>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lowerRoman"/>
      <w:start w:val="10"/>
    </w:lvl>
  </w:abstractNum>
  <w:abstractNum w:abstractNumId="10">
    <w:nsid w:val="419AC241"/>
    <w:multiLevelType w:val="hybridMultilevel"/>
    <w:lvl w:ilvl="0">
      <w:lvlJc w:val="left"/>
      <w:lvlText w:val="(%1)"/>
      <w:numFmt w:val="lowerLetter"/>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lowerRoman"/>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lowerRoman"/>
      <w:start w:val="1"/>
    </w:lvl>
  </w:abstractNum>
  <w:abstractNum w:abstractNumId="22">
    <w:nsid w:val="580BD78F"/>
    <w:multiLevelType w:val="hybridMultilevel"/>
    <w:lvl w:ilvl="0">
      <w:lvlJc w:val="left"/>
      <w:lvlText w:val="(%1)"/>
      <w:numFmt w:val="lowerRoman"/>
      <w:start w:val="1"/>
    </w:lvl>
  </w:abstractNum>
  <w:abstractNum w:abstractNumId="23">
    <w:nsid w:val="153EA438"/>
    <w:multiLevelType w:val="hybridMultilevel"/>
    <w:lvl w:ilvl="0">
      <w:lvlJc w:val="left"/>
      <w:lvlText w:val="(%1)"/>
      <w:numFmt w:val="lowerRoman"/>
      <w:start w:val="2"/>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 "/>
      <w:numFmt w:val="bullet"/>
      <w:start w:val="1"/>
    </w:lvl>
  </w:abstractNum>
  <w:abstractNum w:abstractNumId="26">
    <w:nsid w:val="6A2342EC"/>
    <w:multiLevelType w:val="hybridMultilevel"/>
    <w:lvl w:ilvl="0">
      <w:lvlJc w:val="left"/>
      <w:lvlText w:val="(%1)"/>
      <w:numFmt w:val="lowerRoman"/>
      <w:start w:val="2"/>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713"/>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713"/>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7"/>
    </w:lvl>
  </w:abstractNum>
  <w:abstractNum w:abstractNumId="45">
    <w:nsid w:val="75C6C33A"/>
    <w:multiLevelType w:val="hybridMultilevel"/>
    <w:lvl w:ilvl="0">
      <w:lvlJc w:val="left"/>
      <w:lvlText w:val="(%1)"/>
      <w:numFmt w:val="lowerRoman"/>
      <w:start w:val="10"/>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jpe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jpe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69" Type="http://schemas.openxmlformats.org/officeDocument/2006/relationships/hyperlink" Target="http://www.sec.gov/ix?doc=/Archives/edgar/data/0000087347/000119312526021017/slb-20251231.htm" TargetMode="External"/><Relationship Id="rId70" Type="http://schemas.openxmlformats.org/officeDocument/2006/relationships/hyperlink" Target="http://www.sec.gov/ix?doc=/Archives/edgar/data/87347/000119312526190101/slb-20260331.htm" TargetMode="External"/><Relationship Id="rId71" Type="http://schemas.openxmlformats.org/officeDocument/2006/relationships/hyperlink" Target="http://www.sec.gov/ix?doc=/Archives/edgar/data/87347/000119312526147610/d58029d8k.htm" TargetMode="External"/><Relationship Id="rId87" Type="http://schemas.openxmlformats.org/officeDocument/2006/relationships/hyperlink" Target="http://www.sec.gov/Archives/edgar/data/87347/000119312526021017/slb-20251231.htm" TargetMode="External"/><Relationship Id="rId88" Type="http://schemas.openxmlformats.org/officeDocument/2006/relationships/hyperlink" Target="http://www.sec.gov/Archives/edgar/data/87347/000130817926000024/slb2026-def14a.htm" TargetMode="External"/><Relationship Id="rId89" Type="http://schemas.openxmlformats.org/officeDocument/2006/relationships/hyperlink" Target="http://www.sec.gov/ix?doc=/Archives/edgar/data/0000087347/000119312526147610/d5802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2026-04-30T09:28:41Z</dcterms:created>
  <dcterms:modified xsi:type="dcterms:W3CDTF">2026-04-30T09:28:41Z</dcterms:modified>
</cp:coreProperties>
</file>