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76835</wp:posOffset>
            </wp:positionV>
            <wp:extent cx="14427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108585</wp:posOffset>
            </wp:positionV>
            <wp:extent cx="1442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94615</wp:posOffset>
            </wp:positionV>
            <wp:extent cx="1442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1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92710</wp:posOffset>
            </wp:positionV>
            <wp:extent cx="1442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86995</wp:posOffset>
            </wp:positionV>
            <wp:extent cx="1442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29" w:lineRule="exact"/>
        <w:rPr>
          <w:sz w:val="24"/>
          <w:szCs w:val="24"/>
          <w:color w:val="auto"/>
        </w:rPr>
      </w:pPr>
    </w:p>
    <w:tbl>
      <w:tblPr>
        <w:tblLayout w:type="fixed"/>
        <w:tblInd w:w="1520" w:type="dxa"/>
        <w:tblCellMar>
          <w:top w:w="0" w:type="dxa"/>
          <w:left w:w="0" w:type="dxa"/>
          <w:bottom w:w="0" w:type="dxa"/>
          <w:right w:w="0" w:type="dxa"/>
        </w:tblCellMar>
      </w:tblPr>
      <w:tr>
        <w:trPr>
          <w:trHeight w:val="208"/>
        </w:trPr>
        <w:tc>
          <w:tcPr>
            <w:tcW w:w="456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w w:val="97"/>
              </w:rPr>
              <w:t>CURAÇAO</w:t>
            </w:r>
          </w:p>
        </w:tc>
        <w:tc>
          <w:tcPr>
            <w:tcW w:w="3100" w:type="dxa"/>
            <w:vAlign w:val="bottom"/>
          </w:tcPr>
          <w:p>
            <w:pPr>
              <w:jc w:val="center"/>
              <w:ind w:left="1918"/>
              <w:spacing w:after="0"/>
              <w:rPr>
                <w:sz w:val="20"/>
                <w:szCs w:val="20"/>
                <w:color w:val="auto"/>
              </w:rPr>
            </w:pPr>
            <w:r>
              <w:rPr>
                <w:rFonts w:ascii="Times New Roman" w:cs="Times New Roman" w:eastAsia="Times New Roman" w:hAnsi="Times New Roman"/>
                <w:sz w:val="18"/>
                <w:szCs w:val="18"/>
                <w:b w:val="1"/>
                <w:bCs w:val="1"/>
                <w:color w:val="auto"/>
                <w:w w:val="98"/>
              </w:rPr>
              <w:t>52-0684746</w:t>
            </w:r>
          </w:p>
        </w:tc>
      </w:tr>
      <w:tr>
        <w:trPr>
          <w:trHeight w:val="146"/>
        </w:trPr>
        <w:tc>
          <w:tcPr>
            <w:tcW w:w="4560" w:type="dxa"/>
            <w:vAlign w:val="bottom"/>
          </w:tcPr>
          <w:p>
            <w:pPr>
              <w:jc w:val="center"/>
              <w:ind w:right="1916"/>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00" w:type="dxa"/>
            <w:vAlign w:val="bottom"/>
          </w:tcPr>
          <w:p>
            <w:pPr>
              <w:jc w:val="center"/>
              <w:ind w:left="1918"/>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4560" w:type="dxa"/>
            <w:vAlign w:val="bottom"/>
          </w:tcPr>
          <w:p>
            <w:pPr>
              <w:jc w:val="center"/>
              <w:ind w:right="191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00" w:type="dxa"/>
            <w:vAlign w:val="bottom"/>
          </w:tcPr>
          <w:p>
            <w:pPr>
              <w:jc w:val="center"/>
              <w:ind w:left="191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456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w w:val="97"/>
              </w:rPr>
              <w:t>42 RUE SAINT-DOMINIQUE</w:t>
            </w:r>
          </w:p>
        </w:tc>
        <w:tc>
          <w:tcPr>
            <w:tcW w:w="3100" w:type="dxa"/>
            <w:vAlign w:val="bottom"/>
          </w:tcPr>
          <w:p>
            <w:pPr>
              <w:spacing w:after="0"/>
              <w:rPr>
                <w:sz w:val="24"/>
                <w:szCs w:val="24"/>
                <w:color w:val="auto"/>
              </w:rPr>
            </w:pPr>
          </w:p>
        </w:tc>
      </w:tr>
      <w:tr>
        <w:trPr>
          <w:trHeight w:val="234"/>
        </w:trPr>
        <w:tc>
          <w:tcPr>
            <w:tcW w:w="456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w w:val="97"/>
              </w:rPr>
              <w:t>PARIS, FRANCE</w:t>
            </w:r>
          </w:p>
        </w:tc>
        <w:tc>
          <w:tcPr>
            <w:tcW w:w="3100" w:type="dxa"/>
            <w:vAlign w:val="bottom"/>
          </w:tcPr>
          <w:p>
            <w:pPr>
              <w:jc w:val="center"/>
              <w:ind w:left="1918"/>
              <w:spacing w:after="0"/>
              <w:rPr>
                <w:sz w:val="20"/>
                <w:szCs w:val="20"/>
                <w:color w:val="auto"/>
              </w:rPr>
            </w:pPr>
            <w:r>
              <w:rPr>
                <w:rFonts w:ascii="Times New Roman" w:cs="Times New Roman" w:eastAsia="Times New Roman" w:hAnsi="Times New Roman"/>
                <w:sz w:val="18"/>
                <w:szCs w:val="18"/>
                <w:b w:val="1"/>
                <w:bCs w:val="1"/>
                <w:color w:val="auto"/>
              </w:rPr>
              <w:t>75007</w:t>
            </w:r>
          </w:p>
        </w:tc>
      </w:tr>
      <w:tr>
        <w:trPr>
          <w:trHeight w:val="311"/>
        </w:trPr>
        <w:tc>
          <w:tcPr>
            <w:tcW w:w="456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8"/>
              </w:rPr>
              <w:t>5599 SAN FELIPE</w:t>
            </w:r>
          </w:p>
        </w:tc>
        <w:tc>
          <w:tcPr>
            <w:tcW w:w="3100" w:type="dxa"/>
            <w:vAlign w:val="bottom"/>
          </w:tcPr>
          <w:p>
            <w:pPr>
              <w:spacing w:after="0"/>
              <w:rPr>
                <w:sz w:val="24"/>
                <w:szCs w:val="24"/>
                <w:color w:val="auto"/>
              </w:rPr>
            </w:pPr>
          </w:p>
        </w:tc>
      </w:tr>
      <w:tr>
        <w:trPr>
          <w:trHeight w:val="234"/>
        </w:trPr>
        <w:tc>
          <w:tcPr>
            <w:tcW w:w="456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w w:val="98"/>
              </w:rPr>
              <w:t>HOUSTON, TEXAS, U.S.A.</w:t>
            </w:r>
          </w:p>
        </w:tc>
        <w:tc>
          <w:tcPr>
            <w:tcW w:w="3100" w:type="dxa"/>
            <w:vAlign w:val="bottom"/>
          </w:tcPr>
          <w:p>
            <w:pPr>
              <w:jc w:val="center"/>
              <w:ind w:left="1918"/>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311"/>
        </w:trPr>
        <w:tc>
          <w:tcPr>
            <w:tcW w:w="456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8"/>
              </w:rPr>
              <w:t>62 BUCKINGHAM GATE</w:t>
            </w:r>
          </w:p>
        </w:tc>
        <w:tc>
          <w:tcPr>
            <w:tcW w:w="3100" w:type="dxa"/>
            <w:vAlign w:val="bottom"/>
          </w:tcPr>
          <w:p>
            <w:pPr>
              <w:spacing w:after="0"/>
              <w:rPr>
                <w:sz w:val="24"/>
                <w:szCs w:val="24"/>
                <w:color w:val="auto"/>
              </w:rPr>
            </w:pPr>
          </w:p>
        </w:tc>
      </w:tr>
      <w:tr>
        <w:trPr>
          <w:trHeight w:val="234"/>
        </w:trPr>
        <w:tc>
          <w:tcPr>
            <w:tcW w:w="456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w w:val="98"/>
              </w:rPr>
              <w:t>LONDON, UNITED KINGDOM</w:t>
            </w:r>
          </w:p>
        </w:tc>
        <w:tc>
          <w:tcPr>
            <w:tcW w:w="3100" w:type="dxa"/>
            <w:vAlign w:val="bottom"/>
          </w:tcPr>
          <w:p>
            <w:pPr>
              <w:jc w:val="center"/>
              <w:ind w:left="1918"/>
              <w:spacing w:after="0"/>
              <w:rPr>
                <w:sz w:val="20"/>
                <w:szCs w:val="20"/>
                <w:color w:val="auto"/>
              </w:rPr>
            </w:pPr>
            <w:r>
              <w:rPr>
                <w:rFonts w:ascii="Times New Roman" w:cs="Times New Roman" w:eastAsia="Times New Roman" w:hAnsi="Times New Roman"/>
                <w:sz w:val="18"/>
                <w:szCs w:val="18"/>
                <w:b w:val="1"/>
                <w:bCs w:val="1"/>
                <w:color w:val="auto"/>
                <w:w w:val="96"/>
              </w:rPr>
              <w:t>SW1E 6AJ</w:t>
            </w:r>
          </w:p>
        </w:tc>
      </w:tr>
      <w:tr>
        <w:trPr>
          <w:trHeight w:val="311"/>
        </w:trPr>
        <w:tc>
          <w:tcPr>
            <w:tcW w:w="456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6"/>
              </w:rPr>
              <w:t>PARKSTRAAT 83 THE HAGUE,</w:t>
            </w:r>
          </w:p>
        </w:tc>
        <w:tc>
          <w:tcPr>
            <w:tcW w:w="3100" w:type="dxa"/>
            <w:vAlign w:val="bottom"/>
          </w:tcPr>
          <w:p>
            <w:pPr>
              <w:spacing w:after="0"/>
              <w:rPr>
                <w:sz w:val="24"/>
                <w:szCs w:val="24"/>
                <w:color w:val="auto"/>
              </w:rPr>
            </w:pPr>
          </w:p>
        </w:tc>
      </w:tr>
      <w:tr>
        <w:trPr>
          <w:trHeight w:val="208"/>
        </w:trPr>
        <w:tc>
          <w:tcPr>
            <w:tcW w:w="456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8"/>
              </w:rPr>
              <w:t>THE NETHERLANDS</w:t>
            </w:r>
          </w:p>
        </w:tc>
        <w:tc>
          <w:tcPr>
            <w:tcW w:w="3100" w:type="dxa"/>
            <w:vAlign w:val="bottom"/>
          </w:tcPr>
          <w:p>
            <w:pPr>
              <w:jc w:val="center"/>
              <w:ind w:left="1918"/>
              <w:spacing w:after="0"/>
              <w:rPr>
                <w:sz w:val="20"/>
                <w:szCs w:val="20"/>
                <w:color w:val="auto"/>
              </w:rPr>
            </w:pPr>
            <w:r>
              <w:rPr>
                <w:rFonts w:ascii="Times New Roman" w:cs="Times New Roman" w:eastAsia="Times New Roman" w:hAnsi="Times New Roman"/>
                <w:sz w:val="18"/>
                <w:szCs w:val="18"/>
                <w:b w:val="1"/>
                <w:bCs w:val="1"/>
                <w:color w:val="auto"/>
                <w:w w:val="97"/>
              </w:rPr>
              <w:t>2514 JG</w:t>
            </w:r>
          </w:p>
        </w:tc>
      </w:tr>
      <w:tr>
        <w:trPr>
          <w:trHeight w:val="186"/>
        </w:trPr>
        <w:tc>
          <w:tcPr>
            <w:tcW w:w="4560" w:type="dxa"/>
            <w:vAlign w:val="bottom"/>
          </w:tcPr>
          <w:p>
            <w:pPr>
              <w:jc w:val="center"/>
              <w:ind w:right="1896"/>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w:t>
            </w:r>
          </w:p>
        </w:tc>
        <w:tc>
          <w:tcPr>
            <w:tcW w:w="3100" w:type="dxa"/>
            <w:vAlign w:val="bottom"/>
          </w:tcPr>
          <w:p>
            <w:pPr>
              <w:jc w:val="center"/>
              <w:ind w:left="1918"/>
              <w:spacing w:after="0"/>
              <w:rPr>
                <w:sz w:val="20"/>
                <w:szCs w:val="20"/>
                <w:color w:val="auto"/>
              </w:rPr>
            </w:pPr>
            <w:r>
              <w:rPr>
                <w:rFonts w:ascii="Times New Roman" w:cs="Times New Roman" w:eastAsia="Times New Roman" w:hAnsi="Times New Roman"/>
                <w:sz w:val="14"/>
                <w:szCs w:val="14"/>
                <w:b w:val="1"/>
                <w:bCs w:val="1"/>
                <w:color w:val="auto"/>
                <w:w w:val="99"/>
              </w:rPr>
              <w:t>(Zip Codes)</w:t>
            </w:r>
          </w:p>
        </w:tc>
      </w:tr>
    </w:tbl>
    <w:p>
      <w:pPr>
        <w:spacing w:after="0" w:line="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is:  (713) 513-2000</w:t>
      </w:r>
    </w:p>
    <w:p>
      <w:pPr>
        <w:spacing w:after="0" w:line="118" w:lineRule="exact"/>
        <w:rPr>
          <w:sz w:val="24"/>
          <w:szCs w:val="24"/>
          <w:color w:val="auto"/>
        </w:rPr>
      </w:pPr>
    </w:p>
    <w:p>
      <w:pPr>
        <w:ind w:right="6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0" w:lineRule="exact"/>
        <w:rPr>
          <w:sz w:val="24"/>
          <w:szCs w:val="24"/>
          <w:color w:val="auto"/>
        </w:rPr>
      </w:pPr>
    </w:p>
    <w:p>
      <w:pPr>
        <w:ind w:right="8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“smaller reporting company,” and “emerging growth company” in Rule 12b-2 of the Exchange Act.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9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spacing w:after="0"/>
              <w:rPr>
                <w:sz w:val="21"/>
                <w:szCs w:val="21"/>
                <w:color w:val="auto"/>
              </w:rPr>
            </w:pPr>
          </w:p>
        </w:tc>
        <w:tc>
          <w:tcPr>
            <w:tcW w:w="460" w:type="dxa"/>
            <w:vAlign w:val="bottom"/>
          </w:tcPr>
          <w:p>
            <w:pPr>
              <w:spacing w:after="0"/>
              <w:rPr>
                <w:sz w:val="21"/>
                <w:szCs w:val="21"/>
                <w:color w:val="auto"/>
              </w:rPr>
            </w:pPr>
          </w:p>
        </w:tc>
      </w:tr>
    </w:tbl>
    <w:p>
      <w:pPr>
        <w:spacing w:after="0" w:line="93" w:lineRule="exact"/>
        <w:rPr>
          <w:sz w:val="24"/>
          <w:szCs w:val="24"/>
          <w:color w:val="auto"/>
        </w:rPr>
      </w:pPr>
    </w:p>
    <w:p>
      <w:pPr>
        <w:ind w:right="36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7940" w:type="dxa"/>
            <w:vAlign w:val="bottom"/>
            <w:gridSpan w:val="3"/>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p>
        </w:tc>
        <w:tc>
          <w:tcPr>
            <w:tcW w:w="3500" w:type="dxa"/>
            <w:vAlign w:val="bottom"/>
            <w:gridSpan w:val="3"/>
          </w:tcPr>
          <w:p>
            <w:pPr>
              <w:ind w:left="8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88"/>
        </w:trPr>
        <w:tc>
          <w:tcPr>
            <w:tcW w:w="7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tc>
        <w:tc>
          <w:tcPr>
            <w:tcW w:w="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91"/>
        </w:trPr>
        <w:tc>
          <w:tcPr>
            <w:tcW w:w="7940" w:type="dxa"/>
            <w:vAlign w:val="bottom"/>
            <w:gridSpan w:val="3"/>
          </w:tcPr>
          <w:p>
            <w:pPr>
              <w:ind w:left="38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35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Outstanding at March 31, 2019</w:t>
            </w:r>
          </w:p>
        </w:tc>
      </w:tr>
      <w:tr>
        <w:trPr>
          <w:trHeight w:val="221"/>
        </w:trPr>
        <w:tc>
          <w:tcPr>
            <w:tcW w:w="7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720" w:type="dxa"/>
            <w:vAlign w:val="bottom"/>
          </w:tcPr>
          <w:p>
            <w:pPr>
              <w:spacing w:after="0"/>
              <w:rPr>
                <w:sz w:val="19"/>
                <w:szCs w:val="19"/>
                <w:color w:val="auto"/>
              </w:rPr>
            </w:pPr>
          </w:p>
        </w:tc>
        <w:tc>
          <w:tcPr>
            <w:tcW w:w="2120" w:type="dxa"/>
            <w:vAlign w:val="bottom"/>
            <w:tcBorders>
              <w:top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color w:val="auto"/>
              </w:rPr>
              <w:t>1,385,122,272</w:t>
            </w:r>
          </w:p>
        </w:tc>
        <w:tc>
          <w:tcPr>
            <w:tcW w:w="660" w:type="dxa"/>
            <w:vAlign w:val="bottom"/>
          </w:tcPr>
          <w:p>
            <w:pPr>
              <w:spacing w:after="0"/>
              <w:rPr>
                <w:sz w:val="19"/>
                <w:szCs w:val="19"/>
                <w:color w:val="auto"/>
              </w:rPr>
            </w:pPr>
          </w:p>
        </w:tc>
      </w:tr>
      <w:tr>
        <w:trPr>
          <w:trHeight w:val="1168"/>
        </w:trPr>
        <w:tc>
          <w:tcPr>
            <w:tcW w:w="3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38" w:right="21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First Quarter 2019 Form 10-Q</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19"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66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7"/>
        </w:trPr>
        <w:tc>
          <w:tcPr>
            <w:tcW w:w="1140" w:type="dxa"/>
            <w:vAlign w:val="bottom"/>
            <w:vMerge w:val="continue"/>
          </w:tcPr>
          <w:p>
            <w:pPr>
              <w:spacing w:after="0"/>
              <w:rPr>
                <w:sz w:val="17"/>
                <w:szCs w:val="17"/>
                <w:color w:val="auto"/>
              </w:rPr>
            </w:pPr>
          </w:p>
        </w:tc>
        <w:tc>
          <w:tcPr>
            <w:tcW w:w="9660" w:type="dxa"/>
            <w:vAlign w:val="bottom"/>
            <w:gridSpan w:val="11"/>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660" w:type="dxa"/>
            <w:vAlign w:val="bottom"/>
            <w:gridSpan w:val="1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140" w:type="dxa"/>
            <w:vAlign w:val="bottom"/>
            <w:vMerge w:val="continue"/>
          </w:tcPr>
          <w:p>
            <w:pPr>
              <w:spacing w:after="0"/>
              <w:rPr>
                <w:sz w:val="23"/>
                <w:szCs w:val="23"/>
                <w:color w:val="auto"/>
              </w:rPr>
            </w:pPr>
          </w:p>
        </w:tc>
        <w:tc>
          <w:tcPr>
            <w:tcW w:w="9660" w:type="dxa"/>
            <w:vAlign w:val="bottom"/>
            <w:gridSpan w:val="11"/>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36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Quantitative and Qualitative Disclosures about Market Risk</w:t>
              </w:r>
            </w:hyperlink>
          </w:p>
        </w:tc>
        <w:tc>
          <w:tcPr>
            <w:tcW w:w="33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7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19">
              <w:r>
                <w:rPr>
                  <w:rFonts w:ascii="Times New Roman" w:cs="Times New Roman" w:eastAsia="Times New Roman" w:hAnsi="Times New Roman"/>
                  <w:sz w:val="18"/>
                  <w:szCs w:val="18"/>
                  <w:color w:val="0000EE"/>
                  <w:w w:val="98"/>
                </w:rPr>
                <w:t>Controls and Procedures</w:t>
              </w:r>
            </w:hyperlink>
          </w:p>
        </w:tc>
        <w:tc>
          <w:tcPr>
            <w:tcW w:w="2480" w:type="dxa"/>
            <w:vAlign w:val="bottom"/>
            <w:tcBorders>
              <w:top w:val="single" w:sz="8" w:color="0000EE"/>
            </w:tcBorders>
            <w:gridSpan w:val="2"/>
          </w:tcPr>
          <w:p>
            <w:pPr>
              <w:spacing w:after="0"/>
              <w:rPr>
                <w:sz w:val="23"/>
                <w:szCs w:val="23"/>
                <w:color w:val="auto"/>
              </w:rPr>
            </w:pPr>
          </w:p>
        </w:tc>
        <w:tc>
          <w:tcPr>
            <w:tcW w:w="5420" w:type="dxa"/>
            <w:vAlign w:val="bottom"/>
            <w:gridSpan w:val="3"/>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13"/>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660" w:type="dxa"/>
            <w:vAlign w:val="bottom"/>
            <w:gridSpan w:val="11"/>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Legal Proceedings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20">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2"/>
          </w:tcPr>
          <w:p>
            <w:pPr>
              <w:spacing w:after="0"/>
              <w:rPr>
                <w:sz w:val="23"/>
                <w:szCs w:val="23"/>
                <w:color w:val="auto"/>
              </w:rPr>
            </w:pPr>
          </w:p>
        </w:tc>
        <w:tc>
          <w:tcPr>
            <w:tcW w:w="8340" w:type="dxa"/>
            <w:vAlign w:val="bottom"/>
            <w:gridSpan w:val="7"/>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660" w:type="dxa"/>
            <w:vAlign w:val="bottom"/>
            <w:gridSpan w:val="11"/>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30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Defaults Upon Senior Securities</w:t>
              </w:r>
            </w:hyperlink>
          </w:p>
        </w:tc>
        <w:tc>
          <w:tcPr>
            <w:tcW w:w="1980" w:type="dxa"/>
            <w:vAlign w:val="bottom"/>
            <w:tcBorders>
              <w:top w:val="single" w:sz="8" w:color="0000EE"/>
            </w:tcBorders>
            <w:gridSpan w:val="2"/>
          </w:tcPr>
          <w:p>
            <w:pPr>
              <w:spacing w:after="0"/>
              <w:rPr>
                <w:sz w:val="23"/>
                <w:szCs w:val="23"/>
                <w:color w:val="auto"/>
              </w:rPr>
            </w:pPr>
          </w:p>
        </w:tc>
        <w:tc>
          <w:tcPr>
            <w:tcW w:w="5380" w:type="dxa"/>
            <w:vAlign w:val="bottom"/>
            <w:gridSpan w:val="2"/>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7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Mine Safety Disclosures</w:t>
              </w:r>
            </w:hyperlink>
          </w:p>
        </w:tc>
        <w:tc>
          <w:tcPr>
            <w:tcW w:w="7900" w:type="dxa"/>
            <w:vAlign w:val="bottom"/>
            <w:gridSpan w:val="5"/>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660" w:type="dxa"/>
            <w:vAlign w:val="bottom"/>
            <w:gridSpan w:val="11"/>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Other Information</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2"/>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0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6"/>
              </w:rPr>
            </w:pPr>
            <w:hyperlink w:anchor="page22">
              <w:r>
                <w:rPr>
                  <w:rFonts w:ascii="Times New Roman" w:cs="Times New Roman" w:eastAsia="Times New Roman" w:hAnsi="Times New Roman"/>
                  <w:sz w:val="18"/>
                  <w:szCs w:val="18"/>
                  <w:color w:val="0000EE"/>
                  <w:w w:val="96"/>
                </w:rPr>
                <w:t>Exhibits</w:t>
              </w:r>
            </w:hyperlink>
          </w:p>
        </w:tc>
        <w:tc>
          <w:tcPr>
            <w:tcW w:w="700" w:type="dxa"/>
            <w:vAlign w:val="bottom"/>
            <w:tcBorders>
              <w:top w:val="single" w:sz="8" w:color="0000EE"/>
            </w:tcBorders>
            <w:gridSpan w:val="2"/>
          </w:tcPr>
          <w:p>
            <w:pPr>
              <w:spacing w:after="0"/>
              <w:rPr>
                <w:sz w:val="23"/>
                <w:szCs w:val="23"/>
                <w:color w:val="auto"/>
              </w:rPr>
            </w:pPr>
          </w:p>
        </w:tc>
        <w:tc>
          <w:tcPr>
            <w:tcW w:w="8360" w:type="dxa"/>
            <w:vAlign w:val="bottom"/>
            <w:gridSpan w:val="8"/>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138430</wp:posOffset>
            </wp:positionV>
            <wp:extent cx="729107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360"/>
          </w:cols>
          <w:pgMar w:left="240" w:top="358"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 FINANCIAL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200" w:lineRule="exact"/>
        <w:rPr>
          <w:sz w:val="20"/>
          <w:szCs w:val="20"/>
          <w:color w:val="auto"/>
        </w:rPr>
      </w:pPr>
    </w:p>
    <w:p>
      <w:pPr>
        <w:spacing w:after="0" w:line="2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INCOME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306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36"/>
        </w:trPr>
        <w:tc>
          <w:tcPr>
            <w:tcW w:w="7820" w:type="dxa"/>
            <w:vAlign w:val="bottom"/>
          </w:tcPr>
          <w:p>
            <w:pPr>
              <w:spacing w:after="0"/>
              <w:rPr>
                <w:sz w:val="24"/>
                <w:szCs w:val="24"/>
                <w:color w:val="auto"/>
              </w:rPr>
            </w:pPr>
          </w:p>
        </w:tc>
        <w:tc>
          <w:tcPr>
            <w:tcW w:w="3060" w:type="dxa"/>
            <w:vAlign w:val="bottom"/>
            <w:tcBorders>
              <w:bottom w:val="single" w:sz="8" w:color="auto"/>
            </w:tcBorders>
            <w:gridSpan w:val="4"/>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78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2018</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1080" w:type="dxa"/>
            <w:vAlign w:val="bottom"/>
          </w:tcPr>
          <w:p>
            <w:pPr>
              <w:jc w:val="right"/>
              <w:ind w:right="9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5,906</w:t>
            </w:r>
          </w:p>
        </w:tc>
        <w:tc>
          <w:tcPr>
            <w:tcW w:w="280" w:type="dxa"/>
            <w:vAlign w:val="bottom"/>
          </w:tcPr>
          <w:p>
            <w:pPr>
              <w:spacing w:after="0"/>
              <w:rPr>
                <w:sz w:val="19"/>
                <w:szCs w:val="19"/>
                <w:color w:val="auto"/>
              </w:rPr>
            </w:pPr>
          </w:p>
        </w:tc>
        <w:tc>
          <w:tcPr>
            <w:tcW w:w="118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5,736</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Product sales</w:t>
            </w:r>
          </w:p>
        </w:tc>
        <w:tc>
          <w:tcPr>
            <w:tcW w:w="10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1,973</w:t>
            </w:r>
          </w:p>
        </w:tc>
        <w:tc>
          <w:tcPr>
            <w:tcW w:w="28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2,093</w:t>
            </w:r>
          </w:p>
        </w:tc>
        <w:tc>
          <w:tcPr>
            <w:tcW w:w="100" w:type="dxa"/>
            <w:vAlign w:val="bottom"/>
            <w:shd w:val="clear" w:color="auto" w:fill="CFF0FC"/>
          </w:tcPr>
          <w:p>
            <w:pPr>
              <w:spacing w:after="0"/>
              <w:rPr>
                <w:sz w:val="19"/>
                <w:szCs w:val="19"/>
                <w:color w:val="auto"/>
              </w:rPr>
            </w:pPr>
          </w:p>
        </w:tc>
      </w:tr>
      <w:tr>
        <w:trPr>
          <w:trHeight w:val="219"/>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Revenue</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7,879</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7,829</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Interest &amp; other income</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Cost of services</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5,111</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4,880</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1,841</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1,922</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&amp; engineering</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w:t>
            </w:r>
          </w:p>
        </w:tc>
        <w:tc>
          <w:tcPr>
            <w:tcW w:w="10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28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FF0FC"/>
          </w:tcPr>
          <w:p>
            <w:pPr>
              <w:spacing w:after="0"/>
              <w:rPr>
                <w:sz w:val="19"/>
                <w:szCs w:val="19"/>
                <w:color w:val="auto"/>
              </w:rPr>
            </w:pPr>
          </w:p>
        </w:tc>
      </w:tr>
      <w:tr>
        <w:trPr>
          <w:trHeight w:val="219"/>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Income before taxes</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Tax expense</w:t>
            </w:r>
          </w:p>
        </w:tc>
        <w:tc>
          <w:tcPr>
            <w:tcW w:w="10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8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19"/>
                <w:szCs w:val="19"/>
                <w:color w:val="auto"/>
              </w:rPr>
            </w:pPr>
          </w:p>
        </w:tc>
      </w:tr>
      <w:tr>
        <w:trPr>
          <w:trHeight w:val="219"/>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income</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8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9"/>
                <w:szCs w:val="19"/>
                <w:color w:val="auto"/>
              </w:rPr>
            </w:pPr>
          </w:p>
        </w:tc>
      </w:tr>
      <w:tr>
        <w:trPr>
          <w:trHeight w:val="259"/>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Net income attributable to Schlumberger</w:t>
            </w:r>
          </w:p>
        </w:tc>
        <w:tc>
          <w:tcPr>
            <w:tcW w:w="1080" w:type="dxa"/>
            <w:vAlign w:val="bottom"/>
            <w:tcBorders>
              <w:bottom w:val="single" w:sz="8" w:color="auto"/>
            </w:tcBorders>
          </w:tcPr>
          <w:p>
            <w:pPr>
              <w:jc w:val="right"/>
              <w:ind w:right="9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280" w:type="dxa"/>
            <w:vAlign w:val="bottom"/>
            <w:tcBorders>
              <w:bottom w:val="single" w:sz="8" w:color="CFF0FC"/>
            </w:tcBorders>
          </w:tcPr>
          <w:p>
            <w:pPr>
              <w:spacing w:after="0"/>
              <w:rPr>
                <w:sz w:val="22"/>
                <w:szCs w:val="22"/>
                <w:color w:val="auto"/>
              </w:rPr>
            </w:pPr>
          </w:p>
        </w:tc>
        <w:tc>
          <w:tcPr>
            <w:tcW w:w="1180" w:type="dxa"/>
            <w:vAlign w:val="bottom"/>
            <w:tcBorders>
              <w:bottom w:val="single" w:sz="8" w:color="auto"/>
            </w:tcBorders>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FF0FC"/>
            </w:tcBorders>
          </w:tcPr>
          <w:p>
            <w:pPr>
              <w:spacing w:after="0"/>
              <w:rPr>
                <w:sz w:val="22"/>
                <w:szCs w:val="22"/>
                <w:color w:val="auto"/>
              </w:rPr>
            </w:pPr>
          </w:p>
        </w:tc>
      </w:tr>
      <w:tr>
        <w:trPr>
          <w:trHeight w:val="206"/>
        </w:trPr>
        <w:tc>
          <w:tcPr>
            <w:tcW w:w="78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66"/>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 of Schlumberger</w:t>
            </w:r>
          </w:p>
        </w:tc>
        <w:tc>
          <w:tcPr>
            <w:tcW w:w="1080" w:type="dxa"/>
            <w:vAlign w:val="bottom"/>
            <w:tcBorders>
              <w:bottom w:val="single" w:sz="8" w:color="auto"/>
            </w:tcBorders>
          </w:tcPr>
          <w:p>
            <w:pPr>
              <w:jc w:val="right"/>
              <w:ind w:right="9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0.30</w:t>
            </w:r>
          </w:p>
        </w:tc>
        <w:tc>
          <w:tcPr>
            <w:tcW w:w="280" w:type="dxa"/>
            <w:vAlign w:val="bottom"/>
            <w:tcBorders>
              <w:bottom w:val="single" w:sz="8" w:color="CFF0FC"/>
            </w:tcBorders>
          </w:tcPr>
          <w:p>
            <w:pPr>
              <w:spacing w:after="0"/>
              <w:rPr>
                <w:sz w:val="23"/>
                <w:szCs w:val="23"/>
                <w:color w:val="auto"/>
              </w:rPr>
            </w:pPr>
          </w:p>
        </w:tc>
        <w:tc>
          <w:tcPr>
            <w:tcW w:w="1180" w:type="dxa"/>
            <w:vAlign w:val="bottom"/>
            <w:tcBorders>
              <w:bottom w:val="single" w:sz="8" w:color="auto"/>
            </w:tcBorders>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CFF0FC"/>
            </w:tcBorders>
          </w:tcPr>
          <w:p>
            <w:pPr>
              <w:spacing w:after="0"/>
              <w:rPr>
                <w:sz w:val="23"/>
                <w:szCs w:val="23"/>
                <w:color w:val="auto"/>
              </w:rPr>
            </w:pPr>
          </w:p>
        </w:tc>
      </w:tr>
      <w:tr>
        <w:trPr>
          <w:trHeight w:val="206"/>
        </w:trPr>
        <w:tc>
          <w:tcPr>
            <w:tcW w:w="78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66"/>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of Schlumberger</w:t>
            </w:r>
          </w:p>
        </w:tc>
        <w:tc>
          <w:tcPr>
            <w:tcW w:w="1080" w:type="dxa"/>
            <w:vAlign w:val="bottom"/>
            <w:tcBorders>
              <w:bottom w:val="single" w:sz="8" w:color="auto"/>
            </w:tcBorders>
          </w:tcPr>
          <w:p>
            <w:pPr>
              <w:jc w:val="right"/>
              <w:ind w:right="9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0.30</w:t>
            </w:r>
          </w:p>
        </w:tc>
        <w:tc>
          <w:tcPr>
            <w:tcW w:w="280" w:type="dxa"/>
            <w:vAlign w:val="bottom"/>
            <w:tcBorders>
              <w:bottom w:val="single" w:sz="8" w:color="CFF0FC"/>
            </w:tcBorders>
          </w:tcPr>
          <w:p>
            <w:pPr>
              <w:spacing w:after="0"/>
              <w:rPr>
                <w:sz w:val="23"/>
                <w:szCs w:val="23"/>
                <w:color w:val="auto"/>
              </w:rPr>
            </w:pPr>
          </w:p>
        </w:tc>
        <w:tc>
          <w:tcPr>
            <w:tcW w:w="1180" w:type="dxa"/>
            <w:vAlign w:val="bottom"/>
            <w:tcBorders>
              <w:bottom w:val="single" w:sz="8" w:color="auto"/>
            </w:tcBorders>
          </w:tcPr>
          <w:p>
            <w:pPr>
              <w:jc w:val="right"/>
              <w:ind w:right="99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CFF0FC"/>
            </w:tcBorders>
          </w:tcPr>
          <w:p>
            <w:pPr>
              <w:spacing w:after="0"/>
              <w:rPr>
                <w:sz w:val="23"/>
                <w:szCs w:val="23"/>
                <w:color w:val="auto"/>
              </w:rPr>
            </w:pPr>
          </w:p>
        </w:tc>
      </w:tr>
      <w:tr>
        <w:trPr>
          <w:trHeight w:val="206"/>
        </w:trPr>
        <w:tc>
          <w:tcPr>
            <w:tcW w:w="78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1,385</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1,385</w:t>
            </w:r>
          </w:p>
        </w:tc>
        <w:tc>
          <w:tcPr>
            <w:tcW w:w="100" w:type="dxa"/>
            <w:vAlign w:val="bottom"/>
            <w:shd w:val="clear" w:color="auto" w:fill="CFF0FC"/>
          </w:tcPr>
          <w:p>
            <w:pPr>
              <w:spacing w:after="0"/>
              <w:rPr>
                <w:sz w:val="19"/>
                <w:szCs w:val="19"/>
                <w:color w:val="auto"/>
              </w:rPr>
            </w:pPr>
          </w:p>
        </w:tc>
      </w:tr>
      <w:tr>
        <w:trPr>
          <w:trHeight w:val="234"/>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Assuming dilution</w:t>
            </w:r>
          </w:p>
        </w:tc>
        <w:tc>
          <w:tcPr>
            <w:tcW w:w="10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1,397</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1,394</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3" w:name="page4"/>
    <w:bookmarkEnd w:id="3"/>
    <w:p>
      <w:pPr>
        <w:ind w:left="368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COMPREHENSIVE INCOME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(Stated in millions)</w:t>
            </w:r>
          </w:p>
        </w:tc>
      </w:tr>
      <w:tr>
        <w:trPr>
          <w:trHeight w:val="451"/>
        </w:trPr>
        <w:tc>
          <w:tcPr>
            <w:tcW w:w="7820" w:type="dxa"/>
            <w:vAlign w:val="bottom"/>
          </w:tcPr>
          <w:p>
            <w:pPr>
              <w:spacing w:after="0"/>
              <w:rPr>
                <w:sz w:val="24"/>
                <w:szCs w:val="24"/>
                <w:color w:val="auto"/>
              </w:rPr>
            </w:pPr>
          </w:p>
        </w:tc>
        <w:tc>
          <w:tcPr>
            <w:tcW w:w="360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9"/>
        </w:trPr>
        <w:tc>
          <w:tcPr>
            <w:tcW w:w="7820" w:type="dxa"/>
            <w:vAlign w:val="bottom"/>
            <w:tcBorders>
              <w:bottom w:val="single" w:sz="8" w:color="CCF0FC"/>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F0FC"/>
            </w:tcBorders>
          </w:tcPr>
          <w:p>
            <w:pPr>
              <w:spacing w:after="0"/>
              <w:rPr>
                <w:sz w:val="19"/>
                <w:szCs w:val="19"/>
                <w:color w:val="auto"/>
              </w:rPr>
            </w:pPr>
          </w:p>
        </w:tc>
      </w:tr>
      <w:tr>
        <w:trPr>
          <w:trHeight w:val="219"/>
        </w:trPr>
        <w:tc>
          <w:tcPr>
            <w:tcW w:w="782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i w:val="1"/>
                <w:iCs w:val="1"/>
                <w:color w:val="auto"/>
              </w:rPr>
              <w:t>Net income</w:t>
            </w:r>
          </w:p>
        </w:tc>
        <w:tc>
          <w:tcPr>
            <w:tcW w:w="1140" w:type="dxa"/>
            <w:vAlign w:val="bottom"/>
            <w:shd w:val="clear" w:color="auto" w:fill="CCF0FC"/>
          </w:tcPr>
          <w:p>
            <w:pPr>
              <w:jc w:val="right"/>
              <w:ind w:right="9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280" w:type="dxa"/>
            <w:vAlign w:val="bottom"/>
            <w:shd w:val="clear" w:color="auto" w:fill="CCF0FC"/>
          </w:tcPr>
          <w:p>
            <w:pPr>
              <w:spacing w:after="0"/>
              <w:rPr>
                <w:sz w:val="19"/>
                <w:szCs w:val="19"/>
                <w:color w:val="auto"/>
              </w:rPr>
            </w:pPr>
          </w:p>
        </w:tc>
        <w:tc>
          <w:tcPr>
            <w:tcW w:w="1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Currency translation adjustments</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CF0FC"/>
          </w:tcPr>
          <w:p>
            <w:pPr>
              <w:ind w:left="240"/>
              <w:spacing w:after="0"/>
              <w:rPr>
                <w:sz w:val="20"/>
                <w:szCs w:val="20"/>
                <w:color w:val="auto"/>
              </w:rPr>
            </w:pPr>
            <w:r>
              <w:rPr>
                <w:rFonts w:ascii="Times New Roman" w:cs="Times New Roman" w:eastAsia="Times New Roman" w:hAnsi="Times New Roman"/>
                <w:sz w:val="18"/>
                <w:szCs w:val="18"/>
                <w:color w:val="auto"/>
              </w:rPr>
              <w:t>Unrealized net change arising during the period</w:t>
            </w:r>
          </w:p>
        </w:tc>
        <w:tc>
          <w:tcPr>
            <w:tcW w:w="1140" w:type="dxa"/>
            <w:vAlign w:val="bottom"/>
            <w:shd w:val="clear" w:color="auto" w:fill="CCF0FC"/>
          </w:tcPr>
          <w:p>
            <w:pPr>
              <w:spacing w:after="0"/>
              <w:rPr>
                <w:sz w:val="19"/>
                <w:szCs w:val="19"/>
                <w:color w:val="auto"/>
              </w:rPr>
            </w:pPr>
          </w:p>
        </w:tc>
        <w:tc>
          <w:tcPr>
            <w:tcW w:w="4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280" w:type="dxa"/>
            <w:vAlign w:val="bottom"/>
            <w:shd w:val="clear" w:color="auto" w:fill="CCF0FC"/>
          </w:tcPr>
          <w:p>
            <w:pPr>
              <w:spacing w:after="0"/>
              <w:rPr>
                <w:sz w:val="19"/>
                <w:szCs w:val="19"/>
                <w:color w:val="auto"/>
              </w:rPr>
            </w:pPr>
          </w:p>
        </w:tc>
        <w:tc>
          <w:tcPr>
            <w:tcW w:w="160" w:type="dxa"/>
            <w:vAlign w:val="bottom"/>
            <w:shd w:val="clear" w:color="auto" w:fill="CCF0FC"/>
          </w:tcPr>
          <w:p>
            <w:pPr>
              <w:spacing w:after="0"/>
              <w:rPr>
                <w:sz w:val="19"/>
                <w:szCs w:val="19"/>
                <w:color w:val="auto"/>
              </w:rPr>
            </w:pPr>
          </w:p>
        </w:tc>
        <w:tc>
          <w:tcPr>
            <w:tcW w:w="14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CF0FC"/>
          </w:tcPr>
          <w:p>
            <w:pPr>
              <w:ind w:left="240"/>
              <w:spacing w:after="0"/>
              <w:rPr>
                <w:sz w:val="20"/>
                <w:szCs w:val="20"/>
                <w:color w:val="auto"/>
              </w:rPr>
            </w:pPr>
            <w:r>
              <w:rPr>
                <w:rFonts w:ascii="Times New Roman" w:cs="Times New Roman" w:eastAsia="Times New Roman" w:hAnsi="Times New Roman"/>
                <w:sz w:val="18"/>
                <w:szCs w:val="18"/>
                <w:color w:val="auto"/>
              </w:rPr>
              <w:t>Unrealized gain arising during the period</w:t>
            </w:r>
          </w:p>
        </w:tc>
        <w:tc>
          <w:tcPr>
            <w:tcW w:w="1140" w:type="dxa"/>
            <w:vAlign w:val="bottom"/>
            <w:shd w:val="clear" w:color="auto" w:fill="CCF0FC"/>
          </w:tcPr>
          <w:p>
            <w:pPr>
              <w:spacing w:after="0"/>
              <w:rPr>
                <w:sz w:val="19"/>
                <w:szCs w:val="19"/>
                <w:color w:val="auto"/>
              </w:rPr>
            </w:pPr>
          </w:p>
        </w:tc>
        <w:tc>
          <w:tcPr>
            <w:tcW w:w="4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F0FC"/>
          </w:tcPr>
          <w:p>
            <w:pPr>
              <w:spacing w:after="0"/>
              <w:rPr>
                <w:sz w:val="19"/>
                <w:szCs w:val="19"/>
                <w:color w:val="auto"/>
              </w:rPr>
            </w:pPr>
          </w:p>
        </w:tc>
        <w:tc>
          <w:tcPr>
            <w:tcW w:w="160" w:type="dxa"/>
            <w:vAlign w:val="bottom"/>
            <w:shd w:val="clear" w:color="auto" w:fill="CCF0FC"/>
          </w:tcPr>
          <w:p>
            <w:pPr>
              <w:spacing w:after="0"/>
              <w:rPr>
                <w:sz w:val="19"/>
                <w:szCs w:val="19"/>
                <w:color w:val="auto"/>
              </w:rPr>
            </w:pPr>
          </w:p>
        </w:tc>
        <w:tc>
          <w:tcPr>
            <w:tcW w:w="14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F0FC"/>
          </w:tcPr>
          <w:p>
            <w:pPr>
              <w:spacing w:after="0"/>
              <w:rPr>
                <w:sz w:val="19"/>
                <w:szCs w:val="19"/>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 hedges</w:t>
            </w: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820" w:type="dxa"/>
            <w:vAlign w:val="bottom"/>
            <w:shd w:val="clear" w:color="auto" w:fill="CCF0FC"/>
          </w:tcPr>
          <w:p>
            <w:pPr>
              <w:ind w:left="240"/>
              <w:spacing w:after="0"/>
              <w:rPr>
                <w:sz w:val="20"/>
                <w:szCs w:val="20"/>
                <w:color w:val="auto"/>
              </w:rPr>
            </w:pPr>
            <w:r>
              <w:rPr>
                <w:rFonts w:ascii="Times New Roman" w:cs="Times New Roman" w:eastAsia="Times New Roman" w:hAnsi="Times New Roman"/>
                <w:sz w:val="18"/>
                <w:szCs w:val="18"/>
                <w:color w:val="auto"/>
              </w:rPr>
              <w:t>Net gain (loss) on cash flow hedges</w:t>
            </w:r>
          </w:p>
        </w:tc>
        <w:tc>
          <w:tcPr>
            <w:tcW w:w="1140" w:type="dxa"/>
            <w:vAlign w:val="bottom"/>
            <w:shd w:val="clear" w:color="auto" w:fill="CCF0FC"/>
          </w:tcPr>
          <w:p>
            <w:pPr>
              <w:spacing w:after="0"/>
              <w:rPr>
                <w:sz w:val="19"/>
                <w:szCs w:val="19"/>
                <w:color w:val="auto"/>
              </w:rPr>
            </w:pPr>
          </w:p>
        </w:tc>
        <w:tc>
          <w:tcPr>
            <w:tcW w:w="740" w:type="dxa"/>
            <w:vAlign w:val="bottom"/>
            <w:gridSpan w:val="2"/>
            <w:shd w:val="clear" w:color="auto" w:fill="CC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w:t>
            </w:r>
          </w:p>
        </w:tc>
        <w:tc>
          <w:tcPr>
            <w:tcW w:w="160" w:type="dxa"/>
            <w:vAlign w:val="bottom"/>
            <w:shd w:val="clear" w:color="auto" w:fill="CCF0FC"/>
          </w:tcPr>
          <w:p>
            <w:pPr>
              <w:spacing w:after="0"/>
              <w:rPr>
                <w:sz w:val="19"/>
                <w:szCs w:val="19"/>
                <w:color w:val="auto"/>
              </w:rPr>
            </w:pPr>
          </w:p>
        </w:tc>
        <w:tc>
          <w:tcPr>
            <w:tcW w:w="14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F0FC"/>
          </w:tcPr>
          <w:p>
            <w:pPr>
              <w:spacing w:after="0"/>
              <w:rPr>
                <w:sz w:val="19"/>
                <w:szCs w:val="19"/>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 to net income of net realized (gain) loss</w:t>
            </w:r>
          </w:p>
        </w:tc>
        <w:tc>
          <w:tcPr>
            <w:tcW w:w="1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26"/>
        </w:trPr>
        <w:tc>
          <w:tcPr>
            <w:tcW w:w="782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i w:val="1"/>
                <w:iCs w:val="1"/>
                <w:color w:val="auto"/>
              </w:rPr>
              <w:t>Pension and other postretirement benefit plans</w:t>
            </w:r>
          </w:p>
        </w:tc>
        <w:tc>
          <w:tcPr>
            <w:tcW w:w="1140" w:type="dxa"/>
            <w:vAlign w:val="bottom"/>
            <w:shd w:val="clear" w:color="auto" w:fill="CCF0FC"/>
          </w:tcPr>
          <w:p>
            <w:pPr>
              <w:spacing w:after="0"/>
              <w:rPr>
                <w:sz w:val="19"/>
                <w:szCs w:val="19"/>
                <w:color w:val="auto"/>
              </w:rPr>
            </w:pPr>
          </w:p>
        </w:tc>
        <w:tc>
          <w:tcPr>
            <w:tcW w:w="460" w:type="dxa"/>
            <w:vAlign w:val="bottom"/>
            <w:shd w:val="clear" w:color="auto" w:fill="CCF0FC"/>
          </w:tcPr>
          <w:p>
            <w:pPr>
              <w:spacing w:after="0"/>
              <w:rPr>
                <w:sz w:val="19"/>
                <w:szCs w:val="19"/>
                <w:color w:val="auto"/>
              </w:rPr>
            </w:pPr>
          </w:p>
        </w:tc>
        <w:tc>
          <w:tcPr>
            <w:tcW w:w="280" w:type="dxa"/>
            <w:vAlign w:val="bottom"/>
            <w:shd w:val="clear" w:color="auto" w:fill="CCF0FC"/>
          </w:tcPr>
          <w:p>
            <w:pPr>
              <w:spacing w:after="0"/>
              <w:rPr>
                <w:sz w:val="19"/>
                <w:szCs w:val="19"/>
                <w:color w:val="auto"/>
              </w:rPr>
            </w:pPr>
          </w:p>
        </w:tc>
        <w:tc>
          <w:tcPr>
            <w:tcW w:w="160" w:type="dxa"/>
            <w:vAlign w:val="bottom"/>
            <w:shd w:val="clear" w:color="auto" w:fill="CCF0FC"/>
          </w:tcPr>
          <w:p>
            <w:pPr>
              <w:spacing w:after="0"/>
              <w:rPr>
                <w:sz w:val="19"/>
                <w:szCs w:val="19"/>
                <w:color w:val="auto"/>
              </w:rPr>
            </w:pPr>
          </w:p>
        </w:tc>
        <w:tc>
          <w:tcPr>
            <w:tcW w:w="1460" w:type="dxa"/>
            <w:vAlign w:val="bottom"/>
            <w:shd w:val="clear" w:color="auto" w:fill="CCF0FC"/>
          </w:tcPr>
          <w:p>
            <w:pPr>
              <w:spacing w:after="0"/>
              <w:rPr>
                <w:sz w:val="19"/>
                <w:szCs w:val="19"/>
                <w:color w:val="auto"/>
              </w:rPr>
            </w:pPr>
          </w:p>
        </w:tc>
        <w:tc>
          <w:tcPr>
            <w:tcW w:w="100" w:type="dxa"/>
            <w:vAlign w:val="bottom"/>
            <w:shd w:val="clear" w:color="auto" w:fill="CCF0FC"/>
          </w:tcPr>
          <w:p>
            <w:pPr>
              <w:spacing w:after="0"/>
              <w:rPr>
                <w:sz w:val="19"/>
                <w:szCs w:val="19"/>
                <w:color w:val="auto"/>
              </w:rPr>
            </w:pPr>
          </w:p>
        </w:tc>
      </w:tr>
      <w:tr>
        <w:trPr>
          <w:trHeight w:val="226"/>
        </w:trPr>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to net income of net actuarial loss</w:t>
            </w:r>
          </w:p>
        </w:tc>
        <w:tc>
          <w:tcPr>
            <w:tcW w:w="1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r>
      <w:tr>
        <w:trPr>
          <w:trHeight w:val="226"/>
        </w:trPr>
        <w:tc>
          <w:tcPr>
            <w:tcW w:w="7820" w:type="dxa"/>
            <w:vAlign w:val="bottom"/>
            <w:shd w:val="clear" w:color="auto" w:fill="CCF0FC"/>
          </w:tcPr>
          <w:p>
            <w:pPr>
              <w:ind w:left="260"/>
              <w:spacing w:after="0"/>
              <w:rPr>
                <w:sz w:val="20"/>
                <w:szCs w:val="20"/>
                <w:color w:val="auto"/>
              </w:rPr>
            </w:pPr>
            <w:r>
              <w:rPr>
                <w:rFonts w:ascii="Times New Roman" w:cs="Times New Roman" w:eastAsia="Times New Roman" w:hAnsi="Times New Roman"/>
                <w:sz w:val="18"/>
                <w:szCs w:val="18"/>
                <w:color w:val="auto"/>
              </w:rPr>
              <w:t>Amortization to net income of net prior service credit</w:t>
            </w:r>
          </w:p>
        </w:tc>
        <w:tc>
          <w:tcPr>
            <w:tcW w:w="1140" w:type="dxa"/>
            <w:vAlign w:val="bottom"/>
            <w:shd w:val="clear" w:color="auto" w:fill="CCF0FC"/>
          </w:tcPr>
          <w:p>
            <w:pPr>
              <w:spacing w:after="0"/>
              <w:rPr>
                <w:sz w:val="19"/>
                <w:szCs w:val="19"/>
                <w:color w:val="auto"/>
              </w:rPr>
            </w:pPr>
          </w:p>
        </w:tc>
        <w:tc>
          <w:tcPr>
            <w:tcW w:w="740" w:type="dxa"/>
            <w:vAlign w:val="bottom"/>
            <w:gridSpan w:val="2"/>
            <w:shd w:val="clear" w:color="auto" w:fill="CC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w:t>
            </w:r>
          </w:p>
        </w:tc>
        <w:tc>
          <w:tcPr>
            <w:tcW w:w="160" w:type="dxa"/>
            <w:vAlign w:val="bottom"/>
            <w:shd w:val="clear" w:color="auto" w:fill="CCF0FC"/>
          </w:tcPr>
          <w:p>
            <w:pPr>
              <w:spacing w:after="0"/>
              <w:rPr>
                <w:sz w:val="19"/>
                <w:szCs w:val="19"/>
                <w:color w:val="auto"/>
              </w:rPr>
            </w:pPr>
          </w:p>
        </w:tc>
        <w:tc>
          <w:tcPr>
            <w:tcW w:w="1560" w:type="dxa"/>
            <w:vAlign w:val="bottom"/>
            <w:gridSpan w:val="2"/>
            <w:shd w:val="clear" w:color="auto" w:fill="CC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9"/>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tc>
        <w:tc>
          <w:tcPr>
            <w:tcW w:w="1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525</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9"/>
                <w:szCs w:val="19"/>
                <w:color w:val="auto"/>
              </w:rPr>
            </w:pPr>
          </w:p>
        </w:tc>
      </w:tr>
      <w:tr>
        <w:trPr>
          <w:trHeight w:val="226"/>
        </w:trPr>
        <w:tc>
          <w:tcPr>
            <w:tcW w:w="7820" w:type="dxa"/>
            <w:vAlign w:val="bottom"/>
            <w:shd w:val="clear" w:color="auto" w:fill="CCF0FC"/>
          </w:tcPr>
          <w:p>
            <w:pPr>
              <w:ind w:left="2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140" w:type="dxa"/>
            <w:vAlign w:val="bottom"/>
            <w:tcBorders>
              <w:bottom w:val="single" w:sz="8" w:color="auto"/>
            </w:tcBorders>
            <w:shd w:val="clear" w:color="auto" w:fill="CCF0FC"/>
          </w:tcPr>
          <w:p>
            <w:pPr>
              <w:spacing w:after="0"/>
              <w:rPr>
                <w:sz w:val="19"/>
                <w:szCs w:val="19"/>
                <w:color w:val="auto"/>
              </w:rPr>
            </w:pPr>
          </w:p>
        </w:tc>
        <w:tc>
          <w:tcPr>
            <w:tcW w:w="46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80" w:type="dxa"/>
            <w:vAlign w:val="bottom"/>
            <w:shd w:val="clear" w:color="auto" w:fill="CCF0FC"/>
          </w:tcPr>
          <w:p>
            <w:pPr>
              <w:spacing w:after="0"/>
              <w:rPr>
                <w:sz w:val="19"/>
                <w:szCs w:val="19"/>
                <w:color w:val="auto"/>
              </w:rPr>
            </w:pPr>
          </w:p>
        </w:tc>
        <w:tc>
          <w:tcPr>
            <w:tcW w:w="160" w:type="dxa"/>
            <w:vAlign w:val="bottom"/>
            <w:tcBorders>
              <w:bottom w:val="single" w:sz="8" w:color="auto"/>
            </w:tcBorders>
            <w:shd w:val="clear" w:color="auto" w:fill="CCF0FC"/>
          </w:tcPr>
          <w:p>
            <w:pPr>
              <w:spacing w:after="0"/>
              <w:rPr>
                <w:sz w:val="19"/>
                <w:szCs w:val="19"/>
                <w:color w:val="auto"/>
              </w:rPr>
            </w:pPr>
          </w:p>
        </w:tc>
        <w:tc>
          <w:tcPr>
            <w:tcW w:w="146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F0FC"/>
          </w:tcPr>
          <w:p>
            <w:pPr>
              <w:spacing w:after="0"/>
              <w:rPr>
                <w:sz w:val="19"/>
                <w:szCs w:val="19"/>
                <w:color w:val="auto"/>
              </w:rPr>
            </w:pPr>
          </w:p>
        </w:tc>
      </w:tr>
      <w:tr>
        <w:trPr>
          <w:trHeight w:val="219"/>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Comprehensive income attributable to Schlumberger</w:t>
            </w:r>
          </w:p>
        </w:tc>
        <w:tc>
          <w:tcPr>
            <w:tcW w:w="114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29"/>
        </w:trPr>
        <w:tc>
          <w:tcPr>
            <w:tcW w:w="7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4"/>
              </w:rPr>
              <w:t>Mar. 31,</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Dec. 31,</w:t>
            </w:r>
          </w:p>
        </w:tc>
        <w:tc>
          <w:tcPr>
            <w:tcW w:w="0" w:type="dxa"/>
            <w:vAlign w:val="bottom"/>
          </w:tcPr>
          <w:p>
            <w:pPr>
              <w:spacing w:after="0"/>
              <w:rPr>
                <w:sz w:val="1"/>
                <w:szCs w:val="1"/>
                <w:color w:val="auto"/>
              </w:rPr>
            </w:pPr>
          </w:p>
        </w:tc>
      </w:tr>
      <w:tr>
        <w:trPr>
          <w:trHeight w:val="233"/>
        </w:trPr>
        <w:tc>
          <w:tcPr>
            <w:tcW w:w="7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300" w:type="dxa"/>
            <w:vAlign w:val="bottom"/>
          </w:tcPr>
          <w:p>
            <w:pPr>
              <w:spacing w:after="0"/>
              <w:rPr>
                <w:sz w:val="20"/>
                <w:szCs w:val="20"/>
                <w:color w:val="auto"/>
              </w:rPr>
            </w:pPr>
          </w:p>
        </w:tc>
        <w:tc>
          <w:tcPr>
            <w:tcW w:w="13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Receivables less allowance for doubtful accounts (2019 - $244; 2018 - $249)</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8,171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4,224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1,223</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15,773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Investments in Affiliated Companies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Fixed Assets less accumulated depreciation</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11,533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Multiclient Seismic Data</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24,945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Intangible Assets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8,611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7,331</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70,321</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70,507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8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9,702</w:t>
            </w:r>
          </w:p>
        </w:tc>
        <w:tc>
          <w:tcPr>
            <w:tcW w:w="2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Estimated liability for taxes on income</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Dividends payable</w:t>
            </w: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702</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11,697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Long-term Debt</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16,449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Postretirement Benefits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Deferred Taxes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3,140</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33,797</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Equity</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13,000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Treasury stock</w:t>
            </w:r>
          </w:p>
        </w:tc>
        <w:tc>
          <w:tcPr>
            <w:tcW w:w="2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(3,756)</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(4,006)</w:t>
            </w:r>
          </w:p>
        </w:tc>
        <w:tc>
          <w:tcPr>
            <w:tcW w:w="0" w:type="dxa"/>
            <w:vAlign w:val="bottom"/>
          </w:tcPr>
          <w:p>
            <w:pPr>
              <w:spacing w:after="0"/>
              <w:rPr>
                <w:sz w:val="1"/>
                <w:szCs w:val="1"/>
                <w:color w:val="auto"/>
              </w:rPr>
            </w:pPr>
          </w:p>
        </w:tc>
      </w:tr>
      <w:tr>
        <w:trPr>
          <w:trHeight w:val="226"/>
        </w:trPr>
        <w:tc>
          <w:tcPr>
            <w:tcW w:w="7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31,386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(4,527)</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(4,622)</w:t>
            </w:r>
          </w:p>
        </w:tc>
        <w:tc>
          <w:tcPr>
            <w:tcW w:w="0" w:type="dxa"/>
            <w:vAlign w:val="bottom"/>
          </w:tcPr>
          <w:p>
            <w:pPr>
              <w:spacing w:after="0"/>
              <w:rPr>
                <w:sz w:val="1"/>
                <w:szCs w:val="1"/>
                <w:color w:val="auto"/>
              </w:rPr>
            </w:pPr>
          </w:p>
        </w:tc>
      </w:tr>
      <w:tr>
        <w:trPr>
          <w:trHeight w:val="219"/>
        </w:trPr>
        <w:tc>
          <w:tcPr>
            <w:tcW w:w="782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Schlumberger stockholders' equity</w:t>
            </w:r>
          </w:p>
        </w:tc>
        <w:tc>
          <w:tcPr>
            <w:tcW w:w="2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36,103</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36,524</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20" w:type="dxa"/>
            <w:vAlign w:val="bottom"/>
          </w:tcPr>
          <w:p>
            <w:pPr>
              <w:spacing w:after="0"/>
              <w:rPr>
                <w:sz w:val="19"/>
                <w:szCs w:val="19"/>
                <w:color w:val="auto"/>
              </w:rPr>
            </w:pP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70,321</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5" w:name="page6"/>
    <w:bookmarkEnd w:id="5"/>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CASH FLOWS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04"/>
        </w:trPr>
        <w:tc>
          <w:tcPr>
            <w:tcW w:w="6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20" w:type="dxa"/>
            <w:vAlign w:val="bottom"/>
            <w:gridSpan w:val="7"/>
          </w:tcPr>
          <w:p>
            <w:pPr>
              <w:jc w:val="right"/>
              <w:ind w:right="96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r>
      <w:tr>
        <w:trPr>
          <w:trHeight w:val="153"/>
        </w:trPr>
        <w:tc>
          <w:tcPr>
            <w:tcW w:w="652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2019</w:t>
            </w:r>
          </w:p>
        </w:tc>
        <w:tc>
          <w:tcPr>
            <w:tcW w:w="5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21"/>
              <w:spacing w:after="0"/>
              <w:rPr>
                <w:sz w:val="20"/>
                <w:szCs w:val="20"/>
                <w:color w:val="auto"/>
              </w:rPr>
            </w:pPr>
            <w:r>
              <w:rPr>
                <w:rFonts w:ascii="Times New Roman" w:cs="Times New Roman" w:eastAsia="Times New Roman" w:hAnsi="Times New Roman"/>
                <w:sz w:val="13"/>
                <w:szCs w:val="13"/>
                <w:color w:val="auto"/>
              </w:rPr>
              <w:t>2018</w:t>
            </w:r>
          </w:p>
        </w:tc>
        <w:tc>
          <w:tcPr>
            <w:tcW w:w="100" w:type="dxa"/>
            <w:vAlign w:val="bottom"/>
            <w:tcBorders>
              <w:bottom w:val="single" w:sz="8" w:color="CFF0FC"/>
            </w:tcBorders>
          </w:tcPr>
          <w:p>
            <w:pPr>
              <w:spacing w:after="0"/>
              <w:rPr>
                <w:sz w:val="13"/>
                <w:szCs w:val="13"/>
                <w:color w:val="auto"/>
              </w:rPr>
            </w:pPr>
          </w:p>
        </w:tc>
      </w:tr>
      <w:tr>
        <w:trPr>
          <w:trHeight w:val="20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3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1"/>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2400" w:type="dxa"/>
            <w:vAlign w:val="bottom"/>
            <w:gridSpan w:val="2"/>
          </w:tcPr>
          <w:p>
            <w:pPr>
              <w:jc w:val="right"/>
              <w:ind w:right="88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430</w:t>
            </w:r>
          </w:p>
        </w:tc>
        <w:tc>
          <w:tcPr>
            <w:tcW w:w="300" w:type="dxa"/>
            <w:vAlign w:val="bottom"/>
          </w:tcPr>
          <w:p>
            <w:pPr>
              <w:spacing w:after="0"/>
              <w:rPr>
                <w:sz w:val="18"/>
                <w:szCs w:val="18"/>
                <w:color w:val="auto"/>
              </w:rPr>
            </w:pPr>
          </w:p>
        </w:tc>
        <w:tc>
          <w:tcPr>
            <w:tcW w:w="300" w:type="dxa"/>
            <w:vAlign w:val="bottom"/>
            <w:gridSpan w:val="2"/>
          </w:tcPr>
          <w:p>
            <w:pPr>
              <w:jc w:val="right"/>
              <w:ind w:right="163"/>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Pr>
          <w:p>
            <w:pPr>
              <w:spacing w:after="0"/>
              <w:rPr>
                <w:sz w:val="18"/>
                <w:szCs w:val="18"/>
                <w:color w:val="auto"/>
              </w:rPr>
            </w:pPr>
          </w:p>
        </w:tc>
      </w:tr>
      <w:tr>
        <w:trPr>
          <w:trHeight w:val="214"/>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6520" w:type="dxa"/>
            <w:vAlign w:val="bottom"/>
          </w:tcPr>
          <w:p>
            <w:pPr>
              <w:ind w:left="600"/>
              <w:spacing w:after="0" w:line="212" w:lineRule="exact"/>
              <w:rPr>
                <w:sz w:val="20"/>
                <w:szCs w:val="20"/>
                <w:color w:val="auto"/>
              </w:rPr>
            </w:pPr>
            <w:r>
              <w:rPr>
                <w:rFonts w:ascii="Times New Roman" w:cs="Times New Roman" w:eastAsia="Times New Roman" w:hAnsi="Times New Roman"/>
                <w:sz w:val="15"/>
                <w:szCs w:val="15"/>
                <w:color w:val="auto"/>
              </w:rPr>
              <w:t xml:space="preserve">Depreciation and amortization </w:t>
            </w:r>
            <w:r>
              <w:rPr>
                <w:rFonts w:ascii="Times New Roman" w:cs="Times New Roman" w:eastAsia="Times New Roman" w:hAnsi="Times New Roman"/>
                <w:sz w:val="24"/>
                <w:szCs w:val="24"/>
                <w:color w:val="auto"/>
                <w:vertAlign w:val="superscript"/>
              </w:rPr>
              <w:t>(1)</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tcPr>
          <w:p>
            <w:pPr>
              <w:spacing w:after="0"/>
              <w:rPr>
                <w:sz w:val="18"/>
                <w:szCs w:val="18"/>
                <w:color w:val="auto"/>
              </w:rPr>
            </w:pPr>
          </w:p>
        </w:tc>
      </w:tr>
      <w:tr>
        <w:trPr>
          <w:trHeight w:val="213"/>
        </w:trPr>
        <w:tc>
          <w:tcPr>
            <w:tcW w:w="6520" w:type="dxa"/>
            <w:vAlign w:val="bottom"/>
            <w:shd w:val="clear" w:color="auto" w:fill="CCF0FC"/>
          </w:tcPr>
          <w:p>
            <w:pPr>
              <w:ind w:left="6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60" w:type="dxa"/>
            <w:vAlign w:val="bottom"/>
            <w:shd w:val="clear" w:color="auto" w:fill="CCF0FC"/>
          </w:tcPr>
          <w:p>
            <w:pPr>
              <w:spacing w:after="0"/>
              <w:rPr>
                <w:sz w:val="18"/>
                <w:szCs w:val="18"/>
                <w:color w:val="auto"/>
              </w:rPr>
            </w:pPr>
          </w:p>
        </w:tc>
        <w:tc>
          <w:tcPr>
            <w:tcW w:w="1040" w:type="dxa"/>
            <w:vAlign w:val="bottom"/>
            <w:shd w:val="clear" w:color="auto" w:fill="CCF0FC"/>
          </w:tcPr>
          <w:p>
            <w:pPr>
              <w:spacing w:after="0"/>
              <w:rPr>
                <w:sz w:val="18"/>
                <w:szCs w:val="18"/>
                <w:color w:val="auto"/>
              </w:rPr>
            </w:pPr>
          </w:p>
        </w:tc>
        <w:tc>
          <w:tcPr>
            <w:tcW w:w="5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6"/>
                <w:szCs w:val="16"/>
                <w:b w:val="1"/>
                <w:bCs w:val="1"/>
                <w:color w:val="auto"/>
              </w:rPr>
              <w:t>108</w:t>
            </w:r>
          </w:p>
        </w:tc>
        <w:tc>
          <w:tcPr>
            <w:tcW w:w="300" w:type="dxa"/>
            <w:vAlign w:val="bottom"/>
            <w:shd w:val="clear" w:color="auto" w:fill="CCF0FC"/>
          </w:tcPr>
          <w:p>
            <w:pPr>
              <w:spacing w:after="0"/>
              <w:rPr>
                <w:sz w:val="18"/>
                <w:szCs w:val="18"/>
                <w:color w:val="auto"/>
              </w:rPr>
            </w:pPr>
          </w:p>
        </w:tc>
        <w:tc>
          <w:tcPr>
            <w:tcW w:w="20" w:type="dxa"/>
            <w:vAlign w:val="bottom"/>
            <w:shd w:val="clear" w:color="auto" w:fill="CCF0FC"/>
          </w:tcPr>
          <w:p>
            <w:pPr>
              <w:spacing w:after="0"/>
              <w:rPr>
                <w:sz w:val="18"/>
                <w:szCs w:val="18"/>
                <w:color w:val="auto"/>
              </w:rPr>
            </w:pPr>
          </w:p>
        </w:tc>
        <w:tc>
          <w:tcPr>
            <w:tcW w:w="280" w:type="dxa"/>
            <w:vAlign w:val="bottom"/>
            <w:shd w:val="clear" w:color="auto" w:fill="CCF0FC"/>
          </w:tcPr>
          <w:p>
            <w:pPr>
              <w:spacing w:after="0"/>
              <w:rPr>
                <w:sz w:val="18"/>
                <w:szCs w:val="18"/>
                <w:color w:val="auto"/>
              </w:rPr>
            </w:pPr>
          </w:p>
        </w:tc>
        <w:tc>
          <w:tcPr>
            <w:tcW w:w="132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F0FC"/>
          </w:tcPr>
          <w:p>
            <w:pPr>
              <w:spacing w:after="0"/>
              <w:rPr>
                <w:sz w:val="18"/>
                <w:szCs w:val="18"/>
                <w:color w:val="auto"/>
              </w:rPr>
            </w:pPr>
          </w:p>
        </w:tc>
      </w:tr>
      <w:tr>
        <w:trPr>
          <w:trHeight w:val="211"/>
        </w:trPr>
        <w:tc>
          <w:tcPr>
            <w:tcW w:w="65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Earnings of equity method investments, less dividends received</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r>
      <w:tr>
        <w:trPr>
          <w:trHeight w:val="214"/>
        </w:trPr>
        <w:tc>
          <w:tcPr>
            <w:tcW w:w="6520" w:type="dxa"/>
            <w:vAlign w:val="bottom"/>
            <w:shd w:val="clear" w:color="auto" w:fill="CFF0FC"/>
          </w:tcPr>
          <w:p>
            <w:pPr>
              <w:ind w:left="240"/>
              <w:spacing w:after="0" w:line="214" w:lineRule="exact"/>
              <w:rPr>
                <w:sz w:val="20"/>
                <w:szCs w:val="20"/>
                <w:color w:val="auto"/>
              </w:rPr>
            </w:pPr>
            <w:r>
              <w:rPr>
                <w:rFonts w:ascii="Times New Roman" w:cs="Times New Roman" w:eastAsia="Times New Roman" w:hAnsi="Times New Roman"/>
                <w:sz w:val="15"/>
                <w:szCs w:val="15"/>
                <w:color w:val="auto"/>
              </w:rPr>
              <w:t xml:space="preserve">Change in assets and liabilities: </w:t>
            </w:r>
            <w:r>
              <w:rPr>
                <w:rFonts w:ascii="Times New Roman" w:cs="Times New Roman" w:eastAsia="Times New Roman" w:hAnsi="Times New Roman"/>
                <w:sz w:val="24"/>
                <w:szCs w:val="24"/>
                <w:color w:val="auto"/>
                <w:vertAlign w:val="superscript"/>
              </w:rPr>
              <w:t>(2)</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65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Increase in receivables</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(280)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(152)</w:t>
            </w:r>
          </w:p>
        </w:tc>
      </w:tr>
      <w:tr>
        <w:trPr>
          <w:trHeight w:val="214"/>
        </w:trPr>
        <w:tc>
          <w:tcPr>
            <w:tcW w:w="65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Increase in inventories</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(197)</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(81)</w:t>
            </w:r>
          </w:p>
        </w:tc>
      </w:tr>
      <w:tr>
        <w:trPr>
          <w:trHeight w:val="211"/>
        </w:trPr>
        <w:tc>
          <w:tcPr>
            <w:tcW w:w="65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Increase in other current assets</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(93)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w:t>
            </w:r>
          </w:p>
        </w:tc>
      </w:tr>
      <w:tr>
        <w:trPr>
          <w:trHeight w:val="214"/>
        </w:trPr>
        <w:tc>
          <w:tcPr>
            <w:tcW w:w="65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Decrease (increase) in other assets</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(70)</w:t>
            </w:r>
          </w:p>
        </w:tc>
      </w:tr>
      <w:tr>
        <w:trPr>
          <w:trHeight w:val="211"/>
        </w:trPr>
        <w:tc>
          <w:tcPr>
            <w:tcW w:w="65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Decrease in accounts payable and accrued liabilities</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(483)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(600)</w:t>
            </w:r>
          </w:p>
        </w:tc>
      </w:tr>
      <w:tr>
        <w:trPr>
          <w:trHeight w:val="214"/>
        </w:trPr>
        <w:tc>
          <w:tcPr>
            <w:tcW w:w="65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Increase in estimated liability for taxes on income</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FF0FC"/>
          </w:tcPr>
          <w:p>
            <w:pPr>
              <w:spacing w:after="0"/>
              <w:rPr>
                <w:sz w:val="18"/>
                <w:szCs w:val="18"/>
                <w:color w:val="auto"/>
              </w:rPr>
            </w:pPr>
          </w:p>
        </w:tc>
      </w:tr>
      <w:tr>
        <w:trPr>
          <w:trHeight w:val="211"/>
        </w:trPr>
        <w:tc>
          <w:tcPr>
            <w:tcW w:w="65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Decrease in other liabilities</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(42)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r>
      <w:tr>
        <w:trPr>
          <w:trHeight w:val="214"/>
        </w:trPr>
        <w:tc>
          <w:tcPr>
            <w:tcW w:w="65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Other</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(30)</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r>
      <w:tr>
        <w:trPr>
          <w:trHeight w:val="205"/>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360" w:type="dxa"/>
            <w:vAlign w:val="bottom"/>
            <w:tcBorders>
              <w:bottom w:val="single" w:sz="8" w:color="CFF0FC"/>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326</w:t>
            </w:r>
          </w:p>
        </w:tc>
        <w:tc>
          <w:tcPr>
            <w:tcW w:w="3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Borders>
              <w:bottom w:val="single" w:sz="8" w:color="CFF0FC"/>
            </w:tcBorders>
          </w:tcPr>
          <w:p>
            <w:pPr>
              <w:spacing w:after="0"/>
              <w:rPr>
                <w:sz w:val="17"/>
                <w:szCs w:val="17"/>
                <w:color w:val="auto"/>
              </w:rPr>
            </w:pPr>
          </w:p>
        </w:tc>
      </w:tr>
      <w:tr>
        <w:trPr>
          <w:trHeight w:val="207"/>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 expenditures</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(413)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(454)</w:t>
            </w:r>
          </w:p>
        </w:tc>
      </w:tr>
      <w:tr>
        <w:trPr>
          <w:trHeight w:val="214"/>
        </w:trPr>
        <w:tc>
          <w:tcPr>
            <w:tcW w:w="6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SPM investments</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(151)</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(240)</w:t>
            </w:r>
          </w:p>
        </w:tc>
      </w:tr>
      <w:tr>
        <w:trPr>
          <w:trHeight w:val="211"/>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Multiclient seismic data costs capitalized</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(45)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w:t>
            </w:r>
          </w:p>
        </w:tc>
      </w:tr>
      <w:tr>
        <w:trPr>
          <w:trHeight w:val="214"/>
        </w:trPr>
        <w:tc>
          <w:tcPr>
            <w:tcW w:w="6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Business acquisitions and investments, net of cash acquired</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r>
      <w:tr>
        <w:trPr>
          <w:trHeight w:val="211"/>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Sale of investments, net</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tcPr>
          <w:p>
            <w:pPr>
              <w:spacing w:after="0"/>
              <w:rPr>
                <w:sz w:val="18"/>
                <w:szCs w:val="18"/>
                <w:color w:val="auto"/>
              </w:rPr>
            </w:pPr>
          </w:p>
        </w:tc>
      </w:tr>
      <w:tr>
        <w:trPr>
          <w:trHeight w:val="214"/>
        </w:trPr>
        <w:tc>
          <w:tcPr>
            <w:tcW w:w="6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(36)</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FF0FC"/>
          </w:tcPr>
          <w:p>
            <w:pPr>
              <w:spacing w:after="0"/>
              <w:rPr>
                <w:sz w:val="18"/>
                <w:szCs w:val="18"/>
                <w:color w:val="auto"/>
              </w:rPr>
            </w:pPr>
          </w:p>
        </w:tc>
      </w:tr>
      <w:tr>
        <w:trPr>
          <w:trHeight w:val="205"/>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360" w:type="dxa"/>
            <w:vAlign w:val="bottom"/>
            <w:tcBorders>
              <w:bottom w:val="single" w:sz="8" w:color="CFF0FC"/>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(230)</w:t>
            </w:r>
          </w:p>
        </w:tc>
        <w:tc>
          <w:tcPr>
            <w:tcW w:w="3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Borders>
              <w:bottom w:val="single" w:sz="8" w:color="CFF0FC"/>
            </w:tcBorders>
          </w:tcPr>
          <w:p>
            <w:pPr>
              <w:spacing w:after="0"/>
              <w:rPr>
                <w:sz w:val="17"/>
                <w:szCs w:val="17"/>
                <w:color w:val="auto"/>
              </w:rPr>
            </w:pPr>
          </w:p>
        </w:tc>
      </w:tr>
      <w:tr>
        <w:trPr>
          <w:trHeight w:val="207"/>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1"/>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Dividends paid</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(692)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(692)</w:t>
            </w:r>
          </w:p>
        </w:tc>
      </w:tr>
      <w:tr>
        <w:trPr>
          <w:trHeight w:val="214"/>
        </w:trPr>
        <w:tc>
          <w:tcPr>
            <w:tcW w:w="6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employee stock purchase plan</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FF0FC"/>
          </w:tcPr>
          <w:p>
            <w:pPr>
              <w:spacing w:after="0"/>
              <w:rPr>
                <w:sz w:val="18"/>
                <w:szCs w:val="18"/>
                <w:color w:val="auto"/>
              </w:rPr>
            </w:pPr>
          </w:p>
        </w:tc>
      </w:tr>
      <w:tr>
        <w:trPr>
          <w:trHeight w:val="211"/>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r>
      <w:tr>
        <w:trPr>
          <w:trHeight w:val="214"/>
        </w:trPr>
        <w:tc>
          <w:tcPr>
            <w:tcW w:w="6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Stock repurchase program</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(98)</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(97)</w:t>
            </w:r>
          </w:p>
        </w:tc>
      </w:tr>
      <w:tr>
        <w:trPr>
          <w:trHeight w:val="211"/>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1,812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r>
      <w:tr>
        <w:trPr>
          <w:trHeight w:val="214"/>
        </w:trPr>
        <w:tc>
          <w:tcPr>
            <w:tcW w:w="6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(1,368)</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w:t>
            </w:r>
          </w:p>
        </w:tc>
      </w:tr>
      <w:tr>
        <w:trPr>
          <w:trHeight w:val="211"/>
        </w:trPr>
        <w:tc>
          <w:tcPr>
            <w:tcW w:w="6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decrease in short-term borrowings</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(105)</w:t>
            </w:r>
          </w:p>
        </w:tc>
      </w:tr>
      <w:tr>
        <w:trPr>
          <w:trHeight w:val="214"/>
        </w:trPr>
        <w:tc>
          <w:tcPr>
            <w:tcW w:w="65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18"/>
                <w:szCs w:val="18"/>
                <w:color w:val="auto"/>
              </w:rPr>
            </w:pPr>
          </w:p>
        </w:tc>
      </w:tr>
      <w:tr>
        <w:trPr>
          <w:trHeight w:val="205"/>
        </w:trPr>
        <w:tc>
          <w:tcPr>
            <w:tcW w:w="6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360" w:type="dxa"/>
            <w:vAlign w:val="bottom"/>
            <w:tcBorders>
              <w:bottom w:val="single" w:sz="8" w:color="CFF0FC"/>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(297)</w:t>
            </w:r>
          </w:p>
        </w:tc>
        <w:tc>
          <w:tcPr>
            <w:tcW w:w="3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tcBorders>
              <w:bottom w:val="single" w:sz="8" w:color="CFF0FC"/>
            </w:tcBorders>
          </w:tcPr>
          <w:p>
            <w:pPr>
              <w:spacing w:after="0"/>
              <w:rPr>
                <w:sz w:val="17"/>
                <w:szCs w:val="17"/>
                <w:color w:val="auto"/>
              </w:rPr>
            </w:pPr>
          </w:p>
        </w:tc>
      </w:tr>
      <w:tr>
        <w:trPr>
          <w:trHeight w:val="207"/>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increase in cash before translation effect</w:t>
            </w:r>
          </w:p>
        </w:tc>
        <w:tc>
          <w:tcPr>
            <w:tcW w:w="13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(201)</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FF0FC"/>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Translation effect on cash</w:t>
            </w: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r>
      <w:tr>
        <w:trPr>
          <w:trHeight w:val="215"/>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beginning of period</w:t>
            </w:r>
          </w:p>
        </w:tc>
        <w:tc>
          <w:tcPr>
            <w:tcW w:w="136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1,433</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00" w:type="dxa"/>
            <w:vAlign w:val="bottom"/>
            <w:shd w:val="clear" w:color="auto" w:fill="CFF0FC"/>
          </w:tcPr>
          <w:p>
            <w:pPr>
              <w:spacing w:after="0"/>
              <w:rPr>
                <w:sz w:val="18"/>
                <w:szCs w:val="18"/>
                <w:color w:val="auto"/>
              </w:rPr>
            </w:pPr>
          </w:p>
        </w:tc>
      </w:tr>
      <w:tr>
        <w:trPr>
          <w:trHeight w:val="205"/>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Cash, end of period</w:t>
            </w:r>
          </w:p>
        </w:tc>
        <w:tc>
          <w:tcPr>
            <w:tcW w:w="1360" w:type="dxa"/>
            <w:vAlign w:val="bottom"/>
          </w:tcPr>
          <w:p>
            <w:pPr>
              <w:spacing w:after="0"/>
              <w:rPr>
                <w:sz w:val="17"/>
                <w:szCs w:val="17"/>
                <w:color w:val="auto"/>
              </w:rPr>
            </w:pPr>
          </w:p>
        </w:tc>
        <w:tc>
          <w:tcPr>
            <w:tcW w:w="104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1,230</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1,865</w:t>
            </w:r>
          </w:p>
        </w:tc>
        <w:tc>
          <w:tcPr>
            <w:tcW w:w="100" w:type="dxa"/>
            <w:vAlign w:val="bottom"/>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2" w:lineRule="exact"/>
        <w:rPr>
          <w:sz w:val="20"/>
          <w:szCs w:val="20"/>
          <w:color w:val="auto"/>
        </w:rPr>
      </w:pPr>
    </w:p>
    <w:p>
      <w:pPr>
        <w:ind w:left="280" w:hanging="194"/>
        <w:spacing w:after="0"/>
        <w:tabs>
          <w:tab w:leader="none" w:pos="280"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Includes depreciation of property, plant and equipment and amortization of intangible assets, multiclient seismic data costs and SPM investments.</w:t>
      </w:r>
    </w:p>
    <w:p>
      <w:pPr>
        <w:spacing w:after="0" w:line="22" w:lineRule="exact"/>
        <w:rPr>
          <w:rFonts w:ascii="Times New Roman" w:cs="Times New Roman" w:eastAsia="Times New Roman" w:hAnsi="Times New Roman"/>
          <w:sz w:val="23"/>
          <w:szCs w:val="23"/>
          <w:color w:val="auto"/>
          <w:vertAlign w:val="superscript"/>
        </w:rPr>
      </w:pPr>
    </w:p>
    <w:p>
      <w:pPr>
        <w:ind w:left="280" w:hanging="194"/>
        <w:spacing w:after="0" w:line="180" w:lineRule="auto"/>
        <w:tabs>
          <w:tab w:leader="none" w:pos="280" w:val="left"/>
        </w:tabs>
        <w:numPr>
          <w:ilvl w:val="0"/>
          <w:numId w:val="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Net of the effect of business acquisitions.</w:t>
      </w:r>
    </w:p>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69850</wp:posOffset>
            </wp:positionV>
            <wp:extent cx="729107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00"/>
          </w:cols>
          <w:pgMar w:left="160" w:top="358" w:right="239" w:bottom="1440" w:gutter="0" w:footer="0" w:header="0"/>
        </w:sectPr>
      </w:pPr>
    </w:p>
    <w:bookmarkStart w:id="6" w:name="page7"/>
    <w:bookmarkEnd w:id="6"/>
    <w:p>
      <w:pPr>
        <w:ind w:left="368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 OF STOCKHOLDERS’ EQUITY</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6"/>
          </w:tcPr>
          <w:p>
            <w:pPr>
              <w:ind w:left="4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292"/>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9"/>
        </w:trPr>
        <w:tc>
          <w:tcPr>
            <w:tcW w:w="3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380"/>
              <w:spacing w:after="0" w:line="15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8"/>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4"/>
                <w:szCs w:val="14"/>
                <w:color w:val="auto"/>
              </w:rPr>
            </w:pPr>
          </w:p>
        </w:tc>
        <w:tc>
          <w:tcPr>
            <w:tcW w:w="12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4"/>
                <w:szCs w:val="14"/>
                <w:color w:val="auto"/>
              </w:rPr>
            </w:pPr>
          </w:p>
        </w:tc>
        <w:tc>
          <w:tcPr>
            <w:tcW w:w="12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386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January 1, 2019 – March 31, 2019</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right"/>
              <w:ind w:right="580"/>
              <w:spacing w:after="0" w:line="153" w:lineRule="exact"/>
              <w:rPr>
                <w:sz w:val="20"/>
                <w:szCs w:val="20"/>
                <w:color w:val="auto"/>
              </w:rPr>
            </w:pPr>
            <w:r>
              <w:rPr>
                <w:rFonts w:ascii="Times New Roman" w:cs="Times New Roman" w:eastAsia="Times New Roman" w:hAnsi="Times New Roman"/>
                <w:sz w:val="14"/>
                <w:szCs w:val="14"/>
                <w:b w:val="1"/>
                <w:bCs w:val="1"/>
                <w:color w:val="auto"/>
              </w:rPr>
              <w:t>Issued</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109"/>
              <w:spacing w:after="0" w:line="153"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460"/>
              <w:spacing w:after="0" w:line="153"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380"/>
              <w:spacing w:after="0" w:line="153" w:lineRule="exact"/>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480"/>
              <w:spacing w:after="0" w:line="153"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420"/>
              <w:spacing w:after="0" w:line="153"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53"/>
        </w:trPr>
        <w:tc>
          <w:tcPr>
            <w:tcW w:w="3860" w:type="dxa"/>
            <w:vAlign w:val="bottom"/>
            <w:tcBorders>
              <w:top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Balance, January 1, 2019</w:t>
            </w:r>
          </w:p>
        </w:tc>
        <w:tc>
          <w:tcPr>
            <w:tcW w:w="220" w:type="dxa"/>
            <w:vAlign w:val="bottom"/>
            <w:tcBorders>
              <w:top w:val="single" w:sz="8" w:color="auto"/>
            </w:tcBorders>
            <w:gridSpan w:val="2"/>
            <w:shd w:val="clear" w:color="auto" w:fill="CFF0FC"/>
          </w:tcPr>
          <w:p>
            <w:pPr>
              <w:jc w:val="right"/>
              <w:ind w:right="6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13,132</w:t>
            </w:r>
          </w:p>
        </w:tc>
        <w:tc>
          <w:tcPr>
            <w:tcW w:w="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(4,006)</w:t>
            </w:r>
          </w:p>
        </w:tc>
        <w:tc>
          <w:tcPr>
            <w:tcW w:w="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gridSpan w:val="2"/>
            <w:shd w:val="clear" w:color="auto" w:fill="CFF0FC"/>
          </w:tcPr>
          <w:p>
            <w:pPr>
              <w:jc w:val="right"/>
              <w:ind w:right="64"/>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31,658</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gridSpan w:val="2"/>
            <w:shd w:val="clear" w:color="auto" w:fill="CFF0FC"/>
          </w:tcPr>
          <w:p>
            <w:pPr>
              <w:jc w:val="right"/>
              <w:ind w:right="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(4,622)</w:t>
            </w: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424</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36,586</w:t>
            </w:r>
          </w:p>
        </w:tc>
        <w:tc>
          <w:tcPr>
            <w:tcW w:w="20" w:type="dxa"/>
            <w:vAlign w:val="bottom"/>
            <w:tcBorders>
              <w:top w:val="single" w:sz="8" w:color="CFF0FC"/>
            </w:tcBorders>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421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430</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Currency translation adjustments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77</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Changes in fair value of cash flow hedges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Pension and other postretirement benefit plans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21</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Shares sold to optionees, less shares exchanged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(25)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(100)</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100</w:t>
            </w: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right"/>
              <w:ind w:right="200"/>
              <w:spacing w:after="0" w:line="159" w:lineRule="exact"/>
              <w:rPr>
                <w:sz w:val="20"/>
                <w:szCs w:val="20"/>
                <w:color w:val="auto"/>
              </w:rPr>
            </w:pPr>
            <w:r>
              <w:rPr>
                <w:rFonts w:ascii="Times New Roman" w:cs="Times New Roman" w:eastAsia="Times New Roman" w:hAnsi="Times New Roman"/>
                <w:sz w:val="14"/>
                <w:szCs w:val="14"/>
                <w:color w:val="auto"/>
              </w:rPr>
              <w:t>(115)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200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85</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Stock repurchase program</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(98)</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(98</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108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108</w:t>
            </w: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Dividends declared ($0.50 per share)</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(693)</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(693</w:t>
            </w: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Other</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3"/>
                <w:szCs w:val="13"/>
                <w:color w:val="auto"/>
              </w:rPr>
            </w:pPr>
          </w:p>
        </w:tc>
      </w:tr>
      <w:tr>
        <w:trPr>
          <w:trHeight w:val="153"/>
        </w:trPr>
        <w:tc>
          <w:tcPr>
            <w:tcW w:w="3860" w:type="dxa"/>
            <w:vAlign w:val="bottom"/>
            <w:tcBorders>
              <w:top w:val="single" w:sz="8" w:color="CFF0FC"/>
              <w:bottom w:val="single" w:sz="8" w:color="CFF0FC"/>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Balance, March 31, 2019</w:t>
            </w:r>
          </w:p>
        </w:tc>
        <w:tc>
          <w:tcPr>
            <w:tcW w:w="220" w:type="dxa"/>
            <w:vAlign w:val="bottom"/>
            <w:tcBorders>
              <w:top w:val="single" w:sz="8" w:color="auto"/>
              <w:bottom w:val="single" w:sz="8" w:color="auto"/>
            </w:tcBorders>
            <w:gridSpan w:val="2"/>
            <w:shd w:val="clear" w:color="auto" w:fill="CFF0FC"/>
          </w:tcPr>
          <w:p>
            <w:pPr>
              <w:jc w:val="right"/>
              <w:ind w:right="6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13,000</w:t>
            </w: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(3,756)</w:t>
            </w: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gridSpan w:val="2"/>
            <w:shd w:val="clear" w:color="auto" w:fill="CFF0FC"/>
          </w:tcPr>
          <w:p>
            <w:pPr>
              <w:jc w:val="right"/>
              <w:ind w:right="64"/>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31,386</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gridSpan w:val="2"/>
            <w:shd w:val="clear" w:color="auto" w:fill="CFF0FC"/>
          </w:tcPr>
          <w:p>
            <w:pPr>
              <w:jc w:val="right"/>
              <w:ind w:right="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(4,527)</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421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36,524</w:t>
            </w: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1"/>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w w:val="98"/>
              </w:rPr>
              <w:t>(Stated in million</w:t>
            </w:r>
          </w:p>
        </w:tc>
      </w:tr>
      <w:tr>
        <w:trPr>
          <w:trHeight w:val="292"/>
        </w:trPr>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9"/>
        </w:trPr>
        <w:tc>
          <w:tcPr>
            <w:tcW w:w="3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8"/>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3860" w:type="dxa"/>
            <w:vAlign w:val="bottom"/>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January 1, 2018 – March 31, 2018</w:t>
            </w: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right"/>
              <w:ind w:right="560"/>
              <w:spacing w:after="0" w:line="153" w:lineRule="exact"/>
              <w:rPr>
                <w:sz w:val="20"/>
                <w:szCs w:val="20"/>
                <w:color w:val="auto"/>
              </w:rPr>
            </w:pPr>
            <w:r>
              <w:rPr>
                <w:rFonts w:ascii="Times New Roman" w:cs="Times New Roman" w:eastAsia="Times New Roman" w:hAnsi="Times New Roman"/>
                <w:sz w:val="14"/>
                <w:szCs w:val="14"/>
                <w:b w:val="1"/>
                <w:bCs w:val="1"/>
                <w:color w:val="auto"/>
              </w:rPr>
              <w:t>Issued</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180"/>
              <w:spacing w:after="0" w:line="153" w:lineRule="exact"/>
              <w:rPr>
                <w:sz w:val="20"/>
                <w:szCs w:val="20"/>
                <w:color w:val="auto"/>
              </w:rPr>
            </w:pPr>
            <w:r>
              <w:rPr>
                <w:rFonts w:ascii="Times New Roman" w:cs="Times New Roman" w:eastAsia="Times New Roman" w:hAnsi="Times New Roman"/>
                <w:sz w:val="14"/>
                <w:szCs w:val="14"/>
                <w:b w:val="1"/>
                <w:bCs w:val="1"/>
                <w:color w:val="auto"/>
              </w:rPr>
              <w:t>In Treasury</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400"/>
              <w:spacing w:after="0" w:line="153"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right"/>
              <w:ind w:right="380"/>
              <w:spacing w:after="0" w:line="153"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300"/>
              <w:spacing w:after="0" w:line="153"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53"/>
        </w:trPr>
        <w:tc>
          <w:tcPr>
            <w:tcW w:w="3860" w:type="dxa"/>
            <w:vAlign w:val="bottom"/>
            <w:tcBorders>
              <w:top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Balance, January 1, 2018</w:t>
            </w:r>
          </w:p>
        </w:tc>
        <w:tc>
          <w:tcPr>
            <w:tcW w:w="220" w:type="dxa"/>
            <w:vAlign w:val="bottom"/>
            <w:tcBorders>
              <w:top w:val="single" w:sz="8" w:color="auto"/>
            </w:tcBorders>
            <w:gridSpan w:val="2"/>
            <w:shd w:val="clear" w:color="auto" w:fill="CFF0FC"/>
          </w:tcPr>
          <w:p>
            <w:pPr>
              <w:jc w:val="right"/>
              <w:ind w:right="49"/>
              <w:spacing w:after="0" w:line="153"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12,975</w:t>
            </w:r>
          </w:p>
        </w:tc>
        <w:tc>
          <w:tcPr>
            <w:tcW w:w="22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(4,049)</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gridSpan w:val="2"/>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gridSpan w:val="2"/>
            <w:shd w:val="clear" w:color="auto" w:fill="CFF0FC"/>
          </w:tcPr>
          <w:p>
            <w:pPr>
              <w:jc w:val="right"/>
              <w:ind w:right="20"/>
              <w:spacing w:after="0" w:line="153" w:lineRule="exact"/>
              <w:rPr>
                <w:sz w:val="20"/>
                <w:szCs w:val="20"/>
                <w:color w:val="auto"/>
              </w:rPr>
            </w:pPr>
            <w:r>
              <w:rPr>
                <w:rFonts w:ascii="Times New Roman" w:cs="Times New Roman" w:eastAsia="Times New Roman" w:hAnsi="Times New Roman"/>
                <w:sz w:val="14"/>
                <w:szCs w:val="14"/>
                <w:color w:val="auto"/>
              </w:rPr>
              <w:t>32,190</w:t>
            </w: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gridSpan w:val="2"/>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(4,274)</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gridSpan w:val="2"/>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419</w:t>
            </w: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CFF0FC"/>
            </w:tcBorders>
            <w:gridSpan w:val="3"/>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gridSpan w:val="2"/>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37,26</w:t>
            </w: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income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525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53</w:t>
            </w: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Currency translation adjustments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w:t>
            </w: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Changes in unrealized gain on marketable securities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1</w:t>
            </w: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Changes in fair value of cash flow hedges</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Pension and other postretirement benefit plans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5</w:t>
            </w: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Shares sold to optionees, less shares exchanged</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(20)</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w:t>
            </w: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(29)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Shares issued under employee stock purchase plan</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3"/>
            <w:shd w:val="clear" w:color="auto" w:fill="CFF0FC"/>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(33)</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140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10</w:t>
            </w: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Stock repurchase program</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(9</w:t>
            </w: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90</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9</w:t>
            </w:r>
          </w:p>
        </w:tc>
      </w:tr>
      <w:tr>
        <w:trPr>
          <w:trHeight w:val="159"/>
        </w:trPr>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Dividends declared ($0.50 per share)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(693)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(69</w:t>
            </w:r>
          </w:p>
        </w:tc>
      </w:tr>
      <w:tr>
        <w:trPr>
          <w:trHeight w:val="159"/>
        </w:trPr>
        <w:tc>
          <w:tcPr>
            <w:tcW w:w="38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Other</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15</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00" w:type="dxa"/>
            <w:vAlign w:val="bottom"/>
            <w:gridSpan w:val="3"/>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(22)</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r>
      <w:tr>
        <w:trPr>
          <w:trHeight w:val="153"/>
        </w:trPr>
        <w:tc>
          <w:tcPr>
            <w:tcW w:w="38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Balance, March 31, 2018</w:t>
            </w:r>
          </w:p>
        </w:tc>
        <w:tc>
          <w:tcPr>
            <w:tcW w:w="20" w:type="dxa"/>
            <w:vAlign w:val="bottom"/>
          </w:tcPr>
          <w:p>
            <w:pPr>
              <w:spacing w:after="0"/>
              <w:rPr>
                <w:sz w:val="13"/>
                <w:szCs w:val="13"/>
                <w:color w:val="auto"/>
              </w:rPr>
            </w:pPr>
          </w:p>
        </w:tc>
        <w:tc>
          <w:tcPr>
            <w:tcW w:w="200" w:type="dxa"/>
            <w:vAlign w:val="bottom"/>
            <w:tcBorders>
              <w:top w:val="single" w:sz="8" w:color="auto"/>
            </w:tcBorders>
          </w:tcPr>
          <w:p>
            <w:pPr>
              <w:jc w:val="right"/>
              <w:ind w:right="4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12,998</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(3,937)</w:t>
            </w:r>
          </w:p>
        </w:tc>
        <w:tc>
          <w:tcPr>
            <w:tcW w:w="1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gridSpan w:val="2"/>
          </w:tcPr>
          <w:p>
            <w:pPr>
              <w:jc w:val="right"/>
              <w:ind w:right="20"/>
              <w:spacing w:after="0" w:line="153" w:lineRule="exact"/>
              <w:rPr>
                <w:sz w:val="20"/>
                <w:szCs w:val="20"/>
                <w:color w:val="auto"/>
              </w:rPr>
            </w:pPr>
            <w:r>
              <w:rPr>
                <w:rFonts w:ascii="Times New Roman" w:cs="Times New Roman" w:eastAsia="Times New Roman" w:hAnsi="Times New Roman"/>
                <w:sz w:val="14"/>
                <w:szCs w:val="14"/>
                <w:color w:val="auto"/>
              </w:rPr>
              <w:t>32,022</w:t>
            </w:r>
          </w:p>
        </w:tc>
        <w:tc>
          <w:tcPr>
            <w:tcW w:w="1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tcBorders>
              <w:top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(4,159)</w:t>
            </w:r>
          </w:p>
        </w:tc>
        <w:tc>
          <w:tcPr>
            <w:tcW w:w="1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402</w:t>
            </w:r>
          </w:p>
        </w:tc>
        <w:tc>
          <w:tcPr>
            <w:tcW w:w="10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16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auto"/>
              </w:rPr>
              <w:t>37,32</w:t>
            </w:r>
          </w:p>
        </w:tc>
      </w:tr>
      <w:tr>
        <w:trPr>
          <w:trHeight w:val="20"/>
        </w:trPr>
        <w:tc>
          <w:tcPr>
            <w:tcW w:w="3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SHARES OF COMMON STOCK</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363"/>
        </w:trPr>
        <w:tc>
          <w:tcPr>
            <w:tcW w:w="6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33"/>
        </w:trPr>
        <w:tc>
          <w:tcPr>
            <w:tcW w:w="6720" w:type="dxa"/>
            <w:vAlign w:val="bottom"/>
          </w:tcPr>
          <w:p>
            <w:pPr>
              <w:spacing w:after="0"/>
              <w:rPr>
                <w:sz w:val="20"/>
                <w:szCs w:val="20"/>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In Treasury</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19"/>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1, 2019</w:t>
            </w:r>
          </w:p>
        </w:tc>
        <w:tc>
          <w:tcPr>
            <w:tcW w:w="9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1,434</w:t>
            </w:r>
          </w:p>
        </w:tc>
        <w:tc>
          <w:tcPr>
            <w:tcW w:w="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r>
      <w:tr>
        <w:trPr>
          <w:trHeight w:val="226"/>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issued under employee stock purchase plan</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9"/>
                <w:szCs w:val="19"/>
                <w:color w:val="auto"/>
              </w:rPr>
            </w:pPr>
          </w:p>
        </w:tc>
      </w:tr>
      <w:tr>
        <w:trPr>
          <w:trHeight w:val="22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repurchase program</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6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1,434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3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520"/>
          </w:cols>
          <w:pgMar w:left="240" w:top="358" w:right="139" w:bottom="1440" w:gutter="0" w:footer="0" w:header="0"/>
        </w:sectPr>
      </w:pPr>
    </w:p>
    <w:bookmarkStart w:id="7" w:name="page8"/>
    <w:bookmarkEnd w:id="7"/>
    <w:p>
      <w:pPr>
        <w:ind w:left="3680"/>
        <w:spacing w:after="0"/>
        <w:rPr>
          <w:sz w:val="20"/>
          <w:szCs w:val="20"/>
          <w:color w:val="auto"/>
        </w:rPr>
      </w:pPr>
      <w:r>
        <w:rPr>
          <w:rFonts w:ascii="Times New Roman" w:cs="Times New Roman" w:eastAsia="Times New Roman" w:hAnsi="Times New Roman"/>
          <w:sz w:val="18"/>
          <w:szCs w:val="18"/>
          <w:b w:val="1"/>
          <w:bCs w:val="1"/>
          <w:u w:val="single" w:color="auto"/>
          <w:color w:val="auto"/>
        </w:rPr>
        <w:t>SCHLUMBERGER LIMITED AND SUBSIDIARIES</w:t>
      </w:r>
    </w:p>
    <w:p>
      <w:pPr>
        <w:spacing w:after="0" w:line="11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7" w:lineRule="exact"/>
        <w:rPr>
          <w:sz w:val="20"/>
          <w:szCs w:val="20"/>
          <w:color w:val="auto"/>
        </w:rPr>
      </w:pPr>
    </w:p>
    <w:p>
      <w:pPr>
        <w:ind w:left="320" w:hanging="314"/>
        <w:spacing w:after="0"/>
        <w:tabs>
          <w:tab w:leader="none" w:pos="3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11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three-month period ended March 31, 2019 are not necessarily indicative of the results that may be expected for the full year ending December 31, 2019. The December 31, 2018 balance sheet information has been derived from the Schlumberger 2018 audited financial statements. For further information, refer to the </w:t>
      </w:r>
      <w:r>
        <w:rPr>
          <w:rFonts w:ascii="Times New Roman" w:cs="Times New Roman" w:eastAsia="Times New Roman" w:hAnsi="Times New Roman"/>
          <w:sz w:val="18"/>
          <w:szCs w:val="18"/>
          <w:i w:val="1"/>
          <w:iCs w:val="1"/>
          <w:color w:val="auto"/>
        </w:rPr>
        <w:t xml:space="preserve">Consolidated Financial Statements </w:t>
      </w:r>
      <w:r>
        <w:rPr>
          <w:rFonts w:ascii="Times New Roman" w:cs="Times New Roman" w:eastAsia="Times New Roman" w:hAnsi="Times New Roman"/>
          <w:sz w:val="18"/>
          <w:szCs w:val="18"/>
          <w:color w:val="auto"/>
        </w:rPr>
        <w:t>and notes thereto included in the Schlumberger Annual Report on Form 10-K for the year ended December 31, 2018,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Securities and Exchange Commission on January 23, 2019.</w:t>
      </w:r>
    </w:p>
    <w:p>
      <w:pPr>
        <w:spacing w:after="0" w:line="293" w:lineRule="exact"/>
        <w:rPr>
          <w:sz w:val="20"/>
          <w:szCs w:val="20"/>
          <w:color w:val="auto"/>
        </w:rPr>
      </w:pPr>
    </w:p>
    <w:p>
      <w:pPr>
        <w:ind w:left="280" w:hanging="274"/>
        <w:spacing w:after="0"/>
        <w:tabs>
          <w:tab w:leader="none" w:pos="2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from basic earnings per share of Schlumberger to diluted earnings per share of Schlumberger:</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6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r>
      <w:tr>
        <w:trPr>
          <w:trHeight w:val="42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left="137"/>
              <w:spacing w:after="0"/>
              <w:rPr>
                <w:sz w:val="20"/>
                <w:szCs w:val="20"/>
                <w:color w:val="auto"/>
              </w:rPr>
            </w:pPr>
            <w:r>
              <w:rPr>
                <w:rFonts w:ascii="Times New Roman" w:cs="Times New Roman" w:eastAsia="Times New Roman" w:hAnsi="Times New Roman"/>
                <w:sz w:val="16"/>
                <w:szCs w:val="16"/>
                <w:color w:val="auto"/>
                <w:w w:val="99"/>
              </w:rPr>
              <w:t>2018</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Average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Schlumberger</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8"/>
              </w:rPr>
              <w:t>Earnings per</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6"/>
                <w:szCs w:val="16"/>
                <w:color w:val="auto"/>
              </w:rPr>
              <w:t>Schlumberger</w:t>
            </w:r>
          </w:p>
        </w:tc>
        <w:tc>
          <w:tcPr>
            <w:tcW w:w="2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Shares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Earnings per</w:t>
            </w:r>
          </w:p>
        </w:tc>
      </w:tr>
      <w:tr>
        <w:trPr>
          <w:trHeight w:val="213"/>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Net Income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Outstanding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Share</w:t>
            </w:r>
          </w:p>
        </w:tc>
      </w:tr>
      <w:tr>
        <w:trPr>
          <w:trHeight w:val="202"/>
        </w:trPr>
        <w:tc>
          <w:tcPr>
            <w:tcW w:w="20" w:type="dxa"/>
            <w:vAlign w:val="bottom"/>
          </w:tcPr>
          <w:p>
            <w:pPr>
              <w:spacing w:after="0"/>
              <w:rPr>
                <w:sz w:val="17"/>
                <w:szCs w:val="17"/>
                <w:color w:val="auto"/>
              </w:rPr>
            </w:pPr>
          </w:p>
        </w:tc>
        <w:tc>
          <w:tcPr>
            <w:tcW w:w="2820" w:type="dxa"/>
            <w:vAlign w:val="bottom"/>
            <w:tcBorders>
              <w:top w:val="single" w:sz="8" w:color="CFF0FC"/>
            </w:tcBorders>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First Quarter</w:t>
            </w:r>
          </w:p>
        </w:tc>
        <w:tc>
          <w:tcPr>
            <w:tcW w:w="4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66"/>
        </w:trPr>
        <w:tc>
          <w:tcPr>
            <w:tcW w:w="2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w:t>
            </w:r>
          </w:p>
        </w:tc>
        <w:tc>
          <w:tcPr>
            <w:tcW w:w="1820" w:type="dxa"/>
            <w:vAlign w:val="bottom"/>
            <w:tcBorders>
              <w:top w:val="single" w:sz="8" w:color="CFF0FC"/>
            </w:tcBorders>
          </w:tcPr>
          <w:p>
            <w:pPr>
              <w:spacing w:after="0"/>
              <w:rPr>
                <w:sz w:val="23"/>
                <w:szCs w:val="23"/>
                <w:color w:val="auto"/>
              </w:rPr>
            </w:pPr>
          </w:p>
        </w:tc>
        <w:tc>
          <w:tcPr>
            <w:tcW w:w="5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240" w:type="dxa"/>
            <w:vAlign w:val="bottom"/>
            <w:tcBorders>
              <w:top w:val="single" w:sz="8" w:color="CFF0FC"/>
            </w:tcBorders>
          </w:tcPr>
          <w:p>
            <w:pPr>
              <w:spacing w:after="0"/>
              <w:rPr>
                <w:sz w:val="23"/>
                <w:szCs w:val="23"/>
                <w:color w:val="auto"/>
              </w:rPr>
            </w:pPr>
          </w:p>
        </w:tc>
        <w:tc>
          <w:tcPr>
            <w:tcW w:w="1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1,385</w:t>
            </w:r>
          </w:p>
        </w:tc>
        <w:tc>
          <w:tcPr>
            <w:tcW w:w="340" w:type="dxa"/>
            <w:vAlign w:val="bottom"/>
            <w:tcBorders>
              <w:top w:val="single" w:sz="8" w:color="CFF0FC"/>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0.30</w:t>
            </w:r>
          </w:p>
        </w:tc>
        <w:tc>
          <w:tcPr>
            <w:tcW w:w="3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3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36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top w:val="single" w:sz="8" w:color="CFF0FC"/>
            </w:tcBorders>
          </w:tcPr>
          <w:p>
            <w:pPr>
              <w:spacing w:after="0"/>
              <w:rPr>
                <w:sz w:val="23"/>
                <w:szCs w:val="23"/>
                <w:color w:val="auto"/>
              </w:rPr>
            </w:pPr>
          </w:p>
        </w:tc>
      </w:tr>
      <w:tr>
        <w:trPr>
          <w:trHeight w:val="206"/>
        </w:trPr>
        <w:tc>
          <w:tcPr>
            <w:tcW w:w="20" w:type="dxa"/>
            <w:vAlign w:val="bottom"/>
          </w:tcPr>
          <w:p>
            <w:pPr>
              <w:spacing w:after="0"/>
              <w:rPr>
                <w:sz w:val="17"/>
                <w:szCs w:val="17"/>
                <w:color w:val="auto"/>
              </w:rPr>
            </w:pPr>
          </w:p>
        </w:tc>
        <w:tc>
          <w:tcPr>
            <w:tcW w:w="2820" w:type="dxa"/>
            <w:vAlign w:val="bottom"/>
            <w:tcBorders>
              <w:top w:val="single" w:sz="8" w:color="CFF0FC"/>
            </w:tcBorders>
            <w:gridSpan w:val="2"/>
            <w:shd w:val="clear" w:color="auto" w:fill="CFF0FC"/>
          </w:tcPr>
          <w:p>
            <w:pPr>
              <w:spacing w:after="0" w:line="206" w:lineRule="exact"/>
              <w:rPr>
                <w:sz w:val="20"/>
                <w:szCs w:val="20"/>
                <w:color w:val="auto"/>
              </w:rPr>
            </w:pPr>
            <w:r>
              <w:rPr>
                <w:rFonts w:ascii="Times New Roman" w:cs="Times New Roman" w:eastAsia="Times New Roman" w:hAnsi="Times New Roman"/>
                <w:sz w:val="18"/>
                <w:szCs w:val="18"/>
                <w:color w:val="auto"/>
              </w:rPr>
              <w:t>Assumed exercise of stock options</w:t>
            </w:r>
          </w:p>
        </w:tc>
        <w:tc>
          <w:tcPr>
            <w:tcW w:w="4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CFF0FC"/>
            </w:tcBorders>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CFF0FC"/>
            </w:tcBorders>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FF0FC"/>
            </w:tcBorders>
            <w:gridSpan w:val="2"/>
            <w:shd w:val="clear" w:color="auto" w:fill="CFF0FC"/>
          </w:tcPr>
          <w:p>
            <w:pPr>
              <w:jc w:val="right"/>
              <w:spacing w:after="0" w:line="206" w:lineRule="exact"/>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2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1,397</w:t>
            </w:r>
          </w:p>
        </w:tc>
        <w:tc>
          <w:tcPr>
            <w:tcW w:w="340" w:type="dxa"/>
            <w:vAlign w:val="bottom"/>
            <w:tcBorders>
              <w:top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0.30</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360" w:type="dxa"/>
            <w:vAlign w:val="bottom"/>
            <w:tcBorders>
              <w:top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top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8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01"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number of outstanding options to purchase shares of Schlumberger common stock that were not included in the computation of diluted earnings per share, because to do so would have had an antidilutive effect,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9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jc w:val="right"/>
              <w:ind w:right="557"/>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4"/>
                <w:szCs w:val="24"/>
                <w:color w:val="auto"/>
              </w:rPr>
            </w:pPr>
          </w:p>
        </w:tc>
      </w:tr>
      <w:tr>
        <w:trPr>
          <w:trHeight w:val="219"/>
        </w:trPr>
        <w:tc>
          <w:tcPr>
            <w:tcW w:w="7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1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6" w:lineRule="exact"/>
        <w:rPr>
          <w:sz w:val="20"/>
          <w:szCs w:val="20"/>
          <w:color w:val="auto"/>
        </w:rPr>
      </w:pPr>
    </w:p>
    <w:p>
      <w:pPr>
        <w:ind w:left="280" w:hanging="274"/>
        <w:spacing w:after="0"/>
        <w:tabs>
          <w:tab w:leader="none" w:pos="2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Inventories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inventories, which are stated at the lower of average cost or net realizable value,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9"/>
        </w:trPr>
        <w:tc>
          <w:tcPr>
            <w:tcW w:w="39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 31,</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Dec.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960" w:type="dxa"/>
            <w:vAlign w:val="bottom"/>
          </w:tcPr>
          <w:p>
            <w:pPr>
              <w:spacing w:after="0"/>
              <w:rPr>
                <w:sz w:val="20"/>
                <w:szCs w:val="20"/>
                <w:color w:val="auto"/>
              </w:rPr>
            </w:pPr>
          </w:p>
        </w:tc>
        <w:tc>
          <w:tcPr>
            <w:tcW w:w="50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&amp; field materials</w:t>
            </w:r>
          </w:p>
        </w:tc>
        <w:tc>
          <w:tcPr>
            <w:tcW w:w="38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1,877</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3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86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1,798</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14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4,224</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860" w:type="dxa"/>
            <w:vAlign w:val="bottom"/>
            <w:vMerge w:val="restart"/>
          </w:tcPr>
          <w:p>
            <w:pPr>
              <w:jc w:val="right"/>
              <w:ind w:right="1971"/>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396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960" w:type="dxa"/>
            <w:vAlign w:val="bottom"/>
            <w:tcBorders>
              <w:bottom w:val="single" w:sz="8" w:color="9A9A9A"/>
            </w:tcBorders>
          </w:tcPr>
          <w:p>
            <w:pPr>
              <w:spacing w:after="0"/>
              <w:rPr>
                <w:sz w:val="9"/>
                <w:szCs w:val="9"/>
                <w:color w:val="auto"/>
              </w:rPr>
            </w:pPr>
          </w:p>
        </w:tc>
        <w:tc>
          <w:tcPr>
            <w:tcW w:w="38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58" w:right="219" w:bottom="1440" w:gutter="0" w:footer="0" w:header="0"/>
        </w:sectPr>
      </w:pPr>
    </w:p>
    <w:bookmarkStart w:id="8" w:name="page9"/>
    <w:bookmarkEnd w:id="8"/>
    <w:p>
      <w:pPr>
        <w:ind w:left="280" w:hanging="274"/>
        <w:spacing w:after="0"/>
        <w:tabs>
          <w:tab w:leader="none" w:pos="2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Fixed Assets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fixed assets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29"/>
        </w:trPr>
        <w:tc>
          <w:tcPr>
            <w:tcW w:w="7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 31,</w:t>
            </w: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Dec. 31,</w:t>
            </w:r>
          </w:p>
        </w:tc>
      </w:tr>
      <w:tr>
        <w:trPr>
          <w:trHeight w:val="233"/>
        </w:trPr>
        <w:tc>
          <w:tcPr>
            <w:tcW w:w="78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FF0FC"/>
            </w:tcBorders>
          </w:tcPr>
          <w:p>
            <w:pPr>
              <w:spacing w:after="0"/>
              <w:rPr>
                <w:sz w:val="20"/>
                <w:szCs w:val="20"/>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38,714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38,664</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27,181</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26,985</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11,533</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relating to fixed assets was $512 million and $523 million in the first quarter of 2019 and 2018, respectively.</w:t>
      </w:r>
    </w:p>
    <w:p>
      <w:pPr>
        <w:spacing w:after="0" w:line="323" w:lineRule="exact"/>
        <w:rPr>
          <w:sz w:val="20"/>
          <w:szCs w:val="20"/>
          <w:color w:val="auto"/>
        </w:rPr>
      </w:pPr>
    </w:p>
    <w:p>
      <w:pPr>
        <w:ind w:left="280" w:hanging="274"/>
        <w:spacing w:after="0"/>
        <w:tabs>
          <w:tab w:leader="none" w:pos="2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Multiclient Seismic Data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carrying amount of multiclient seismic data for the three months ended March 31, 2019 was as follows:</w:t>
      </w:r>
    </w:p>
    <w:p>
      <w:pPr>
        <w:spacing w:after="0" w:line="225"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4"/>
          <w:szCs w:val="14"/>
          <w:i w:val="1"/>
          <w:iCs w:val="1"/>
          <w:color w:val="auto"/>
        </w:rPr>
        <w:t>(Stated in millions)</w:t>
      </w:r>
    </w:p>
    <w:p>
      <w:pPr>
        <w:sectPr>
          <w:pgSz w:w="11900" w:h="16838" w:orient="portrait"/>
          <w:cols w:equalWidth="0" w:num="1">
            <w:col w:w="11420"/>
          </w:cols>
          <w:pgMar w:left="240" w:top="358" w:right="239" w:bottom="1440" w:gutter="0" w:footer="0" w:header="0"/>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248525" cy="143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8525" cy="1435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in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8525" cy="143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8525" cy="1435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Charged to expense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March 31, 2019</w:t>
      </w:r>
    </w:p>
    <w:p>
      <w:pPr>
        <w:spacing w:after="0" w:line="349" w:lineRule="exact"/>
        <w:rPr>
          <w:sz w:val="20"/>
          <w:szCs w:val="20"/>
          <w:color w:val="auto"/>
        </w:rPr>
      </w:pPr>
    </w:p>
    <w:p>
      <w:pPr>
        <w:ind w:left="280" w:hanging="274"/>
        <w:spacing w:after="0"/>
        <w:tabs>
          <w:tab w:leader="none" w:pos="2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Intangible Assets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gross book value, accumulated amortization and net book value of intangible assets were as follows: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1087" w:hanging="1087"/>
        <w:spacing w:after="0"/>
        <w:tabs>
          <w:tab w:leader="none" w:pos="108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601</w:t>
      </w:r>
    </w:p>
    <w:p>
      <w:pPr>
        <w:spacing w:after="0" w:line="24" w:lineRule="exact"/>
        <w:rPr>
          <w:rFonts w:ascii="Times New Roman" w:cs="Times New Roman" w:eastAsia="Times New Roman" w:hAnsi="Times New Roman"/>
          <w:sz w:val="18"/>
          <w:szCs w:val="18"/>
          <w:color w:val="auto"/>
        </w:rPr>
      </w:pPr>
    </w:p>
    <w:p>
      <w:pPr>
        <w:ind w:left="11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8693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6" w:lineRule="exact"/>
        <w:rPr>
          <w:sz w:val="20"/>
          <w:szCs w:val="20"/>
          <w:color w:val="auto"/>
        </w:rPr>
      </w:pPr>
    </w:p>
    <w:p>
      <w:pPr>
        <w:ind w:left="1087" w:hanging="1087"/>
        <w:spacing w:after="0"/>
        <w:tabs>
          <w:tab w:leader="none" w:pos="108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8693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93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32385</wp:posOffset>
            </wp:positionV>
            <wp:extent cx="8693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9315" cy="8255"/>
                    </a:xfrm>
                    <a:prstGeom prst="rect">
                      <a:avLst/>
                    </a:prstGeom>
                    <a:noFill/>
                  </pic:spPr>
                </pic:pic>
              </a:graphicData>
            </a:graphic>
          </wp:anchor>
        </w:drawing>
      </w:r>
    </w:p>
    <w:p>
      <w:pPr>
        <w:spacing w:after="0" w:line="1065" w:lineRule="exact"/>
        <w:rPr>
          <w:sz w:val="20"/>
          <w:szCs w:val="20"/>
          <w:color w:val="auto"/>
        </w:rPr>
      </w:pPr>
    </w:p>
    <w:p>
      <w:pPr>
        <w:sectPr>
          <w:pgSz w:w="11900" w:h="16838" w:orient="portrait"/>
          <w:cols w:equalWidth="0" w:num="2">
            <w:col w:w="9213" w:space="720"/>
            <w:col w:w="1487"/>
          </w:cols>
          <w:pgMar w:left="240" w:top="358" w:right="239" w:bottom="1440" w:gutter="0" w:footer="0" w:header="0"/>
          <w:type w:val="continuous"/>
        </w:sectPr>
      </w:pP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4"/>
        </w:trPr>
        <w:tc>
          <w:tcPr>
            <w:tcW w:w="3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w w:val="97"/>
              </w:rPr>
              <w:t>Mar. 31, 2019</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color w:val="auto"/>
              </w:rPr>
              <w:t>Dec. 31, 2018</w:t>
            </w: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3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8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Net Book</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6"/>
              </w:rPr>
              <w:t>Gross</w:t>
            </w:r>
          </w:p>
        </w:tc>
        <w:tc>
          <w:tcPr>
            <w:tcW w:w="100" w:type="dxa"/>
            <w:vAlign w:val="bottom"/>
          </w:tcPr>
          <w:p>
            <w:pPr>
              <w:spacing w:after="0"/>
              <w:rPr>
                <w:sz w:val="17"/>
                <w:szCs w:val="17"/>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6"/>
                <w:szCs w:val="16"/>
                <w:color w:val="auto"/>
              </w:rPr>
              <w:t>Accumulated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14"/>
              <w:spacing w:after="0"/>
              <w:rPr>
                <w:sz w:val="20"/>
                <w:szCs w:val="20"/>
                <w:color w:val="auto"/>
              </w:rPr>
            </w:pPr>
            <w:r>
              <w:rPr>
                <w:rFonts w:ascii="Times New Roman" w:cs="Times New Roman" w:eastAsia="Times New Roman" w:hAnsi="Times New Roman"/>
                <w:sz w:val="16"/>
                <w:szCs w:val="16"/>
                <w:color w:val="auto"/>
              </w:rPr>
              <w:t>Net Book</w:t>
            </w:r>
          </w:p>
        </w:tc>
        <w:tc>
          <w:tcPr>
            <w:tcW w:w="100" w:type="dxa"/>
            <w:vAlign w:val="bottom"/>
          </w:tcPr>
          <w:p>
            <w:pPr>
              <w:spacing w:after="0"/>
              <w:rPr>
                <w:sz w:val="17"/>
                <w:szCs w:val="17"/>
                <w:color w:val="auto"/>
              </w:rPr>
            </w:pPr>
          </w:p>
        </w:tc>
      </w:tr>
      <w:tr>
        <w:trPr>
          <w:trHeight w:val="239"/>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Book Value</w:t>
            </w:r>
          </w:p>
        </w:tc>
        <w:tc>
          <w:tcPr>
            <w:tcW w:w="8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w w:val="98"/>
              </w:rPr>
              <w:t>Book Value</w:t>
            </w:r>
          </w:p>
        </w:tc>
        <w:tc>
          <w:tcPr>
            <w:tcW w:w="100" w:type="dxa"/>
            <w:vAlign w:val="bottom"/>
          </w:tcPr>
          <w:p>
            <w:pPr>
              <w:spacing w:after="0"/>
              <w:rPr>
                <w:sz w:val="20"/>
                <w:szCs w:val="20"/>
                <w:color w:val="auto"/>
              </w:rPr>
            </w:pP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6"/>
                <w:szCs w:val="16"/>
                <w:color w:val="auto"/>
              </w:rPr>
              <w:t>Amortization</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Value</w:t>
            </w:r>
          </w:p>
        </w:tc>
      </w:tr>
      <w:tr>
        <w:trPr>
          <w:trHeight w:val="222"/>
        </w:trPr>
        <w:tc>
          <w:tcPr>
            <w:tcW w:w="3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4,772</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1,302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3,470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4,768</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Technology/technical know-how</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Pr>
          <w:p>
            <w:pPr>
              <w:spacing w:after="0"/>
              <w:rPr>
                <w:sz w:val="19"/>
                <w:szCs w:val="19"/>
                <w:color w:val="auto"/>
              </w:rPr>
            </w:pPr>
          </w:p>
        </w:tc>
      </w:tr>
      <w:tr>
        <w:trPr>
          <w:trHeight w:val="22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2,799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2,146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shd w:val="clear" w:color="auto" w:fill="CFF0FC"/>
          </w:tcPr>
          <w:p>
            <w:pPr>
              <w:spacing w:after="0"/>
              <w:rPr>
                <w:sz w:val="19"/>
                <w:szCs w:val="19"/>
                <w:color w:val="auto"/>
              </w:rPr>
            </w:pPr>
          </w:p>
        </w:tc>
      </w:tr>
      <w:tr>
        <w:trPr>
          <w:trHeight w:val="226"/>
        </w:trPr>
        <w:tc>
          <w:tcPr>
            <w:tcW w:w="3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1,428</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621</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807</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FF0FC"/>
            </w:tcBorders>
          </w:tcPr>
          <w:p>
            <w:pPr>
              <w:spacing w:after="0"/>
              <w:rPr>
                <w:sz w:val="19"/>
                <w:szCs w:val="19"/>
                <w:color w:val="auto"/>
              </w:rPr>
            </w:pPr>
          </w:p>
        </w:tc>
      </w:tr>
      <w:tr>
        <w:trPr>
          <w:trHeight w:val="219"/>
        </w:trPr>
        <w:tc>
          <w:tcPr>
            <w:tcW w:w="3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12,462</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3,851</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8,611</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12,465</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charged to income was $160 million during the first quarter of 2019 and $165 million during the first quarter of 2018.</w:t>
      </w:r>
    </w:p>
    <w:p>
      <w:pPr>
        <w:spacing w:after="0" w:line="258" w:lineRule="exact"/>
        <w:rPr>
          <w:sz w:val="20"/>
          <w:szCs w:val="20"/>
          <w:color w:val="auto"/>
        </w:rPr>
      </w:pPr>
    </w:p>
    <w:p>
      <w:pPr>
        <w:ind w:right="160"/>
        <w:spacing w:after="0" w:line="305" w:lineRule="auto"/>
        <w:rPr>
          <w:sz w:val="20"/>
          <w:szCs w:val="20"/>
          <w:color w:val="auto"/>
        </w:rPr>
      </w:pPr>
      <w:r>
        <w:rPr>
          <w:rFonts w:ascii="Times New Roman" w:cs="Times New Roman" w:eastAsia="Times New Roman" w:hAnsi="Times New Roman"/>
          <w:sz w:val="17"/>
          <w:szCs w:val="17"/>
          <w:color w:val="auto"/>
        </w:rPr>
        <w:t>Based on the net book value of intangible assets at March 31, 2019, amortization charged to income for the subsequent five years is estimated to be: remaining three quarters of 2019—$510 million; 2020—$657 million; 2021—$628 million; 2022—$622 million; 2023—$609 million; and 2024—$563 million.</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type w:val="continuous"/>
        </w:sectPr>
      </w:pPr>
    </w:p>
    <w:bookmarkStart w:id="9" w:name="page10"/>
    <w:bookmarkEnd w:id="9"/>
    <w:p>
      <w:pPr>
        <w:ind w:left="280" w:hanging="274"/>
        <w:spacing w:after="0"/>
        <w:tabs>
          <w:tab w:leader="none" w:pos="2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Long-term Debt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summary of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29"/>
        </w:trPr>
        <w:tc>
          <w:tcPr>
            <w:tcW w:w="4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 31,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Dec. 31,</w:t>
            </w:r>
          </w:p>
        </w:tc>
      </w:tr>
      <w:tr>
        <w:trPr>
          <w:trHeight w:val="233"/>
        </w:trPr>
        <w:tc>
          <w:tcPr>
            <w:tcW w:w="480" w:type="dxa"/>
            <w:vAlign w:val="bottom"/>
            <w:tcBorders>
              <w:bottom w:val="single" w:sz="8" w:color="CFF0FC"/>
            </w:tcBorders>
          </w:tcPr>
          <w:p>
            <w:pPr>
              <w:spacing w:after="0"/>
              <w:rPr>
                <w:sz w:val="20"/>
                <w:szCs w:val="20"/>
                <w:color w:val="auto"/>
              </w:rPr>
            </w:pPr>
          </w:p>
        </w:tc>
        <w:tc>
          <w:tcPr>
            <w:tcW w:w="73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FF0FC"/>
            </w:tcBorders>
          </w:tcPr>
          <w:p>
            <w:pPr>
              <w:spacing w:after="0"/>
              <w:rPr>
                <w:sz w:val="20"/>
                <w:szCs w:val="20"/>
                <w:color w:val="auto"/>
              </w:rPr>
            </w:pPr>
          </w:p>
        </w:tc>
      </w:tr>
      <w:tr>
        <w:trPr>
          <w:trHeight w:val="219"/>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4.00%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3.30%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2021</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3.00%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2020</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3.65%</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2023</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4.20%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2021</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2.40%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2022</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3.63%</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2022</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3.75%</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2024</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4.30%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1.00%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Guaranteed Notes due 2026</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2.65%</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Notes due 2022</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2.20%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2020</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7.00%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2038</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4.50%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2021</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5.95%</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2041</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3.60%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2022</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5.13%</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2043</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FF0FC"/>
          </w:tcPr>
          <w:p>
            <w:pPr>
              <w:spacing w:after="0"/>
              <w:rPr>
                <w:sz w:val="19"/>
                <w:szCs w:val="19"/>
                <w:color w:val="auto"/>
              </w:rPr>
            </w:pPr>
          </w:p>
        </w:tc>
      </w:tr>
      <w:tr>
        <w:trPr>
          <w:trHeight w:val="22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w w:val="98"/>
              </w:rPr>
              <w:t>4.00%</w:t>
            </w: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due 2023</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8"/>
              </w:rPr>
              <w:t>3.70%</w:t>
            </w:r>
          </w:p>
        </w:tc>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due 2024</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FF0FC"/>
          </w:tcPr>
          <w:p>
            <w:pPr>
              <w:spacing w:after="0"/>
              <w:rPr>
                <w:sz w:val="19"/>
                <w:szCs w:val="19"/>
                <w:color w:val="auto"/>
              </w:rPr>
            </w:pPr>
          </w:p>
        </w:tc>
      </w:tr>
      <w:tr>
        <w:trPr>
          <w:trHeight w:val="22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 borrowings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120" w:type="dxa"/>
            <w:vAlign w:val="bottom"/>
          </w:tcPr>
          <w:p>
            <w:pPr>
              <w:spacing w:after="0"/>
              <w:rPr>
                <w:sz w:val="19"/>
                <w:szCs w:val="19"/>
                <w:color w:val="auto"/>
              </w:rPr>
            </w:pPr>
          </w:p>
        </w:tc>
      </w:tr>
      <w:tr>
        <w:trPr>
          <w:trHeight w:val="226"/>
        </w:trPr>
        <w:tc>
          <w:tcPr>
            <w:tcW w:w="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73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FF0FC"/>
          </w:tcPr>
          <w:p>
            <w:pPr>
              <w:spacing w:after="0"/>
              <w:rPr>
                <w:sz w:val="19"/>
                <w:szCs w:val="19"/>
                <w:color w:val="auto"/>
              </w:rPr>
            </w:pPr>
          </w:p>
        </w:tc>
      </w:tr>
      <w:tr>
        <w:trPr>
          <w:trHeight w:val="219"/>
        </w:trPr>
        <w:tc>
          <w:tcPr>
            <w:tcW w:w="48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2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16,449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14,644</w:t>
            </w:r>
          </w:p>
        </w:tc>
        <w:tc>
          <w:tcPr>
            <w:tcW w:w="120" w:type="dxa"/>
            <w:vAlign w:val="bottom"/>
          </w:tcPr>
          <w:p>
            <w:pPr>
              <w:spacing w:after="0"/>
              <w:rPr>
                <w:sz w:val="19"/>
                <w:szCs w:val="19"/>
                <w:color w:val="auto"/>
              </w:rPr>
            </w:pPr>
          </w:p>
        </w:tc>
      </w:tr>
      <w:tr>
        <w:trPr>
          <w:trHeight w:val="20"/>
        </w:trPr>
        <w:tc>
          <w:tcPr>
            <w:tcW w:w="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The estimated fair value of Schlumberger’s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based on quoted market prices at March 31, 2019 and December 31, 2018, was $16.7 billion and $14.6 billion, respectively.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2019, Schlumberger had separate committed credit facility agreements aggregating $6.5 billion with commercial banks, of which $3.8 billion was available and unused. These committed facilities support commercial paper programs in the United States and Europe, of which $1.0 billion matures in February 2020, $1.5 billion matures in November 2020, $2.0 billion matures in February 2023 and $2.0 billion matures in February 2024. Interest rates and other terms of borrowing under these lines of credit vary by facility.</w:t>
      </w:r>
    </w:p>
    <w:p>
      <w:pPr>
        <w:spacing w:after="0" w:line="1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Borrowings under Schlumberger’s commercial paper programs at March 31, 2019 and December 31, 2018 were $2.7 billion and $2.4 billion, respectively, all of which were classified in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2019, Schlumberger completed a debt exchange offer, pursuant to which it issued $1.500 billion in principal of 3.90% Senior Notes due 2028 (the “New Notes”) in exchange for $401 million of 3.00% Senior Notes due 2020, $234 million of 3.63% Senior Notes due 2022 and $817 million of 4.00% Senior Notes due 2025. In connection with the exchange of principal, Schlumberger paid a premium of $48 million, substantially all of which was in the form of New Notes. This premium will be amortized as additional interest expense over the term of the New Notes.</w:t>
      </w:r>
    </w:p>
    <w:p>
      <w:pPr>
        <w:spacing w:after="0" w:line="178" w:lineRule="exact"/>
        <w:rPr>
          <w:sz w:val="20"/>
          <w:szCs w:val="20"/>
          <w:color w:val="auto"/>
        </w:rPr>
      </w:pPr>
    </w:p>
    <w:p>
      <w:pPr>
        <w:ind w:left="280" w:hanging="274"/>
        <w:spacing w:after="0"/>
        <w:tabs>
          <w:tab w:leader="none" w:pos="2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 and Hedging Activities</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Schlumberger is exposed to market risks related to fluctuations in foreign currency exchange rates and interest rates. To mitigate these risks, Schlumberger utilizes derivative instruments. Schlumberger does not enter into derivative transactions for speculative purposes.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During 2017, a Canadian-dollar functional currency subsidiary of Schlumberger issued $1.1 billion of US-dollar denominated debt. Schlumberger entered into cross-currency swaps for an aggregate notional amount of $1.1 billion in order to hedge changes in the fair value of its $0.5 billion 2.20% Senior Notes due 2020 and its $0.6 billion 2.65% Senior Notes due 2022. These cross-currency swaps effectively convert the US-dollar notes to Canadian-dollar denominated debt with fixed annual interest rates of 1.97% and 2.52%, respectively.</w:t>
      </w:r>
    </w:p>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These cross-currency swaps are designated as cash flow hedges. The changes in the fair values of the hedges are recorded on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Amounts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are reclassified to earnings in the same periods that the underlying hedged item is recognized in earnings.</w:t>
      </w:r>
    </w:p>
    <w:p>
      <w:pPr>
        <w:spacing w:after="0" w:line="1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At March 31, 2019, Schlumberger had fixed rate debt aggregating $13.5 billion and variable rate debt aggregating $3.0 billion, after taking into account the effect of interest rate swaps.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multinational company, Schlumberger generates revenue in more than 120 countries. Schlumberger’s functional currency is primarily the US dollar.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Schlumberger is exposed to risks on future cash flows to the extent that the local currency is not the functional currency and expenses denominated in local currency are not equal to revenues denominated in local currency. Schlumberger is also exposed to risks on future cash flows relating to certain of its fixed rate debt denominated in currencies other than the functional currency. Schlumberger uses foreign currency forward contracts to provide a hedge against a portion of these cash flow risks. These contracts are accounted for as cash flow hedges, with the changes in the fair value of the hedge recorded on the </w:t>
      </w:r>
      <w:r>
        <w:rPr>
          <w:rFonts w:ascii="Times New Roman" w:cs="Times New Roman" w:eastAsia="Times New Roman" w:hAnsi="Times New Roman"/>
          <w:sz w:val="18"/>
          <w:szCs w:val="18"/>
          <w:i w:val="1"/>
          <w:iCs w:val="1"/>
          <w:color w:val="auto"/>
        </w:rPr>
        <w:t>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Balance Sheet </w:t>
      </w:r>
      <w:r>
        <w:rPr>
          <w:rFonts w:ascii="Times New Roman" w:cs="Times New Roman" w:eastAsia="Times New Roman" w:hAnsi="Times New Roman"/>
          <w:sz w:val="18"/>
          <w:szCs w:val="18"/>
          <w:color w:val="auto"/>
        </w:rPr>
        <w:t>and in</w:t>
      </w:r>
      <w:r>
        <w:rPr>
          <w:rFonts w:ascii="Times New Roman" w:cs="Times New Roman" w:eastAsia="Times New Roman" w:hAnsi="Times New Roman"/>
          <w:sz w:val="18"/>
          <w:szCs w:val="18"/>
          <w:i w:val="1"/>
          <w:iCs w:val="1"/>
          <w:color w:val="auto"/>
        </w:rPr>
        <w:t xml:space="preserve"> Accumulated Other Comprehensive Loss. </w:t>
      </w:r>
      <w:r>
        <w:rPr>
          <w:rFonts w:ascii="Times New Roman" w:cs="Times New Roman" w:eastAsia="Times New Roman" w:hAnsi="Times New Roman"/>
          <w:sz w:val="18"/>
          <w:szCs w:val="18"/>
          <w:color w:val="auto"/>
        </w:rPr>
        <w:t>Amounts recorded in</w:t>
      </w:r>
      <w:r>
        <w:rPr>
          <w:rFonts w:ascii="Times New Roman" w:cs="Times New Roman" w:eastAsia="Times New Roman" w:hAnsi="Times New Roman"/>
          <w:sz w:val="18"/>
          <w:szCs w:val="18"/>
          <w:i w:val="1"/>
          <w:iCs w:val="1"/>
          <w:color w:val="auto"/>
        </w:rPr>
        <w:t xml:space="preserve"> Accumulated Other Comprehensive Loss </w:t>
      </w:r>
      <w:r>
        <w:rPr>
          <w:rFonts w:ascii="Times New Roman" w:cs="Times New Roman" w:eastAsia="Times New Roman" w:hAnsi="Times New Roman"/>
          <w:sz w:val="18"/>
          <w:szCs w:val="18"/>
          <w:color w:val="auto"/>
        </w:rPr>
        <w:t>are reclassified into earnings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or periods that the hedged item is recognized in earnings.</w:t>
      </w:r>
    </w:p>
    <w:p>
      <w:pPr>
        <w:spacing w:after="0" w:line="1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At March 31, 2019, Schlumberger recognized a cumulative net $16 million loss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relating to revaluation of foreign currency forward contracts designated as cash flow hedges, the majority of which is expected to be reclassified into earnings within the next 12 months.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Schlumberger is exposed to changes in the fair value of assets and liabilities that are denominated in currencies other than the functional currency. While Schlumberger uses foreign currency forward contracts and foreign currency options to economically hedge this exposure as it relates to certain currencies, these contracts are not designated as hedges for accounting purposes. Instead, the fair value of the contracts is recorded on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and changes in the fair value are recognized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xml:space="preserve"> as are changes in fair value of the hedged item.</w:t>
      </w:r>
    </w:p>
    <w:p>
      <w:pPr>
        <w:spacing w:after="0" w:line="180"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At March 31, 2019, contracts were outstanding for the US dollar equivalent of $4.0 billion in various foreign currencies, of which $1.1 billion relates to hedges of debt denominated in currencies other than the functional currency.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bookmarkStart w:id="11" w:name="page12"/>
    <w:bookmarkEnd w:id="11"/>
    <w:p>
      <w:pPr>
        <w:ind w:right="40"/>
        <w:spacing w:after="0" w:line="277" w:lineRule="auto"/>
        <w:rPr>
          <w:sz w:val="20"/>
          <w:szCs w:val="20"/>
          <w:color w:val="auto"/>
        </w:rPr>
      </w:pPr>
      <w:r>
        <w:rPr>
          <w:rFonts w:ascii="Times New Roman" w:cs="Times New Roman" w:eastAsia="Times New Roman" w:hAnsi="Times New Roman"/>
          <w:sz w:val="18"/>
          <w:szCs w:val="18"/>
          <w:color w:val="auto"/>
        </w:rPr>
        <w:t xml:space="preserve">The effect of derivative instruments designated as fair value and cash flow hedges, and those not designated as hedges, on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 xml:space="preserve"> was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2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1"/>
        </w:trPr>
        <w:tc>
          <w:tcPr>
            <w:tcW w:w="4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Gain (Loss) Recognized in Income</w:t>
            </w:r>
          </w:p>
        </w:tc>
        <w:tc>
          <w:tcPr>
            <w:tcW w:w="2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First Quarter</w:t>
            </w:r>
          </w:p>
        </w:tc>
        <w:tc>
          <w:tcPr>
            <w:tcW w:w="2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340" w:type="dxa"/>
            <w:vAlign w:val="bottom"/>
          </w:tcPr>
          <w:p>
            <w:pPr>
              <w:spacing w:after="0"/>
              <w:rPr>
                <w:sz w:val="15"/>
                <w:szCs w:val="15"/>
                <w:color w:val="auto"/>
              </w:rPr>
            </w:pPr>
          </w:p>
        </w:tc>
        <w:tc>
          <w:tcPr>
            <w:tcW w:w="2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2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6"/>
                <w:szCs w:val="16"/>
                <w:color w:val="auto"/>
              </w:rPr>
              <w:t>Consolidated Statement of Income</w:t>
            </w:r>
          </w:p>
        </w:tc>
        <w:tc>
          <w:tcPr>
            <w:tcW w:w="0" w:type="dxa"/>
            <w:vAlign w:val="bottom"/>
          </w:tcPr>
          <w:p>
            <w:pPr>
              <w:spacing w:after="0"/>
              <w:rPr>
                <w:sz w:val="1"/>
                <w:szCs w:val="1"/>
                <w:color w:val="auto"/>
              </w:rPr>
            </w:pPr>
          </w:p>
        </w:tc>
      </w:tr>
      <w:tr>
        <w:trPr>
          <w:trHeight w:val="211"/>
        </w:trPr>
        <w:tc>
          <w:tcPr>
            <w:tcW w:w="4340" w:type="dxa"/>
            <w:vAlign w:val="bottom"/>
          </w:tcPr>
          <w:p>
            <w:pPr>
              <w:spacing w:after="0"/>
              <w:rPr>
                <w:sz w:val="18"/>
                <w:szCs w:val="18"/>
                <w:color w:val="auto"/>
              </w:rPr>
            </w:pPr>
          </w:p>
        </w:tc>
        <w:tc>
          <w:tcPr>
            <w:tcW w:w="20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2018</w:t>
            </w:r>
          </w:p>
        </w:tc>
        <w:tc>
          <w:tcPr>
            <w:tcW w:w="240" w:type="dxa"/>
            <w:vAlign w:val="bottom"/>
          </w:tcPr>
          <w:p>
            <w:pPr>
              <w:spacing w:after="0"/>
              <w:rPr>
                <w:sz w:val="18"/>
                <w:szCs w:val="18"/>
                <w:color w:val="auto"/>
              </w:rPr>
            </w:pPr>
          </w:p>
        </w:tc>
        <w:tc>
          <w:tcPr>
            <w:tcW w:w="30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Classification</w:t>
            </w:r>
          </w:p>
        </w:tc>
        <w:tc>
          <w:tcPr>
            <w:tcW w:w="0" w:type="dxa"/>
            <w:vAlign w:val="bottom"/>
          </w:tcPr>
          <w:p>
            <w:pPr>
              <w:spacing w:after="0"/>
              <w:rPr>
                <w:sz w:val="1"/>
                <w:szCs w:val="1"/>
                <w:color w:val="auto"/>
              </w:rPr>
            </w:pPr>
          </w:p>
        </w:tc>
      </w:tr>
      <w:tr>
        <w:trPr>
          <w:trHeight w:val="222"/>
        </w:trPr>
        <w:tc>
          <w:tcPr>
            <w:tcW w:w="4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designated as fair value hedges:</w:t>
            </w:r>
          </w:p>
        </w:tc>
        <w:tc>
          <w:tcPr>
            <w:tcW w:w="1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7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Cross currency swaps</w:t>
            </w:r>
          </w:p>
        </w:tc>
        <w:tc>
          <w:tcPr>
            <w:tcW w:w="2080" w:type="dxa"/>
            <w:vAlign w:val="bottom"/>
            <w:gridSpan w:val="2"/>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3"/>
                <w:szCs w:val="23"/>
                <w:color w:val="auto"/>
              </w:rPr>
            </w:pPr>
          </w:p>
        </w:tc>
        <w:tc>
          <w:tcPr>
            <w:tcW w:w="11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2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Interest expense</w:t>
            </w:r>
          </w:p>
        </w:tc>
        <w:tc>
          <w:tcPr>
            <w:tcW w:w="0" w:type="dxa"/>
            <w:vAlign w:val="bottom"/>
          </w:tcPr>
          <w:p>
            <w:pPr>
              <w:spacing w:after="0"/>
              <w:rPr>
                <w:sz w:val="1"/>
                <w:szCs w:val="1"/>
                <w:color w:val="auto"/>
              </w:rPr>
            </w:pPr>
          </w:p>
        </w:tc>
      </w:tr>
      <w:tr>
        <w:trPr>
          <w:trHeight w:val="206"/>
        </w:trPr>
        <w:tc>
          <w:tcPr>
            <w:tcW w:w="4340" w:type="dxa"/>
            <w:vAlign w:val="bottom"/>
            <w:tcBorders>
              <w:top w:val="single" w:sz="8" w:color="CFF0FC"/>
            </w:tcBorders>
            <w:shd w:val="clear" w:color="auto" w:fill="CFF0FC"/>
          </w:tcPr>
          <w:p>
            <w:pPr>
              <w:spacing w:after="0"/>
              <w:rPr>
                <w:sz w:val="17"/>
                <w:szCs w:val="17"/>
                <w:color w:val="auto"/>
              </w:rPr>
            </w:pPr>
          </w:p>
        </w:tc>
        <w:tc>
          <w:tcPr>
            <w:tcW w:w="120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7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cash flow hedges:</w:t>
            </w: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080" w:type="dxa"/>
            <w:vAlign w:val="bottom"/>
            <w:gridSpan w:val="2"/>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w:t>
            </w:r>
          </w:p>
        </w:tc>
        <w:tc>
          <w:tcPr>
            <w:tcW w:w="116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i w:val="1"/>
                <w:iCs w:val="1"/>
                <w:color w:val="auto"/>
              </w:rPr>
              <w:t>Cost of services/sales</w:t>
            </w:r>
          </w:p>
        </w:tc>
        <w:tc>
          <w:tcPr>
            <w:tcW w:w="0" w:type="dxa"/>
            <w:vAlign w:val="bottom"/>
          </w:tcPr>
          <w:p>
            <w:pPr>
              <w:spacing w:after="0"/>
              <w:rPr>
                <w:sz w:val="1"/>
                <w:szCs w:val="1"/>
                <w:color w:val="auto"/>
              </w:rPr>
            </w:pPr>
          </w:p>
        </w:tc>
      </w:tr>
      <w:tr>
        <w:trPr>
          <w:trHeight w:val="226"/>
        </w:trPr>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Cross currency swaps</w:t>
            </w:r>
          </w:p>
        </w:tc>
        <w:tc>
          <w:tcPr>
            <w:tcW w:w="1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2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Interest expense</w:t>
            </w:r>
          </w:p>
        </w:tc>
        <w:tc>
          <w:tcPr>
            <w:tcW w:w="0" w:type="dxa"/>
            <w:vAlign w:val="bottom"/>
          </w:tcPr>
          <w:p>
            <w:pPr>
              <w:spacing w:after="0"/>
              <w:rPr>
                <w:sz w:val="1"/>
                <w:szCs w:val="1"/>
                <w:color w:val="auto"/>
              </w:rPr>
            </w:pPr>
          </w:p>
        </w:tc>
      </w:tr>
      <w:tr>
        <w:trPr>
          <w:trHeight w:val="219"/>
        </w:trPr>
        <w:tc>
          <w:tcPr>
            <w:tcW w:w="43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9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7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1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34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080" w:type="dxa"/>
            <w:vAlign w:val="bottom"/>
            <w:gridSpan w:val="2"/>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i w:val="1"/>
                <w:iCs w:val="1"/>
                <w:color w:val="auto"/>
              </w:rPr>
              <w:t>Cost of services/sales</w:t>
            </w: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7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280" w:hanging="274"/>
        <w:spacing w:after="0"/>
        <w:tabs>
          <w:tab w:leader="none" w:pos="2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Contingencies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w:t>
      </w:r>
      <w:r>
        <w:rPr>
          <w:rFonts w:ascii="Times New Roman" w:cs="Times New Roman" w:eastAsia="Times New Roman" w:hAnsi="Times New Roman"/>
          <w:sz w:val="18"/>
          <w:szCs w:val="18"/>
          <w:b w:val="1"/>
          <w:bCs w:val="1"/>
          <w:u w:val="single" w:color="auto"/>
          <w:color w:val="auto"/>
        </w:rPr>
        <w:t>Segment Information</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First Quarter 2019</w:t>
            </w:r>
          </w:p>
        </w:tc>
        <w:tc>
          <w:tcPr>
            <w:tcW w:w="180" w:type="dxa"/>
            <w:vAlign w:val="bottom"/>
          </w:tcPr>
          <w:p>
            <w:pPr>
              <w:spacing w:after="0"/>
              <w:rPr>
                <w:sz w:val="24"/>
                <w:szCs w:val="24"/>
                <w:color w:val="auto"/>
              </w:rPr>
            </w:pPr>
          </w:p>
        </w:tc>
        <w:tc>
          <w:tcPr>
            <w:tcW w:w="252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color w:val="auto"/>
              </w:rPr>
              <w:t>First Quarter 2018</w:t>
            </w:r>
          </w:p>
        </w:tc>
      </w:tr>
      <w:tr>
        <w:trPr>
          <w:trHeight w:val="212"/>
        </w:trPr>
        <w:tc>
          <w:tcPr>
            <w:tcW w:w="5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6"/>
              </w:rPr>
              <w:t>Income</w:t>
            </w:r>
          </w:p>
        </w:tc>
        <w:tc>
          <w:tcPr>
            <w:tcW w:w="100" w:type="dxa"/>
            <w:vAlign w:val="bottom"/>
          </w:tcPr>
          <w:p>
            <w:pPr>
              <w:spacing w:after="0"/>
              <w:rPr>
                <w:sz w:val="18"/>
                <w:szCs w:val="18"/>
                <w:color w:val="auto"/>
              </w:rPr>
            </w:pP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Before</w:t>
            </w:r>
          </w:p>
        </w:tc>
      </w:tr>
      <w:tr>
        <w:trPr>
          <w:trHeight w:val="233"/>
        </w:trPr>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18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Taxes</w:t>
            </w:r>
          </w:p>
        </w:tc>
      </w:tr>
      <w:tr>
        <w:trPr>
          <w:trHeight w:val="219"/>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2,890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(115)</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(46)</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9"/>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(273)</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(136)</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r>
      <w:tr>
        <w:trPr>
          <w:trHeight w:val="219"/>
        </w:trPr>
        <w:tc>
          <w:tcPr>
            <w:tcW w:w="58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7,879</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9" w:lineRule="exact"/>
        <w:rPr>
          <w:sz w:val="20"/>
          <w:szCs w:val="20"/>
          <w:color w:val="auto"/>
        </w:rPr>
      </w:pPr>
    </w:p>
    <w:p>
      <w:pPr>
        <w:ind w:left="300" w:hanging="287"/>
        <w:spacing w:after="0" w:line="291" w:lineRule="auto"/>
        <w:tabs>
          <w:tab w:leader="none" w:pos="241"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2" w:lineRule="exact"/>
        <w:rPr>
          <w:rFonts w:ascii="Times New Roman" w:cs="Times New Roman" w:eastAsia="Times New Roman" w:hAnsi="Times New Roman"/>
          <w:sz w:val="15"/>
          <w:szCs w:val="15"/>
          <w:color w:val="auto"/>
        </w:rPr>
      </w:pPr>
    </w:p>
    <w:p>
      <w:pPr>
        <w:ind w:left="280" w:hanging="255"/>
        <w:spacing w:after="0"/>
        <w:tabs>
          <w:tab w:leader="none" w:pos="280" w:val="left"/>
        </w:tabs>
        <w:numPr>
          <w:ilvl w:val="2"/>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Interest income excludes amounts which are included in the segments’ income ($1 million in 2019; $3 million in 2018).</w:t>
      </w:r>
    </w:p>
    <w:p>
      <w:pPr>
        <w:spacing w:after="0" w:line="134" w:lineRule="exact"/>
        <w:rPr>
          <w:rFonts w:ascii="Times New Roman" w:cs="Times New Roman" w:eastAsia="Times New Roman" w:hAnsi="Times New Roman"/>
          <w:sz w:val="15"/>
          <w:szCs w:val="15"/>
          <w:color w:val="auto"/>
        </w:rPr>
      </w:pPr>
    </w:p>
    <w:p>
      <w:pPr>
        <w:ind w:left="300" w:hanging="294"/>
        <w:spacing w:after="0"/>
        <w:tabs>
          <w:tab w:leader="none" w:pos="300"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Interest expense excludes amounts which are included in the segments’ income ($11 million in 2019; $12 million in 2018).</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Revenue by geographic area was as follows: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6"/>
        </w:trPr>
        <w:tc>
          <w:tcPr>
            <w:tcW w:w="3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880" w:type="dxa"/>
            <w:vAlign w:val="bottom"/>
            <w:tcBorders>
              <w:bottom w:val="single" w:sz="8" w:color="CFF0FC"/>
            </w:tcBorders>
          </w:tcPr>
          <w:p>
            <w:pPr>
              <w:spacing w:after="0"/>
              <w:rPr>
                <w:sz w:val="19"/>
                <w:szCs w:val="19"/>
                <w:color w:val="auto"/>
              </w:rPr>
            </w:pPr>
          </w:p>
        </w:tc>
        <w:tc>
          <w:tcPr>
            <w:tcW w:w="19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center"/>
              <w:ind w:right="4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2,738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Europe/CIS/Africa</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1,707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&amp; Asia</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Borders>
              <w:bottom w:val="single" w:sz="8" w:color="auto"/>
            </w:tcBorders>
          </w:tcPr>
          <w:p>
            <w:pPr>
              <w:jc w:val="center"/>
              <w:ind w:right="4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7,879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w w:val="99"/>
              </w:rPr>
              <w:t>North America and International revenue disaggregated by segment was as follows:</w:t>
            </w: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604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9"/>
        </w:trPr>
        <w:tc>
          <w:tcPr>
            <w:tcW w:w="3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i w:val="1"/>
                <w:iCs w:val="1"/>
                <w:color w:val="auto"/>
              </w:rPr>
              <w:t>(Stated in millions)</w:t>
            </w:r>
          </w:p>
        </w:tc>
        <w:tc>
          <w:tcPr>
            <w:tcW w:w="0" w:type="dxa"/>
            <w:vAlign w:val="bottom"/>
          </w:tcPr>
          <w:p>
            <w:pPr>
              <w:spacing w:after="0"/>
              <w:rPr>
                <w:sz w:val="1"/>
                <w:szCs w:val="1"/>
                <w:color w:val="auto"/>
              </w:rPr>
            </w:pPr>
          </w:p>
        </w:tc>
      </w:tr>
      <w:tr>
        <w:trPr>
          <w:trHeight w:val="436"/>
        </w:trPr>
        <w:tc>
          <w:tcPr>
            <w:tcW w:w="3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First Quarter 2019</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North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Eliminations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8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America</w:t>
            </w:r>
          </w:p>
        </w:tc>
        <w:tc>
          <w:tcPr>
            <w:tcW w:w="100" w:type="dxa"/>
            <w:vAlign w:val="bottom"/>
          </w:tcPr>
          <w:p>
            <w:pPr>
              <w:spacing w:after="0"/>
              <w:rPr>
                <w:sz w:val="20"/>
                <w:szCs w:val="20"/>
                <w:color w:val="auto"/>
              </w:rPr>
            </w:pPr>
          </w:p>
        </w:tc>
        <w:tc>
          <w:tcPr>
            <w:tcW w:w="132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International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9"/>
              </w:rPr>
              <w:t>&amp; other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9"/>
        </w:trPr>
        <w:tc>
          <w:tcPr>
            <w:tcW w:w="3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9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(72)</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(115)</w:t>
            </w:r>
          </w:p>
        </w:tc>
        <w:tc>
          <w:tcPr>
            <w:tcW w:w="0" w:type="dxa"/>
            <w:vAlign w:val="bottom"/>
          </w:tcPr>
          <w:p>
            <w:pPr>
              <w:spacing w:after="0"/>
              <w:rPr>
                <w:sz w:val="1"/>
                <w:szCs w:val="1"/>
                <w:color w:val="auto"/>
              </w:rPr>
            </w:pPr>
          </w:p>
        </w:tc>
      </w:tr>
      <w:tr>
        <w:trPr>
          <w:trHeight w:val="219"/>
        </w:trPr>
        <w:tc>
          <w:tcPr>
            <w:tcW w:w="3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104</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8"/>
        </w:trPr>
        <w:tc>
          <w:tcPr>
            <w:tcW w:w="38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8"/>
                <w:szCs w:val="18"/>
                <w:color w:val="auto"/>
                <w:w w:val="99"/>
              </w:rPr>
              <w:t>First Quarter 2018</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North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Eliminations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8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America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International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ind w:left="71"/>
              <w:spacing w:after="0"/>
              <w:rPr>
                <w:sz w:val="20"/>
                <w:szCs w:val="20"/>
                <w:color w:val="auto"/>
              </w:rPr>
            </w:pPr>
            <w:r>
              <w:rPr>
                <w:rFonts w:ascii="Times New Roman" w:cs="Times New Roman" w:eastAsia="Times New Roman" w:hAnsi="Times New Roman"/>
                <w:sz w:val="18"/>
                <w:szCs w:val="18"/>
                <w:color w:val="auto"/>
              </w:rPr>
              <w:t>&amp; other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9"/>
        </w:trPr>
        <w:tc>
          <w:tcPr>
            <w:tcW w:w="3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9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137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5"/>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9"/>
        </w:trPr>
        <w:tc>
          <w:tcPr>
            <w:tcW w:w="38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Revenue in excess of billings related to contracts where revenue is recognized over time was $0.2 billion at March 31, 2019 and December 31, 2018. Such amounts are included within </w:t>
      </w:r>
      <w:r>
        <w:rPr>
          <w:rFonts w:ascii="Times New Roman" w:cs="Times New Roman" w:eastAsia="Times New Roman" w:hAnsi="Times New Roman"/>
          <w:sz w:val="18"/>
          <w:szCs w:val="18"/>
          <w:i w:val="1"/>
          <w:iCs w:val="1"/>
          <w:color w:val="auto"/>
        </w:rPr>
        <w:t>Receivables less allowance for doubtful accounts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Due to the nature of its business, Schlumberger does not have significant backlog. Total backlog was $2.9 billion at March 31, 2019, of which approximately 49% is expected to be recognized as revenue over the next 12 months.</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Billings and cash collections in excess of revenue was $1.0 billion at March 31, 2019 and $0.9 billion at December 31, 2018. Such amounts are included within </w:t>
      </w:r>
      <w:r>
        <w:rPr>
          <w:rFonts w:ascii="Times New Roman" w:cs="Times New Roman" w:eastAsia="Times New Roman" w:hAnsi="Times New Roman"/>
          <w:sz w:val="18"/>
          <w:szCs w:val="18"/>
          <w:i w:val="1"/>
          <w:iCs w:val="1"/>
          <w:color w:val="auto"/>
        </w:rPr>
        <w:t xml:space="preserve">Accounts payable and accrued liabilities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i w:val="1"/>
          <w:iCs w:val="1"/>
          <w:color w:val="auto"/>
        </w:rPr>
        <w:t xml:space="preserve"> Consolidated Balance Sheet</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3" w:name="page14"/>
    <w:bookmarkEnd w:id="13"/>
    <w:p>
      <w:pPr>
        <w:ind w:left="360" w:hanging="354"/>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Pension and Other Postretirement Benefit Plans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pension cost (credit) for the Schlumberger pension plans included the following components: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(Stated in millions)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9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2019</w:t>
            </w:r>
          </w:p>
        </w:tc>
        <w:tc>
          <w:tcPr>
            <w:tcW w:w="6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center"/>
              <w:ind w:left="411"/>
              <w:spacing w:after="0"/>
              <w:rPr>
                <w:sz w:val="20"/>
                <w:szCs w:val="20"/>
                <w:color w:val="auto"/>
              </w:rPr>
            </w:pPr>
            <w:r>
              <w:rPr>
                <w:rFonts w:ascii="Times New Roman" w:cs="Times New Roman" w:eastAsia="Times New Roman" w:hAnsi="Times New Roman"/>
                <w:sz w:val="18"/>
                <w:szCs w:val="18"/>
                <w:color w:val="auto"/>
                <w:w w:val="94"/>
              </w:rPr>
              <w:t>2018</w:t>
            </w:r>
          </w:p>
        </w:tc>
        <w:tc>
          <w:tcPr>
            <w:tcW w:w="9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40" w:type="dxa"/>
            <w:vAlign w:val="bottom"/>
            <w:tcBorders>
              <w:bottom w:val="single" w:sz="8" w:color="CCF0FC"/>
            </w:tcBorders>
          </w:tcPr>
          <w:p>
            <w:pPr>
              <w:spacing w:after="0"/>
              <w:rPr>
                <w:sz w:val="19"/>
                <w:szCs w:val="19"/>
                <w:color w:val="auto"/>
              </w:rPr>
            </w:pPr>
          </w:p>
        </w:tc>
        <w:tc>
          <w:tcPr>
            <w:tcW w:w="1420" w:type="dxa"/>
            <w:vAlign w:val="bottom"/>
            <w:tcBorders>
              <w:bottom w:val="single" w:sz="8" w:color="CCF0FC"/>
            </w:tcBorders>
          </w:tcPr>
          <w:p>
            <w:pPr>
              <w:spacing w:after="0"/>
              <w:rPr>
                <w:sz w:val="19"/>
                <w:szCs w:val="19"/>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US</w:t>
            </w: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CC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377"/>
              <w:spacing w:after="0"/>
              <w:rPr>
                <w:sz w:val="20"/>
                <w:szCs w:val="20"/>
                <w:color w:val="auto"/>
              </w:rPr>
            </w:pPr>
            <w:r>
              <w:rPr>
                <w:rFonts w:ascii="Times New Roman" w:cs="Times New Roman" w:eastAsia="Times New Roman" w:hAnsi="Times New Roman"/>
                <w:sz w:val="18"/>
                <w:szCs w:val="18"/>
                <w:b w:val="1"/>
                <w:bCs w:val="1"/>
                <w:color w:val="auto"/>
              </w:rPr>
              <w:t>Int'l</w:t>
            </w:r>
          </w:p>
        </w:tc>
        <w:tc>
          <w:tcPr>
            <w:tcW w:w="160" w:type="dxa"/>
            <w:vAlign w:val="bottom"/>
            <w:tcBorders>
              <w:bottom w:val="single" w:sz="8" w:color="CCF0FC"/>
            </w:tcBorders>
          </w:tcPr>
          <w:p>
            <w:pPr>
              <w:spacing w:after="0"/>
              <w:rPr>
                <w:sz w:val="19"/>
                <w:szCs w:val="19"/>
                <w:color w:val="auto"/>
              </w:rPr>
            </w:pPr>
          </w:p>
        </w:tc>
        <w:tc>
          <w:tcPr>
            <w:tcW w:w="100" w:type="dxa"/>
            <w:vAlign w:val="bottom"/>
            <w:tcBorders>
              <w:bottom w:val="single" w:sz="8" w:color="CC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Borders>
              <w:bottom w:val="single" w:sz="8" w:color="CC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Int'l</w:t>
            </w:r>
          </w:p>
        </w:tc>
        <w:tc>
          <w:tcPr>
            <w:tcW w:w="160" w:type="dxa"/>
            <w:vAlign w:val="bottom"/>
            <w:tcBorders>
              <w:bottom w:val="single" w:sz="8" w:color="CCF0FC"/>
            </w:tcBorders>
          </w:tcPr>
          <w:p>
            <w:pPr>
              <w:spacing w:after="0"/>
              <w:rPr>
                <w:sz w:val="19"/>
                <w:szCs w:val="19"/>
                <w:color w:val="auto"/>
              </w:rPr>
            </w:pPr>
          </w:p>
        </w:tc>
        <w:tc>
          <w:tcPr>
            <w:tcW w:w="100" w:type="dxa"/>
            <w:vAlign w:val="bottom"/>
            <w:tcBorders>
              <w:bottom w:val="single" w:sz="8" w:color="CC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280" w:type="dxa"/>
            <w:vAlign w:val="bottom"/>
            <w:gridSpan w:val="2"/>
            <w:shd w:val="clear" w:color="auto" w:fill="CCF0FC"/>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40" w:type="dxa"/>
            <w:vAlign w:val="bottom"/>
            <w:shd w:val="clear" w:color="auto" w:fill="CCF0FC"/>
          </w:tcPr>
          <w:p>
            <w:pPr>
              <w:spacing w:after="0"/>
              <w:rPr>
                <w:sz w:val="20"/>
                <w:szCs w:val="20"/>
                <w:color w:val="auto"/>
              </w:rPr>
            </w:pPr>
          </w:p>
        </w:tc>
        <w:tc>
          <w:tcPr>
            <w:tcW w:w="280" w:type="dxa"/>
            <w:vAlign w:val="bottom"/>
            <w:shd w:val="clear" w:color="auto" w:fill="CCF0FC"/>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F0FC"/>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160" w:type="dxa"/>
            <w:vAlign w:val="bottom"/>
            <w:shd w:val="clear" w:color="auto" w:fill="CCF0FC"/>
          </w:tcPr>
          <w:p>
            <w:pPr>
              <w:spacing w:after="0"/>
              <w:rPr>
                <w:sz w:val="20"/>
                <w:szCs w:val="20"/>
                <w:color w:val="auto"/>
              </w:rPr>
            </w:pPr>
          </w:p>
        </w:tc>
        <w:tc>
          <w:tcPr>
            <w:tcW w:w="560" w:type="dxa"/>
            <w:vAlign w:val="bottom"/>
            <w:gridSpan w:val="2"/>
            <w:shd w:val="clear" w:color="auto" w:fill="CCF0FC"/>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F0FC"/>
            </w:tcBorders>
            <w:gridSpan w:val="2"/>
            <w:shd w:val="clear" w:color="auto" w:fill="CCF0FC"/>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gridSpan w:val="2"/>
            <w:shd w:val="clear" w:color="auto" w:fill="CCF0FC"/>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F0FC"/>
          </w:tcPr>
          <w:p>
            <w:pPr>
              <w:spacing w:after="0"/>
              <w:rPr>
                <w:sz w:val="20"/>
                <w:szCs w:val="20"/>
                <w:color w:val="auto"/>
              </w:rPr>
            </w:pPr>
          </w:p>
        </w:tc>
        <w:tc>
          <w:tcPr>
            <w:tcW w:w="100" w:type="dxa"/>
            <w:vAlign w:val="bottom"/>
            <w:shd w:val="clear" w:color="auto" w:fill="CC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94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20" w:type="dxa"/>
            <w:vAlign w:val="bottom"/>
            <w:shd w:val="clear" w:color="auto" w:fill="CCF0FC"/>
          </w:tcPr>
          <w:p>
            <w:pPr>
              <w:spacing w:after="0"/>
              <w:rPr>
                <w:sz w:val="20"/>
                <w:szCs w:val="20"/>
                <w:color w:val="auto"/>
              </w:rPr>
            </w:pPr>
          </w:p>
        </w:tc>
        <w:tc>
          <w:tcPr>
            <w:tcW w:w="860" w:type="dxa"/>
            <w:vAlign w:val="bottom"/>
            <w:shd w:val="clear" w:color="auto" w:fill="CCF0FC"/>
          </w:tcPr>
          <w:p>
            <w:pPr>
              <w:spacing w:after="0"/>
              <w:rPr>
                <w:sz w:val="20"/>
                <w:szCs w:val="20"/>
                <w:color w:val="auto"/>
              </w:rPr>
            </w:pPr>
          </w:p>
        </w:tc>
        <w:tc>
          <w:tcPr>
            <w:tcW w:w="640" w:type="dxa"/>
            <w:vAlign w:val="bottom"/>
            <w:gridSpan w:val="2"/>
            <w:shd w:val="clear" w:color="auto" w:fill="CC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(58)</w:t>
            </w:r>
          </w:p>
        </w:tc>
        <w:tc>
          <w:tcPr>
            <w:tcW w:w="280" w:type="dxa"/>
            <w:vAlign w:val="bottom"/>
            <w:shd w:val="clear" w:color="auto" w:fill="CCF0FC"/>
          </w:tcPr>
          <w:p>
            <w:pPr>
              <w:spacing w:after="0"/>
              <w:rPr>
                <w:sz w:val="20"/>
                <w:szCs w:val="20"/>
                <w:color w:val="auto"/>
              </w:rPr>
            </w:pPr>
          </w:p>
        </w:tc>
        <w:tc>
          <w:tcPr>
            <w:tcW w:w="1140" w:type="dxa"/>
            <w:vAlign w:val="bottom"/>
            <w:gridSpan w:val="3"/>
            <w:shd w:val="clear" w:color="auto" w:fill="CC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(150)</w:t>
            </w:r>
          </w:p>
        </w:tc>
        <w:tc>
          <w:tcPr>
            <w:tcW w:w="100" w:type="dxa"/>
            <w:vAlign w:val="bottom"/>
            <w:shd w:val="clear" w:color="auto" w:fill="CCF0FC"/>
          </w:tcPr>
          <w:p>
            <w:pPr>
              <w:spacing w:after="0"/>
              <w:rPr>
                <w:sz w:val="20"/>
                <w:szCs w:val="20"/>
                <w:color w:val="auto"/>
              </w:rPr>
            </w:pPr>
          </w:p>
        </w:tc>
        <w:tc>
          <w:tcPr>
            <w:tcW w:w="460" w:type="dxa"/>
            <w:vAlign w:val="bottom"/>
            <w:shd w:val="clear" w:color="auto" w:fill="CCF0FC"/>
          </w:tcPr>
          <w:p>
            <w:pPr>
              <w:spacing w:after="0"/>
              <w:rPr>
                <w:sz w:val="20"/>
                <w:szCs w:val="20"/>
                <w:color w:val="auto"/>
              </w:rPr>
            </w:pPr>
          </w:p>
        </w:tc>
        <w:tc>
          <w:tcPr>
            <w:tcW w:w="860" w:type="dxa"/>
            <w:vAlign w:val="bottom"/>
            <w:tcBorders>
              <w:right w:val="single" w:sz="8" w:color="CCF0FC"/>
            </w:tcBorders>
            <w:gridSpan w:val="2"/>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F0FC"/>
          </w:tcPr>
          <w:p>
            <w:pPr>
              <w:spacing w:after="0"/>
              <w:rPr>
                <w:sz w:val="20"/>
                <w:szCs w:val="20"/>
                <w:color w:val="auto"/>
              </w:rPr>
            </w:pPr>
          </w:p>
        </w:tc>
        <w:tc>
          <w:tcPr>
            <w:tcW w:w="300" w:type="dxa"/>
            <w:vAlign w:val="bottom"/>
            <w:shd w:val="clear" w:color="auto" w:fill="CCF0FC"/>
          </w:tcPr>
          <w:p>
            <w:pPr>
              <w:spacing w:after="0"/>
              <w:rPr>
                <w:sz w:val="20"/>
                <w:szCs w:val="20"/>
                <w:color w:val="auto"/>
              </w:rPr>
            </w:pPr>
          </w:p>
        </w:tc>
        <w:tc>
          <w:tcPr>
            <w:tcW w:w="1120" w:type="dxa"/>
            <w:vAlign w:val="bottom"/>
            <w:gridSpan w:val="2"/>
            <w:shd w:val="clear" w:color="auto" w:fill="CCF0FC"/>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94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color w:val="auto"/>
              </w:rPr>
              <w:t>Amortization of net loss</w:t>
            </w:r>
          </w:p>
        </w:tc>
        <w:tc>
          <w:tcPr>
            <w:tcW w:w="1420" w:type="dxa"/>
            <w:vAlign w:val="bottom"/>
            <w:shd w:val="clear" w:color="auto" w:fill="CCF0FC"/>
          </w:tcPr>
          <w:p>
            <w:pPr>
              <w:spacing w:after="0"/>
              <w:rPr>
                <w:sz w:val="20"/>
                <w:szCs w:val="20"/>
                <w:color w:val="auto"/>
              </w:rPr>
            </w:pPr>
          </w:p>
        </w:tc>
        <w:tc>
          <w:tcPr>
            <w:tcW w:w="860" w:type="dxa"/>
            <w:vAlign w:val="bottom"/>
            <w:tcBorders>
              <w:bottom w:val="single" w:sz="8" w:color="auto"/>
            </w:tcBorders>
            <w:shd w:val="clear" w:color="auto" w:fill="CCF0FC"/>
          </w:tcPr>
          <w:p>
            <w:pPr>
              <w:spacing w:after="0"/>
              <w:rPr>
                <w:sz w:val="20"/>
                <w:szCs w:val="20"/>
                <w:color w:val="auto"/>
              </w:rPr>
            </w:pPr>
          </w:p>
        </w:tc>
        <w:tc>
          <w:tcPr>
            <w:tcW w:w="40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40" w:type="dxa"/>
            <w:vAlign w:val="bottom"/>
            <w:shd w:val="clear" w:color="auto" w:fill="CCF0FC"/>
          </w:tcPr>
          <w:p>
            <w:pPr>
              <w:spacing w:after="0"/>
              <w:rPr>
                <w:sz w:val="20"/>
                <w:szCs w:val="20"/>
                <w:color w:val="auto"/>
              </w:rPr>
            </w:pPr>
          </w:p>
        </w:tc>
        <w:tc>
          <w:tcPr>
            <w:tcW w:w="280" w:type="dxa"/>
            <w:vAlign w:val="bottom"/>
            <w:tcBorders>
              <w:bottom w:val="single" w:sz="8" w:color="auto"/>
            </w:tcBorders>
            <w:shd w:val="clear" w:color="auto" w:fill="CCF0FC"/>
          </w:tcPr>
          <w:p>
            <w:pPr>
              <w:spacing w:after="0"/>
              <w:rPr>
                <w:sz w:val="20"/>
                <w:szCs w:val="20"/>
                <w:color w:val="auto"/>
              </w:rPr>
            </w:pPr>
          </w:p>
        </w:tc>
        <w:tc>
          <w:tcPr>
            <w:tcW w:w="980" w:type="dxa"/>
            <w:vAlign w:val="bottom"/>
            <w:tcBorders>
              <w:bottom w:val="single" w:sz="8" w:color="auto"/>
            </w:tcBorders>
            <w:gridSpan w:val="2"/>
            <w:shd w:val="clear" w:color="auto" w:fill="CCF0FC"/>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60" w:type="dxa"/>
            <w:vAlign w:val="bottom"/>
            <w:shd w:val="clear" w:color="auto" w:fill="CCF0FC"/>
          </w:tcPr>
          <w:p>
            <w:pPr>
              <w:spacing w:after="0"/>
              <w:rPr>
                <w:sz w:val="20"/>
                <w:szCs w:val="20"/>
                <w:color w:val="auto"/>
              </w:rPr>
            </w:pPr>
          </w:p>
        </w:tc>
        <w:tc>
          <w:tcPr>
            <w:tcW w:w="100" w:type="dxa"/>
            <w:vAlign w:val="bottom"/>
            <w:shd w:val="clear" w:color="auto" w:fill="CCF0FC"/>
          </w:tcPr>
          <w:p>
            <w:pPr>
              <w:spacing w:after="0"/>
              <w:rPr>
                <w:sz w:val="20"/>
                <w:szCs w:val="20"/>
                <w:color w:val="auto"/>
              </w:rPr>
            </w:pPr>
          </w:p>
        </w:tc>
        <w:tc>
          <w:tcPr>
            <w:tcW w:w="460" w:type="dxa"/>
            <w:vAlign w:val="bottom"/>
            <w:tcBorders>
              <w:bottom w:val="single" w:sz="8" w:color="auto"/>
            </w:tcBorders>
            <w:shd w:val="clear" w:color="auto" w:fill="CCF0FC"/>
          </w:tcPr>
          <w:p>
            <w:pPr>
              <w:spacing w:after="0"/>
              <w:rPr>
                <w:sz w:val="20"/>
                <w:szCs w:val="20"/>
                <w:color w:val="auto"/>
              </w:rPr>
            </w:pPr>
          </w:p>
        </w:tc>
        <w:tc>
          <w:tcPr>
            <w:tcW w:w="860" w:type="dxa"/>
            <w:vAlign w:val="bottom"/>
            <w:tcBorders>
              <w:bottom w:val="single" w:sz="8" w:color="auto"/>
              <w:right w:val="single" w:sz="8" w:color="CCF0FC"/>
            </w:tcBorders>
            <w:gridSpan w:val="2"/>
            <w:shd w:val="clear" w:color="auto" w:fill="CC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F0FC"/>
          </w:tcPr>
          <w:p>
            <w:pPr>
              <w:spacing w:after="0"/>
              <w:rPr>
                <w:sz w:val="20"/>
                <w:szCs w:val="20"/>
                <w:color w:val="auto"/>
              </w:rPr>
            </w:pPr>
          </w:p>
        </w:tc>
        <w:tc>
          <w:tcPr>
            <w:tcW w:w="300" w:type="dxa"/>
            <w:vAlign w:val="bottom"/>
            <w:tcBorders>
              <w:bottom w:val="single" w:sz="8" w:color="auto"/>
            </w:tcBorders>
            <w:shd w:val="clear" w:color="auto" w:fill="CCF0FC"/>
          </w:tcPr>
          <w:p>
            <w:pPr>
              <w:spacing w:after="0"/>
              <w:rPr>
                <w:sz w:val="20"/>
                <w:szCs w:val="20"/>
                <w:color w:val="auto"/>
              </w:rPr>
            </w:pPr>
          </w:p>
        </w:tc>
        <w:tc>
          <w:tcPr>
            <w:tcW w:w="960" w:type="dxa"/>
            <w:vAlign w:val="bottom"/>
            <w:tcBorders>
              <w:bottom w:val="single" w:sz="8" w:color="auto"/>
            </w:tcBorders>
            <w:shd w:val="clear" w:color="auto" w:fill="CC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F0FC"/>
          </w:tcPr>
          <w:p>
            <w:pPr>
              <w:spacing w:after="0"/>
              <w:rPr>
                <w:sz w:val="20"/>
                <w:szCs w:val="20"/>
                <w:color w:val="auto"/>
              </w:rPr>
            </w:pPr>
          </w:p>
        </w:tc>
        <w:tc>
          <w:tcPr>
            <w:tcW w:w="100" w:type="dxa"/>
            <w:vAlign w:val="bottom"/>
            <w:shd w:val="clear" w:color="auto" w:fill="CC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9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8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net periodic benefit credit for the Schlumberger US postretirement medical plan included the following components: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w w:val="99"/>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3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940" w:type="dxa"/>
            <w:vAlign w:val="bottom"/>
            <w:tcBorders>
              <w:bottom w:val="single" w:sz="8" w:color="CCF0FC"/>
            </w:tcBorders>
          </w:tcPr>
          <w:p>
            <w:pPr>
              <w:spacing w:after="0"/>
              <w:rPr>
                <w:sz w:val="19"/>
                <w:szCs w:val="19"/>
                <w:color w:val="auto"/>
              </w:rPr>
            </w:pPr>
          </w:p>
        </w:tc>
        <w:tc>
          <w:tcPr>
            <w:tcW w:w="1420" w:type="dxa"/>
            <w:vAlign w:val="bottom"/>
            <w:tcBorders>
              <w:bottom w:val="single" w:sz="8" w:color="CCF0FC"/>
            </w:tcBorders>
          </w:tcPr>
          <w:p>
            <w:pPr>
              <w:spacing w:after="0"/>
              <w:rPr>
                <w:sz w:val="19"/>
                <w:szCs w:val="19"/>
                <w:color w:val="auto"/>
              </w:rPr>
            </w:pPr>
          </w:p>
        </w:tc>
        <w:tc>
          <w:tcPr>
            <w:tcW w:w="860" w:type="dxa"/>
            <w:vAlign w:val="bottom"/>
            <w:tcBorders>
              <w:bottom w:val="single" w:sz="8" w:color="CCF0FC"/>
            </w:tcBorders>
          </w:tcPr>
          <w:p>
            <w:pPr>
              <w:spacing w:after="0"/>
              <w:rPr>
                <w:sz w:val="19"/>
                <w:szCs w:val="19"/>
                <w:color w:val="auto"/>
              </w:rPr>
            </w:pPr>
          </w:p>
        </w:tc>
        <w:tc>
          <w:tcPr>
            <w:tcW w:w="400" w:type="dxa"/>
            <w:vAlign w:val="bottom"/>
            <w:tcBorders>
              <w:bottom w:val="single" w:sz="8" w:color="CCF0FC"/>
            </w:tcBorders>
          </w:tcPr>
          <w:p>
            <w:pPr>
              <w:spacing w:after="0"/>
              <w:rPr>
                <w:sz w:val="19"/>
                <w:szCs w:val="19"/>
                <w:color w:val="auto"/>
              </w:rPr>
            </w:pPr>
          </w:p>
        </w:tc>
        <w:tc>
          <w:tcPr>
            <w:tcW w:w="240" w:type="dxa"/>
            <w:vAlign w:val="bottom"/>
            <w:tcBorders>
              <w:bottom w:val="single" w:sz="8" w:color="CCF0FC"/>
            </w:tcBorders>
          </w:tcPr>
          <w:p>
            <w:pPr>
              <w:spacing w:after="0"/>
              <w:rPr>
                <w:sz w:val="19"/>
                <w:szCs w:val="19"/>
                <w:color w:val="auto"/>
              </w:rPr>
            </w:pPr>
          </w:p>
        </w:tc>
        <w:tc>
          <w:tcPr>
            <w:tcW w:w="280" w:type="dxa"/>
            <w:vAlign w:val="bottom"/>
            <w:tcBorders>
              <w:bottom w:val="single" w:sz="8" w:color="CCF0FC"/>
            </w:tcBorders>
          </w:tcPr>
          <w:p>
            <w:pPr>
              <w:spacing w:after="0"/>
              <w:rPr>
                <w:sz w:val="19"/>
                <w:szCs w:val="19"/>
                <w:color w:val="auto"/>
              </w:rPr>
            </w:pPr>
          </w:p>
        </w:tc>
        <w:tc>
          <w:tcPr>
            <w:tcW w:w="680" w:type="dxa"/>
            <w:vAlign w:val="bottom"/>
            <w:tcBorders>
              <w:bottom w:val="single" w:sz="8" w:color="CC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CC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420" w:type="dxa"/>
            <w:vAlign w:val="bottom"/>
            <w:shd w:val="clear" w:color="auto" w:fill="CCF0FC"/>
          </w:tcPr>
          <w:p>
            <w:pPr>
              <w:spacing w:after="0"/>
              <w:rPr>
                <w:sz w:val="19"/>
                <w:szCs w:val="19"/>
                <w:color w:val="auto"/>
              </w:rPr>
            </w:pPr>
          </w:p>
        </w:tc>
        <w:tc>
          <w:tcPr>
            <w:tcW w:w="860" w:type="dxa"/>
            <w:vAlign w:val="bottom"/>
            <w:shd w:val="clear" w:color="auto" w:fill="CCF0FC"/>
          </w:tcPr>
          <w:p>
            <w:pPr>
              <w:spacing w:after="0"/>
              <w:rPr>
                <w:sz w:val="19"/>
                <w:szCs w:val="19"/>
                <w:color w:val="auto"/>
              </w:rPr>
            </w:pPr>
          </w:p>
        </w:tc>
        <w:tc>
          <w:tcPr>
            <w:tcW w:w="400" w:type="dxa"/>
            <w:vAlign w:val="bottom"/>
            <w:shd w:val="clear" w:color="auto" w:fill="CCF0FC"/>
          </w:tcPr>
          <w:p>
            <w:pPr>
              <w:spacing w:after="0"/>
              <w:rPr>
                <w:sz w:val="19"/>
                <w:szCs w:val="19"/>
                <w:color w:val="auto"/>
              </w:rPr>
            </w:pPr>
          </w:p>
        </w:tc>
        <w:tc>
          <w:tcPr>
            <w:tcW w:w="240" w:type="dxa"/>
            <w:vAlign w:val="bottom"/>
            <w:shd w:val="clear" w:color="auto" w:fill="CCF0FC"/>
          </w:tcPr>
          <w:p>
            <w:pPr>
              <w:spacing w:after="0"/>
              <w:rPr>
                <w:sz w:val="19"/>
                <w:szCs w:val="19"/>
                <w:color w:val="auto"/>
              </w:rPr>
            </w:pPr>
          </w:p>
        </w:tc>
        <w:tc>
          <w:tcPr>
            <w:tcW w:w="280" w:type="dxa"/>
            <w:vAlign w:val="bottom"/>
            <w:shd w:val="clear" w:color="auto" w:fill="CCF0FC"/>
          </w:tcPr>
          <w:p>
            <w:pPr>
              <w:spacing w:after="0"/>
              <w:rPr>
                <w:sz w:val="19"/>
                <w:szCs w:val="19"/>
                <w:color w:val="auto"/>
              </w:rPr>
            </w:pPr>
          </w:p>
        </w:tc>
        <w:tc>
          <w:tcPr>
            <w:tcW w:w="680" w:type="dxa"/>
            <w:vAlign w:val="bottom"/>
            <w:shd w:val="clear" w:color="auto" w:fill="CCF0FC"/>
          </w:tcPr>
          <w:p>
            <w:pPr>
              <w:spacing w:after="0"/>
              <w:rPr>
                <w:sz w:val="19"/>
                <w:szCs w:val="19"/>
                <w:color w:val="auto"/>
              </w:rPr>
            </w:pPr>
          </w:p>
        </w:tc>
        <w:tc>
          <w:tcPr>
            <w:tcW w:w="300" w:type="dxa"/>
            <w:vAlign w:val="bottom"/>
            <w:shd w:val="clear" w:color="auto" w:fill="CCF0FC"/>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shd w:val="clear" w:color="auto" w:fill="CCF0FC"/>
          </w:tcPr>
          <w:p>
            <w:pPr>
              <w:spacing w:after="0"/>
              <w:rPr>
                <w:sz w:val="19"/>
                <w:szCs w:val="19"/>
                <w:color w:val="auto"/>
              </w:rPr>
            </w:pPr>
          </w:p>
        </w:tc>
        <w:tc>
          <w:tcPr>
            <w:tcW w:w="100" w:type="dxa"/>
            <w:vAlign w:val="bottom"/>
            <w:shd w:val="clear" w:color="auto" w:fill="CCF0FC"/>
          </w:tcPr>
          <w:p>
            <w:pPr>
              <w:spacing w:after="0"/>
              <w:rPr>
                <w:sz w:val="19"/>
                <w:szCs w:val="19"/>
                <w:color w:val="auto"/>
              </w:rPr>
            </w:pPr>
          </w:p>
        </w:tc>
        <w:tc>
          <w:tcPr>
            <w:tcW w:w="460" w:type="dxa"/>
            <w:vAlign w:val="bottom"/>
            <w:shd w:val="clear" w:color="auto" w:fill="CCF0FC"/>
          </w:tcPr>
          <w:p>
            <w:pPr>
              <w:spacing w:after="0"/>
              <w:rPr>
                <w:sz w:val="19"/>
                <w:szCs w:val="19"/>
                <w:color w:val="auto"/>
              </w:rPr>
            </w:pPr>
          </w:p>
        </w:tc>
        <w:tc>
          <w:tcPr>
            <w:tcW w:w="5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80" w:type="dxa"/>
            <w:vAlign w:val="bottom"/>
            <w:tcBorders>
              <w:right w:val="single" w:sz="8" w:color="CCF0FC"/>
            </w:tcBorders>
            <w:shd w:val="clear" w:color="auto" w:fill="CCF0FC"/>
          </w:tcPr>
          <w:p>
            <w:pPr>
              <w:spacing w:after="0"/>
              <w:rPr>
                <w:sz w:val="19"/>
                <w:szCs w:val="19"/>
                <w:color w:val="auto"/>
              </w:rPr>
            </w:pPr>
          </w:p>
        </w:tc>
        <w:tc>
          <w:tcPr>
            <w:tcW w:w="200" w:type="dxa"/>
            <w:vAlign w:val="bottom"/>
            <w:shd w:val="clear" w:color="auto" w:fill="CCF0FC"/>
          </w:tcPr>
          <w:p>
            <w:pPr>
              <w:jc w:val="center"/>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F0FC"/>
          </w:tcPr>
          <w:p>
            <w:pPr>
              <w:spacing w:after="0"/>
              <w:rPr>
                <w:sz w:val="19"/>
                <w:szCs w:val="19"/>
                <w:color w:val="auto"/>
              </w:rPr>
            </w:pPr>
          </w:p>
        </w:tc>
        <w:tc>
          <w:tcPr>
            <w:tcW w:w="1120" w:type="dxa"/>
            <w:vAlign w:val="bottom"/>
            <w:gridSpan w:val="2"/>
            <w:shd w:val="clear" w:color="auto" w:fill="CC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40" w:type="dxa"/>
            <w:vAlign w:val="bottom"/>
            <w:shd w:val="clear" w:color="auto" w:fill="CC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20" w:type="dxa"/>
            <w:vAlign w:val="bottom"/>
            <w:shd w:val="clear" w:color="auto" w:fill="CCF0FC"/>
          </w:tcPr>
          <w:p>
            <w:pPr>
              <w:spacing w:after="0"/>
              <w:rPr>
                <w:sz w:val="19"/>
                <w:szCs w:val="19"/>
                <w:color w:val="auto"/>
              </w:rPr>
            </w:pPr>
          </w:p>
        </w:tc>
        <w:tc>
          <w:tcPr>
            <w:tcW w:w="860" w:type="dxa"/>
            <w:vAlign w:val="bottom"/>
            <w:shd w:val="clear" w:color="auto" w:fill="CCF0FC"/>
          </w:tcPr>
          <w:p>
            <w:pPr>
              <w:spacing w:after="0"/>
              <w:rPr>
                <w:sz w:val="19"/>
                <w:szCs w:val="19"/>
                <w:color w:val="auto"/>
              </w:rPr>
            </w:pPr>
          </w:p>
        </w:tc>
        <w:tc>
          <w:tcPr>
            <w:tcW w:w="400" w:type="dxa"/>
            <w:vAlign w:val="bottom"/>
            <w:shd w:val="clear" w:color="auto" w:fill="CCF0FC"/>
          </w:tcPr>
          <w:p>
            <w:pPr>
              <w:spacing w:after="0"/>
              <w:rPr>
                <w:sz w:val="19"/>
                <w:szCs w:val="19"/>
                <w:color w:val="auto"/>
              </w:rPr>
            </w:pPr>
          </w:p>
        </w:tc>
        <w:tc>
          <w:tcPr>
            <w:tcW w:w="240" w:type="dxa"/>
            <w:vAlign w:val="bottom"/>
            <w:shd w:val="clear" w:color="auto" w:fill="CCF0FC"/>
          </w:tcPr>
          <w:p>
            <w:pPr>
              <w:spacing w:after="0"/>
              <w:rPr>
                <w:sz w:val="19"/>
                <w:szCs w:val="19"/>
                <w:color w:val="auto"/>
              </w:rPr>
            </w:pPr>
          </w:p>
        </w:tc>
        <w:tc>
          <w:tcPr>
            <w:tcW w:w="280" w:type="dxa"/>
            <w:vAlign w:val="bottom"/>
            <w:shd w:val="clear" w:color="auto" w:fill="CCF0FC"/>
          </w:tcPr>
          <w:p>
            <w:pPr>
              <w:spacing w:after="0"/>
              <w:rPr>
                <w:sz w:val="19"/>
                <w:szCs w:val="19"/>
                <w:color w:val="auto"/>
              </w:rPr>
            </w:pPr>
          </w:p>
        </w:tc>
        <w:tc>
          <w:tcPr>
            <w:tcW w:w="680" w:type="dxa"/>
            <w:vAlign w:val="bottom"/>
            <w:shd w:val="clear" w:color="auto" w:fill="CCF0FC"/>
          </w:tcPr>
          <w:p>
            <w:pPr>
              <w:spacing w:after="0"/>
              <w:rPr>
                <w:sz w:val="19"/>
                <w:szCs w:val="19"/>
                <w:color w:val="auto"/>
              </w:rPr>
            </w:pPr>
          </w:p>
        </w:tc>
        <w:tc>
          <w:tcPr>
            <w:tcW w:w="300" w:type="dxa"/>
            <w:vAlign w:val="bottom"/>
            <w:shd w:val="clear" w:color="auto" w:fill="CCF0FC"/>
          </w:tcPr>
          <w:p>
            <w:pPr>
              <w:spacing w:after="0"/>
              <w:rPr>
                <w:sz w:val="19"/>
                <w:szCs w:val="19"/>
                <w:color w:val="auto"/>
              </w:rPr>
            </w:pPr>
          </w:p>
        </w:tc>
        <w:tc>
          <w:tcPr>
            <w:tcW w:w="160" w:type="dxa"/>
            <w:vAlign w:val="bottom"/>
            <w:shd w:val="clear" w:color="auto" w:fill="CCF0FC"/>
          </w:tcPr>
          <w:p>
            <w:pPr>
              <w:spacing w:after="0"/>
              <w:rPr>
                <w:sz w:val="19"/>
                <w:szCs w:val="19"/>
                <w:color w:val="auto"/>
              </w:rPr>
            </w:pPr>
          </w:p>
        </w:tc>
        <w:tc>
          <w:tcPr>
            <w:tcW w:w="100" w:type="dxa"/>
            <w:vAlign w:val="bottom"/>
            <w:shd w:val="clear" w:color="auto" w:fill="CCF0FC"/>
          </w:tcPr>
          <w:p>
            <w:pPr>
              <w:spacing w:after="0"/>
              <w:rPr>
                <w:sz w:val="19"/>
                <w:szCs w:val="19"/>
                <w:color w:val="auto"/>
              </w:rPr>
            </w:pPr>
          </w:p>
        </w:tc>
        <w:tc>
          <w:tcPr>
            <w:tcW w:w="460" w:type="dxa"/>
            <w:vAlign w:val="bottom"/>
            <w:shd w:val="clear" w:color="auto" w:fill="CCF0FC"/>
          </w:tcPr>
          <w:p>
            <w:pPr>
              <w:spacing w:after="0"/>
              <w:rPr>
                <w:sz w:val="19"/>
                <w:szCs w:val="19"/>
                <w:color w:val="auto"/>
              </w:rPr>
            </w:pPr>
          </w:p>
        </w:tc>
        <w:tc>
          <w:tcPr>
            <w:tcW w:w="860" w:type="dxa"/>
            <w:vAlign w:val="bottom"/>
            <w:tcBorders>
              <w:right w:val="single" w:sz="8" w:color="CCF0FC"/>
            </w:tcBorders>
            <w:gridSpan w:val="2"/>
            <w:shd w:val="clear" w:color="auto" w:fill="CC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w:t>
            </w:r>
          </w:p>
        </w:tc>
        <w:tc>
          <w:tcPr>
            <w:tcW w:w="200" w:type="dxa"/>
            <w:vAlign w:val="bottom"/>
            <w:shd w:val="clear" w:color="auto" w:fill="CCF0FC"/>
          </w:tcPr>
          <w:p>
            <w:pPr>
              <w:spacing w:after="0"/>
              <w:rPr>
                <w:sz w:val="19"/>
                <w:szCs w:val="19"/>
                <w:color w:val="auto"/>
              </w:rPr>
            </w:pPr>
          </w:p>
        </w:tc>
        <w:tc>
          <w:tcPr>
            <w:tcW w:w="300" w:type="dxa"/>
            <w:vAlign w:val="bottom"/>
            <w:shd w:val="clear" w:color="auto" w:fill="CCF0FC"/>
          </w:tcPr>
          <w:p>
            <w:pPr>
              <w:spacing w:after="0"/>
              <w:rPr>
                <w:sz w:val="19"/>
                <w:szCs w:val="19"/>
                <w:color w:val="auto"/>
              </w:rPr>
            </w:pPr>
          </w:p>
        </w:tc>
        <w:tc>
          <w:tcPr>
            <w:tcW w:w="1220" w:type="dxa"/>
            <w:vAlign w:val="bottom"/>
            <w:gridSpan w:val="3"/>
            <w:shd w:val="clear" w:color="auto" w:fill="CC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8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9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shd w:val="clear" w:color="auto" w:fill="CFF0FC"/>
          </w:tcPr>
          <w:p>
            <w:pPr>
              <w:jc w:val="center"/>
              <w:ind w:right="1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tcPr>
          <w:p>
            <w:pPr>
              <w:spacing w:after="0" w:line="20" w:lineRule="exact"/>
              <w:rPr>
                <w:sz w:val="1"/>
                <w:szCs w:val="1"/>
                <w:color w:val="auto"/>
              </w:rPr>
            </w:pPr>
          </w:p>
        </w:tc>
        <w:tc>
          <w:tcPr>
            <w:tcW w:w="2280" w:type="dxa"/>
            <w:vAlign w:val="bottom"/>
            <w:tcBorders>
              <w:top w:val="single" w:sz="8" w:color="CFF0FC"/>
              <w:bottom w:val="single" w:sz="8" w:color="CFF0FC"/>
            </w:tcBorders>
            <w:gridSpan w:val="2"/>
            <w:vMerge w:val="restart"/>
          </w:tcPr>
          <w:p>
            <w:pPr>
              <w:jc w:val="right"/>
              <w:ind w:right="331"/>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3940" w:type="dxa"/>
            <w:vAlign w:val="bottom"/>
          </w:tcPr>
          <w:p>
            <w:pPr>
              <w:spacing w:after="0"/>
              <w:rPr>
                <w:sz w:val="24"/>
                <w:szCs w:val="24"/>
                <w:color w:val="auto"/>
              </w:rPr>
            </w:pPr>
          </w:p>
        </w:tc>
        <w:tc>
          <w:tcPr>
            <w:tcW w:w="22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9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58" w:right="219" w:bottom="1440" w:gutter="0" w:footer="0" w:header="0"/>
        </w:sectPr>
      </w:pPr>
    </w:p>
    <w:bookmarkStart w:id="14" w:name="page15"/>
    <w:bookmarkEnd w:id="14"/>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2019 Compared to Fourth Quarter 2018</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3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First Quarter 2019</w:t>
            </w:r>
          </w:p>
        </w:tc>
        <w:tc>
          <w:tcPr>
            <w:tcW w:w="180" w:type="dxa"/>
            <w:vAlign w:val="bottom"/>
          </w:tcPr>
          <w:p>
            <w:pPr>
              <w:spacing w:after="0"/>
              <w:rPr>
                <w:sz w:val="24"/>
                <w:szCs w:val="24"/>
                <w:color w:val="auto"/>
              </w:rPr>
            </w:pPr>
          </w:p>
        </w:tc>
        <w:tc>
          <w:tcPr>
            <w:tcW w:w="252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color w:val="auto"/>
              </w:rPr>
              <w:t>Fourth Quarter 2018</w:t>
            </w:r>
          </w:p>
        </w:tc>
      </w:tr>
      <w:tr>
        <w:trPr>
          <w:trHeight w:val="212"/>
        </w:trPr>
        <w:tc>
          <w:tcPr>
            <w:tcW w:w="39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6"/>
              </w:rPr>
              <w:t>Income</w:t>
            </w:r>
          </w:p>
        </w:tc>
        <w:tc>
          <w:tcPr>
            <w:tcW w:w="100" w:type="dxa"/>
            <w:vAlign w:val="bottom"/>
          </w:tcPr>
          <w:p>
            <w:pPr>
              <w:spacing w:after="0"/>
              <w:rPr>
                <w:sz w:val="18"/>
                <w:szCs w:val="18"/>
                <w:color w:val="auto"/>
              </w:rPr>
            </w:pPr>
          </w:p>
        </w:tc>
      </w:tr>
      <w:tr>
        <w:trPr>
          <w:trHeight w:val="226"/>
        </w:trPr>
        <w:tc>
          <w:tcPr>
            <w:tcW w:w="39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Before</w:t>
            </w:r>
          </w:p>
        </w:tc>
      </w:tr>
      <w:tr>
        <w:trPr>
          <w:trHeight w:val="233"/>
        </w:trPr>
        <w:tc>
          <w:tcPr>
            <w:tcW w:w="39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Taxes</w:t>
            </w:r>
          </w:p>
        </w:tc>
      </w:tr>
      <w:tr>
        <w:trPr>
          <w:trHeight w:val="219"/>
        </w:trPr>
        <w:tc>
          <w:tcPr>
            <w:tcW w:w="3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9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r>
      <w:tr>
        <w:trPr>
          <w:trHeight w:val="22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FF0FC"/>
          </w:tcPr>
          <w:p>
            <w:pPr>
              <w:spacing w:after="0"/>
              <w:rPr>
                <w:sz w:val="19"/>
                <w:szCs w:val="19"/>
                <w:color w:val="auto"/>
              </w:rPr>
            </w:pPr>
          </w:p>
        </w:tc>
      </w:tr>
      <w:tr>
        <w:trPr>
          <w:trHeight w:val="22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r>
      <w:tr>
        <w:trPr>
          <w:trHeight w:val="22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(46)</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19"/>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Pretax operating income</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19"/>
                <w:szCs w:val="19"/>
                <w:color w:val="auto"/>
              </w:rPr>
            </w:pPr>
          </w:p>
        </w:tc>
      </w:tr>
      <w:tr>
        <w:trPr>
          <w:trHeight w:val="22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(273)</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r>
      <w:tr>
        <w:trPr>
          <w:trHeight w:val="22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r>
      <w:tr>
        <w:trPr>
          <w:trHeight w:val="22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(136)</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r>
      <w:tr>
        <w:trPr>
          <w:trHeight w:val="22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Charges and credits </w:t>
            </w:r>
            <w:r>
              <w:rPr>
                <w:rFonts w:ascii="Times New Roman" w:cs="Times New Roman" w:eastAsia="Times New Roman" w:hAnsi="Times New Roman"/>
                <w:sz w:val="15"/>
                <w:szCs w:val="15"/>
                <w:color w:val="auto"/>
              </w:rPr>
              <w:t>(4)</w:t>
            </w:r>
          </w:p>
        </w:tc>
        <w:tc>
          <w:tcPr>
            <w:tcW w:w="1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r>
      <w:tr>
        <w:trPr>
          <w:trHeight w:val="219"/>
        </w:trPr>
        <w:tc>
          <w:tcPr>
            <w:tcW w:w="39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8" w:lineRule="exact"/>
        <w:rPr>
          <w:sz w:val="20"/>
          <w:szCs w:val="20"/>
          <w:color w:val="auto"/>
        </w:rPr>
      </w:pPr>
    </w:p>
    <w:p>
      <w:pPr>
        <w:ind w:left="300" w:hanging="286"/>
        <w:spacing w:after="0" w:line="291" w:lineRule="auto"/>
        <w:tabs>
          <w:tab w:leader="none" w:pos="237"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2" w:lineRule="exact"/>
        <w:rPr>
          <w:rFonts w:ascii="Times New Roman" w:cs="Times New Roman" w:eastAsia="Times New Roman" w:hAnsi="Times New Roman"/>
          <w:sz w:val="15"/>
          <w:szCs w:val="15"/>
          <w:color w:val="auto"/>
        </w:rPr>
      </w:pPr>
    </w:p>
    <w:p>
      <w:pPr>
        <w:ind w:left="280" w:hanging="223"/>
        <w:spacing w:after="0"/>
        <w:tabs>
          <w:tab w:leader="none" w:pos="280" w:val="left"/>
        </w:tabs>
        <w:numPr>
          <w:ilvl w:val="3"/>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Interest income excludes amounts which are included in the segments’ income ($1 million in 2019; $2 million in 2018).</w:t>
      </w:r>
    </w:p>
    <w:p>
      <w:pPr>
        <w:spacing w:after="0" w:line="134" w:lineRule="exact"/>
        <w:rPr>
          <w:rFonts w:ascii="Times New Roman" w:cs="Times New Roman" w:eastAsia="Times New Roman" w:hAnsi="Times New Roman"/>
          <w:sz w:val="15"/>
          <w:szCs w:val="15"/>
          <w:color w:val="auto"/>
        </w:rPr>
      </w:pPr>
    </w:p>
    <w:p>
      <w:pPr>
        <w:ind w:left="300" w:hanging="270"/>
        <w:spacing w:after="0"/>
        <w:tabs>
          <w:tab w:leader="none" w:pos="300" w:val="left"/>
        </w:tabs>
        <w:numPr>
          <w:ilvl w:val="2"/>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Interest expense excludes amounts which are included in the segments’ income ($11 million in 2019; $9 million in 2018).</w:t>
      </w:r>
    </w:p>
    <w:p>
      <w:pPr>
        <w:spacing w:after="0" w:line="68" w:lineRule="exact"/>
        <w:rPr>
          <w:rFonts w:ascii="Times New Roman" w:cs="Times New Roman" w:eastAsia="Times New Roman" w:hAnsi="Times New Roman"/>
          <w:sz w:val="15"/>
          <w:szCs w:val="15"/>
          <w:color w:val="auto"/>
        </w:rPr>
      </w:pPr>
    </w:p>
    <w:p>
      <w:pPr>
        <w:ind w:left="200" w:hanging="190"/>
        <w:spacing w:after="0" w:line="291" w:lineRule="auto"/>
        <w:tabs>
          <w:tab w:leader="none" w:pos="250" w:val="left"/>
        </w:tabs>
        <w:numPr>
          <w:ilvl w:val="1"/>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Charges and credits recorded during the fourth quarter of 2018 consisted of a $215 million gain on sale of marine seismic acquisition business, a $184 million charge associated with workforce reductions and a $172 million charge related to the impairment of certain long-lived assets.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First-quarter revenue of $7.9 billion declined 4% sequentially, reflecting the expected reduction in North America land activity and seasonally lower international activity in the Northern Hemisphere. In addition, reduced software, product, and multiclient seismic license sales following the fourth-quarter increase and lower Cameron long-cycle project deliveries contributed to the sequential decline. Improved sequential activity in Latin America marginally offset these declines.</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International business results were strong, with the Reservoir Characterization, Drilling, and Production segments combining to deliver year-on-year international revenue growth of 8%, tracking Schlumberger’s expectation of high single-digit growth in the international markets for these segments for the full-year 2019.</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North America, first-quarter revenue was 3% lower sequentially driven by softer pricing and lower activity for both the hydraulic fracturing- and drilling-related businesses, while revenue from the artificial lift product line was flat sequentially. Offshore revenue in North America was slightly down sequentially with increased wireline activity in the US Gulf of Mexico offset by lower multiclient seismic license sales.</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First-quarter revenue for Reservoir Characterization fell 7% sequentially due to seasonally lower sales of software and multiclient seismic licenses. Drilling revenue declined 3% sequentially due to reduced winter activity in the Northern Hemisphere. Production revenue was 2% lower sequentially, driven by decreased OneStim</w:t>
      </w:r>
      <w:r>
        <w:rPr>
          <w:rFonts w:ascii="Times New Roman" w:cs="Times New Roman" w:eastAsia="Times New Roman" w:hAnsi="Times New Roman"/>
          <w:sz w:val="15"/>
          <w:szCs w:val="15"/>
          <w:b w:val="1"/>
          <w:bCs w:val="1"/>
          <w:color w:val="222222"/>
        </w:rPr>
        <w:t>®</w:t>
      </w:r>
      <w:r>
        <w:rPr>
          <w:rFonts w:ascii="Times New Roman" w:cs="Times New Roman" w:eastAsia="Times New Roman" w:hAnsi="Times New Roman"/>
          <w:sz w:val="18"/>
          <w:szCs w:val="18"/>
          <w:color w:val="auto"/>
        </w:rPr>
        <w:t xml:space="preserve"> revenue in North America and reduced artificial lift sales in the international markets. Cameron revenue declined 7% sequentially, primarily due to lower project deliveries from the long-cycle businesses of OneSubsea</w:t>
      </w:r>
      <w:r>
        <w:rPr>
          <w:rFonts w:ascii="Times New Roman" w:cs="Times New Roman" w:eastAsia="Times New Roman" w:hAnsi="Times New Roman"/>
          <w:sz w:val="15"/>
          <w:szCs w:val="15"/>
          <w:b w:val="1"/>
          <w:bCs w:val="1"/>
          <w:color w:val="222222"/>
        </w:rPr>
        <w:t>®</w:t>
      </w:r>
      <w:r>
        <w:rPr>
          <w:rFonts w:ascii="Times New Roman" w:cs="Times New Roman" w:eastAsia="Times New Roman" w:hAnsi="Times New Roman"/>
          <w:sz w:val="18"/>
          <w:szCs w:val="18"/>
          <w:color w:val="auto"/>
        </w:rPr>
        <w:t xml:space="preserve"> and Drilling Systems.</w:t>
      </w:r>
    </w:p>
    <w:p>
      <w:pPr>
        <w:spacing w:after="0" w:line="1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Reservoir Characterization pretax operating margin of 19% was 308 basis points (“bps”) lower sequentially due to seasonally lower revenue from Wireline activity in the Russia &amp; Central Asia GeoMarket and decreased overall sales of SIS software and WesternGeco multiclient seismic licenses.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5" w:name="page16"/>
    <w:bookmarkEnd w:id="15"/>
    <w:p>
      <w:pPr>
        <w:jc w:val="both"/>
        <w:spacing w:after="0" w:line="260" w:lineRule="auto"/>
        <w:rPr>
          <w:sz w:val="20"/>
          <w:szCs w:val="20"/>
          <w:color w:val="auto"/>
        </w:rPr>
      </w:pPr>
      <w:r>
        <w:rPr>
          <w:rFonts w:ascii="Times New Roman" w:cs="Times New Roman" w:eastAsia="Times New Roman" w:hAnsi="Times New Roman"/>
          <w:sz w:val="18"/>
          <w:szCs w:val="18"/>
          <w:color w:val="auto"/>
        </w:rPr>
        <w:t>Drilling and Production pretax operating margins of 13% and 8%, respectively, were essentially flat sequentially while Cameron pretax operating margin of 12% was 161 bps higher sequentially due to improved profitability in OneSubsea and Drilling Systems, and higher sales volumes and improved pricing in Valves &amp; Measurement.</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From a macro perspective, Schlumberger expects the oil market sentiments to steadily improve over the course of 2019, supported by a solid demand outlook combined with the OPEC and Russia production cuts taking full effect, slowing shale oil production growth in North America, and a further weakening of the international production base as the impact of four years of underinvestment becomes increasingly evident.</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Schlumberger also continues to see clear signs that E&amp;P investments are starting to normalize as the industry heads toward a more sustainable financial stewardship of the global resource base. Directionally, this means that higher investments in the international markets are required simply to keep production flat, while North America land is set for lower investments with a likely downward adjustment to the current production growth outlook.</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Schlumberger’s view of the international markets is consistent with recent third-party spending surveys, suggesting that E&amp;P investments will increase by 7 to 8% in 2019, supported by a higher rig count and a rise in the number of customer project FIDs. In line with this, offshore development activity plans continue to strengthen, with subsea tree awards reaching their highest level since 2013 last year. Schlumberger is also seeing the start of a return to exploration activity on renewed interest in reserves replacement. Notably, new discoveries in 2018 were at the lowest level since 2000.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Conversely in North America land, the higher cost of capital, lower borrowing capacity, and investors looking for increased returns suggest that future E&amp;P investment levels will likely be dictated by free cash flow. Schlumberger therefore expects E&amp;P investments in North America land to be down 10% in 2019. In addition, rising technical challenges—from parent-child well interference, step-outs from core acreage, and limited growth in lateral length and proppant per stage—all point to more moderate growth in US shale oil production in the coming years.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2019 Compared to First Quarter 2018</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36"/>
        </w:trPr>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First Quarter 2019</w:t>
            </w:r>
          </w:p>
        </w:tc>
        <w:tc>
          <w:tcPr>
            <w:tcW w:w="180" w:type="dxa"/>
            <w:vAlign w:val="bottom"/>
          </w:tcPr>
          <w:p>
            <w:pPr>
              <w:spacing w:after="0"/>
              <w:rPr>
                <w:sz w:val="24"/>
                <w:szCs w:val="24"/>
                <w:color w:val="auto"/>
              </w:rPr>
            </w:pPr>
          </w:p>
        </w:tc>
        <w:tc>
          <w:tcPr>
            <w:tcW w:w="252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color w:val="auto"/>
              </w:rPr>
              <w:t>First Quarter 2018</w:t>
            </w:r>
          </w:p>
        </w:tc>
      </w:tr>
      <w:tr>
        <w:trPr>
          <w:trHeight w:val="212"/>
        </w:trPr>
        <w:tc>
          <w:tcPr>
            <w:tcW w:w="5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6"/>
              </w:rPr>
              <w:t>Income</w:t>
            </w:r>
          </w:p>
        </w:tc>
        <w:tc>
          <w:tcPr>
            <w:tcW w:w="100" w:type="dxa"/>
            <w:vAlign w:val="bottom"/>
          </w:tcPr>
          <w:p>
            <w:pPr>
              <w:spacing w:after="0"/>
              <w:rPr>
                <w:sz w:val="18"/>
                <w:szCs w:val="18"/>
                <w:color w:val="auto"/>
              </w:rPr>
            </w:pPr>
          </w:p>
        </w:tc>
      </w:tr>
      <w:tr>
        <w:trPr>
          <w:trHeight w:val="226"/>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Before</w:t>
            </w:r>
          </w:p>
        </w:tc>
      </w:tr>
      <w:tr>
        <w:trPr>
          <w:trHeight w:val="233"/>
        </w:trPr>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Pr>
          <w:p>
            <w:pPr>
              <w:spacing w:after="0"/>
              <w:rPr>
                <w:sz w:val="20"/>
                <w:szCs w:val="20"/>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18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Taxes</w:t>
            </w:r>
          </w:p>
        </w:tc>
      </w:tr>
      <w:tr>
        <w:trPr>
          <w:trHeight w:val="219"/>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Reservoir Characterization</w:t>
            </w: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1,543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2,890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(115)</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(46)</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9"/>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Corporate &amp; other </w:t>
            </w:r>
            <w:r>
              <w:rPr>
                <w:rFonts w:ascii="Times New Roman" w:cs="Times New Roman" w:eastAsia="Times New Roman" w:hAnsi="Times New Roman"/>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(273)</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(136)</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r>
      <w:tr>
        <w:trPr>
          <w:trHeight w:val="219"/>
        </w:trPr>
        <w:tc>
          <w:tcPr>
            <w:tcW w:w="58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7,879</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8" w:lineRule="exact"/>
        <w:rPr>
          <w:sz w:val="20"/>
          <w:szCs w:val="20"/>
          <w:color w:val="auto"/>
        </w:rPr>
      </w:pPr>
    </w:p>
    <w:p>
      <w:pPr>
        <w:ind w:left="300" w:hanging="286"/>
        <w:spacing w:after="0" w:line="291" w:lineRule="auto"/>
        <w:tabs>
          <w:tab w:leader="none" w:pos="237"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72" w:lineRule="exact"/>
        <w:rPr>
          <w:rFonts w:ascii="Times New Roman" w:cs="Times New Roman" w:eastAsia="Times New Roman" w:hAnsi="Times New Roman"/>
          <w:sz w:val="15"/>
          <w:szCs w:val="15"/>
          <w:color w:val="auto"/>
        </w:rPr>
      </w:pPr>
    </w:p>
    <w:p>
      <w:pPr>
        <w:ind w:left="280" w:hanging="223"/>
        <w:spacing w:after="0"/>
        <w:tabs>
          <w:tab w:leader="none" w:pos="280" w:val="left"/>
        </w:tabs>
        <w:numPr>
          <w:ilvl w:val="2"/>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Interest income excludes amounts which are included in the segments’ income ($1 million in 2019; $3 million in 2018).</w:t>
      </w:r>
    </w:p>
    <w:p>
      <w:pPr>
        <w:spacing w:after="0" w:line="134" w:lineRule="exact"/>
        <w:rPr>
          <w:rFonts w:ascii="Times New Roman" w:cs="Times New Roman" w:eastAsia="Times New Roman" w:hAnsi="Times New Roman"/>
          <w:sz w:val="15"/>
          <w:szCs w:val="15"/>
          <w:color w:val="auto"/>
        </w:rPr>
      </w:pPr>
    </w:p>
    <w:p>
      <w:pPr>
        <w:ind w:left="300" w:hanging="270"/>
        <w:spacing w:after="0"/>
        <w:tabs>
          <w:tab w:leader="none" w:pos="30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Interest expense excludes amounts which are included in the segments’ income ($11 million in 2019; $12 million in 2018).</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Reservoir Characterization</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First-quarter 2019 revenue of $1.5 billion decreased by 1% year-on-year. Revenue for Wireline, Testing Services and Software Integrated Solutions all slightly improved year-on-year, but was more than offset by the impact of the sale of the marine seismic acquisition business during the fourth quarter of 2018 and lower revenue for OneSurface on long-term projects in the Middle East.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Year-on-year, pretax operating margin was essentially flat at 19%.</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Drilling</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First-quarter 2019 revenue of $2.4 billion increased 12% year-on-year primarily due to strong growth from Integrated Drilling Services projects in several GeoMarkets that also benefited M-I SWACO and Drilling &amp; Measurements.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Year-on-year, pretax operating margin declined 90 bps to 13% despite the higher revenue, driven primarily by the new integrated contracts.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First-quarter 2019 revenue of $2.9 billion decreased 2% year-on-year with most of the revenue decrease attributable to lower OneStim activity in North America land.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Year-on-year, pretax operating margin was essentially flat at 8%.</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Cameron</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First-quarter 2019 revenue of $1.2 billion decreased 10% versus the same period last year driven primarily by the decline of the long-cycle business of OneSubsea.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Year-on-year, pretax operating margin decreased 102 bps to 12% due mainly to the decline in higher-margin OneSubsea activities .</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and Other Income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Interest &amp; other income </w:t>
      </w:r>
      <w:r>
        <w:rPr>
          <w:rFonts w:ascii="Times New Roman" w:cs="Times New Roman" w:eastAsia="Times New Roman" w:hAnsi="Times New Roman"/>
          <w:sz w:val="18"/>
          <w:szCs w:val="18"/>
          <w:color w:val="auto"/>
        </w:rPr>
        <w:t>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(Stated in millions)</w:t>
            </w:r>
          </w:p>
        </w:tc>
      </w:tr>
      <w:tr>
        <w:trPr>
          <w:trHeight w:val="451"/>
        </w:trPr>
        <w:tc>
          <w:tcPr>
            <w:tcW w:w="78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78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 net earnings of affiliated companies</w:t>
            </w:r>
          </w:p>
        </w:tc>
        <w:tc>
          <w:tcPr>
            <w:tcW w:w="1100" w:type="dxa"/>
            <w:vAlign w:val="bottom"/>
            <w:shd w:val="clear" w:color="auto" w:fill="CFF0FC"/>
          </w:tcPr>
          <w:p>
            <w:pPr>
              <w:jc w:val="right"/>
              <w:ind w:right="9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9"/>
                <w:szCs w:val="19"/>
                <w:color w:val="auto"/>
              </w:rPr>
            </w:pPr>
          </w:p>
        </w:tc>
      </w:tr>
      <w:tr>
        <w:trPr>
          <w:trHeight w:val="226"/>
        </w:trPr>
        <w:tc>
          <w:tcPr>
            <w:tcW w:w="7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tcPr>
          <w:p>
            <w:pPr>
              <w:spacing w:after="0"/>
              <w:rPr>
                <w:sz w:val="19"/>
                <w:szCs w:val="19"/>
                <w:color w:val="auto"/>
              </w:rPr>
            </w:pPr>
          </w:p>
        </w:tc>
      </w:tr>
      <w:tr>
        <w:trPr>
          <w:trHeight w:val="219"/>
        </w:trPr>
        <w:tc>
          <w:tcPr>
            <w:tcW w:w="78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1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Research &amp; engineering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General &amp; administrative </w:t>
      </w:r>
      <w:r>
        <w:rPr>
          <w:rFonts w:ascii="Times New Roman" w:cs="Times New Roman" w:eastAsia="Times New Roman" w:hAnsi="Times New Roman"/>
          <w:sz w:val="18"/>
          <w:szCs w:val="18"/>
          <w:color w:val="auto"/>
        </w:rPr>
        <w:t>expenses, as a percentage of</w:t>
      </w:r>
      <w:r>
        <w:rPr>
          <w:rFonts w:ascii="Times New Roman" w:cs="Times New Roman" w:eastAsia="Times New Roman" w:hAnsi="Times New Roman"/>
          <w:sz w:val="18"/>
          <w:szCs w:val="18"/>
          <w:i w:val="1"/>
          <w:iCs w:val="1"/>
          <w:color w:val="auto"/>
        </w:rPr>
        <w:t xml:space="preserve"> Revenue</w:t>
      </w:r>
      <w:r>
        <w:rPr>
          <w:rFonts w:ascii="Times New Roman" w:cs="Times New Roman" w:eastAsia="Times New Roman" w:hAnsi="Times New Roman"/>
          <w:sz w:val="18"/>
          <w:szCs w:val="18"/>
          <w:color w:val="auto"/>
        </w:rPr>
        <w:t>, for the first quarter ended March 31, 2019 and 2018 were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w:t>
      </w:r>
    </w:p>
    <w:p>
      <w:pPr>
        <w:spacing w:after="0" w:line="173"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First Quarter</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680" w:type="dxa"/>
            <w:vAlign w:val="bottom"/>
            <w:tcBorders>
              <w:bottom w:val="single" w:sz="8" w:color="CFF0FC"/>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CFF0FC"/>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2018</w:t>
            </w:r>
          </w:p>
        </w:tc>
        <w:tc>
          <w:tcPr>
            <w:tcW w:w="180" w:type="dxa"/>
            <w:vAlign w:val="bottom"/>
            <w:tcBorders>
              <w:bottom w:val="single" w:sz="8" w:color="CFF0FC"/>
            </w:tcBorders>
          </w:tcPr>
          <w:p>
            <w:pPr>
              <w:spacing w:after="0"/>
              <w:rPr>
                <w:sz w:val="19"/>
                <w:szCs w:val="19"/>
                <w:color w:val="auto"/>
              </w:rPr>
            </w:pPr>
          </w:p>
        </w:tc>
      </w:tr>
      <w:tr>
        <w:trPr>
          <w:trHeight w:val="21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&amp; engineering</w:t>
            </w:r>
          </w:p>
        </w:tc>
        <w:tc>
          <w:tcPr>
            <w:tcW w:w="1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w:t>
            </w:r>
          </w:p>
        </w:tc>
        <w:tc>
          <w:tcPr>
            <w:tcW w:w="1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bl>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for the first quarter of 2019 declined year-on-year to 15.5% from 17.6%, driven primarily by the geographic mix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6054725</wp:posOffset>
            </wp:positionH>
            <wp:positionV relativeFrom="paragraph">
              <wp:posOffset>-119380</wp:posOffset>
            </wp:positionV>
            <wp:extent cx="25400" cy="1263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400" cy="126365"/>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677"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and Capital Resources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components of liquidity as well as changes in liquidity follow:</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millions)</w:t>
            </w:r>
          </w:p>
        </w:tc>
      </w:tr>
      <w:tr>
        <w:trPr>
          <w:trHeight w:val="429"/>
        </w:trPr>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4"/>
              </w:rPr>
              <w:t>Mar.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Mar.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Dec. 31,</w:t>
            </w:r>
          </w:p>
        </w:tc>
      </w:tr>
      <w:tr>
        <w:trPr>
          <w:trHeight w:val="233"/>
        </w:trPr>
        <w:tc>
          <w:tcPr>
            <w:tcW w:w="6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Components of Liquidity</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FF0FC"/>
            </w:tcBorders>
          </w:tcPr>
          <w:p>
            <w:pPr>
              <w:spacing w:after="0"/>
              <w:rPr>
                <w:sz w:val="20"/>
                <w:szCs w:val="20"/>
                <w:color w:val="auto"/>
              </w:rPr>
            </w:pPr>
          </w:p>
        </w:tc>
      </w:tr>
      <w:tr>
        <w:trPr>
          <w:trHeight w:val="21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1,865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22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4"/>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(4,586)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(1,407)</w:t>
            </w: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9"/>
                <w:szCs w:val="19"/>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(16,449)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4"/>
          </w:tcPr>
          <w:p>
            <w:pPr>
              <w:jc w:val="right"/>
              <w:ind w:right="37"/>
              <w:spacing w:after="0"/>
              <w:rPr>
                <w:sz w:val="20"/>
                <w:szCs w:val="20"/>
                <w:color w:val="auto"/>
              </w:rPr>
            </w:pPr>
            <w:r>
              <w:rPr>
                <w:rFonts w:ascii="Times New Roman" w:cs="Times New Roman" w:eastAsia="Times New Roman" w:hAnsi="Times New Roman"/>
                <w:sz w:val="18"/>
                <w:szCs w:val="18"/>
                <w:color w:val="auto"/>
              </w:rPr>
              <w:t>(13,526)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(14,644)</w:t>
            </w:r>
          </w:p>
        </w:tc>
      </w:tr>
      <w:tr>
        <w:trPr>
          <w:trHeight w:val="219"/>
        </w:trPr>
        <w:tc>
          <w:tcPr>
            <w:tcW w:w="6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Net debt </w:t>
            </w:r>
            <w:r>
              <w:rPr>
                <w:rFonts w:ascii="Times New Roman" w:cs="Times New Roman" w:eastAsia="Times New Roman" w:hAnsi="Times New Roman"/>
                <w:sz w:val="15"/>
                <w:szCs w:val="15"/>
                <w:color w:val="auto"/>
              </w:rPr>
              <w:t>(1)</w:t>
            </w:r>
          </w:p>
        </w:tc>
        <w:tc>
          <w:tcPr>
            <w:tcW w:w="220" w:type="dxa"/>
            <w:vAlign w:val="bottom"/>
            <w:tcBorders>
              <w:top w:val="single" w:sz="8" w:color="auto"/>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(14,393)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1"/>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Liquidity:</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gridSpan w:val="9"/>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w w:val="99"/>
              </w:rPr>
              <w:t>Three Months Ended Mar. 31,</w:t>
            </w:r>
          </w:p>
        </w:tc>
      </w:tr>
      <w:tr>
        <w:trPr>
          <w:trHeight w:val="219"/>
        </w:trPr>
        <w:tc>
          <w:tcPr>
            <w:tcW w:w="67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w w:val="88"/>
              </w:rPr>
              <w:t>2019</w:t>
            </w:r>
          </w:p>
        </w:tc>
        <w:tc>
          <w:tcPr>
            <w:tcW w:w="28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FF0FC"/>
            </w:tcBorders>
          </w:tcPr>
          <w:p>
            <w:pPr>
              <w:spacing w:after="0"/>
              <w:rPr>
                <w:sz w:val="19"/>
                <w:szCs w:val="19"/>
                <w:color w:val="auto"/>
              </w:rPr>
            </w:pPr>
          </w:p>
        </w:tc>
      </w:tr>
      <w:tr>
        <w:trPr>
          <w:trHeight w:val="219"/>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5"/>
                <w:szCs w:val="15"/>
                <w:color w:val="auto"/>
              </w:rPr>
              <w:t>(2)</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of equity method investments, less dividends received</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Increase in working capital </w:t>
            </w:r>
            <w:r>
              <w:rPr>
                <w:rFonts w:ascii="Times New Roman" w:cs="Times New Roman" w:eastAsia="Times New Roman" w:hAnsi="Times New Roman"/>
                <w:sz w:val="15"/>
                <w:szCs w:val="15"/>
                <w:color w:val="auto"/>
              </w:rPr>
              <w:t>(3)</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(1,048)</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(836)</w:t>
            </w: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19"/>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operations</w:t>
            </w: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top w:val="single" w:sz="8" w:color="CFF0FC"/>
            </w:tcBorders>
            <w:shd w:val="clear" w:color="auto" w:fill="CFF0FC"/>
          </w:tcPr>
          <w:p>
            <w:pPr>
              <w:spacing w:after="0"/>
              <w:rPr>
                <w:sz w:val="19"/>
                <w:szCs w:val="19"/>
                <w:color w:val="auto"/>
              </w:rPr>
            </w:pPr>
          </w:p>
        </w:tc>
      </w:tr>
      <w:tr>
        <w:trPr>
          <w:trHeight w:val="21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SPM investments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Multiclient seismic data costs capitalized</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19"/>
        </w:trPr>
        <w:tc>
          <w:tcPr>
            <w:tcW w:w="6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5"/>
                <w:szCs w:val="15"/>
                <w:b w:val="1"/>
                <w:bCs w:val="1"/>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top w:val="single" w:sz="8" w:color="CFF0FC"/>
            </w:tcBorders>
            <w:shd w:val="clear" w:color="auto" w:fill="CFF0FC"/>
          </w:tcPr>
          <w:p>
            <w:pPr>
              <w:spacing w:after="0"/>
              <w:rPr>
                <w:sz w:val="19"/>
                <w:szCs w:val="19"/>
                <w:color w:val="auto"/>
              </w:rPr>
            </w:pPr>
          </w:p>
        </w:tc>
      </w:tr>
      <w:tr>
        <w:trPr>
          <w:trHeight w:val="21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FF0FC"/>
          </w:tcPr>
          <w:p>
            <w:pPr>
              <w:spacing w:after="0"/>
              <w:rPr>
                <w:sz w:val="19"/>
                <w:szCs w:val="19"/>
                <w:color w:val="auto"/>
              </w:rPr>
            </w:pPr>
          </w:p>
        </w:tc>
      </w:tr>
      <w:tr>
        <w:trPr>
          <w:trHeight w:val="22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Stock repurchase program</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r>
      <w:tr>
        <w:trPr>
          <w:trHeight w:val="219"/>
        </w:trPr>
        <w:tc>
          <w:tcPr>
            <w:tcW w:w="67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Borders>
              <w:top w:val="single" w:sz="8" w:color="CFF0FC"/>
            </w:tcBorders>
            <w:shd w:val="clear" w:color="auto" w:fill="CFF0FC"/>
          </w:tcPr>
          <w:p>
            <w:pPr>
              <w:spacing w:after="0"/>
              <w:rPr>
                <w:sz w:val="19"/>
                <w:szCs w:val="19"/>
                <w:color w:val="auto"/>
              </w:rPr>
            </w:pPr>
          </w:p>
        </w:tc>
      </w:tr>
      <w:tr>
        <w:trPr>
          <w:trHeight w:val="21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Business acquisitions and investments, net of cash acquired plus debt assumed</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(147)</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net debt</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9"/>
                <w:szCs w:val="19"/>
                <w:color w:val="auto"/>
              </w:rPr>
            </w:pPr>
          </w:p>
        </w:tc>
      </w:tr>
      <w:tr>
        <w:trPr>
          <w:trHeight w:val="22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debt, beginning of period</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(13,274)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(13,110)</w:t>
            </w:r>
          </w:p>
        </w:tc>
      </w:tr>
      <w:tr>
        <w:trPr>
          <w:trHeight w:val="219"/>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Net debt, end of period</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(14,393)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(13,947)</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left="520" w:hanging="514"/>
        <w:spacing w:after="0" w:line="215" w:lineRule="auto"/>
        <w:tabs>
          <w:tab w:leader="none" w:pos="52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ind w:left="520" w:hanging="514"/>
        <w:spacing w:after="0" w:line="192" w:lineRule="auto"/>
        <w:tabs>
          <w:tab w:leader="none" w:pos="520" w:val="left"/>
        </w:tabs>
        <w:numPr>
          <w:ilvl w:val="0"/>
          <w:numId w:val="1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Includes depreciation of property, plant and equipment and amortization of intangible assets, multiclient seismic data costs and SPM investments.</w:t>
      </w:r>
    </w:p>
    <w:p>
      <w:pPr>
        <w:spacing w:after="0" w:line="62" w:lineRule="exact"/>
        <w:rPr>
          <w:rFonts w:ascii="Times New Roman" w:cs="Times New Roman" w:eastAsia="Times New Roman" w:hAnsi="Times New Roman"/>
          <w:sz w:val="26"/>
          <w:szCs w:val="26"/>
          <w:color w:val="auto"/>
          <w:vertAlign w:val="superscript"/>
        </w:rPr>
      </w:pPr>
    </w:p>
    <w:p>
      <w:pPr>
        <w:ind w:left="520" w:hanging="514"/>
        <w:spacing w:after="0" w:line="180" w:lineRule="auto"/>
        <w:tabs>
          <w:tab w:leader="none" w:pos="52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Includes severance payments of approximately $48 million and $76 million during the three months ended March 31, 2019 and 2018, respectively.</w:t>
      </w:r>
    </w:p>
    <w:p>
      <w:pPr>
        <w:spacing w:after="0" w:line="49" w:lineRule="exact"/>
        <w:rPr>
          <w:rFonts w:ascii="Times New Roman" w:cs="Times New Roman" w:eastAsia="Times New Roman" w:hAnsi="Times New Roman"/>
          <w:sz w:val="22"/>
          <w:szCs w:val="22"/>
          <w:color w:val="auto"/>
          <w:vertAlign w:val="superscript"/>
        </w:rPr>
      </w:pPr>
    </w:p>
    <w:p>
      <w:pPr>
        <w:jc w:val="both"/>
        <w:ind w:left="520" w:hanging="514"/>
        <w:spacing w:after="0" w:line="226" w:lineRule="auto"/>
        <w:tabs>
          <w:tab w:leader="none" w:pos="52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2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Key liquidity events during the first three months of 2019 and 2018 included:</w:t>
      </w:r>
    </w:p>
    <w:p>
      <w:pPr>
        <w:spacing w:after="0" w:line="218" w:lineRule="exact"/>
        <w:rPr>
          <w:sz w:val="20"/>
          <w:szCs w:val="20"/>
          <w:color w:val="auto"/>
        </w:rPr>
      </w:pPr>
    </w:p>
    <w:p>
      <w:pPr>
        <w:ind w:left="760" w:hanging="382"/>
        <w:spacing w:after="0" w:line="275"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21, 2016, the Board approved a $10 billion share repurchase program for Schlumberger common stock. Schlumberger had repurchased $822 million of Schlumberger common stock under this program as of March 31, 2019.</w:t>
      </w:r>
    </w:p>
    <w:p>
      <w:pPr>
        <w:spacing w:after="0" w:line="16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summarizes the activity under the share repurchase program:</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8" w:name="page19"/>
    <w:bookmarkEnd w:id="18"/>
    <w:tbl>
      <w:tblPr>
        <w:tblLayout w:type="fixed"/>
        <w:tblInd w:w="68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6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(Stated in millions, except per share amounts)</w:t>
            </w:r>
          </w:p>
        </w:tc>
      </w:tr>
      <w:tr>
        <w:trPr>
          <w:trHeight w:val="418"/>
        </w:trPr>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7"/>
              </w:rPr>
              <w:t>Total cost</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6"/>
              </w:rPr>
              <w:t>Total number</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7"/>
              </w:rPr>
              <w:t>Average price</w:t>
            </w:r>
          </w:p>
        </w:tc>
      </w:tr>
      <w:tr>
        <w:trPr>
          <w:trHeight w:val="213"/>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of shares</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of shares</w:t>
            </w:r>
          </w:p>
        </w:tc>
        <w:tc>
          <w:tcPr>
            <w:tcW w:w="16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paid per</w:t>
            </w:r>
          </w:p>
        </w:tc>
      </w:tr>
      <w:tr>
        <w:trPr>
          <w:trHeight w:val="215"/>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purchased</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purchased</w:t>
            </w:r>
          </w:p>
        </w:tc>
        <w:tc>
          <w:tcPr>
            <w:tcW w:w="16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4"/>
              </w:rPr>
              <w:t>share</w:t>
            </w:r>
          </w:p>
        </w:tc>
      </w:tr>
      <w:tr>
        <w:trPr>
          <w:trHeight w:val="222"/>
        </w:trPr>
        <w:tc>
          <w:tcPr>
            <w:tcW w:w="4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42.79</w:t>
            </w:r>
          </w:p>
        </w:tc>
        <w:tc>
          <w:tcPr>
            <w:tcW w:w="80" w:type="dxa"/>
            <w:vAlign w:val="bottom"/>
            <w:tcBorders>
              <w:top w:val="single" w:sz="8" w:color="CFF0FC"/>
            </w:tcBorders>
            <w:shd w:val="clear" w:color="auto" w:fill="CFF0FC"/>
          </w:tcPr>
          <w:p>
            <w:pPr>
              <w:spacing w:after="0"/>
              <w:rPr>
                <w:sz w:val="19"/>
                <w:szCs w:val="19"/>
                <w:color w:val="auto"/>
              </w:rPr>
            </w:pPr>
          </w:p>
        </w:tc>
      </w:tr>
      <w:tr>
        <w:trPr>
          <w:trHeight w:val="2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ended March 31, 2018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80" w:type="dxa"/>
            <w:vAlign w:val="bottom"/>
          </w:tcPr>
          <w:p>
            <w:pPr>
              <w:spacing w:after="0"/>
              <w:rPr>
                <w:sz w:val="20"/>
                <w:szCs w:val="20"/>
                <w:color w:val="auto"/>
              </w:rPr>
            </w:pPr>
          </w:p>
        </w:tc>
      </w:tr>
    </w:tbl>
    <w:p>
      <w:pPr>
        <w:spacing w:after="0" w:line="228" w:lineRule="exact"/>
        <w:rPr>
          <w:sz w:val="20"/>
          <w:szCs w:val="20"/>
          <w:color w:val="auto"/>
        </w:rPr>
      </w:pPr>
    </w:p>
    <w:p>
      <w:pPr>
        <w:ind w:left="1020" w:hanging="363"/>
        <w:spacing w:after="0" w:line="269"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$0.4 billion during the first three months of 2019 compared to $0.5 billion during the first three months of 2018. Capital expenditures for full-year 2019 are expected to be approximately $1.5 billion to $1.7 billion as compared to $2.2 billion in 2018.</w:t>
      </w:r>
    </w:p>
    <w:p>
      <w:pPr>
        <w:spacing w:after="0" w:line="1" w:lineRule="exact"/>
        <w:rPr>
          <w:rFonts w:ascii="Times New Roman" w:cs="Times New Roman" w:eastAsia="Times New Roman" w:hAnsi="Times New Roman"/>
          <w:sz w:val="18"/>
          <w:szCs w:val="18"/>
          <w:color w:val="auto"/>
        </w:rPr>
      </w:pPr>
    </w:p>
    <w:p>
      <w:pPr>
        <w:ind w:left="1040" w:hanging="369"/>
        <w:spacing w:after="0" w:line="275" w:lineRule="auto"/>
        <w:tabs>
          <w:tab w:leader="none" w:pos="10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2019, Schlumberger issued $750 million of 3.75% Senior Notes due 2024 and $850 million of 4.30% Senior Notes due 2029.</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Schlumberger generates revenue in more than 120 countries. As of March 31, 2019, only four of those countries individually accounted for greater than 5% of Schlumberger’s net receivables balance, of which only the United States accounted for greater than 10% of such receivables.</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March 31, 2019, Schlumberger had $2.2 billion of cash and short-term investments on hand. Schlumberger had separate committed debt facility agreements aggregating $6.5 billion that support commercial paper programs, of which $3.8 billion was available and unused. Schlumberger believes these amounts are sufficient to meet future business requirements for at least the next 12 months.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commercial paper programs at March 31, 2019 were $2.7 billion.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This first-quarter 2019 Form 10-Q,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our effective tax rate; Schlumberger’s SPM projects,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this first-quarter 2019 Form 10-Q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11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2018. Schlumberger’s exposure to market risk has not changed materially since December 31, 2018.</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1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jc w:val="both"/>
        <w:spacing w:after="0" w:line="251" w:lineRule="auto"/>
        <w:rPr>
          <w:sz w:val="20"/>
          <w:szCs w:val="20"/>
          <w:color w:val="auto"/>
        </w:rPr>
      </w:pPr>
      <w:r>
        <w:rPr>
          <w:rFonts w:ascii="Times New Roman" w:cs="Times New Roman" w:eastAsia="Times New Roman" w:hAnsi="Times New Roman"/>
          <w:sz w:val="18"/>
          <w:szCs w:val="18"/>
          <w:color w:val="auto"/>
        </w:rPr>
        <w:t>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Schlumberger’s internal control over financial reporting during the quarter to which this report relates that has materially affected, or is reasonably likely to materially affect, Schlumberger’s internal control over financial reporting.</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with respect to this Item 1 is set forth under Note 9—</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327"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As of the date of this filing, there have been no material changes from the risk factors disclosed in Part 1, Item 1A, of Schlumberger’s Annual Report on Form 10-K for the fiscal year ended December 31, 2018.</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Unregistered Sales of Equity Securities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Issuer Repurchases of Equity Securities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2019, Schlumberger had repurchased $822 million of Schlumberger common stock under its $10 billion share repurchase program.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Schlumberger’s common stock repurchase activity for the three months ended March 31, 2019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9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(Stated in thousands, except per share amounts)</w:t>
            </w:r>
          </w:p>
        </w:tc>
      </w:tr>
      <w:tr>
        <w:trPr>
          <w:trHeight w:val="409"/>
        </w:trPr>
        <w:tc>
          <w:tcPr>
            <w:tcW w:w="5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Total number of</w:t>
            </w:r>
          </w:p>
        </w:tc>
        <w:tc>
          <w:tcPr>
            <w:tcW w:w="240" w:type="dxa"/>
            <w:vAlign w:val="bottom"/>
          </w:tcPr>
          <w:p>
            <w:pPr>
              <w:spacing w:after="0"/>
              <w:rPr>
                <w:sz w:val="24"/>
                <w:szCs w:val="24"/>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8"/>
              </w:rPr>
              <w:t>Maximum value</w:t>
            </w:r>
          </w:p>
        </w:tc>
      </w:tr>
      <w:tr>
        <w:trPr>
          <w:trHeight w:val="199"/>
        </w:trPr>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shares purchased</w:t>
            </w:r>
          </w:p>
        </w:tc>
        <w:tc>
          <w:tcPr>
            <w:tcW w:w="240" w:type="dxa"/>
            <w:vAlign w:val="bottom"/>
          </w:tcPr>
          <w:p>
            <w:pPr>
              <w:spacing w:after="0"/>
              <w:rPr>
                <w:sz w:val="17"/>
                <w:szCs w:val="17"/>
                <w:color w:val="auto"/>
              </w:rPr>
            </w:pPr>
          </w:p>
        </w:tc>
        <w:tc>
          <w:tcPr>
            <w:tcW w:w="12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w w:val="97"/>
              </w:rPr>
              <w:t>of shares that may</w:t>
            </w:r>
          </w:p>
        </w:tc>
      </w:tr>
      <w:tr>
        <w:trPr>
          <w:trHeight w:val="199"/>
        </w:trPr>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as part of publicly</w:t>
            </w:r>
          </w:p>
        </w:tc>
        <w:tc>
          <w:tcPr>
            <w:tcW w:w="24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yet be purchased</w:t>
            </w:r>
          </w:p>
        </w:tc>
      </w:tr>
      <w:tr>
        <w:trPr>
          <w:trHeight w:val="199"/>
        </w:trPr>
        <w:tc>
          <w:tcPr>
            <w:tcW w:w="588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Total number of</w:t>
            </w:r>
          </w:p>
        </w:tc>
        <w:tc>
          <w:tcPr>
            <w:tcW w:w="120" w:type="dxa"/>
            <w:vAlign w:val="bottom"/>
          </w:tcPr>
          <w:p>
            <w:pPr>
              <w:spacing w:after="0"/>
              <w:rPr>
                <w:sz w:val="17"/>
                <w:szCs w:val="17"/>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6"/>
                <w:szCs w:val="16"/>
                <w:color w:val="auto"/>
                <w:w w:val="99"/>
              </w:rPr>
              <w:t>Average price</w:t>
            </w: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announced</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under the</w:t>
            </w:r>
          </w:p>
        </w:tc>
      </w:tr>
      <w:tr>
        <w:trPr>
          <w:trHeight w:val="211"/>
        </w:trPr>
        <w:tc>
          <w:tcPr>
            <w:tcW w:w="588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shares purchased</w:t>
            </w:r>
          </w:p>
        </w:tc>
        <w:tc>
          <w:tcPr>
            <w:tcW w:w="120" w:type="dxa"/>
            <w:vAlign w:val="bottom"/>
          </w:tcPr>
          <w:p>
            <w:pPr>
              <w:spacing w:after="0"/>
              <w:rPr>
                <w:sz w:val="18"/>
                <w:szCs w:val="18"/>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6"/>
                <w:szCs w:val="16"/>
                <w:color w:val="auto"/>
              </w:rPr>
              <w:t>paid per share</w:t>
            </w:r>
          </w:p>
        </w:tc>
        <w:tc>
          <w:tcPr>
            <w:tcW w:w="2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programs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programs</w:t>
            </w:r>
          </w:p>
        </w:tc>
      </w:tr>
      <w:tr>
        <w:trPr>
          <w:trHeight w:val="222"/>
        </w:trPr>
        <w:tc>
          <w:tcPr>
            <w:tcW w:w="5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2019</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832.6</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2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9,242,498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February 2019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4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9,212,083</w:t>
            </w:r>
          </w:p>
        </w:tc>
        <w:tc>
          <w:tcPr>
            <w:tcW w:w="100" w:type="dxa"/>
            <w:vAlign w:val="bottom"/>
          </w:tcPr>
          <w:p>
            <w:pPr>
              <w:spacing w:after="0"/>
              <w:rPr>
                <w:sz w:val="19"/>
                <w:szCs w:val="19"/>
                <w:color w:val="auto"/>
              </w:rPr>
            </w:pPr>
          </w:p>
        </w:tc>
      </w:tr>
      <w:tr>
        <w:trPr>
          <w:trHeight w:val="226"/>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2019</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4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9,178,477</w:t>
            </w:r>
          </w:p>
        </w:tc>
        <w:tc>
          <w:tcPr>
            <w:tcW w:w="100" w:type="dxa"/>
            <w:vAlign w:val="bottom"/>
            <w:shd w:val="clear" w:color="auto" w:fill="CFF0FC"/>
          </w:tcPr>
          <w:p>
            <w:pPr>
              <w:spacing w:after="0"/>
              <w:rPr>
                <w:sz w:val="19"/>
                <w:szCs w:val="19"/>
                <w:color w:val="auto"/>
              </w:rPr>
            </w:pPr>
          </w:p>
        </w:tc>
      </w:tr>
      <w:tr>
        <w:trPr>
          <w:trHeight w:val="219"/>
        </w:trPr>
        <w:tc>
          <w:tcPr>
            <w:tcW w:w="58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2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b w:val="1"/>
          <w:bCs w:val="1"/>
          <w:color w:val="auto"/>
        </w:rPr>
        <w:t>.</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67"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 2013, Schlumberger completed the wind down of its service operations in Iran. Prior to this, certain non-US subsidiaries provided oilfield services to the National Iranian Oil Company and certain of its affiliates (“NIOC”).</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Schlumberger’s residual transactions or dealings with the government of Iran during the first quarter of 2019 consisted of payments of taxes and other typical governmental charges. Certain non-US subsidiaries of Schlumberger maintain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maintained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220" w:lineRule="exact"/>
        <w:rPr>
          <w:sz w:val="20"/>
          <w:szCs w:val="20"/>
          <w:color w:val="auto"/>
        </w:rPr>
      </w:pPr>
    </w:p>
    <w:p>
      <w:pPr>
        <w:ind w:left="440" w:right="20"/>
        <w:spacing w:after="0" w:line="275" w:lineRule="auto"/>
        <w:rPr>
          <w:rFonts w:ascii="Times New Roman" w:cs="Times New Roman" w:eastAsia="Times New Roman" w:hAnsi="Times New Roman"/>
          <w:sz w:val="18"/>
          <w:szCs w:val="18"/>
          <w:u w:val="single" w:color="auto"/>
          <w:color w:val="0000EE"/>
        </w:rPr>
      </w:pPr>
      <w:hyperlink r:id="rId43">
        <w:r>
          <w:rPr>
            <w:rFonts w:ascii="Times New Roman" w:cs="Times New Roman" w:eastAsia="Times New Roman" w:hAnsi="Times New Roman"/>
            <w:sz w:val="18"/>
            <w:szCs w:val="18"/>
            <w:color w:val="auto"/>
          </w:rPr>
          <w:t>Exhibit 3.1—</w:t>
        </w:r>
        <w:r>
          <w:rPr>
            <w:rFonts w:ascii="Times New Roman" w:cs="Times New Roman" w:eastAsia="Times New Roman" w:hAnsi="Times New Roman"/>
            <w:sz w:val="18"/>
            <w:szCs w:val="18"/>
            <w:u w:val="single" w:color="auto"/>
            <w:color w:val="0000EE"/>
          </w:rPr>
          <w:t>Articles of Incorporation of Schlumberger Limited (Schlumberger N.V.) (incorporated by reference to Exhibit 3.1 to Schlumberger’s Current</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Report on Form 8-K filed on April 6, 2016)</w:t>
        </w:r>
      </w:hyperlink>
    </w:p>
    <w:p>
      <w:pPr>
        <w:spacing w:after="0" w:line="71" w:lineRule="exact"/>
        <w:rPr>
          <w:sz w:val="20"/>
          <w:szCs w:val="20"/>
          <w:color w:val="auto"/>
        </w:rPr>
      </w:pPr>
    </w:p>
    <w:p>
      <w:pPr>
        <w:ind w:left="440" w:right="100"/>
        <w:spacing w:after="0" w:line="275" w:lineRule="auto"/>
        <w:rPr>
          <w:rFonts w:ascii="Times New Roman" w:cs="Times New Roman" w:eastAsia="Times New Roman" w:hAnsi="Times New Roman"/>
          <w:sz w:val="18"/>
          <w:szCs w:val="18"/>
          <w:u w:val="single" w:color="auto"/>
          <w:color w:val="0000EE"/>
        </w:rPr>
      </w:pPr>
      <w:hyperlink r:id="rId44">
        <w:r>
          <w:rPr>
            <w:rFonts w:ascii="Times New Roman" w:cs="Times New Roman" w:eastAsia="Times New Roman" w:hAnsi="Times New Roman"/>
            <w:sz w:val="18"/>
            <w:szCs w:val="18"/>
            <w:color w:val="auto"/>
          </w:rPr>
          <w:t>Exhibit 3.2—</w:t>
        </w:r>
        <w:r>
          <w:rPr>
            <w:rFonts w:ascii="Times New Roman" w:cs="Times New Roman" w:eastAsia="Times New Roman" w:hAnsi="Times New Roman"/>
            <w:sz w:val="18"/>
            <w:szCs w:val="18"/>
            <w:u w:val="single" w:color="auto"/>
            <w:color w:val="0000EE"/>
          </w:rPr>
          <w:t>Amended and Restated By-laws of Schlumberger Limited (Schlumberger N.V.) (incorporated by reference to Exhibit 3.1 to Schlumberger’s</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Current Report on Form 8-K filed on January 19, 2017)</w:t>
        </w:r>
      </w:hyperlink>
    </w:p>
    <w:p>
      <w:pPr>
        <w:spacing w:after="0" w:line="71" w:lineRule="exact"/>
        <w:rPr>
          <w:sz w:val="20"/>
          <w:szCs w:val="20"/>
          <w:color w:val="auto"/>
        </w:rPr>
      </w:pPr>
    </w:p>
    <w:p>
      <w:pPr>
        <w:ind w:left="440" w:right="320"/>
        <w:spacing w:after="0" w:line="275" w:lineRule="auto"/>
        <w:tabs>
          <w:tab w:leader="none" w:pos="573" w:val="left"/>
        </w:tabs>
        <w:numPr>
          <w:ilvl w:val="0"/>
          <w:numId w:val="20"/>
        </w:numPr>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auto"/>
          </w:rPr>
          <w:t>Exhibit 10.1—</w:t>
        </w:r>
        <w:r>
          <w:rPr>
            <w:rFonts w:ascii="Times New Roman" w:cs="Times New Roman" w:eastAsia="Times New Roman" w:hAnsi="Times New Roman"/>
            <w:sz w:val="18"/>
            <w:szCs w:val="18"/>
            <w:u w:val="single" w:color="auto"/>
            <w:color w:val="0000EE"/>
          </w:rPr>
          <w:t>Form of 2019 Two-Year Performance Share Unit Award Agreement (with relative TSR modifier) under Schlumberger 2017 Omnibus</w:t>
        </w:r>
      </w:hyperlink>
      <w:r>
        <w:rPr>
          <w:rFonts w:ascii="Times New Roman" w:cs="Times New Roman" w:eastAsia="Times New Roman" w:hAnsi="Times New Roman"/>
          <w:sz w:val="18"/>
          <w:szCs w:val="18"/>
          <w:color w:val="auto"/>
        </w:rPr>
        <w:t xml:space="preserve"> </w:t>
      </w:r>
      <w:hyperlink w:anchor="page24">
        <w:r>
          <w:rPr>
            <w:rFonts w:ascii="Times New Roman" w:cs="Times New Roman" w:eastAsia="Times New Roman" w:hAnsi="Times New Roman"/>
            <w:sz w:val="18"/>
            <w:szCs w:val="18"/>
            <w:u w:val="single" w:color="auto"/>
            <w:color w:val="0000EE"/>
          </w:rPr>
          <w:t>Stock Incentive Plan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hyperlink>
    </w:p>
    <w:p>
      <w:pPr>
        <w:spacing w:after="0" w:line="70" w:lineRule="exact"/>
        <w:rPr>
          <w:rFonts w:ascii="Times New Roman" w:cs="Times New Roman" w:eastAsia="Times New Roman" w:hAnsi="Times New Roman"/>
          <w:sz w:val="18"/>
          <w:szCs w:val="18"/>
          <w:color w:val="0000EE"/>
        </w:rPr>
      </w:pPr>
    </w:p>
    <w:p>
      <w:pPr>
        <w:ind w:left="440" w:right="220"/>
        <w:spacing w:after="0" w:line="275" w:lineRule="auto"/>
        <w:tabs>
          <w:tab w:leader="none" w:pos="573" w:val="left"/>
        </w:tabs>
        <w:numPr>
          <w:ilvl w:val="0"/>
          <w:numId w:val="20"/>
        </w:numPr>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auto"/>
          </w:rPr>
          <w:t>Exhibit 10.2—</w:t>
        </w:r>
        <w:r>
          <w:rPr>
            <w:rFonts w:ascii="Times New Roman" w:cs="Times New Roman" w:eastAsia="Times New Roman" w:hAnsi="Times New Roman"/>
            <w:sz w:val="18"/>
            <w:szCs w:val="18"/>
            <w:u w:val="single" w:color="auto"/>
            <w:color w:val="0000EE"/>
          </w:rPr>
          <w:t>Form of 2019 Three-Year Performance Share Unit Award Agreement (with relative TSR modifier) under Schlumberger 2017 Omnibus</w:t>
        </w:r>
      </w:hyperlink>
      <w:r>
        <w:rPr>
          <w:rFonts w:ascii="Times New Roman" w:cs="Times New Roman" w:eastAsia="Times New Roman" w:hAnsi="Times New Roman"/>
          <w:sz w:val="18"/>
          <w:szCs w:val="18"/>
          <w:color w:val="auto"/>
        </w:rPr>
        <w:t xml:space="preserve"> </w:t>
      </w:r>
      <w:hyperlink w:anchor="page43">
        <w:r>
          <w:rPr>
            <w:rFonts w:ascii="Times New Roman" w:cs="Times New Roman" w:eastAsia="Times New Roman" w:hAnsi="Times New Roman"/>
            <w:sz w:val="18"/>
            <w:szCs w:val="18"/>
            <w:u w:val="single" w:color="auto"/>
            <w:color w:val="0000EE"/>
          </w:rPr>
          <w:t>Stock Incentive Plan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hyperlink>
    </w:p>
    <w:p>
      <w:pPr>
        <w:spacing w:after="0" w:line="70" w:lineRule="exact"/>
        <w:rPr>
          <w:rFonts w:ascii="Times New Roman" w:cs="Times New Roman" w:eastAsia="Times New Roman" w:hAnsi="Times New Roman"/>
          <w:sz w:val="18"/>
          <w:szCs w:val="18"/>
          <w:color w:val="0000EE"/>
        </w:rPr>
      </w:pPr>
    </w:p>
    <w:p>
      <w:pPr>
        <w:ind w:left="440" w:right="400"/>
        <w:spacing w:after="0" w:line="275" w:lineRule="auto"/>
        <w:tabs>
          <w:tab w:leader="none" w:pos="573" w:val="left"/>
        </w:tabs>
        <w:numPr>
          <w:ilvl w:val="0"/>
          <w:numId w:val="20"/>
        </w:numPr>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color w:val="auto"/>
          </w:rPr>
          <w:t>Exhibit 31.1—</w:t>
        </w:r>
        <w:r>
          <w:rPr>
            <w:rFonts w:ascii="Times New Roman" w:cs="Times New Roman" w:eastAsia="Times New Roman" w:hAnsi="Times New Roman"/>
            <w:sz w:val="18"/>
            <w:szCs w:val="18"/>
            <w:u w:val="single" w:color="auto"/>
            <w:color w:val="0000EE"/>
          </w:rPr>
          <w:t>Certification of Chief Executive Officer pursuant to Rule 13a-14(a) of the Securities Exchange Act of 1934, as amended, as adopted</w:t>
        </w:r>
      </w:hyperlink>
      <w:r>
        <w:rPr>
          <w:rFonts w:ascii="Times New Roman" w:cs="Times New Roman" w:eastAsia="Times New Roman" w:hAnsi="Times New Roman"/>
          <w:sz w:val="18"/>
          <w:szCs w:val="18"/>
          <w:color w:val="auto"/>
        </w:rPr>
        <w:t xml:space="preserve"> </w:t>
      </w:r>
      <w:hyperlink w:anchor="page62">
        <w:r>
          <w:rPr>
            <w:rFonts w:ascii="Times New Roman" w:cs="Times New Roman" w:eastAsia="Times New Roman" w:hAnsi="Times New Roman"/>
            <w:sz w:val="18"/>
            <w:szCs w:val="18"/>
            <w:u w:val="single" w:color="auto"/>
            <w:color w:val="0000EE"/>
          </w:rPr>
          <w:t>pursuant to Section 302 of the Sarbanes-Oxley Act of 2002</w:t>
        </w:r>
      </w:hyperlink>
    </w:p>
    <w:p>
      <w:pPr>
        <w:spacing w:after="0" w:line="70" w:lineRule="exact"/>
        <w:rPr>
          <w:rFonts w:ascii="Times New Roman" w:cs="Times New Roman" w:eastAsia="Times New Roman" w:hAnsi="Times New Roman"/>
          <w:sz w:val="18"/>
          <w:szCs w:val="18"/>
          <w:u w:val="single" w:color="auto"/>
          <w:color w:val="0000EE"/>
        </w:rPr>
      </w:pPr>
    </w:p>
    <w:p>
      <w:pPr>
        <w:ind w:left="440" w:right="460"/>
        <w:spacing w:after="0" w:line="275" w:lineRule="auto"/>
        <w:tabs>
          <w:tab w:leader="none" w:pos="573" w:val="left"/>
        </w:tabs>
        <w:numPr>
          <w:ilvl w:val="0"/>
          <w:numId w:val="20"/>
        </w:numPr>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color w:val="auto"/>
          </w:rPr>
          <w:t>Exhibit 31.2—</w:t>
        </w:r>
        <w:r>
          <w:rPr>
            <w:rFonts w:ascii="Times New Roman" w:cs="Times New Roman" w:eastAsia="Times New Roman" w:hAnsi="Times New Roman"/>
            <w:sz w:val="18"/>
            <w:szCs w:val="18"/>
            <w:u w:val="single" w:color="auto"/>
            <w:color w:val="0000EE"/>
          </w:rPr>
          <w:t>Certification of Chief Financial Officer pursuant to Rule 13a-14(a) of the Securities Exchange Act of 1934, as amended, as adopted</w:t>
        </w:r>
      </w:hyperlink>
      <w:r>
        <w:rPr>
          <w:rFonts w:ascii="Times New Roman" w:cs="Times New Roman" w:eastAsia="Times New Roman" w:hAnsi="Times New Roman"/>
          <w:sz w:val="18"/>
          <w:szCs w:val="18"/>
          <w:color w:val="auto"/>
        </w:rPr>
        <w:t xml:space="preserve"> </w:t>
      </w:r>
      <w:hyperlink w:anchor="page63">
        <w:r>
          <w:rPr>
            <w:rFonts w:ascii="Times New Roman" w:cs="Times New Roman" w:eastAsia="Times New Roman" w:hAnsi="Times New Roman"/>
            <w:sz w:val="18"/>
            <w:szCs w:val="18"/>
            <w:u w:val="single" w:color="auto"/>
            <w:color w:val="0000EE"/>
          </w:rPr>
          <w:t>pursuant to Section 302 of the Sarbanes-Oxley Act of 2002</w:t>
        </w:r>
      </w:hyperlink>
    </w:p>
    <w:p>
      <w:pPr>
        <w:spacing w:after="0" w:line="71" w:lineRule="exact"/>
        <w:rPr>
          <w:rFonts w:ascii="Times New Roman" w:cs="Times New Roman" w:eastAsia="Times New Roman" w:hAnsi="Times New Roman"/>
          <w:sz w:val="18"/>
          <w:szCs w:val="18"/>
          <w:color w:val="auto"/>
        </w:rPr>
      </w:pPr>
    </w:p>
    <w:p>
      <w:pPr>
        <w:ind w:left="440" w:right="120"/>
        <w:spacing w:after="0" w:line="275" w:lineRule="auto"/>
        <w:tabs>
          <w:tab w:leader="none" w:pos="661" w:val="left"/>
        </w:tabs>
        <w:numPr>
          <w:ilvl w:val="0"/>
          <w:numId w:val="21"/>
        </w:numPr>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color w:val="auto"/>
          </w:rPr>
          <w:t>Exhibit 32.1—</w:t>
        </w:r>
        <w:r>
          <w:rPr>
            <w:rFonts w:ascii="Times New Roman" w:cs="Times New Roman" w:eastAsia="Times New Roman" w:hAnsi="Times New Roman"/>
            <w:sz w:val="18"/>
            <w:szCs w:val="18"/>
            <w:u w:val="single" w:color="auto"/>
            <w:color w:val="0000EE"/>
          </w:rPr>
          <w:t>Certification of Chief Executive Officer pursuant to 18 U.S.C. Section 1350, as adopted pursuant to Section 906 of the Sarbanes-Oxley</w:t>
        </w:r>
      </w:hyperlink>
      <w:r>
        <w:rPr>
          <w:rFonts w:ascii="Times New Roman" w:cs="Times New Roman" w:eastAsia="Times New Roman" w:hAnsi="Times New Roman"/>
          <w:sz w:val="18"/>
          <w:szCs w:val="18"/>
          <w:color w:val="auto"/>
        </w:rPr>
        <w:t xml:space="preserve"> </w:t>
      </w:r>
      <w:hyperlink w:anchor="page64">
        <w:r>
          <w:rPr>
            <w:rFonts w:ascii="Times New Roman" w:cs="Times New Roman" w:eastAsia="Times New Roman" w:hAnsi="Times New Roman"/>
            <w:sz w:val="18"/>
            <w:szCs w:val="18"/>
            <w:u w:val="single" w:color="auto"/>
            <w:color w:val="0000EE"/>
          </w:rPr>
          <w:t>Act of 2002</w:t>
        </w:r>
      </w:hyperlink>
    </w:p>
    <w:p>
      <w:pPr>
        <w:spacing w:after="0" w:line="70" w:lineRule="exact"/>
        <w:rPr>
          <w:rFonts w:ascii="Times New Roman" w:cs="Times New Roman" w:eastAsia="Times New Roman" w:hAnsi="Times New Roman"/>
          <w:sz w:val="18"/>
          <w:szCs w:val="18"/>
          <w:u w:val="single" w:color="auto"/>
          <w:color w:val="0000EE"/>
        </w:rPr>
      </w:pPr>
    </w:p>
    <w:p>
      <w:pPr>
        <w:ind w:left="440" w:right="160"/>
        <w:spacing w:after="0" w:line="275" w:lineRule="auto"/>
        <w:tabs>
          <w:tab w:leader="none" w:pos="661" w:val="left"/>
        </w:tabs>
        <w:numPr>
          <w:ilvl w:val="0"/>
          <w:numId w:val="21"/>
        </w:numPr>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color w:val="auto"/>
          </w:rPr>
          <w:t>Exhibit 32.2—</w:t>
        </w:r>
        <w:r>
          <w:rPr>
            <w:rFonts w:ascii="Times New Roman" w:cs="Times New Roman" w:eastAsia="Times New Roman" w:hAnsi="Times New Roman"/>
            <w:sz w:val="18"/>
            <w:szCs w:val="18"/>
            <w:u w:val="single" w:color="auto"/>
            <w:color w:val="0000EE"/>
          </w:rPr>
          <w:t>Certification of Chief Financial Officer pursuant to 18 U.S.C. Section 1350, as adopted pursuant to Section 906 of the Sarbanes-Oxley</w:t>
        </w:r>
      </w:hyperlink>
      <w:r>
        <w:rPr>
          <w:rFonts w:ascii="Times New Roman" w:cs="Times New Roman" w:eastAsia="Times New Roman" w:hAnsi="Times New Roman"/>
          <w:sz w:val="18"/>
          <w:szCs w:val="18"/>
          <w:color w:val="auto"/>
        </w:rPr>
        <w:t xml:space="preserve"> </w:t>
      </w:r>
      <w:hyperlink w:anchor="page65">
        <w:r>
          <w:rPr>
            <w:rFonts w:ascii="Times New Roman" w:cs="Times New Roman" w:eastAsia="Times New Roman" w:hAnsi="Times New Roman"/>
            <w:sz w:val="18"/>
            <w:szCs w:val="18"/>
            <w:u w:val="single" w:color="auto"/>
            <w:color w:val="0000EE"/>
          </w:rPr>
          <w:t>Act of 2002</w:t>
        </w:r>
      </w:hyperlink>
    </w:p>
    <w:p>
      <w:pPr>
        <w:spacing w:after="0" w:line="71" w:lineRule="exact"/>
        <w:rPr>
          <w:rFonts w:ascii="Times New Roman" w:cs="Times New Roman" w:eastAsia="Times New Roman" w:hAnsi="Times New Roman"/>
          <w:sz w:val="18"/>
          <w:szCs w:val="18"/>
          <w:color w:val="auto"/>
        </w:rPr>
      </w:pPr>
    </w:p>
    <w:p>
      <w:pPr>
        <w:ind w:left="580" w:hanging="140"/>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95—</w:t>
      </w:r>
      <w:hyperlink w:anchor="page66">
        <w:r>
          <w:rPr>
            <w:rFonts w:ascii="Times New Roman" w:cs="Times New Roman" w:eastAsia="Times New Roman" w:hAnsi="Times New Roman"/>
            <w:sz w:val="18"/>
            <w:szCs w:val="18"/>
            <w:u w:val="single" w:color="auto"/>
            <w:color w:val="0000EE"/>
          </w:rPr>
          <w:t>Mine Safety Disclosures</w:t>
        </w:r>
      </w:hyperlink>
    </w:p>
    <w:p>
      <w:pPr>
        <w:spacing w:after="0" w:line="125" w:lineRule="exact"/>
        <w:rPr>
          <w:rFonts w:ascii="Times New Roman" w:cs="Times New Roman" w:eastAsia="Times New Roman" w:hAnsi="Times New Roman"/>
          <w:sz w:val="18"/>
          <w:szCs w:val="18"/>
          <w:color w:val="auto"/>
        </w:rPr>
      </w:pPr>
    </w:p>
    <w:p>
      <w:pPr>
        <w:ind w:left="440"/>
        <w:spacing w:after="0" w:line="256" w:lineRule="auto"/>
        <w:tabs>
          <w:tab w:leader="none" w:pos="57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101—The following materials from Schlumberger Limited’s Quarterly Report on Form 10-Q for the quarter ended March 31, 2019, formatted in XBRL (Extensible Business Reporting Language): (i) Consolidated Statement of Income (Loss); (ii) Consolidated Statement of Comprehensive Income (Loss); (iii) Consolidated Balance Sheet; (iv) Consolidated Statement of Cash Flows; (v) Consolidated Statement of Equity and (vi) Notes to Consolidated Financial Statements.</w:t>
      </w:r>
    </w:p>
    <w:p>
      <w:pPr>
        <w:spacing w:after="0" w:line="86" w:lineRule="exact"/>
        <w:rPr>
          <w:rFonts w:ascii="Times New Roman" w:cs="Times New Roman" w:eastAsia="Times New Roman" w:hAnsi="Times New Roman"/>
          <w:sz w:val="18"/>
          <w:szCs w:val="18"/>
          <w:color w:val="auto"/>
        </w:rPr>
      </w:pPr>
    </w:p>
    <w:p>
      <w:pPr>
        <w:ind w:left="580" w:hanging="140"/>
        <w:spacing w:after="0"/>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Form 10-Q.</w:t>
      </w:r>
    </w:p>
    <w:p>
      <w:pPr>
        <w:spacing w:after="0" w:line="25"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 Furnished with this Form 10-Q.</w:t>
      </w:r>
    </w:p>
    <w:p>
      <w:pPr>
        <w:spacing w:after="0" w:line="6"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 Compensatory plans or arrangements.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29107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358" w:right="259" w:bottom="1440" w:gutter="0" w:footer="0" w:header="0"/>
        </w:sectPr>
      </w:pPr>
    </w:p>
    <w:bookmarkStart w:id="22" w:name="page23"/>
    <w:bookmarkEnd w:id="22"/>
    <w:p>
      <w:pPr>
        <w:jc w:val="center"/>
        <w:ind w:right="-399"/>
        <w:spacing w:after="0"/>
        <w:rPr>
          <w:sz w:val="20"/>
          <w:szCs w:val="20"/>
          <w:color w:val="auto"/>
        </w:rPr>
      </w:pPr>
      <w:r>
        <w:rPr>
          <w:rFonts w:ascii="Times New Roman" w:cs="Times New Roman" w:eastAsia="Times New Roman" w:hAnsi="Times New Roman"/>
          <w:sz w:val="18"/>
          <w:szCs w:val="18"/>
          <w:color w:val="auto"/>
        </w:rPr>
        <w:t>SIGNATURE</w:t>
      </w:r>
    </w:p>
    <w:p>
      <w:pPr>
        <w:spacing w:after="0" w:line="21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90"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(Registrant)</w:t>
      </w:r>
    </w:p>
    <w:p>
      <w:pPr>
        <w:spacing w:after="0" w:line="199" w:lineRule="exact"/>
        <w:rPr>
          <w:sz w:val="20"/>
          <w:szCs w:val="20"/>
          <w:color w:val="auto"/>
        </w:rPr>
      </w:pPr>
    </w:p>
    <w:p>
      <w:pPr>
        <w:spacing w:after="0"/>
        <w:tabs>
          <w:tab w:leader="none" w:pos="800" w:val="left"/>
          <w:tab w:leader="none" w:pos="62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24, 2019</w:t>
      </w:r>
      <w:r>
        <w:rPr>
          <w:sz w:val="20"/>
          <w:szCs w:val="20"/>
          <w:color w:val="auto"/>
        </w:rPr>
        <w:tab/>
      </w:r>
      <w:r>
        <w:rPr>
          <w:rFonts w:ascii="Times New Roman" w:cs="Times New Roman" w:eastAsia="Times New Roman" w:hAnsi="Times New Roman"/>
          <w:sz w:val="17"/>
          <w:szCs w:val="17"/>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15240</wp:posOffset>
            </wp:positionV>
            <wp:extent cx="28943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1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6"/>
          <w:szCs w:val="16"/>
          <w:b w:val="1"/>
          <w:bCs w:val="1"/>
          <w:color w:val="auto"/>
        </w:rPr>
        <w:t>Howard Guild</w:t>
      </w:r>
    </w:p>
    <w:p>
      <w:pPr>
        <w:spacing w:after="0" w:line="2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6"/>
          <w:szCs w:val="16"/>
          <w:b w:val="1"/>
          <w:bCs w:val="1"/>
          <w:color w:val="auto"/>
        </w:rPr>
        <w:t>Chief Accounting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240" w:top="360" w:right="6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6163945</wp:posOffset>
            </wp:positionH>
            <wp:positionV relativeFrom="paragraph">
              <wp:posOffset>153670</wp:posOffset>
            </wp:positionV>
            <wp:extent cx="1088390" cy="2279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088390" cy="22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2019 PERFORMANCE SHARE UNIT AWARD AGREEMENT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(WITH RELATIVE TSR MODIFIER)</w:t>
      </w:r>
    </w:p>
    <w:p>
      <w:pPr>
        <w:jc w:val="center"/>
        <w:spacing w:after="0" w:line="237" w:lineRule="auto"/>
        <w:rPr>
          <w:sz w:val="20"/>
          <w:szCs w:val="20"/>
          <w:color w:val="auto"/>
        </w:rPr>
      </w:pPr>
      <w:r>
        <w:rPr>
          <w:rFonts w:ascii="Times New Roman" w:cs="Times New Roman" w:eastAsia="Times New Roman" w:hAnsi="Times New Roman"/>
          <w:sz w:val="21"/>
          <w:szCs w:val="21"/>
          <w:b w:val="1"/>
          <w:bCs w:val="1"/>
          <w:color w:val="auto"/>
        </w:rPr>
        <w:t>under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SCHLUMBERGER 2017 OMNIBUS STOCK INCENTIVE PLAN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u w:val="single" w:color="auto"/>
          <w:color w:val="auto"/>
        </w:rPr>
        <w:t>Includes Confidentiality, Intellectual Property, Non-Competition, and Non-Solicitation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u w:val="single" w:color="auto"/>
          <w:color w:val="auto"/>
        </w:rPr>
        <w:t>Provisions in Section 9 and Attachment II</w:t>
      </w:r>
      <w:r>
        <w:rPr>
          <w:rFonts w:ascii="Times New Roman" w:cs="Times New Roman" w:eastAsia="Times New Roman" w:hAnsi="Times New Roman"/>
          <w:sz w:val="21"/>
          <w:szCs w:val="21"/>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Free Cash Flow Performance Period: 2019 and 2020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TSR Performance Period: 2019, 2020 and 2021</w:t>
      </w:r>
    </w:p>
    <w:p>
      <w:pPr>
        <w:spacing w:after="0" w:line="186" w:lineRule="exact"/>
        <w:rPr>
          <w:sz w:val="20"/>
          <w:szCs w:val="20"/>
          <w:color w:val="auto"/>
        </w:rPr>
      </w:pPr>
    </w:p>
    <w:p>
      <w:pPr>
        <w:jc w:val="both"/>
        <w:ind w:firstLine="878"/>
        <w:spacing w:after="0" w:line="255" w:lineRule="auto"/>
        <w:rPr>
          <w:sz w:val="20"/>
          <w:szCs w:val="20"/>
          <w:color w:val="auto"/>
        </w:rPr>
      </w:pPr>
      <w:r>
        <w:rPr>
          <w:rFonts w:ascii="Times New Roman" w:cs="Times New Roman" w:eastAsia="Times New Roman" w:hAnsi="Times New Roman"/>
          <w:sz w:val="21"/>
          <w:szCs w:val="21"/>
          <w:color w:val="auto"/>
        </w:rPr>
        <w:t xml:space="preserve">This Performance Share Unit Award Agreement (as may be amended, the “Agreement”) is granted effective as of January 16, 2019 (the “Grant Date”) by Schlumberger Limited (the “Company”), for the benefit of </w:t>
      </w:r>
      <w:r>
        <w:rPr>
          <w:rFonts w:ascii="Times New Roman" w:cs="Times New Roman" w:eastAsia="Times New Roman" w:hAnsi="Times New Roman"/>
          <w:sz w:val="21"/>
          <w:szCs w:val="21"/>
          <w:b w:val="1"/>
          <w:bCs w:val="1"/>
          <w:color w:val="auto"/>
        </w:rPr>
        <w:t>___________</w:t>
      </w:r>
      <w:r>
        <w:rPr>
          <w:rFonts w:ascii="Times New Roman" w:cs="Times New Roman" w:eastAsia="Times New Roman" w:hAnsi="Times New Roman"/>
          <w:sz w:val="21"/>
          <w:szCs w:val="21"/>
          <w:color w:val="auto"/>
        </w:rPr>
        <w:t xml:space="preserve"> (“Employee”), pursuant to the Schlumberger 2017 Omnibus Stock Incentive Plan, as may be amended (the “Plan”).</w:t>
      </w:r>
    </w:p>
    <w:p>
      <w:pPr>
        <w:spacing w:after="0" w:line="161" w:lineRule="exact"/>
        <w:rPr>
          <w:sz w:val="20"/>
          <w:szCs w:val="20"/>
          <w:color w:val="auto"/>
        </w:rPr>
      </w:pPr>
    </w:p>
    <w:p>
      <w:pPr>
        <w:jc w:val="both"/>
        <w:ind w:firstLine="884"/>
        <w:spacing w:after="0" w:line="242" w:lineRule="auto"/>
        <w:tabs>
          <w:tab w:leader="none" w:pos="1661"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In consideration of Employee’s continued employment as hereinafter set forth, the Company hereby grants to Employee an award of “Performance Share Units,” provided that (except as otherwise provided in Section 2(c)) the final number of Performance Share Units will be determined in accordance with the performance criteria set forth on Attachment I to this Agreement. The target Performance Share Units subject to this award is set forth in an award letter previously delivered to Employee and the Notice of Grant of Award of Performance Share Units attached hereto. The Performance Share Units are notional units of measurement denominated in shares of common stock of the Company, $.01 par value per share (“Common Stock”). Each Performance Share Unit represents a right to receive one share of Common Stock or equivalent value, subject to the conditions and restrictions on transferability set forth herein and in the Plan.</w:t>
      </w:r>
    </w:p>
    <w:p>
      <w:pPr>
        <w:spacing w:after="0" w:line="178" w:lineRule="exact"/>
        <w:rPr>
          <w:rFonts w:ascii="Times New Roman" w:cs="Times New Roman" w:eastAsia="Times New Roman" w:hAnsi="Times New Roman"/>
          <w:sz w:val="19"/>
          <w:szCs w:val="19"/>
          <w:color w:val="auto"/>
        </w:rPr>
      </w:pPr>
    </w:p>
    <w:p>
      <w:pPr>
        <w:jc w:val="both"/>
        <w:ind w:firstLine="884"/>
        <w:spacing w:after="0" w:line="255" w:lineRule="auto"/>
        <w:tabs>
          <w:tab w:leader="none" w:pos="1661"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Vesting of Performance Share Units</w:t>
      </w:r>
      <w:r>
        <w:rPr>
          <w:rFonts w:ascii="Times New Roman" w:cs="Times New Roman" w:eastAsia="Times New Roman" w:hAnsi="Times New Roman"/>
          <w:sz w:val="21"/>
          <w:szCs w:val="21"/>
          <w:color w:val="auto"/>
        </w:rPr>
        <w:t>. The period of time from and including January 1, 2019 to December 31, 2020 is the “Free Cash Flow Performance Period.” The period of time from and including January 1, 2019 to December 31, 2021 is the “TSR Performance Period.” The Performance Share Units will vest as follows:</w:t>
      </w:r>
    </w:p>
    <w:p>
      <w:pPr>
        <w:spacing w:after="0" w:line="161" w:lineRule="exact"/>
        <w:rPr>
          <w:sz w:val="20"/>
          <w:szCs w:val="20"/>
          <w:color w:val="auto"/>
        </w:rPr>
      </w:pPr>
    </w:p>
    <w:p>
      <w:pPr>
        <w:jc w:val="both"/>
        <w:ind w:firstLine="884"/>
        <w:spacing w:after="0" w:line="241" w:lineRule="auto"/>
        <w:tabs>
          <w:tab w:leader="none" w:pos="1751"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Friday following the first meeting of the Compensation Committee of the Board of Directors of the Company (the “Committee”) in 2022, or as soon thereafter as reasonably practicable (such date, the “Vesting Date”), a number of Performance Share Units will vest based on the extent to which the Company has satisfied the performance conditions set forth on Attachment I, provided that Employee is continuously employed by the Company or any of its Subsidiaries from the Grant Date through the Vesting Date and has not experienced a Termination of Employment (as defined in Section 12(w) below) as of such date. Except as provided in Sections 2(b) and 2(c) below, if there is any Termination of Employment during the period from and between the Grant Date until and including the Vesting Date, Employee will immediately and automatically forfeit all Performance Share Units. The Committee may delegate, to an officer of the Company or to a subcommittee of the Committee, its authority to determine whether Employee has incurred a Termination of Employment, the cause of such termination or any related issue, and any such determination by the Committee or its delegate will be final and binding on all parties.</w:t>
      </w:r>
    </w:p>
    <w:p>
      <w:pPr>
        <w:spacing w:after="0" w:line="187"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884"/>
        <w:spacing w:after="0" w:line="249" w:lineRule="auto"/>
        <w:tabs>
          <w:tab w:leader="none" w:pos="1763"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Employee’s Termination of Employment occurs due to Retirement (as defined in Section 12(p) below) or Special Retirement (as defined in Section 12(s) below), the Performance Share Units will vest in accordance with Section 2(a) above as if Employee had remained continuously employed by the Company or any of its Subsidiaries from the Grant Date through the Vesting Date.</w:t>
      </w:r>
    </w:p>
    <w:p>
      <w:pPr>
        <w:spacing w:after="0" w:line="167" w:lineRule="exact"/>
        <w:rPr>
          <w:rFonts w:ascii="Times New Roman" w:cs="Times New Roman" w:eastAsia="Times New Roman" w:hAnsi="Times New Roman"/>
          <w:sz w:val="21"/>
          <w:szCs w:val="21"/>
          <w:color w:val="auto"/>
        </w:rPr>
      </w:pPr>
    </w:p>
    <w:p>
      <w:pPr>
        <w:jc w:val="both"/>
        <w:ind w:firstLine="884"/>
        <w:spacing w:after="0" w:line="255" w:lineRule="auto"/>
        <w:tabs>
          <w:tab w:leader="none" w:pos="1751"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Employee’s Termination of Employment occurs due to Disability (as defined in Section 12(h) below) or death, then immediately on the occurrence of such Termination of Employment, the target number of Performance Share Units will vest, and the date of such Termination of Employment will be considered the Vesting Date.</w:t>
      </w:r>
    </w:p>
    <w:p>
      <w:pPr>
        <w:spacing w:after="0" w:line="161" w:lineRule="exact"/>
        <w:rPr>
          <w:sz w:val="20"/>
          <w:szCs w:val="20"/>
          <w:color w:val="auto"/>
        </w:rPr>
      </w:pPr>
    </w:p>
    <w:p>
      <w:pPr>
        <w:jc w:val="both"/>
        <w:ind w:firstLine="884"/>
        <w:spacing w:after="0" w:line="249" w:lineRule="auto"/>
        <w:tabs>
          <w:tab w:leader="none" w:pos="1661"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Settlement of Performance Share Units</w:t>
      </w:r>
      <w:r>
        <w:rPr>
          <w:rFonts w:ascii="Times New Roman" w:cs="Times New Roman" w:eastAsia="Times New Roman" w:hAnsi="Times New Roman"/>
          <w:sz w:val="21"/>
          <w:szCs w:val="21"/>
          <w:color w:val="auto"/>
        </w:rPr>
        <w:t>. Payment of vested Performance Share Units will be made in shares of Common Stock as soon as administratively practicable, but in no event later than 2-1/2 months following the Vesting Date (the date of any such payment, the “Settlement Date”); provided, however, that the Committee may, in its sole and absolute discretion, settle the vested Performance Share Units in cash based on the Fair Market Value of the shares of Common Stock on the Settlement Date.</w:t>
      </w:r>
    </w:p>
    <w:p>
      <w:pPr>
        <w:spacing w:after="0" w:line="167" w:lineRule="exact"/>
        <w:rPr>
          <w:rFonts w:ascii="Times New Roman" w:cs="Times New Roman" w:eastAsia="Times New Roman" w:hAnsi="Times New Roman"/>
          <w:sz w:val="19"/>
          <w:szCs w:val="19"/>
          <w:color w:val="auto"/>
        </w:rPr>
      </w:pPr>
    </w:p>
    <w:p>
      <w:pPr>
        <w:ind w:left="1660" w:hanging="776"/>
        <w:spacing w:after="0"/>
        <w:tabs>
          <w:tab w:leader="none" w:pos="166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Forfeiture of Performance Share Units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884"/>
        <w:spacing w:after="0" w:line="246" w:lineRule="auto"/>
        <w:tabs>
          <w:tab w:leader="none" w:pos="1751"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during the TSR Performance Period and up to and including the Vesting Date, upon a Termination of Employment for any reason that does not result in a continuation or acceleration of vesting pursuant to Section 2, Employee will immediately and automatically forfeit all unvested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71" w:lineRule="exact"/>
        <w:rPr>
          <w:rFonts w:ascii="Times New Roman" w:cs="Times New Roman" w:eastAsia="Times New Roman" w:hAnsi="Times New Roman"/>
          <w:sz w:val="21"/>
          <w:szCs w:val="21"/>
          <w:color w:val="auto"/>
        </w:rPr>
      </w:pPr>
    </w:p>
    <w:p>
      <w:pPr>
        <w:jc w:val="both"/>
        <w:ind w:firstLine="884"/>
        <w:spacing w:after="0" w:line="246" w:lineRule="auto"/>
        <w:tabs>
          <w:tab w:leader="none" w:pos="1763"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in this Agreement to the contrary, if at any time during the TSR Performance Period and up to and including the Vesting Date, Employee engages in Detrimental Activity (as defined in Section 12(f) below), Employee will immediately and automatically forfeit all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71" w:lineRule="exact"/>
        <w:rPr>
          <w:sz w:val="20"/>
          <w:szCs w:val="20"/>
          <w:color w:val="auto"/>
        </w:rPr>
      </w:pPr>
    </w:p>
    <w:p>
      <w:pPr>
        <w:ind w:left="1660" w:hanging="776"/>
        <w:spacing w:after="0"/>
        <w:tabs>
          <w:tab w:leader="none" w:pos="166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Restrictions on Transfer of Performance Share Units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884"/>
        <w:spacing w:after="0" w:line="244" w:lineRule="auto"/>
        <w:tabs>
          <w:tab w:leader="none" w:pos="1751"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Share Units granted hereunder to Employee may not be sold, assigned, transferred, pledged or otherwise encumbered, whether voluntarily or involuntarily, by operation of law or otherwise (any of the foregoing, a “Transfer”), other than (i) to the Company as a result of the forfeiture of Performance Share Units, or (ii) by will or applicable laws of descent and distribution. Payment of Performance Share Units after Employee’s death will be made to Employee’s estate or, in the sole and absolute discretion of the Committee, to the person or persons entitled to receive such payment under applicable laws of descent and distribution.</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884"/>
        <w:spacing w:after="0" w:line="244" w:lineRule="auto"/>
        <w:tabs>
          <w:tab w:leader="none" w:pos="1763"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Performance Share Units will terminate and become of no further effect.</w:t>
      </w:r>
    </w:p>
    <w:p>
      <w:pPr>
        <w:spacing w:after="0" w:line="175" w:lineRule="exact"/>
        <w:rPr>
          <w:sz w:val="20"/>
          <w:szCs w:val="20"/>
          <w:color w:val="auto"/>
        </w:rPr>
      </w:pPr>
    </w:p>
    <w:p>
      <w:pPr>
        <w:jc w:val="both"/>
        <w:ind w:firstLine="884"/>
        <w:spacing w:after="0" w:line="255" w:lineRule="auto"/>
        <w:tabs>
          <w:tab w:leader="none" w:pos="1661"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Rights as a Stockholder</w:t>
      </w:r>
      <w:r>
        <w:rPr>
          <w:rFonts w:ascii="Times New Roman" w:cs="Times New Roman" w:eastAsia="Times New Roman" w:hAnsi="Times New Roman"/>
          <w:sz w:val="21"/>
          <w:szCs w:val="21"/>
          <w:color w:val="auto"/>
        </w:rPr>
        <w:t>. Employee will have no rights as a stockholder of the Company with regard to the Performance Share Units. Rights as a stockholder of the Company will arise only if the Performance Share Units are settled in shares of Common Stock pursuant to Section 3 above.</w:t>
      </w:r>
    </w:p>
    <w:p>
      <w:pPr>
        <w:spacing w:after="0" w:line="160" w:lineRule="exact"/>
        <w:rPr>
          <w:rFonts w:ascii="Times New Roman" w:cs="Times New Roman" w:eastAsia="Times New Roman" w:hAnsi="Times New Roman"/>
          <w:sz w:val="19"/>
          <w:szCs w:val="19"/>
          <w:color w:val="auto"/>
        </w:rPr>
      </w:pPr>
    </w:p>
    <w:p>
      <w:pPr>
        <w:ind w:left="1660" w:hanging="776"/>
        <w:spacing w:after="0"/>
        <w:tabs>
          <w:tab w:leader="none" w:pos="166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Tax and Social Insurance Withholding</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884"/>
        <w:spacing w:after="0" w:line="241" w:lineRule="auto"/>
        <w:tabs>
          <w:tab w:leader="none" w:pos="1751"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Regardless of any action the Company takes with respect to any or all income tax (including foreign, federal, state and local taxes), social insurance, payroll tax, payment on account or other tax-related items related to Employee’s participation in the Plan and legally applicable to him or her (“Tax-Related Items”), Employee acknowledges that the ultimate liability for all Tax-Related Items legally due by Employee is and remains his or her responsibility and may exceed the amount actually withheld by the Company. Employee further acknowledges that the Company (i) makes no representations or undertakings regarding the treatment of any Tax-Related Items in connection with any aspect of the Performance Share Units, including the grant of the Performance Share Units, the vesting of the Performance Share Units, the conversion of the Performance Share Units into shares of Common Stock or the receipt of any equivalent cash payment, or the subsequent sale of any shares of Common Stock acquired at vesting, and (ii) does not commit to structure the terms of the grant or any aspect of the Performance Share Units to reduce or eliminate Employee’s liability for the Tax-Related Items.</w:t>
      </w:r>
    </w:p>
    <w:p>
      <w:pPr>
        <w:spacing w:after="0" w:line="179" w:lineRule="exact"/>
        <w:rPr>
          <w:rFonts w:ascii="Times New Roman" w:cs="Times New Roman" w:eastAsia="Times New Roman" w:hAnsi="Times New Roman"/>
          <w:sz w:val="21"/>
          <w:szCs w:val="21"/>
          <w:color w:val="auto"/>
        </w:rPr>
      </w:pPr>
    </w:p>
    <w:p>
      <w:pPr>
        <w:jc w:val="both"/>
        <w:ind w:firstLine="884"/>
        <w:spacing w:after="0" w:line="242" w:lineRule="auto"/>
        <w:tabs>
          <w:tab w:leader="none" w:pos="1829"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any relevant taxable or tax withholding event (“Tax Date”), as applicable, Employee will pay or make adequate arrangements satisfactory to the Company to satisfy all Tax-Related Items. In this regard, Employee authorizes the Company or its respective agents, at their discretion, to satisfy the obligations with regard to all Tax-Related Items by one or a combination of the following: (i) accept a cash payment in U.S. dollars in the amount of the Tax-Related Items, (ii) withhold whole Shares which would otherwise be delivered to Employee having an aggregate Fair Market Value, determined as of the Tax Date, or</w:t>
      </w:r>
    </w:p>
    <w:p>
      <w:pPr>
        <w:spacing w:after="0" w:line="2" w:lineRule="exact"/>
        <w:rPr>
          <w:rFonts w:ascii="Times New Roman" w:cs="Times New Roman" w:eastAsia="Times New Roman" w:hAnsi="Times New Roman"/>
          <w:sz w:val="21"/>
          <w:szCs w:val="21"/>
          <w:color w:val="auto"/>
        </w:rPr>
      </w:pPr>
    </w:p>
    <w:p>
      <w:pPr>
        <w:jc w:val="both"/>
        <w:ind w:firstLine="6"/>
        <w:spacing w:after="0" w:line="243" w:lineRule="auto"/>
        <w:tabs>
          <w:tab w:leader="none" w:pos="374"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 an amount of cash from Employee’s wages or other cash compensation which would otherwise be payable to Employee by the Company or from any equivalent cash payment received upon vesting of the Performance Share Units, equal to the amount necessary to satisfy any such obligation.</w:t>
      </w:r>
    </w:p>
    <w:p>
      <w:pPr>
        <w:spacing w:after="0" w:line="180"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884"/>
        <w:spacing w:after="0" w:line="241" w:lineRule="auto"/>
        <w:tabs>
          <w:tab w:leader="none" w:pos="183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withhold or account for Tax-Related Items by considering applicable minimum statutory withholding rates, unless Employee elects, pursuant to the Company’s prescribed procedures as in effect from time to time, to have withholding for Tax Related Items based on the maximum withholding rate applicable to Employee. If the obligation for Tax-Related Items is satisfied by withholding in shares of Common Stock, for tax purposes, Employee is deemed to have been issued the full number of shares of Common Stock due to him or her at vesting, notwithstanding that a number of shares of Common Stock are held back solely for the purpose of paying the Tax-Related Items due as a result of any aspect of Employee’s participation in the Plan. Finally, Employee shall pay to the Company any amount of Tax-Related Items that the Company may be required to withhold as a result of Employee’s participation in the Plan that cannot be satisfied by the means previously described. The Company may refuse to issue shares of Common Stock to Employee if Employee fails to comply with his or her obligations in connection with the Tax-Related Items as described herein. The Performance Share Units are intended to be “short-term deferrals” exempt from Section 409A of the Internal Revenue Code and shall be construed and interpreted accordingly.</w:t>
      </w:r>
    </w:p>
    <w:p>
      <w:pPr>
        <w:spacing w:after="0" w:line="177" w:lineRule="exact"/>
        <w:rPr>
          <w:sz w:val="20"/>
          <w:szCs w:val="20"/>
          <w:color w:val="auto"/>
        </w:rPr>
      </w:pPr>
    </w:p>
    <w:p>
      <w:pPr>
        <w:jc w:val="both"/>
        <w:ind w:firstLine="884"/>
        <w:spacing w:after="0" w:line="249" w:lineRule="auto"/>
        <w:tabs>
          <w:tab w:leader="none" w:pos="1661"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Changes in Capital Structure</w:t>
      </w:r>
      <w:r>
        <w:rPr>
          <w:rFonts w:ascii="Times New Roman" w:cs="Times New Roman" w:eastAsia="Times New Roman" w:hAnsi="Times New Roman"/>
          <w:sz w:val="21"/>
          <w:szCs w:val="21"/>
          <w:color w:val="auto"/>
        </w:rPr>
        <w:t>. As more fully described in the Plan, if the outstanding shares of Common Stock at any time are changed or exchanged by declaration of a stock dividend, stock split, combination of shares, or recapitalization, the number and kind of Performance Share Units will be appropriately and equitably adjusted so as to maintain their equivalence to the proportionate number of shares.</w:t>
      </w:r>
    </w:p>
    <w:p>
      <w:pPr>
        <w:spacing w:after="0" w:line="163" w:lineRule="exact"/>
        <w:rPr>
          <w:rFonts w:ascii="Times New Roman" w:cs="Times New Roman" w:eastAsia="Times New Roman" w:hAnsi="Times New Roman"/>
          <w:sz w:val="19"/>
          <w:szCs w:val="19"/>
          <w:color w:val="auto"/>
        </w:rPr>
      </w:pPr>
    </w:p>
    <w:p>
      <w:pPr>
        <w:jc w:val="both"/>
        <w:ind w:firstLine="884"/>
        <w:spacing w:after="0" w:line="243" w:lineRule="auto"/>
        <w:tabs>
          <w:tab w:leader="none" w:pos="1661"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Confidential Information, Intellectual Property and Noncompetition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Employee acknowledges that Employee 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 possession of and has access 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II, which is incorporated herein by reference, including all rules, procedures, policies and requirements that the Company may promulgate consistent with Attachment II.</w:t>
      </w:r>
    </w:p>
    <w:p>
      <w:pPr>
        <w:spacing w:after="0" w:line="174" w:lineRule="exact"/>
        <w:rPr>
          <w:rFonts w:ascii="Times New Roman" w:cs="Times New Roman" w:eastAsia="Times New Roman" w:hAnsi="Times New Roman"/>
          <w:sz w:val="19"/>
          <w:szCs w:val="19"/>
          <w:color w:val="auto"/>
        </w:rPr>
      </w:pPr>
    </w:p>
    <w:p>
      <w:pPr>
        <w:jc w:val="both"/>
        <w:ind w:firstLine="884"/>
        <w:spacing w:after="0" w:line="244" w:lineRule="auto"/>
        <w:tabs>
          <w:tab w:leader="none" w:pos="1759"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Compliance with Securities Laws</w:t>
      </w:r>
      <w:r>
        <w:rPr>
          <w:rFonts w:ascii="Times New Roman" w:cs="Times New Roman" w:eastAsia="Times New Roman" w:hAnsi="Times New Roman"/>
          <w:sz w:val="21"/>
          <w:szCs w:val="21"/>
          <w:color w:val="auto"/>
        </w:rPr>
        <w:t>. The Company will not be required to deliver any shares of Common Stock pursuant to this Agreement if, in the opinion of counsel for the Company, such issuance would violate the Securities Act of 1933, as amended,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74" w:lineRule="exact"/>
        <w:rPr>
          <w:rFonts w:ascii="Times New Roman" w:cs="Times New Roman" w:eastAsia="Times New Roman" w:hAnsi="Times New Roman"/>
          <w:sz w:val="19"/>
          <w:szCs w:val="19"/>
          <w:color w:val="auto"/>
        </w:rPr>
      </w:pPr>
    </w:p>
    <w:p>
      <w:pPr>
        <w:ind w:left="1760" w:hanging="876"/>
        <w:spacing w:after="0"/>
        <w:tabs>
          <w:tab w:leader="none" w:pos="176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Limitation of Rights</w:t>
      </w:r>
      <w:r>
        <w:rPr>
          <w:rFonts w:ascii="Times New Roman" w:cs="Times New Roman" w:eastAsia="Times New Roman" w:hAnsi="Times New Roman"/>
          <w:sz w:val="21"/>
          <w:szCs w:val="21"/>
          <w:color w:val="auto"/>
        </w:rPr>
        <w:t>. Nothing in this Agreement or the Plan may be construed to:</w:t>
      </w:r>
    </w:p>
    <w:p>
      <w:pPr>
        <w:spacing w:after="0" w:line="210" w:lineRule="exact"/>
        <w:rPr>
          <w:sz w:val="20"/>
          <w:szCs w:val="20"/>
          <w:color w:val="auto"/>
        </w:rPr>
      </w:pPr>
    </w:p>
    <w:p>
      <w:pPr>
        <w:ind w:firstLine="884"/>
        <w:spacing w:after="0" w:line="273" w:lineRule="auto"/>
        <w:tabs>
          <w:tab w:leader="none" w:pos="1751"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give Employee or any other person or entity any right to be awarded any further Performance Share Units (or other form of stock incentive awards) other than in the sole discretion of the Committee;</w:t>
      </w:r>
    </w:p>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884"/>
        <w:spacing w:after="0" w:line="273" w:lineRule="auto"/>
        <w:tabs>
          <w:tab w:leader="none" w:pos="1763"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give Employee or any other person or entity any interest in any fund or in any specified asset or assets of the Company (other than the Performance Share Units); or</w:t>
      </w:r>
    </w:p>
    <w:p>
      <w:pPr>
        <w:spacing w:after="0" w:line="141" w:lineRule="exact"/>
        <w:rPr>
          <w:rFonts w:ascii="Times New Roman" w:cs="Times New Roman" w:eastAsia="Times New Roman" w:hAnsi="Times New Roman"/>
          <w:sz w:val="21"/>
          <w:szCs w:val="21"/>
          <w:color w:val="auto"/>
        </w:rPr>
      </w:pPr>
    </w:p>
    <w:p>
      <w:pPr>
        <w:ind w:right="20" w:firstLine="884"/>
        <w:spacing w:after="0" w:line="273" w:lineRule="auto"/>
        <w:tabs>
          <w:tab w:leader="none" w:pos="1751"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confer upon Employee or any other person or entity the right to continue in the employment or service of the Company or any Subsidiary.</w:t>
      </w:r>
    </w:p>
    <w:p>
      <w:pPr>
        <w:spacing w:after="0" w:line="142" w:lineRule="exact"/>
        <w:rPr>
          <w:sz w:val="20"/>
          <w:szCs w:val="20"/>
          <w:color w:val="auto"/>
        </w:rPr>
      </w:pPr>
    </w:p>
    <w:p>
      <w:pPr>
        <w:ind w:left="1760" w:hanging="876"/>
        <w:spacing w:after="0"/>
        <w:tabs>
          <w:tab w:leader="none" w:pos="176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760" w:hanging="876"/>
        <w:spacing w:after="0"/>
        <w:tabs>
          <w:tab w:leader="none" w:pos="176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 is defined in the introduction.</w:t>
      </w:r>
    </w:p>
    <w:p>
      <w:pPr>
        <w:spacing w:after="0" w:line="210" w:lineRule="exact"/>
        <w:rPr>
          <w:rFonts w:ascii="Times New Roman" w:cs="Times New Roman" w:eastAsia="Times New Roman" w:hAnsi="Times New Roman"/>
          <w:sz w:val="21"/>
          <w:szCs w:val="21"/>
          <w:color w:val="auto"/>
        </w:rPr>
      </w:pPr>
    </w:p>
    <w:p>
      <w:pPr>
        <w:ind w:left="1760" w:hanging="876"/>
        <w:spacing w:after="0"/>
        <w:tabs>
          <w:tab w:leader="none" w:pos="176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“Clawback Policy” is defined in Section 13(i).</w:t>
      </w:r>
    </w:p>
    <w:p>
      <w:pPr>
        <w:spacing w:after="0" w:line="210" w:lineRule="exact"/>
        <w:rPr>
          <w:rFonts w:ascii="Times New Roman" w:cs="Times New Roman" w:eastAsia="Times New Roman" w:hAnsi="Times New Roman"/>
          <w:sz w:val="21"/>
          <w:szCs w:val="21"/>
          <w:color w:val="auto"/>
        </w:rPr>
      </w:pPr>
    </w:p>
    <w:p>
      <w:pPr>
        <w:ind w:left="1760" w:hanging="876"/>
        <w:spacing w:after="0"/>
        <w:tabs>
          <w:tab w:leader="none" w:pos="176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“Committee” is defined in Section 2(a).</w:t>
      </w:r>
    </w:p>
    <w:p>
      <w:pPr>
        <w:spacing w:after="0" w:line="210" w:lineRule="exact"/>
        <w:rPr>
          <w:rFonts w:ascii="Times New Roman" w:cs="Times New Roman" w:eastAsia="Times New Roman" w:hAnsi="Times New Roman"/>
          <w:sz w:val="21"/>
          <w:szCs w:val="21"/>
          <w:color w:val="auto"/>
        </w:rPr>
      </w:pPr>
    </w:p>
    <w:p>
      <w:pPr>
        <w:ind w:left="1820" w:hanging="936"/>
        <w:spacing w:after="0"/>
        <w:tabs>
          <w:tab w:leader="none" w:pos="182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“Common Stock” is defined in Section 1.</w:t>
      </w:r>
    </w:p>
    <w:p>
      <w:pPr>
        <w:spacing w:after="0" w:line="210" w:lineRule="exact"/>
        <w:rPr>
          <w:rFonts w:ascii="Times New Roman" w:cs="Times New Roman" w:eastAsia="Times New Roman" w:hAnsi="Times New Roman"/>
          <w:sz w:val="21"/>
          <w:szCs w:val="21"/>
          <w:color w:val="auto"/>
        </w:rPr>
      </w:pPr>
    </w:p>
    <w:p>
      <w:pPr>
        <w:ind w:left="1760" w:hanging="876"/>
        <w:spacing w:after="0"/>
        <w:tabs>
          <w:tab w:leader="none" w:pos="176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is defined in the introduction.</w:t>
      </w:r>
    </w:p>
    <w:p>
      <w:pPr>
        <w:spacing w:after="0" w:line="210" w:lineRule="exact"/>
        <w:rPr>
          <w:rFonts w:ascii="Times New Roman" w:cs="Times New Roman" w:eastAsia="Times New Roman" w:hAnsi="Times New Roman"/>
          <w:sz w:val="21"/>
          <w:szCs w:val="21"/>
          <w:color w:val="auto"/>
        </w:rPr>
      </w:pPr>
    </w:p>
    <w:p>
      <w:pPr>
        <w:jc w:val="both"/>
        <w:ind w:firstLine="884"/>
        <w:spacing w:after="0" w:line="239" w:lineRule="auto"/>
        <w:tabs>
          <w:tab w:leader="none" w:pos="1728"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“Detrimental Activity” means activity that is determined by the Committee in its sole and absolute discretion to be detrimental to the interests of the Company or any of its Subsidiaries, including but not limited to any breach of Attachment II or any situations where Employee: (i) divulges trade secrets, proprietary data or other confidential information relating to the Company or to the business of the Company or any Subsidiaries; (ii) enters into employment with or otherwise provides services to (A) any company listed, as of the date of Employee’s Termination of Employment, on the Philadelphia Oil Service Sector Index (or any successor index) or (B) any affiliate of any such listed company, in either case under circumstances suggesting that Employee will be using confidential information or unique or special knowledge gained as a Company employee or Subsidiary employee with the effect of competing with the Company or its Subsidiaries; (iii) enters into employment with or otherwise provides services to any Direct Competitor (as defined in Section 12(g) below); (iv) engages or employs, or solicits or contacts with a view to the engagement or employment of, any employee of the Company or its Subsidiaries; (v) canvasses, solicits, approaches or entices away or causes to be canvassed, solicited, approached or enticed away from the Company or its Subsidiaries any customer of any of such entities during the TSR Performance Period and up to and including the Vesting Date; (vi) is determined to have engaged (whether or not prior to termination of employment) in either gross misconduct or criminal activity that is, or that could reasonably be expected to be, harmful to the Company or a Subsidiary; or (vii) takes any action that otherwise harms, or that could reasonably be expected to harm, the business interests, reputation, or goodwill of the Company or its Subsidiaries. The Committee may delegate, to an officer of the Company or to a subcommittee of the Committee, its authority to determine whether Employee has engaged in “Detrimental Activity,” and any such determination by the Committee or its delegate will be final and binding on all parties.</w:t>
      </w:r>
    </w:p>
    <w:p>
      <w:pPr>
        <w:spacing w:after="0" w:line="198"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5</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884"/>
        <w:spacing w:after="0" w:line="249" w:lineRule="auto"/>
        <w:tabs>
          <w:tab w:leader="none" w:pos="1763"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 Competitor” means any of the following: (i) Halliburton Company, Weatherford International plc, and Baker Hughes, a GE company, and any other oilfield equipment and services company; and (ii) any entity engaged in seismic data acquisition, processing and reservoir geosciences services to the oil and natural gas industry, including in all cases in (i) and (ii) above, any and all of their parents, subsidiaries, affiliates, joint ventures, divisions, successors, or assigns.</w:t>
      </w:r>
    </w:p>
    <w:p>
      <w:pPr>
        <w:spacing w:after="0" w:line="167" w:lineRule="exact"/>
        <w:rPr>
          <w:rFonts w:ascii="Times New Roman" w:cs="Times New Roman" w:eastAsia="Times New Roman" w:hAnsi="Times New Roman"/>
          <w:sz w:val="21"/>
          <w:szCs w:val="21"/>
          <w:color w:val="auto"/>
        </w:rPr>
      </w:pPr>
    </w:p>
    <w:p>
      <w:pPr>
        <w:jc w:val="both"/>
        <w:ind w:firstLine="884"/>
        <w:spacing w:after="0" w:line="255" w:lineRule="auto"/>
        <w:tabs>
          <w:tab w:leader="none" w:pos="1763"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160" w:lineRule="exact"/>
        <w:rPr>
          <w:rFonts w:ascii="Times New Roman" w:cs="Times New Roman" w:eastAsia="Times New Roman" w:hAnsi="Times New Roman"/>
          <w:sz w:val="21"/>
          <w:szCs w:val="21"/>
          <w:color w:val="auto"/>
        </w:rPr>
      </w:pPr>
    </w:p>
    <w:p>
      <w:pPr>
        <w:ind w:left="1780" w:hanging="896"/>
        <w:spacing w:after="0"/>
        <w:tabs>
          <w:tab w:leader="none" w:pos="178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is defined in the introduction.</w:t>
      </w:r>
    </w:p>
    <w:p>
      <w:pPr>
        <w:spacing w:after="0" w:line="210" w:lineRule="exact"/>
        <w:rPr>
          <w:rFonts w:ascii="Times New Roman" w:cs="Times New Roman" w:eastAsia="Times New Roman" w:hAnsi="Times New Roman"/>
          <w:sz w:val="21"/>
          <w:szCs w:val="21"/>
          <w:color w:val="auto"/>
        </w:rPr>
      </w:pPr>
    </w:p>
    <w:p>
      <w:pPr>
        <w:jc w:val="both"/>
        <w:ind w:firstLine="884"/>
        <w:spacing w:after="0" w:line="246" w:lineRule="auto"/>
        <w:tabs>
          <w:tab w:leader="none" w:pos="171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71" w:lineRule="exact"/>
        <w:rPr>
          <w:rFonts w:ascii="Times New Roman" w:cs="Times New Roman" w:eastAsia="Times New Roman" w:hAnsi="Times New Roman"/>
          <w:sz w:val="21"/>
          <w:szCs w:val="21"/>
          <w:color w:val="auto"/>
        </w:rPr>
      </w:pPr>
    </w:p>
    <w:p>
      <w:pPr>
        <w:ind w:left="1760" w:hanging="876"/>
        <w:spacing w:after="0"/>
        <w:tabs>
          <w:tab w:leader="none" w:pos="176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 Date” is defined in the introduction.</w:t>
      </w:r>
    </w:p>
    <w:p>
      <w:pPr>
        <w:spacing w:after="0" w:line="210" w:lineRule="exact"/>
        <w:rPr>
          <w:rFonts w:ascii="Times New Roman" w:cs="Times New Roman" w:eastAsia="Times New Roman" w:hAnsi="Times New Roman"/>
          <w:sz w:val="21"/>
          <w:szCs w:val="21"/>
          <w:color w:val="auto"/>
        </w:rPr>
      </w:pPr>
    </w:p>
    <w:p>
      <w:pPr>
        <w:ind w:left="1720" w:hanging="836"/>
        <w:spacing w:after="0"/>
        <w:tabs>
          <w:tab w:leader="none" w:pos="172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“Free Cash Flow Performance Period” is defined in Section 2.</w:t>
      </w:r>
    </w:p>
    <w:p>
      <w:pPr>
        <w:spacing w:after="0" w:line="210" w:lineRule="exact"/>
        <w:rPr>
          <w:rFonts w:ascii="Times New Roman" w:cs="Times New Roman" w:eastAsia="Times New Roman" w:hAnsi="Times New Roman"/>
          <w:sz w:val="21"/>
          <w:szCs w:val="21"/>
          <w:color w:val="auto"/>
        </w:rPr>
      </w:pPr>
    </w:p>
    <w:p>
      <w:pPr>
        <w:ind w:left="1820" w:hanging="936"/>
        <w:spacing w:after="0"/>
        <w:tabs>
          <w:tab w:leader="none" w:pos="182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Share Units” is defined in Section 1.</w:t>
      </w:r>
    </w:p>
    <w:p>
      <w:pPr>
        <w:spacing w:after="0" w:line="210" w:lineRule="exact"/>
        <w:rPr>
          <w:rFonts w:ascii="Times New Roman" w:cs="Times New Roman" w:eastAsia="Times New Roman" w:hAnsi="Times New Roman"/>
          <w:sz w:val="21"/>
          <w:szCs w:val="21"/>
          <w:color w:val="auto"/>
        </w:rPr>
      </w:pPr>
    </w:p>
    <w:p>
      <w:pPr>
        <w:ind w:left="1760" w:hanging="876"/>
        <w:spacing w:after="0"/>
        <w:tabs>
          <w:tab w:leader="none" w:pos="176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“Plan” is defined in the introduction.</w:t>
      </w:r>
    </w:p>
    <w:p>
      <w:pPr>
        <w:spacing w:after="0" w:line="210" w:lineRule="exact"/>
        <w:rPr>
          <w:rFonts w:ascii="Times New Roman" w:cs="Times New Roman" w:eastAsia="Times New Roman" w:hAnsi="Times New Roman"/>
          <w:sz w:val="21"/>
          <w:szCs w:val="21"/>
          <w:color w:val="auto"/>
        </w:rPr>
      </w:pPr>
    </w:p>
    <w:p>
      <w:pPr>
        <w:ind w:right="20" w:firstLine="884"/>
        <w:spacing w:after="0" w:line="273" w:lineRule="auto"/>
        <w:tabs>
          <w:tab w:leader="none" w:pos="1763"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“Qualifying Termination” means a Termination of Employment due to Employee’s death, Disability, Retirement or Special Retirement.</w:t>
      </w:r>
    </w:p>
    <w:p>
      <w:pPr>
        <w:spacing w:after="0" w:line="141" w:lineRule="exact"/>
        <w:rPr>
          <w:rFonts w:ascii="Times New Roman" w:cs="Times New Roman" w:eastAsia="Times New Roman" w:hAnsi="Times New Roman"/>
          <w:sz w:val="21"/>
          <w:szCs w:val="21"/>
          <w:color w:val="auto"/>
        </w:rPr>
      </w:pPr>
    </w:p>
    <w:p>
      <w:pPr>
        <w:jc w:val="both"/>
        <w:ind w:firstLine="884"/>
        <w:spacing w:after="0" w:line="243" w:lineRule="auto"/>
        <w:tabs>
          <w:tab w:leader="none" w:pos="1763"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“Retirement” means either: (i) Employee’s voluntary election to retire from employment with the Company and its Subsidiaries at any time after Employee has reached both the age of 60 and 25 years of service, or (ii) Employee’s voluntary election to retire from employment with the Company and its Subsidiaries at any time after Employee has reached both the age of 55 and 20 years of service, subject, however, to the approval of either (A) the Committee, if Employee is an executive officer of the Company at the time of Employee’s election to retire, or (B) the Retirement Committee, if Employee is not an executive officer of the Company at the time of Employee’s election to retire, which approval under clauses (A) or (B) may be granted or withheld in the sole discretion of the Committee or the Retirement Committee, as applicable.</w:t>
      </w:r>
    </w:p>
    <w:p>
      <w:pPr>
        <w:spacing w:after="0" w:line="175" w:lineRule="exact"/>
        <w:rPr>
          <w:rFonts w:ascii="Times New Roman" w:cs="Times New Roman" w:eastAsia="Times New Roman" w:hAnsi="Times New Roman"/>
          <w:sz w:val="21"/>
          <w:szCs w:val="21"/>
          <w:color w:val="auto"/>
        </w:rPr>
      </w:pPr>
    </w:p>
    <w:p>
      <w:pPr>
        <w:ind w:firstLine="884"/>
        <w:spacing w:after="0" w:line="273" w:lineRule="auto"/>
        <w:tabs>
          <w:tab w:leader="none" w:pos="1763"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“Retirement Committee” means a committee consisting of the Company’s Vice President of Human Resources, the Director of HR Operations and the HR Director of Compensation &amp; Benefits.</w:t>
      </w:r>
    </w:p>
    <w:p>
      <w:pPr>
        <w:spacing w:after="0" w:line="141" w:lineRule="exact"/>
        <w:rPr>
          <w:rFonts w:ascii="Times New Roman" w:cs="Times New Roman" w:eastAsia="Times New Roman" w:hAnsi="Times New Roman"/>
          <w:sz w:val="21"/>
          <w:szCs w:val="21"/>
          <w:color w:val="auto"/>
        </w:rPr>
      </w:pPr>
    </w:p>
    <w:p>
      <w:pPr>
        <w:ind w:left="1780" w:hanging="896"/>
        <w:spacing w:after="0"/>
        <w:tabs>
          <w:tab w:leader="none" w:pos="178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“Settlement Date” is defined in Section 3.</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884"/>
        <w:spacing w:after="0" w:line="260" w:lineRule="auto"/>
        <w:tabs>
          <w:tab w:leader="none" w:pos="174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“Special Retirement” means the Termination of Employment of Employee with the Company and all Subsidiaries at or after (i) age 55 or (ii) age 50 and completion of at least 10 years of service with the Company and any of its Subsidiaries.</w:t>
      </w:r>
    </w:p>
    <w:p>
      <w:pPr>
        <w:spacing w:after="0" w:line="200" w:lineRule="exact"/>
        <w:rPr>
          <w:rFonts w:ascii="Times New Roman" w:cs="Times New Roman" w:eastAsia="Times New Roman" w:hAnsi="Times New Roman"/>
          <w:sz w:val="21"/>
          <w:szCs w:val="21"/>
          <w:color w:val="auto"/>
        </w:rPr>
      </w:pPr>
    </w:p>
    <w:p>
      <w:pPr>
        <w:spacing w:after="0" w:line="207" w:lineRule="exact"/>
        <w:rPr>
          <w:rFonts w:ascii="Times New Roman" w:cs="Times New Roman" w:eastAsia="Times New Roman" w:hAnsi="Times New Roman"/>
          <w:sz w:val="21"/>
          <w:szCs w:val="21"/>
          <w:color w:val="auto"/>
        </w:rPr>
      </w:pPr>
    </w:p>
    <w:p>
      <w:pPr>
        <w:jc w:val="both"/>
        <w:ind w:firstLine="884"/>
        <w:spacing w:after="0" w:line="249" w:lineRule="auto"/>
        <w:tabs>
          <w:tab w:leader="none" w:pos="171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“Subsidiary” means (i) in the case of a corporation, a “subsidiary corporation” of the Company as defined in Section 424(f) of the Internal Revenue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67" w:lineRule="exact"/>
        <w:rPr>
          <w:rFonts w:ascii="Times New Roman" w:cs="Times New Roman" w:eastAsia="Times New Roman" w:hAnsi="Times New Roman"/>
          <w:sz w:val="21"/>
          <w:szCs w:val="21"/>
          <w:color w:val="auto"/>
        </w:rPr>
      </w:pPr>
    </w:p>
    <w:p>
      <w:pPr>
        <w:ind w:left="1760" w:hanging="876"/>
        <w:spacing w:after="0"/>
        <w:tabs>
          <w:tab w:leader="none" w:pos="176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Date” is defined in Section 7(b).</w:t>
      </w:r>
    </w:p>
    <w:p>
      <w:pPr>
        <w:spacing w:after="0" w:line="210" w:lineRule="exact"/>
        <w:rPr>
          <w:rFonts w:ascii="Times New Roman" w:cs="Times New Roman" w:eastAsia="Times New Roman" w:hAnsi="Times New Roman"/>
          <w:sz w:val="21"/>
          <w:szCs w:val="21"/>
          <w:color w:val="auto"/>
        </w:rPr>
      </w:pPr>
    </w:p>
    <w:p>
      <w:pPr>
        <w:ind w:left="1760" w:hanging="876"/>
        <w:spacing w:after="0"/>
        <w:tabs>
          <w:tab w:leader="none" w:pos="176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“Tax-Related Items” is defined in Section 7(a).</w:t>
      </w:r>
    </w:p>
    <w:p>
      <w:pPr>
        <w:spacing w:after="0" w:line="210" w:lineRule="exact"/>
        <w:rPr>
          <w:rFonts w:ascii="Times New Roman" w:cs="Times New Roman" w:eastAsia="Times New Roman" w:hAnsi="Times New Roman"/>
          <w:sz w:val="21"/>
          <w:szCs w:val="21"/>
          <w:color w:val="auto"/>
        </w:rPr>
      </w:pPr>
    </w:p>
    <w:p>
      <w:pPr>
        <w:jc w:val="both"/>
        <w:ind w:firstLine="884"/>
        <w:spacing w:after="0" w:line="255" w:lineRule="auto"/>
        <w:tabs>
          <w:tab w:leader="none" w:pos="1811"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of Employment” means the termination of Employee’s employment with the Company and its Subsidiaries; provided, however, that temporary absences from employment because of illness, vacation or leave of absence and transfers among the Company and its Subsidiaries will not constitute a Termination of Employment.</w:t>
      </w:r>
    </w:p>
    <w:p>
      <w:pPr>
        <w:spacing w:after="0" w:line="160" w:lineRule="exact"/>
        <w:rPr>
          <w:rFonts w:ascii="Times New Roman" w:cs="Times New Roman" w:eastAsia="Times New Roman" w:hAnsi="Times New Roman"/>
          <w:sz w:val="21"/>
          <w:szCs w:val="21"/>
          <w:color w:val="auto"/>
        </w:rPr>
      </w:pPr>
    </w:p>
    <w:p>
      <w:pPr>
        <w:ind w:left="1760" w:hanging="876"/>
        <w:spacing w:after="0"/>
        <w:tabs>
          <w:tab w:leader="none" w:pos="176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“Transfer” is defined in Section 5(a).</w:t>
      </w:r>
    </w:p>
    <w:p>
      <w:pPr>
        <w:spacing w:after="0" w:line="210" w:lineRule="exact"/>
        <w:rPr>
          <w:rFonts w:ascii="Times New Roman" w:cs="Times New Roman" w:eastAsia="Times New Roman" w:hAnsi="Times New Roman"/>
          <w:sz w:val="21"/>
          <w:szCs w:val="21"/>
          <w:color w:val="auto"/>
        </w:rPr>
      </w:pPr>
    </w:p>
    <w:p>
      <w:pPr>
        <w:ind w:left="1760" w:hanging="876"/>
        <w:spacing w:after="0"/>
        <w:tabs>
          <w:tab w:leader="none" w:pos="176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“TSR Performance Period” is defined in Section 2.</w:t>
      </w:r>
    </w:p>
    <w:p>
      <w:pPr>
        <w:spacing w:after="0" w:line="210" w:lineRule="exact"/>
        <w:rPr>
          <w:rFonts w:ascii="Times New Roman" w:cs="Times New Roman" w:eastAsia="Times New Roman" w:hAnsi="Times New Roman"/>
          <w:sz w:val="21"/>
          <w:szCs w:val="21"/>
          <w:color w:val="auto"/>
        </w:rPr>
      </w:pPr>
    </w:p>
    <w:p>
      <w:pPr>
        <w:ind w:left="1760" w:hanging="876"/>
        <w:spacing w:after="0"/>
        <w:tabs>
          <w:tab w:leader="none" w:pos="176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“Vesting Date” is defined in Section 2(a).</w:t>
      </w:r>
    </w:p>
    <w:p>
      <w:pPr>
        <w:spacing w:after="0" w:line="210" w:lineRule="exact"/>
        <w:rPr>
          <w:sz w:val="20"/>
          <w:szCs w:val="20"/>
          <w:color w:val="auto"/>
        </w:rPr>
      </w:pPr>
    </w:p>
    <w:p>
      <w:pPr>
        <w:ind w:left="1760" w:hanging="876"/>
        <w:spacing w:after="0"/>
        <w:tabs>
          <w:tab w:leader="none" w:pos="176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884"/>
        <w:spacing w:after="0" w:line="273" w:lineRule="auto"/>
        <w:tabs>
          <w:tab w:leader="none" w:pos="1751"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hereby acknowledges that he or she is to consult with and rely upon only Employee’s own tax, legal, and financial advisors regarding the consequences and risks of this Agreement and any award of Performance Share Units.</w:t>
      </w:r>
    </w:p>
    <w:p>
      <w:pPr>
        <w:spacing w:after="0" w:line="141" w:lineRule="exact"/>
        <w:rPr>
          <w:rFonts w:ascii="Times New Roman" w:cs="Times New Roman" w:eastAsia="Times New Roman" w:hAnsi="Times New Roman"/>
          <w:sz w:val="21"/>
          <w:szCs w:val="21"/>
          <w:color w:val="auto"/>
        </w:rPr>
      </w:pPr>
    </w:p>
    <w:p>
      <w:pPr>
        <w:jc w:val="both"/>
        <w:ind w:firstLine="884"/>
        <w:spacing w:after="0" w:line="255" w:lineRule="auto"/>
        <w:tabs>
          <w:tab w:leader="none" w:pos="1763"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60" w:lineRule="exact"/>
        <w:rPr>
          <w:rFonts w:ascii="Times New Roman" w:cs="Times New Roman" w:eastAsia="Times New Roman" w:hAnsi="Times New Roman"/>
          <w:sz w:val="21"/>
          <w:szCs w:val="21"/>
          <w:color w:val="auto"/>
        </w:rPr>
      </w:pPr>
    </w:p>
    <w:p>
      <w:pPr>
        <w:ind w:firstLine="884"/>
        <w:spacing w:after="0" w:line="273" w:lineRule="auto"/>
        <w:tabs>
          <w:tab w:leader="none" w:pos="1751"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invalidity or unenforceability of any provision of this Agreement will not affect the validity or enforceability of any other provision of this Agreement.</w:t>
      </w:r>
    </w:p>
    <w:p>
      <w:pPr>
        <w:spacing w:after="0" w:line="141" w:lineRule="exact"/>
        <w:rPr>
          <w:rFonts w:ascii="Times New Roman" w:cs="Times New Roman" w:eastAsia="Times New Roman" w:hAnsi="Times New Roman"/>
          <w:sz w:val="21"/>
          <w:szCs w:val="21"/>
          <w:color w:val="auto"/>
        </w:rPr>
      </w:pPr>
    </w:p>
    <w:p>
      <w:pPr>
        <w:jc w:val="both"/>
        <w:ind w:firstLine="884"/>
        <w:spacing w:after="0" w:line="255" w:lineRule="auto"/>
        <w:tabs>
          <w:tab w:leader="none" w:pos="1763"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160" w:lineRule="exact"/>
        <w:rPr>
          <w:rFonts w:ascii="Times New Roman" w:cs="Times New Roman" w:eastAsia="Times New Roman" w:hAnsi="Times New Roman"/>
          <w:sz w:val="21"/>
          <w:szCs w:val="21"/>
          <w:color w:val="auto"/>
        </w:rPr>
      </w:pPr>
    </w:p>
    <w:p>
      <w:pPr>
        <w:jc w:val="both"/>
        <w:ind w:firstLine="884"/>
        <w:spacing w:after="0" w:line="255" w:lineRule="auto"/>
        <w:tabs>
          <w:tab w:leader="none" w:pos="1751"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884"/>
        <w:spacing w:after="0" w:line="273" w:lineRule="auto"/>
        <w:tabs>
          <w:tab w:leader="none" w:pos="1728"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and the Company agree to execute such further instruments and to take such further action as may reasonably be necessary to carry out the intent of this Agreement.</w:t>
      </w:r>
    </w:p>
    <w:p>
      <w:pPr>
        <w:spacing w:after="0" w:line="141" w:lineRule="exact"/>
        <w:rPr>
          <w:rFonts w:ascii="Times New Roman" w:cs="Times New Roman" w:eastAsia="Times New Roman" w:hAnsi="Times New Roman"/>
          <w:sz w:val="21"/>
          <w:szCs w:val="21"/>
          <w:color w:val="auto"/>
        </w:rPr>
      </w:pPr>
    </w:p>
    <w:p>
      <w:pPr>
        <w:jc w:val="both"/>
        <w:ind w:firstLine="884"/>
        <w:spacing w:after="0" w:line="242" w:lineRule="auto"/>
        <w:tabs>
          <w:tab w:leader="none" w:pos="1763"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including all Attachments hereto, and the Plan (i) constitute the entire agreement among Employee and the Company with respect to the subject matter hereof and this Agreement supersedes all prior agreements and understandings, both written and oral, with respect to the subject matter hereof; and (ii) are not intended to confer upon any other Person any rights or remedies hereunder. Employee and the Company agree that (A) no other party (including its agents and representatives) has made any representation, warranty, covenant or agreement to or with such party relating to the Performance Share Units other than those expressly set forth herein or in the Plan, and (B) such party has not relied upon any representation, warranty, covenant or agreement relating to the Performance Share Units, other than those referred to in clause (A) above. All references herein to “Agreement” will include all Attachments hereto.</w:t>
      </w:r>
    </w:p>
    <w:p>
      <w:pPr>
        <w:spacing w:after="0" w:line="178" w:lineRule="exact"/>
        <w:rPr>
          <w:rFonts w:ascii="Times New Roman" w:cs="Times New Roman" w:eastAsia="Times New Roman" w:hAnsi="Times New Roman"/>
          <w:sz w:val="21"/>
          <w:szCs w:val="21"/>
          <w:color w:val="auto"/>
        </w:rPr>
      </w:pPr>
    </w:p>
    <w:p>
      <w:pPr>
        <w:jc w:val="both"/>
        <w:ind w:firstLine="884"/>
        <w:spacing w:after="0" w:line="239" w:lineRule="auto"/>
        <w:tabs>
          <w:tab w:leader="none" w:pos="1763"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Employee may work in various locations and to eliminate potential uncertainty over the governing law, this Agreement (including, for the sake of clarity, all Attachments) will be interpreted and construed exclusively in accordance with the laws of the State of Texas. Employee agrees that Texas, as the Company’s United States headquarters, has a greater legal interest in matters relating to this Agreement than any other state, has a greater public policy interest in matters relating to this Agreement than any other state, and has a greater factual relationship to matters relating to this Agreement than any other state. The sole, mandatory, and exclusive venue for any dispute arising from or related to Employee’s employment with the Company and its Subsidiaries, and this Agreement (including, for the sake of clarity, all Attachments) will lie and be deemed as convenient, in Fort Bend County, Texas, state or federal court without regard to the conflict of law provisions thereof, or, at the Company’s option, any venue in which personal jurisdiction over Employee may be established. Employee waives any objection he or she may have to the venue of any such proceeding being brought in Fort Bend County, Texas courts and waives any claim that any such action or proceeding brought in the Fort Bend County, Texas courts has been brought in an inconvenient forum. In addition, Employee irrevocably and unconditionally submits to the exclusive personal jurisdiction of the Fort Bend County, Texas courts in any such suit, action or proceeding. Employee acknowledges and agrees that a judgment in any such suit, action or proceeding brought in the Fort Bend County, Texas courts will be conclusive and binding on Employee and may be enforced in any other courts to whose jurisdiction the Company or Employee is or may be subject to, by suit upon such judgment. Employee consents to the choice of law, jurisdiction and venue provisions of this Agreement and agrees that Employee will not contest these provisions in any future proceeding(s).</w:t>
      </w:r>
    </w:p>
    <w:p>
      <w:pPr>
        <w:spacing w:after="0" w:line="3" w:lineRule="exact"/>
        <w:rPr>
          <w:rFonts w:ascii="Times New Roman" w:cs="Times New Roman" w:eastAsia="Times New Roman" w:hAnsi="Times New Roman"/>
          <w:sz w:val="21"/>
          <w:szCs w:val="21"/>
          <w:color w:val="auto"/>
        </w:rPr>
      </w:pPr>
    </w:p>
    <w:p>
      <w:pPr>
        <w:jc w:val="both"/>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AND THE COMPANY HEREBY WAIVE, TO THE FULLEST EXTENT PERMITTED BY LAW, ANY RIGHT TO TRIAL BY JURY OF ANY CLAIM, DEMAND, ACTION, OR CAUSE OF ACTION ARISING OUT OF THIS AGREEMENT OR ANY ATTACHMENT THERETO.</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884"/>
        <w:spacing w:after="0" w:line="244" w:lineRule="auto"/>
        <w:tabs>
          <w:tab w:leader="none" w:pos="171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The Company’s policy on recoupment of performance-based bonuses, as amended from time to time (its “Clawback Policy”), will apply to the Performance Share Units, any shares of Common Stock delivered hereunder, and any profits realized on the sale of such shares, to the extent that Employee is covered by the Clawback Policy. Employee acknowledges that if Employee is covered by such policy, the policy may result in the recoupment of Performance Share Units awarded, any shares of Common Stock delivered hereunder and profits realized on the sale of such shares either before, on or after the date on which Employee becomes subject to such policy.</w:t>
      </w:r>
    </w:p>
    <w:p>
      <w:pPr>
        <w:spacing w:after="0" w:line="175" w:lineRule="exact"/>
        <w:rPr>
          <w:sz w:val="20"/>
          <w:szCs w:val="20"/>
          <w:color w:val="auto"/>
        </w:rPr>
      </w:pPr>
    </w:p>
    <w:p>
      <w:pPr>
        <w:jc w:val="both"/>
        <w:ind w:firstLine="884"/>
        <w:spacing w:after="0" w:line="243" w:lineRule="auto"/>
        <w:tabs>
          <w:tab w:leader="none" w:pos="1759"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Acceptance of Award</w:t>
      </w:r>
      <w:r>
        <w:rPr>
          <w:rFonts w:ascii="Times New Roman" w:cs="Times New Roman" w:eastAsia="Times New Roman" w:hAnsi="Times New Roman"/>
          <w:sz w:val="21"/>
          <w:szCs w:val="21"/>
          <w:color w:val="auto"/>
        </w:rPr>
        <w:t>. Employee is deemed to accept the award of Performance Share Units under this Agreement and to agree that such award is subject to the terms and conditions set forth in this Agreement and the Plan unless Employee provides the Company written notification not later than 30 days after Employee’s receipt of this Agreement of Employee’s rejection of this award of Performance Share Units (in which case such awards will be forfeited and Employee will have no further right or interest therein as of such date).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2" w:name="page33"/>
    <w:bookmarkEnd w:id="32"/>
    <w:p>
      <w:pPr>
        <w:jc w:val="center"/>
        <w:ind w:right="20"/>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ATTACHMENT I</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Performance Conditions</w:t>
      </w:r>
    </w:p>
    <w:p>
      <w:pPr>
        <w:spacing w:after="0" w:line="186" w:lineRule="exact"/>
        <w:rPr>
          <w:sz w:val="20"/>
          <w:szCs w:val="20"/>
          <w:color w:val="auto"/>
        </w:rPr>
      </w:pPr>
    </w:p>
    <w:p>
      <w:pPr>
        <w:jc w:val="both"/>
        <w:ind w:right="20" w:firstLine="878"/>
        <w:spacing w:after="0" w:line="255" w:lineRule="auto"/>
        <w:rPr>
          <w:sz w:val="20"/>
          <w:szCs w:val="20"/>
          <w:color w:val="auto"/>
        </w:rPr>
      </w:pPr>
      <w:r>
        <w:rPr>
          <w:rFonts w:ascii="Times New Roman" w:cs="Times New Roman" w:eastAsia="Times New Roman" w:hAnsi="Times New Roman"/>
          <w:sz w:val="21"/>
          <w:szCs w:val="21"/>
          <w:color w:val="auto"/>
        </w:rPr>
        <w:t>Subject to the provisions of the Agreement and this Attachment I, vesting of the Performance Share Units is conditioned upon the cumulative absolute free cash flow (“FCF”) generated by the Company over the Free Cash Flow Performance Period as a percentage of cumulative net income generated by the Company from January 1, 2019 to December 31, 2020.</w:t>
      </w:r>
    </w:p>
    <w:p>
      <w:pPr>
        <w:spacing w:after="0" w:line="161" w:lineRule="exact"/>
        <w:rPr>
          <w:sz w:val="20"/>
          <w:szCs w:val="20"/>
          <w:color w:val="auto"/>
        </w:rPr>
      </w:pPr>
    </w:p>
    <w:p>
      <w:pPr>
        <w:jc w:val="both"/>
        <w:ind w:right="20" w:firstLine="878"/>
        <w:spacing w:after="0" w:line="249" w:lineRule="auto"/>
        <w:rPr>
          <w:sz w:val="20"/>
          <w:szCs w:val="20"/>
          <w:color w:val="auto"/>
        </w:rPr>
      </w:pPr>
      <w:r>
        <w:rPr>
          <w:rFonts w:ascii="Times New Roman" w:cs="Times New Roman" w:eastAsia="Times New Roman" w:hAnsi="Times New Roman"/>
          <w:sz w:val="21"/>
          <w:szCs w:val="21"/>
          <w:color w:val="auto"/>
        </w:rPr>
        <w:t>“Free cash flow” is defined as the Company’s cash flow from operations less capital expenditures, SPM investments and multiclient seismic data costs capitalized. Net income is defined as the Company’s income from continuing operations before non-controlling interests, excluding charges and credits. Acquisition of baseline production and investments up to first production for SPM projects will be excluded in the determination of free cash flow.</w:t>
      </w:r>
    </w:p>
    <w:p>
      <w:pPr>
        <w:spacing w:after="0" w:line="167" w:lineRule="exact"/>
        <w:rPr>
          <w:sz w:val="20"/>
          <w:szCs w:val="20"/>
          <w:color w:val="auto"/>
        </w:rPr>
      </w:pPr>
    </w:p>
    <w:p>
      <w:pPr>
        <w:jc w:val="both"/>
        <w:ind w:right="20" w:firstLine="878"/>
        <w:spacing w:after="0" w:line="249" w:lineRule="auto"/>
        <w:rPr>
          <w:sz w:val="20"/>
          <w:szCs w:val="20"/>
          <w:color w:val="auto"/>
        </w:rPr>
      </w:pPr>
      <w:r>
        <w:rPr>
          <w:rFonts w:ascii="Times New Roman" w:cs="Times New Roman" w:eastAsia="Times New Roman" w:hAnsi="Times New Roman"/>
          <w:sz w:val="21"/>
          <w:szCs w:val="21"/>
          <w:color w:val="auto"/>
        </w:rPr>
        <w:t>The number of Performance Share Units that will vest on the Vesting Date will be equal to the product of (i) the target Performance Share Units and (ii) the Payout Factor set forth below (with any fractional shares rounded up to the next whole share), subject to adjustment based on the Company’s relative total shareholder return (“TSR”) over the TSR Performance Period, as further described below.</w:t>
      </w:r>
    </w:p>
    <w:p>
      <w:pPr>
        <w:spacing w:after="0" w:line="167" w:lineRule="exact"/>
        <w:rPr>
          <w:sz w:val="20"/>
          <w:szCs w:val="20"/>
          <w:color w:val="auto"/>
        </w:rPr>
      </w:pPr>
    </w:p>
    <w:p>
      <w:pPr>
        <w:jc w:val="both"/>
        <w:ind w:right="20" w:firstLine="878"/>
        <w:spacing w:after="0" w:line="255" w:lineRule="auto"/>
        <w:rPr>
          <w:sz w:val="20"/>
          <w:szCs w:val="20"/>
          <w:color w:val="auto"/>
        </w:rPr>
      </w:pPr>
      <w:r>
        <w:rPr>
          <w:rFonts w:ascii="Times New Roman" w:cs="Times New Roman" w:eastAsia="Times New Roman" w:hAnsi="Times New Roman"/>
          <w:sz w:val="21"/>
          <w:szCs w:val="21"/>
          <w:color w:val="auto"/>
        </w:rPr>
        <w:t>The FCF achieved by the Company over the Free Cash Flow Performance Period will be certified by the Committee. The Payout Factor for FCF achievement levels between points on this chart will be determined by linear interpolation between the values listed. The maximum payout of Performance Share Units is 250% of the Target Performance Share Units.</w:t>
      </w:r>
    </w:p>
    <w:p>
      <w:pPr>
        <w:spacing w:after="0" w:line="168" w:lineRule="exact"/>
        <w:rPr>
          <w:sz w:val="20"/>
          <w:szCs w:val="20"/>
          <w:color w:val="auto"/>
        </w:rPr>
      </w:pPr>
    </w:p>
    <w:tbl>
      <w:tblPr>
        <w:tblLayout w:type="fixed"/>
        <w:tblInd w:w="30" w:type="dxa"/>
        <w:tblCellMar>
          <w:top w:w="0" w:type="dxa"/>
          <w:left w:w="0" w:type="dxa"/>
          <w:bottom w:w="0" w:type="dxa"/>
          <w:right w:w="0" w:type="dxa"/>
        </w:tblCellMar>
      </w:tblPr>
      <w:tr>
        <w:trPr>
          <w:trHeight w:val="274"/>
        </w:trPr>
        <w:tc>
          <w:tcPr>
            <w:tcW w:w="6120" w:type="dxa"/>
            <w:vAlign w:val="bottom"/>
            <w:tcBorders>
              <w:top w:val="single" w:sz="8" w:color="auto"/>
              <w:left w:val="single" w:sz="8" w:color="auto"/>
              <w:right w:val="single" w:sz="8" w:color="auto"/>
            </w:tcBorders>
          </w:tcPr>
          <w:p>
            <w:pPr>
              <w:ind w:left="2840"/>
              <w:spacing w:after="0"/>
              <w:rPr>
                <w:sz w:val="20"/>
                <w:szCs w:val="20"/>
                <w:color w:val="auto"/>
              </w:rPr>
            </w:pPr>
            <w:r>
              <w:rPr>
                <w:rFonts w:ascii="Times New Roman" w:cs="Times New Roman" w:eastAsia="Times New Roman" w:hAnsi="Times New Roman"/>
                <w:sz w:val="21"/>
                <w:szCs w:val="21"/>
                <w:b w:val="1"/>
                <w:bCs w:val="1"/>
                <w:color w:val="auto"/>
              </w:rPr>
              <w:t>FCF</w:t>
            </w:r>
          </w:p>
        </w:tc>
        <w:tc>
          <w:tcPr>
            <w:tcW w:w="5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Payout Factor for Vested Performance</w:t>
            </w:r>
          </w:p>
        </w:tc>
      </w:tr>
      <w:tr>
        <w:trPr>
          <w:trHeight w:val="281"/>
        </w:trPr>
        <w:tc>
          <w:tcPr>
            <w:tcW w:w="6120" w:type="dxa"/>
            <w:vAlign w:val="bottom"/>
            <w:tcBorders>
              <w:left w:val="single" w:sz="8" w:color="auto"/>
              <w:right w:val="single" w:sz="8" w:color="auto"/>
            </w:tcBorders>
          </w:tcPr>
          <w:p>
            <w:pPr>
              <w:spacing w:after="0"/>
              <w:rPr>
                <w:sz w:val="24"/>
                <w:szCs w:val="24"/>
                <w:color w:val="auto"/>
              </w:rPr>
            </w:pPr>
          </w:p>
        </w:tc>
        <w:tc>
          <w:tcPr>
            <w:tcW w:w="5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Share Units</w:t>
            </w:r>
          </w:p>
        </w:tc>
      </w:tr>
      <w:tr>
        <w:trPr>
          <w:trHeight w:val="292"/>
        </w:trPr>
        <w:tc>
          <w:tcPr>
            <w:tcW w:w="6120" w:type="dxa"/>
            <w:vAlign w:val="bottom"/>
            <w:tcBorders>
              <w:left w:val="single" w:sz="8" w:color="auto"/>
              <w:right w:val="single" w:sz="8" w:color="auto"/>
            </w:tcBorders>
          </w:tcPr>
          <w:p>
            <w:pPr>
              <w:spacing w:after="0"/>
              <w:rPr>
                <w:sz w:val="24"/>
                <w:szCs w:val="24"/>
                <w:color w:val="auto"/>
              </w:rPr>
            </w:pPr>
          </w:p>
        </w:tc>
        <w:tc>
          <w:tcPr>
            <w:tcW w:w="5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(before Relative TSR Adjustment)</w:t>
            </w:r>
          </w:p>
        </w:tc>
      </w:tr>
      <w:tr>
        <w:trPr>
          <w:trHeight w:val="42"/>
        </w:trPr>
        <w:tc>
          <w:tcPr>
            <w:tcW w:w="6120" w:type="dxa"/>
            <w:vAlign w:val="bottom"/>
            <w:tcBorders>
              <w:left w:val="single" w:sz="8" w:color="auto"/>
              <w:bottom w:val="single" w:sz="8" w:color="auto"/>
              <w:right w:val="single" w:sz="8" w:color="auto"/>
            </w:tcBorders>
          </w:tcPr>
          <w:p>
            <w:pPr>
              <w:spacing w:after="0"/>
              <w:rPr>
                <w:sz w:val="3"/>
                <w:szCs w:val="3"/>
                <w:color w:val="auto"/>
              </w:rPr>
            </w:pPr>
          </w:p>
        </w:tc>
        <w:tc>
          <w:tcPr>
            <w:tcW w:w="5300" w:type="dxa"/>
            <w:vAlign w:val="bottom"/>
            <w:tcBorders>
              <w:bottom w:val="single" w:sz="8" w:color="auto"/>
              <w:right w:val="single" w:sz="8" w:color="auto"/>
            </w:tcBorders>
          </w:tcPr>
          <w:p>
            <w:pPr>
              <w:spacing w:after="0"/>
              <w:rPr>
                <w:sz w:val="3"/>
                <w:szCs w:val="3"/>
                <w:color w:val="auto"/>
              </w:rPr>
            </w:pPr>
          </w:p>
        </w:tc>
      </w:tr>
      <w:tr>
        <w:trPr>
          <w:trHeight w:val="279"/>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 50%</w:t>
            </w:r>
          </w:p>
        </w:tc>
        <w:tc>
          <w:tcPr>
            <w:tcW w:w="5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9"/>
              </w:rPr>
              <w:t>0% of Target</w:t>
            </w:r>
          </w:p>
        </w:tc>
      </w:tr>
      <w:tr>
        <w:trPr>
          <w:trHeight w:val="286"/>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60%</w:t>
            </w:r>
          </w:p>
        </w:tc>
        <w:tc>
          <w:tcPr>
            <w:tcW w:w="5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50% of Target</w:t>
            </w:r>
          </w:p>
        </w:tc>
      </w:tr>
      <w:tr>
        <w:trPr>
          <w:trHeight w:val="286"/>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70%</w:t>
            </w:r>
          </w:p>
        </w:tc>
        <w:tc>
          <w:tcPr>
            <w:tcW w:w="5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100% of Target</w:t>
            </w:r>
          </w:p>
        </w:tc>
      </w:tr>
      <w:tr>
        <w:trPr>
          <w:trHeight w:val="286"/>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90%</w:t>
            </w:r>
          </w:p>
        </w:tc>
        <w:tc>
          <w:tcPr>
            <w:tcW w:w="5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200% of Target</w:t>
            </w:r>
          </w:p>
        </w:tc>
      </w:tr>
      <w:tr>
        <w:trPr>
          <w:trHeight w:val="286"/>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≥100%</w:t>
            </w:r>
          </w:p>
        </w:tc>
        <w:tc>
          <w:tcPr>
            <w:tcW w:w="5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250% of Target</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Adjustment for Relative TSR during TSR Performance Period</w:t>
      </w:r>
    </w:p>
    <w:p>
      <w:pPr>
        <w:spacing w:after="0" w:line="214" w:lineRule="exact"/>
        <w:rPr>
          <w:sz w:val="20"/>
          <w:szCs w:val="20"/>
          <w:color w:val="auto"/>
        </w:rPr>
      </w:pPr>
    </w:p>
    <w:p>
      <w:pPr>
        <w:jc w:val="both"/>
        <w:ind w:right="20" w:firstLine="878"/>
        <w:spacing w:after="0" w:line="242" w:lineRule="auto"/>
        <w:rPr>
          <w:sz w:val="20"/>
          <w:szCs w:val="20"/>
          <w:color w:val="auto"/>
        </w:rPr>
      </w:pPr>
      <w:r>
        <w:rPr>
          <w:rFonts w:ascii="Times New Roman" w:cs="Times New Roman" w:eastAsia="Times New Roman" w:hAnsi="Times New Roman"/>
          <w:sz w:val="21"/>
          <w:szCs w:val="21"/>
          <w:color w:val="auto"/>
        </w:rPr>
        <w:t>At the conclusion of the TSR Performance Period, the Committee will certify the Company’s cumulative TSR over the TSR Performance Period, determine the percentile ranking of the Company’s TSR relative to the cumulative TSR of the companies comprising the Philadelphia Oil Service Sector Index (the “OSX Index”), or any successor index as of the first day of the TSR Performance Period (the “Relative TSR Performance”), and determine the amount, if any, by which the Payout Factor will be adjusted (the “Relative TSR Modifier”). If the Company’s Relative TSR Performance during the TSR Performance Period is ranked in the bottom 33</w:t>
      </w:r>
      <w:r>
        <w:rPr>
          <w:rFonts w:ascii="Times New Roman" w:cs="Times New Roman" w:eastAsia="Times New Roman" w:hAnsi="Times New Roman"/>
          <w:sz w:val="18"/>
          <w:szCs w:val="18"/>
          <w:color w:val="auto"/>
        </w:rPr>
        <w:t>rd</w:t>
      </w:r>
      <w:r>
        <w:rPr>
          <w:rFonts w:ascii="Times New Roman" w:cs="Times New Roman" w:eastAsia="Times New Roman" w:hAnsi="Times New Roman"/>
          <w:sz w:val="21"/>
          <w:szCs w:val="21"/>
          <w:color w:val="auto"/>
        </w:rPr>
        <w:t xml:space="preserve"> percentile relative to the cumulative TSR of the companies comprising the OSX Index over the same period, the number of shares earned according to the Payout Factor will be reduced by 25 percentage points (e.g., if the Payout Factor from the table above was 110%, the reduced Payout Factor would be 85%). The Relative TSR Modifier will only reduce the number of shares earned under a PSU award, but will not increase the number of shares otherwise earned.</w:t>
      </w:r>
    </w:p>
    <w:p>
      <w:pPr>
        <w:spacing w:after="0" w:line="18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20" w:firstLine="878"/>
        <w:spacing w:after="0" w:line="246" w:lineRule="auto"/>
        <w:rPr>
          <w:sz w:val="20"/>
          <w:szCs w:val="20"/>
          <w:color w:val="auto"/>
        </w:rPr>
      </w:pPr>
      <w:r>
        <w:rPr>
          <w:rFonts w:ascii="Times New Roman" w:cs="Times New Roman" w:eastAsia="Times New Roman" w:hAnsi="Times New Roman"/>
          <w:sz w:val="21"/>
          <w:szCs w:val="21"/>
          <w:color w:val="auto"/>
        </w:rPr>
        <w:t>TSR for the Company or any other member of the OSX Index means the annualized rate of return reflecting price appreciation plus reinvestment of dividends (calculated monthly) and the compounding effect of dividends paid on reinvested dividends. The Committee will refer to Standard &amp; Poor’s Compustat Database (or any successor database), or such other database or method as the Committee determines is appropriate in its discretion, to calculate the TSR of the Company and other entities in the OSX Index.</w:t>
      </w:r>
    </w:p>
    <w:p>
      <w:pPr>
        <w:spacing w:after="0" w:line="171" w:lineRule="exact"/>
        <w:rPr>
          <w:sz w:val="20"/>
          <w:szCs w:val="20"/>
          <w:color w:val="auto"/>
        </w:rPr>
      </w:pPr>
    </w:p>
    <w:p>
      <w:pPr>
        <w:jc w:val="both"/>
        <w:ind w:firstLine="878"/>
        <w:spacing w:after="0" w:line="246" w:lineRule="auto"/>
        <w:rPr>
          <w:sz w:val="20"/>
          <w:szCs w:val="20"/>
          <w:color w:val="auto"/>
        </w:rPr>
      </w:pPr>
      <w:r>
        <w:rPr>
          <w:rFonts w:ascii="Times New Roman" w:cs="Times New Roman" w:eastAsia="Times New Roman" w:hAnsi="Times New Roman"/>
          <w:sz w:val="21"/>
          <w:szCs w:val="21"/>
          <w:color w:val="auto"/>
        </w:rPr>
        <w:t>If any member of the Index ceases to be publicly-traded during the Performance Period or is otherwise removed from the Index prior to the end of the TSR Performance Period, then such member will be removed from the Index for purposes of the Relative TSR Performance calculation. If any entity that was not a member of the OSX Index as of the first day of the TSR Performance Period is added to the OSX Index during the TSR Performance Period, the Committee may, in its sole discretion, elect to add such entity to the OSX Index for purposes of the Relative TSR Performance calculation.</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4" w:name="page35"/>
    <w:bookmarkEnd w:id="34"/>
    <w:p>
      <w:pPr>
        <w:ind w:left="3920"/>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5668645</wp:posOffset>
            </wp:positionH>
            <wp:positionV relativeFrom="paragraph">
              <wp:posOffset>592455</wp:posOffset>
            </wp:positionV>
            <wp:extent cx="1088390" cy="2279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088390" cy="22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21"/>
          <w:szCs w:val="21"/>
          <w:b w:val="1"/>
          <w:bCs w:val="1"/>
          <w:color w:val="auto"/>
        </w:rPr>
        <w:t>ATTACHMENT II</w:t>
      </w:r>
    </w:p>
    <w:p>
      <w:pPr>
        <w:spacing w:after="0" w:line="23"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21"/>
          <w:szCs w:val="21"/>
          <w:b w:val="1"/>
          <w:bCs w:val="1"/>
          <w:color w:val="auto"/>
        </w:rPr>
        <w:t>Confidential Information, Intellectual Property,</w:t>
      </w:r>
    </w:p>
    <w:p>
      <w:pPr>
        <w:jc w:val="center"/>
        <w:ind w:right="760"/>
        <w:spacing w:after="0"/>
        <w:rPr>
          <w:sz w:val="20"/>
          <w:szCs w:val="20"/>
          <w:color w:val="auto"/>
        </w:rPr>
      </w:pPr>
      <w:r>
        <w:rPr>
          <w:rFonts w:ascii="Times New Roman" w:cs="Times New Roman" w:eastAsia="Times New Roman" w:hAnsi="Times New Roman"/>
          <w:sz w:val="21"/>
          <w:szCs w:val="21"/>
          <w:b w:val="1"/>
          <w:bCs w:val="1"/>
          <w:color w:val="auto"/>
        </w:rPr>
        <w:t>and Non-Compete Agreement</w:t>
      </w:r>
    </w:p>
    <w:p>
      <w:pPr>
        <w:spacing w:after="0" w:line="186" w:lineRule="exact"/>
        <w:rPr>
          <w:sz w:val="20"/>
          <w:szCs w:val="20"/>
          <w:color w:val="auto"/>
        </w:rPr>
      </w:pPr>
    </w:p>
    <w:p>
      <w:pPr>
        <w:ind w:left="1100" w:hanging="794"/>
        <w:spacing w:after="0"/>
        <w:tabs>
          <w:tab w:leader="none" w:pos="11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10" w:lineRule="exact"/>
        <w:rPr>
          <w:rFonts w:ascii="Times New Roman" w:cs="Times New Roman" w:eastAsia="Times New Roman" w:hAnsi="Times New Roman"/>
          <w:sz w:val="19"/>
          <w:szCs w:val="19"/>
          <w:color w:val="auto"/>
        </w:rPr>
      </w:pPr>
    </w:p>
    <w:p>
      <w:pPr>
        <w:jc w:val="both"/>
        <w:ind w:firstLine="813"/>
        <w:spacing w:after="0" w:line="255" w:lineRule="auto"/>
        <w:tabs>
          <w:tab w:leader="none" w:pos="1692"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“Affiliate” means any entity that now or in the future directly or indirectly controls, is controlled by, or is under common control with the Company, where “control” in relation to a company means the direct or indirect ownership of at least fifty percent of the voting securities or shares.</w:t>
      </w:r>
    </w:p>
    <w:p>
      <w:pPr>
        <w:spacing w:after="0" w:line="160" w:lineRule="exact"/>
        <w:rPr>
          <w:rFonts w:ascii="Times New Roman" w:cs="Times New Roman" w:eastAsia="Times New Roman" w:hAnsi="Times New Roman"/>
          <w:sz w:val="21"/>
          <w:szCs w:val="21"/>
          <w:color w:val="auto"/>
        </w:rPr>
      </w:pPr>
    </w:p>
    <w:p>
      <w:pPr>
        <w:jc w:val="both"/>
        <w:ind w:firstLine="813"/>
        <w:spacing w:after="0"/>
        <w:tabs>
          <w:tab w:leader="none" w:pos="1705"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200" w:lineRule="exact"/>
        <w:rPr>
          <w:rFonts w:ascii="Times New Roman" w:cs="Times New Roman" w:eastAsia="Times New Roman" w:hAnsi="Times New Roman"/>
          <w:sz w:val="21"/>
          <w:szCs w:val="21"/>
          <w:color w:val="auto"/>
        </w:rPr>
      </w:pPr>
    </w:p>
    <w:p>
      <w:pPr>
        <w:spacing w:after="0" w:line="222" w:lineRule="exact"/>
        <w:rPr>
          <w:rFonts w:ascii="Times New Roman" w:cs="Times New Roman" w:eastAsia="Times New Roman" w:hAnsi="Times New Roman"/>
          <w:sz w:val="21"/>
          <w:szCs w:val="21"/>
          <w:color w:val="auto"/>
        </w:rPr>
      </w:pPr>
    </w:p>
    <w:p>
      <w:pPr>
        <w:jc w:val="both"/>
        <w:ind w:firstLine="813"/>
        <w:spacing w:after="0" w:line="241" w:lineRule="auto"/>
        <w:tabs>
          <w:tab w:leader="none" w:pos="1692"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Intellectual Property” is all Intellectual Property that was authored, conceived, developed, or reduced to practice by Employee (either solely or jointly with others), in the term of his/her employment: (a) at the Company’s expense or the expense of any Affiliate; (b) using any of the Company’s materials or facilities or the materials or facilities of any Affiliate; (c) during Employee’s working hours; or (d) that is applicable to any activity of the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the Company, and any Pre-existing Intellectual Property in which the Company has a vested or executory interest.</w:t>
      </w:r>
    </w:p>
    <w:p>
      <w:pPr>
        <w:spacing w:after="0" w:line="200" w:lineRule="exact"/>
        <w:rPr>
          <w:sz w:val="20"/>
          <w:szCs w:val="20"/>
          <w:color w:val="auto"/>
        </w:rPr>
      </w:pPr>
    </w:p>
    <w:p>
      <w:pPr>
        <w:spacing w:after="0" w:line="229"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12</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78740</wp:posOffset>
            </wp:positionV>
            <wp:extent cx="729107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640"/>
          </w:cols>
          <w:pgMar w:left="1020" w:top="108" w:right="239" w:bottom="1440" w:gutter="0" w:footer="0" w:header="0"/>
        </w:sectPr>
      </w:pPr>
    </w:p>
    <w:bookmarkStart w:id="35" w:name="page36"/>
    <w:bookmarkEnd w:id="35"/>
    <w:p>
      <w:pPr>
        <w:jc w:val="center"/>
        <w:ind w:right="220"/>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560" w:firstLine="813"/>
        <w:spacing w:after="0" w:line="244" w:lineRule="auto"/>
        <w:tabs>
          <w:tab w:leader="none" w:pos="2265"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 manufacturing techniques, business methods, information considered by the Company to be confidential, tools, routines and methodology, documentation, systems, enhancements or modifications thereto, know-how, and developments, any derivative works and ideas whether or not patentable, and any other form of intellectual property.</w:t>
      </w:r>
    </w:p>
    <w:p>
      <w:pPr>
        <w:spacing w:after="0" w:line="174" w:lineRule="exact"/>
        <w:rPr>
          <w:rFonts w:ascii="Times New Roman" w:cs="Times New Roman" w:eastAsia="Times New Roman" w:hAnsi="Times New Roman"/>
          <w:sz w:val="21"/>
          <w:szCs w:val="21"/>
          <w:color w:val="auto"/>
        </w:rPr>
      </w:pPr>
    </w:p>
    <w:p>
      <w:pPr>
        <w:ind w:left="560" w:firstLine="813"/>
        <w:spacing w:after="0" w:line="273" w:lineRule="auto"/>
        <w:tabs>
          <w:tab w:leader="none" w:pos="2252"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“Pre-existing Intellectual Property” is all Intellectual Property that was authored, conceived, developed, or reduced to practice by Employee before the term of Employee’s employment with the Company or any Affiliate began.</w:t>
      </w:r>
    </w:p>
    <w:p>
      <w:pPr>
        <w:spacing w:after="0" w:line="141" w:lineRule="exact"/>
        <w:rPr>
          <w:rFonts w:ascii="Times New Roman" w:cs="Times New Roman" w:eastAsia="Times New Roman" w:hAnsi="Times New Roman"/>
          <w:sz w:val="21"/>
          <w:szCs w:val="21"/>
          <w:color w:val="auto"/>
        </w:rPr>
      </w:pPr>
    </w:p>
    <w:p>
      <w:pPr>
        <w:jc w:val="both"/>
        <w:ind w:firstLine="866"/>
        <w:spacing w:after="0" w:line="249" w:lineRule="auto"/>
        <w:tabs>
          <w:tab w:leader="none" w:pos="1645"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Codes of Conduct</w:t>
      </w:r>
      <w:r>
        <w:rPr>
          <w:rFonts w:ascii="Times New Roman" w:cs="Times New Roman" w:eastAsia="Times New Roman" w:hAnsi="Times New Roman"/>
          <w:sz w:val="21"/>
          <w:szCs w:val="21"/>
          <w:color w:val="auto"/>
        </w:rPr>
        <w:t>. 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II. In the event of any conflict or ambiguity, this Attachment II prevails.</w:t>
      </w:r>
    </w:p>
    <w:p>
      <w:pPr>
        <w:spacing w:after="0" w:line="167" w:lineRule="exact"/>
        <w:rPr>
          <w:rFonts w:ascii="Times New Roman" w:cs="Times New Roman" w:eastAsia="Times New Roman" w:hAnsi="Times New Roman"/>
          <w:sz w:val="19"/>
          <w:szCs w:val="19"/>
          <w:color w:val="auto"/>
        </w:rPr>
      </w:pPr>
    </w:p>
    <w:p>
      <w:pPr>
        <w:ind w:left="1660" w:hanging="794"/>
        <w:spacing w:after="0"/>
        <w:tabs>
          <w:tab w:leader="none" w:pos="166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w:t>
      </w:r>
    </w:p>
    <w:p>
      <w:pPr>
        <w:spacing w:after="0" w:line="210" w:lineRule="exact"/>
        <w:rPr>
          <w:rFonts w:ascii="Times New Roman" w:cs="Times New Roman" w:eastAsia="Times New Roman" w:hAnsi="Times New Roman"/>
          <w:sz w:val="19"/>
          <w:szCs w:val="19"/>
          <w:color w:val="auto"/>
        </w:rPr>
      </w:pPr>
    </w:p>
    <w:p>
      <w:pPr>
        <w:jc w:val="both"/>
        <w:ind w:left="560" w:firstLine="813"/>
        <w:spacing w:after="0" w:line="243" w:lineRule="auto"/>
        <w:tabs>
          <w:tab w:leader="none" w:pos="2252"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does not wish to receive from Employee any confidential or proprietary information of a third party to which Employee owes an obligation of confidence. Employee will not disclose to the Company or any of its Affiliates or use while employed by the Company or any of its Affiliates any information for which he or she is subject to an obligation of confidentiality to any former employer or other third party. Employee represents that his or her duties as an employee of the Company and Employee’s performance of this Attachment II do not and will not breach any agreement or duty to keep in confidence information, knowledge, or data acquired by Employee outside of Employee’s employment with the Company or any of its Affiliates.</w:t>
      </w:r>
    </w:p>
    <w:p>
      <w:pPr>
        <w:spacing w:after="0" w:line="175" w:lineRule="exact"/>
        <w:rPr>
          <w:rFonts w:ascii="Times New Roman" w:cs="Times New Roman" w:eastAsia="Times New Roman" w:hAnsi="Times New Roman"/>
          <w:sz w:val="21"/>
          <w:szCs w:val="21"/>
          <w:color w:val="auto"/>
        </w:rPr>
      </w:pPr>
    </w:p>
    <w:p>
      <w:pPr>
        <w:jc w:val="both"/>
        <w:ind w:left="560" w:firstLine="813"/>
        <w:spacing w:after="0" w:line="255" w:lineRule="auto"/>
        <w:tabs>
          <w:tab w:leader="none" w:pos="2265"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Employee’s term of employment, the Company or, if applicable its Affiliate, will provide Employee and Employee will receive access to Company Confidential Information that is proprietary, confidential, valuable, and relates to the Company’s business.</w:t>
      </w:r>
    </w:p>
    <w:p>
      <w:pPr>
        <w:spacing w:after="0" w:line="160" w:lineRule="exact"/>
        <w:rPr>
          <w:rFonts w:ascii="Times New Roman" w:cs="Times New Roman" w:eastAsia="Times New Roman" w:hAnsi="Times New Roman"/>
          <w:sz w:val="21"/>
          <w:szCs w:val="21"/>
          <w:color w:val="auto"/>
        </w:rPr>
      </w:pPr>
    </w:p>
    <w:p>
      <w:pPr>
        <w:jc w:val="both"/>
        <w:ind w:left="560" w:firstLine="813"/>
        <w:spacing w:after="0" w:line="246" w:lineRule="auto"/>
        <w:tabs>
          <w:tab w:leader="none" w:pos="2252"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in the proper performance of Employee’s duties for the Company or any of its Affiliates, Employee agrees not publish, disclose or transfer to any person or third party, or use in any way other than in the Company’s business or that of or any of its Affiliates, any confidential information or material of the Company or any of its Affiliates, including Company Confidential Information and Company Intellectual Property, either during or after employment with the Company.</w:t>
      </w:r>
    </w:p>
    <w:p>
      <w:pPr>
        <w:spacing w:after="0" w:line="178"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13</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78740</wp:posOffset>
            </wp:positionV>
            <wp:extent cx="729107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200"/>
          </w:cols>
          <w:pgMar w:left="460" w:top="108" w:right="239" w:bottom="1440" w:gutter="0" w:footer="0" w:header="0"/>
        </w:sectPr>
      </w:pPr>
    </w:p>
    <w:bookmarkStart w:id="36" w:name="page37"/>
    <w:bookmarkEnd w:id="36"/>
    <w:p>
      <w:pPr>
        <w:ind w:left="3920"/>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813"/>
        <w:spacing w:after="0" w:line="242" w:lineRule="auto"/>
        <w:tabs>
          <w:tab w:leader="none" w:pos="1705"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required in performing Employee's duties for the Company or any of its Affiliates, Employee agrees not remove from the Company premises or its control any Company Confidential Information including but not limited to equipment, drawings, notes, reports, manuals, invention records, software, customer information, well logs or other data, or other material, whether produced by Employee or obtained from the Company. This includes copying or transmitting such information via personal digital devices, mobile phones, external hard drives, USB “flash” drives, USB storage devices, FireWire storage devices, floppy discs, CD’s, DVD’s, personal email accounts, online or cloud storage accounts, memory cards, Zip discs, and any other similar media or means of transmitting, storing or archiving data outside systems supported by the Company or its Affiliate.</w:t>
      </w:r>
    </w:p>
    <w:p>
      <w:pPr>
        <w:spacing w:after="0" w:line="178" w:lineRule="exact"/>
        <w:rPr>
          <w:rFonts w:ascii="Times New Roman" w:cs="Times New Roman" w:eastAsia="Times New Roman" w:hAnsi="Times New Roman"/>
          <w:sz w:val="21"/>
          <w:szCs w:val="21"/>
          <w:color w:val="auto"/>
        </w:rPr>
      </w:pPr>
    </w:p>
    <w:p>
      <w:pPr>
        <w:jc w:val="both"/>
        <w:ind w:firstLine="813"/>
        <w:spacing w:after="0" w:line="246" w:lineRule="auto"/>
        <w:tabs>
          <w:tab w:leader="none" w:pos="1692"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to deliver all Company Confidential Information and materials to the Company immediately upon request, and in any event upon termination of employment. If any such Company Confidential Information has been stored on any personal electronic data storage device, including a home or personal computer, or personal email, online or cloud storage accounts, Employee agrees to notify the Company and its Affiliates and make available the device and account to the Company for inspection and removal of the information.</w:t>
      </w:r>
    </w:p>
    <w:p>
      <w:pPr>
        <w:spacing w:after="0" w:line="171" w:lineRule="exact"/>
        <w:rPr>
          <w:rFonts w:ascii="Times New Roman" w:cs="Times New Roman" w:eastAsia="Times New Roman" w:hAnsi="Times New Roman"/>
          <w:sz w:val="21"/>
          <w:szCs w:val="21"/>
          <w:color w:val="auto"/>
        </w:rPr>
      </w:pPr>
    </w:p>
    <w:p>
      <w:pPr>
        <w:jc w:val="both"/>
        <w:ind w:firstLine="813"/>
        <w:spacing w:after="0" w:line="255" w:lineRule="auto"/>
        <w:tabs>
          <w:tab w:leader="none" w:pos="1669"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160" w:lineRule="exact"/>
        <w:rPr>
          <w:rFonts w:ascii="Times New Roman" w:cs="Times New Roman" w:eastAsia="Times New Roman" w:hAnsi="Times New Roman"/>
          <w:sz w:val="21"/>
          <w:szCs w:val="21"/>
          <w:color w:val="auto"/>
        </w:rPr>
      </w:pPr>
    </w:p>
    <w:p>
      <w:pPr>
        <w:ind w:left="1100" w:hanging="794"/>
        <w:spacing w:after="0"/>
        <w:tabs>
          <w:tab w:leader="none" w:pos="110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Disclosure of Intellectual Property</w:t>
      </w:r>
      <w:r>
        <w:rPr>
          <w:rFonts w:ascii="Times New Roman" w:cs="Times New Roman" w:eastAsia="Times New Roman" w:hAnsi="Times New Roman"/>
          <w:sz w:val="21"/>
          <w:szCs w:val="21"/>
          <w:color w:val="auto"/>
        </w:rPr>
        <w:t>.</w:t>
      </w:r>
    </w:p>
    <w:p>
      <w:pPr>
        <w:spacing w:after="0" w:line="210" w:lineRule="exact"/>
        <w:rPr>
          <w:rFonts w:ascii="Times New Roman" w:cs="Times New Roman" w:eastAsia="Times New Roman" w:hAnsi="Times New Roman"/>
          <w:sz w:val="19"/>
          <w:szCs w:val="19"/>
          <w:color w:val="auto"/>
        </w:rPr>
      </w:pPr>
    </w:p>
    <w:p>
      <w:pPr>
        <w:jc w:val="both"/>
        <w:ind w:firstLine="813"/>
        <w:spacing w:after="0" w:line="242" w:lineRule="auto"/>
        <w:tabs>
          <w:tab w:leader="none" w:pos="1692"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to promptly disclose in writing to Company all Company Intellectual Property conceived, developed, improved or reduced to practice by Employee during Employee’s employment with the Company and its Affiliates, by completing and submitting an IP Disclosure Form. 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 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78" w:lineRule="exact"/>
        <w:rPr>
          <w:rFonts w:ascii="Times New Roman" w:cs="Times New Roman" w:eastAsia="Times New Roman" w:hAnsi="Times New Roman"/>
          <w:sz w:val="21"/>
          <w:szCs w:val="21"/>
          <w:color w:val="auto"/>
        </w:rPr>
      </w:pPr>
    </w:p>
    <w:p>
      <w:pPr>
        <w:jc w:val="both"/>
        <w:ind w:firstLine="813"/>
        <w:spacing w:after="0" w:line="243" w:lineRule="auto"/>
        <w:tabs>
          <w:tab w:leader="none" w:pos="1705"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will disclose to the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71120</wp:posOffset>
            </wp:positionV>
            <wp:extent cx="729107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640"/>
          </w:cols>
          <w:pgMar w:left="1020" w:top="108" w:right="239" w:bottom="1440" w:gutter="0" w:footer="0" w:header="0"/>
        </w:sectPr>
      </w:pPr>
    </w:p>
    <w:bookmarkStart w:id="37" w:name="page38"/>
    <w:bookmarkEnd w:id="37"/>
    <w:p>
      <w:pPr>
        <w:ind w:left="3614"/>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306" w:firstLine="813"/>
        <w:spacing w:after="0" w:line="255" w:lineRule="auto"/>
        <w:tabs>
          <w:tab w:leader="none" w:pos="1386"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receipt or acceptance of an IP Disclosure Form does not constitute an admission or agreement to any responses contained therein, does not waive or modify any terms of any agreement between Employee and the Company, and does not obligate or bind the Company.</w:t>
      </w:r>
    </w:p>
    <w:p>
      <w:pPr>
        <w:spacing w:after="0" w:line="160" w:lineRule="exact"/>
        <w:rPr>
          <w:rFonts w:ascii="Times New Roman" w:cs="Times New Roman" w:eastAsia="Times New Roman" w:hAnsi="Times New Roman"/>
          <w:sz w:val="21"/>
          <w:szCs w:val="21"/>
          <w:color w:val="auto"/>
        </w:rPr>
      </w:pPr>
    </w:p>
    <w:p>
      <w:pPr>
        <w:jc w:val="both"/>
        <w:ind w:left="-306" w:firstLine="813"/>
        <w:spacing w:after="0" w:line="243" w:lineRule="auto"/>
        <w:tabs>
          <w:tab w:leader="none" w:pos="1398"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75" w:lineRule="exact"/>
        <w:rPr>
          <w:rFonts w:ascii="Times New Roman" w:cs="Times New Roman" w:eastAsia="Times New Roman" w:hAnsi="Times New Roman"/>
          <w:sz w:val="21"/>
          <w:szCs w:val="21"/>
          <w:color w:val="auto"/>
        </w:rPr>
      </w:pPr>
    </w:p>
    <w:p>
      <w:pPr>
        <w:jc w:val="both"/>
        <w:ind w:left="-306" w:firstLine="813"/>
        <w:spacing w:after="0" w:line="244" w:lineRule="auto"/>
        <w:tabs>
          <w:tab w:leader="none" w:pos="1386"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and after employment with the Company, Employee will assist the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 documents pertaining to Company Intellectual Property which the Company may, in its sole discretion, determine to obtain.</w:t>
      </w:r>
    </w:p>
    <w:p>
      <w:pPr>
        <w:spacing w:after="0" w:line="174" w:lineRule="exact"/>
        <w:rPr>
          <w:rFonts w:ascii="Times New Roman" w:cs="Times New Roman" w:eastAsia="Times New Roman" w:hAnsi="Times New Roman"/>
          <w:sz w:val="21"/>
          <w:szCs w:val="21"/>
          <w:color w:val="auto"/>
        </w:rPr>
      </w:pPr>
    </w:p>
    <w:p>
      <w:pPr>
        <w:ind w:left="794" w:hanging="794"/>
        <w:spacing w:after="0"/>
        <w:tabs>
          <w:tab w:leader="none" w:pos="794"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Assignment of Intellectual Property</w:t>
      </w:r>
      <w:r>
        <w:rPr>
          <w:rFonts w:ascii="Times New Roman" w:cs="Times New Roman" w:eastAsia="Times New Roman" w:hAnsi="Times New Roman"/>
          <w:sz w:val="21"/>
          <w:szCs w:val="21"/>
          <w:color w:val="auto"/>
        </w:rPr>
        <w:t>.</w:t>
      </w:r>
    </w:p>
    <w:p>
      <w:pPr>
        <w:spacing w:after="0" w:line="210" w:lineRule="exact"/>
        <w:rPr>
          <w:rFonts w:ascii="Times New Roman" w:cs="Times New Roman" w:eastAsia="Times New Roman" w:hAnsi="Times New Roman"/>
          <w:sz w:val="19"/>
          <w:szCs w:val="19"/>
          <w:color w:val="auto"/>
        </w:rPr>
      </w:pPr>
    </w:p>
    <w:p>
      <w:pPr>
        <w:jc w:val="both"/>
        <w:ind w:left="-306" w:firstLine="813"/>
        <w:spacing w:after="0" w:line="242" w:lineRule="auto"/>
        <w:tabs>
          <w:tab w:leader="none" w:pos="1386"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to assign and hereby assigns to the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The Company has and will have the royalty-free right to use or otherwise exploit Company Intellectual Property without any further agreement between the Company and Employee. Company Intellectual Property remains the exclusive property of the Company whether or not deemed to be a “work made for hire” within the meaning of the copyright laws of the United States. For clarity, Employee does not hereby assign or agree to assign any Pre-existing Intellectual Property to the Company.</w:t>
      </w:r>
    </w:p>
    <w:p>
      <w:pPr>
        <w:spacing w:after="0" w:line="178" w:lineRule="exact"/>
        <w:rPr>
          <w:rFonts w:ascii="Times New Roman" w:cs="Times New Roman" w:eastAsia="Times New Roman" w:hAnsi="Times New Roman"/>
          <w:sz w:val="21"/>
          <w:szCs w:val="21"/>
          <w:color w:val="auto"/>
        </w:rPr>
      </w:pPr>
    </w:p>
    <w:p>
      <w:pPr>
        <w:jc w:val="both"/>
        <w:ind w:left="-306" w:firstLine="813"/>
        <w:spacing w:after="0" w:line="244" w:lineRule="auto"/>
        <w:tabs>
          <w:tab w:leader="none" w:pos="1398"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is hereby notified that certain statutes in some U.S. states relate to ownership and assignment of inventions. At relevant locations and in accordance with those statutes, the Company agrees that this Attachment II does not apply to an invention developed by Employee entirely on his or her own time without use of the Company Group’s equipment, supplies, facilities, systems, or confidential information, except for inventions that relate to the Company Group’s business, or actual or anticipated research or development of the Company Group or work performed by Employee for the Company Group. For this purpose, the “Company Group” means the Company and all Affiliates.</w:t>
      </w:r>
    </w:p>
    <w:p>
      <w:pPr>
        <w:spacing w:after="0" w:line="182" w:lineRule="exact"/>
        <w:rPr>
          <w:sz w:val="20"/>
          <w:szCs w:val="20"/>
          <w:color w:val="auto"/>
        </w:rPr>
      </w:pPr>
    </w:p>
    <w:p>
      <w:pPr>
        <w:ind w:left="9354"/>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15</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78740</wp:posOffset>
            </wp:positionV>
            <wp:extent cx="729107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334"/>
          </w:cols>
          <w:pgMar w:left="1326" w:top="108" w:right="239" w:bottom="1440" w:gutter="0" w:footer="0" w:header="0"/>
        </w:sectPr>
      </w:pPr>
    </w:p>
    <w:bookmarkStart w:id="38" w:name="page39"/>
    <w:bookmarkEnd w:id="38"/>
    <w:p>
      <w:pPr>
        <w:ind w:left="3614"/>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306" w:firstLine="813"/>
        <w:spacing w:after="0" w:line="255" w:lineRule="auto"/>
        <w:tabs>
          <w:tab w:leader="none" w:pos="1386"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in its sole discretion, waive the automatic assignment provisions of Section 5(a) using such criteria as the Company, in its sole discretion, may decide to use. No waiver of the automatic assignment provision is effective unless in a writing signed by a person authorized by the Company.</w:t>
      </w:r>
    </w:p>
    <w:p>
      <w:pPr>
        <w:spacing w:after="0" w:line="160" w:lineRule="exact"/>
        <w:rPr>
          <w:rFonts w:ascii="Times New Roman" w:cs="Times New Roman" w:eastAsia="Times New Roman" w:hAnsi="Times New Roman"/>
          <w:sz w:val="21"/>
          <w:szCs w:val="21"/>
          <w:color w:val="auto"/>
        </w:rPr>
      </w:pPr>
    </w:p>
    <w:p>
      <w:pPr>
        <w:jc w:val="both"/>
        <w:ind w:left="-306" w:firstLine="813"/>
        <w:spacing w:after="0" w:line="243" w:lineRule="auto"/>
        <w:tabs>
          <w:tab w:leader="none" w:pos="1398"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 waiver is obtained in violation of this Attachment II, or obtained through fraud, negligence, failure to disclose, or incorrect, incomplete, or defective information on an IP Disclosure Form.</w:t>
      </w:r>
    </w:p>
    <w:p>
      <w:pPr>
        <w:spacing w:after="0" w:line="175" w:lineRule="exact"/>
        <w:rPr>
          <w:rFonts w:ascii="Times New Roman" w:cs="Times New Roman" w:eastAsia="Times New Roman" w:hAnsi="Times New Roman"/>
          <w:sz w:val="21"/>
          <w:szCs w:val="21"/>
          <w:color w:val="auto"/>
        </w:rPr>
      </w:pPr>
    </w:p>
    <w:p>
      <w:pPr>
        <w:ind w:left="794" w:hanging="794"/>
        <w:spacing w:after="0"/>
        <w:tabs>
          <w:tab w:leader="none" w:pos="794"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w:t>
      </w:r>
    </w:p>
    <w:p>
      <w:pPr>
        <w:spacing w:after="0" w:line="210" w:lineRule="exact"/>
        <w:rPr>
          <w:rFonts w:ascii="Times New Roman" w:cs="Times New Roman" w:eastAsia="Times New Roman" w:hAnsi="Times New Roman"/>
          <w:sz w:val="19"/>
          <w:szCs w:val="19"/>
          <w:color w:val="auto"/>
        </w:rPr>
      </w:pPr>
    </w:p>
    <w:p>
      <w:pPr>
        <w:jc w:val="both"/>
        <w:ind w:left="-306" w:firstLine="813"/>
        <w:spacing w:after="0" w:line="255" w:lineRule="auto"/>
        <w:tabs>
          <w:tab w:leader="none" w:pos="1386"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term of employment with the Company or any of its Affiliates, Employee agrees not to engage, as an employee, officer, director, consultant, partner, owner or another capacity, in any activity or business competitive to that of the Company or any of its Affiliates.</w:t>
      </w:r>
    </w:p>
    <w:p>
      <w:pPr>
        <w:spacing w:after="0" w:line="160" w:lineRule="exact"/>
        <w:rPr>
          <w:rFonts w:ascii="Times New Roman" w:cs="Times New Roman" w:eastAsia="Times New Roman" w:hAnsi="Times New Roman"/>
          <w:sz w:val="21"/>
          <w:szCs w:val="21"/>
          <w:color w:val="auto"/>
        </w:rPr>
      </w:pPr>
    </w:p>
    <w:p>
      <w:pPr>
        <w:jc w:val="both"/>
        <w:ind w:left="-306" w:firstLine="813"/>
        <w:spacing w:after="0"/>
        <w:tabs>
          <w:tab w:leader="none" w:pos="1398"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recognizes and acknowledges that Company Confidential Information constitutes protectable information belonging to the Company and its Affiliates, including deemed trade secrets defined under applicable laws. In order to protect the Company and its Affiliates against any unauthorized use or disclosure of Company Confidential Information and in exchange for the Company's promise to provide Employee with access to Company Confidential Information and other consideration during employment with the Company and its Affiliates, Employee agrees that for a period of one year following the end of employment with the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the Company. Moreover, Employee agrees that the Company may provide a copy of this Attachment II to any entity for whom Employee provides services in the one-year period following the date of termination of Employee's employment with the Company and its Affiliates. In the event of breach by Employee, the specified period will be extended by the period of time of the breach.</w:t>
      </w:r>
    </w:p>
    <w:p>
      <w:pPr>
        <w:spacing w:after="0" w:line="192" w:lineRule="exact"/>
        <w:rPr>
          <w:sz w:val="20"/>
          <w:szCs w:val="20"/>
          <w:color w:val="auto"/>
        </w:rPr>
      </w:pPr>
    </w:p>
    <w:p>
      <w:pPr>
        <w:ind w:left="9354"/>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16</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78740</wp:posOffset>
            </wp:positionV>
            <wp:extent cx="729107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334"/>
          </w:cols>
          <w:pgMar w:left="1326" w:top="108" w:right="239" w:bottom="1440" w:gutter="0" w:footer="0" w:header="0"/>
        </w:sectPr>
      </w:pPr>
    </w:p>
    <w:bookmarkStart w:id="39" w:name="page40"/>
    <w:bookmarkEnd w:id="39"/>
    <w:p>
      <w:pPr>
        <w:ind w:left="3920"/>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Employee recognizes and acknowledges that the business, research, products, and services of the Company and its Affiliates are by nature worldwide in scope, and that the Company and its Affiliates are not required to maintain a physical location in close proximity to its customers. Employee agrees that in order to protect Company Confidential Information, business interests and goodwill, the “Restricted Territory” includes any county, parish, borough, or foreign equivalent: (1) in which the Company has customers or service assignments about which Employee received or obtained Company Confidential Information during his/her employment with the Company; (2) in which Employee had a customer or service assignment for the Company in the one-year period preceding Employee's termination; or (3) in which the Company had a work site, job site, facility, or office, at which Employee had a work activity for the Company in the one-year period preceding Employee’s termination. With respect to competitive activities in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Terrebonne, Union, Vermillion, and West Baton Rouge.</w:t>
      </w:r>
    </w:p>
    <w:p>
      <w:pPr>
        <w:spacing w:after="0" w:line="185" w:lineRule="exact"/>
        <w:rPr>
          <w:sz w:val="20"/>
          <w:szCs w:val="20"/>
          <w:color w:val="auto"/>
        </w:rPr>
      </w:pPr>
    </w:p>
    <w:p>
      <w:pPr>
        <w:jc w:val="both"/>
        <w:ind w:firstLine="813"/>
        <w:spacing w:after="0"/>
        <w:tabs>
          <w:tab w:leader="none" w:pos="1692"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attempted to place the most reasonable limitations on Employee’s subsequent employment opportunities consistent with the protection of the Company’s and its Affiliates’ valuable trade secrets, Company Confidential Information, business interests, and goodwill. Employee acknowledges that the limitations contained herein, especially limitations as to time, scope, and geography, are reasonable. In order to accommodate Employee in obtaining subsequent employment, the Company and its Affiliates may, in their discretion, grant a waiver of one or more of the restrictions on subsequent employment herein. A request for a waiver must be in writing and must be received by the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the Company decides to grant a waiver, the waiver may be subject to such restrictions or conditions as the Company may impose and will not constitute a waiver of any other term.</w:t>
      </w:r>
    </w:p>
    <w:p>
      <w:pPr>
        <w:spacing w:after="0" w:line="185" w:lineRule="exact"/>
        <w:rPr>
          <w:rFonts w:ascii="Times New Roman" w:cs="Times New Roman" w:eastAsia="Times New Roman" w:hAnsi="Times New Roman"/>
          <w:sz w:val="21"/>
          <w:szCs w:val="21"/>
          <w:color w:val="auto"/>
        </w:rPr>
      </w:pPr>
    </w:p>
    <w:p>
      <w:pPr>
        <w:ind w:left="1100" w:hanging="794"/>
        <w:spacing w:after="0"/>
        <w:tabs>
          <w:tab w:leader="none" w:pos="110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w:t>
      </w:r>
    </w:p>
    <w:p>
      <w:pPr>
        <w:spacing w:after="0" w:line="210" w:lineRule="exact"/>
        <w:rPr>
          <w:rFonts w:ascii="Times New Roman" w:cs="Times New Roman" w:eastAsia="Times New Roman" w:hAnsi="Times New Roman"/>
          <w:sz w:val="19"/>
          <w:szCs w:val="19"/>
          <w:color w:val="auto"/>
        </w:rPr>
      </w:pPr>
    </w:p>
    <w:p>
      <w:pPr>
        <w:jc w:val="both"/>
        <w:ind w:firstLine="813"/>
        <w:spacing w:after="0" w:line="242" w:lineRule="auto"/>
        <w:tabs>
          <w:tab w:leader="none" w:pos="1692"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While employed by the Company and its Affiliates, and during the 18-month period or after employment with the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the Company to leave the Company and its Affiliates, diminish their relationship with the Company and its Affiliates, or work for a competing business. This restriction will be limited to persons: (1) with whom Employee had contact or business dealings while employed by the Company and its Affiliates; (2) who worked in Employee’s business unit (Group); or (3) about whom Employee had access to confidential information. In the event of breach by Employee, the specified period will be extended by the period of time of the breach.</w:t>
      </w:r>
    </w:p>
    <w:p>
      <w:pPr>
        <w:spacing w:after="0" w:line="185"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17</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78740</wp:posOffset>
            </wp:positionV>
            <wp:extent cx="729107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640"/>
          </w:cols>
          <w:pgMar w:left="1020" w:top="108" w:right="239" w:bottom="1440" w:gutter="0" w:footer="0" w:header="0"/>
        </w:sectPr>
      </w:pPr>
    </w:p>
    <w:bookmarkStart w:id="40" w:name="page41"/>
    <w:bookmarkEnd w:id="40"/>
    <w:p>
      <w:pPr>
        <w:ind w:left="3614"/>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306" w:firstLine="813"/>
        <w:spacing w:after="0" w:line="242" w:lineRule="auto"/>
        <w:tabs>
          <w:tab w:leader="none" w:pos="1398"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While employed by the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the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78" w:lineRule="exact"/>
        <w:rPr>
          <w:rFonts w:ascii="Times New Roman" w:cs="Times New Roman" w:eastAsia="Times New Roman" w:hAnsi="Times New Roman"/>
          <w:sz w:val="21"/>
          <w:szCs w:val="21"/>
          <w:color w:val="auto"/>
        </w:rPr>
      </w:pPr>
    </w:p>
    <w:p>
      <w:pPr>
        <w:ind w:left="794" w:hanging="794"/>
        <w:spacing w:after="0"/>
        <w:tabs>
          <w:tab w:leader="none" w:pos="794"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Remedies for Employee’s Breach</w:t>
      </w:r>
      <w:r>
        <w:rPr>
          <w:rFonts w:ascii="Times New Roman" w:cs="Times New Roman" w:eastAsia="Times New Roman" w:hAnsi="Times New Roman"/>
          <w:sz w:val="21"/>
          <w:szCs w:val="21"/>
          <w:color w:val="auto"/>
        </w:rPr>
        <w:t>.</w:t>
      </w:r>
    </w:p>
    <w:p>
      <w:pPr>
        <w:spacing w:after="0" w:line="210" w:lineRule="exact"/>
        <w:rPr>
          <w:rFonts w:ascii="Times New Roman" w:cs="Times New Roman" w:eastAsia="Times New Roman" w:hAnsi="Times New Roman"/>
          <w:sz w:val="19"/>
          <w:szCs w:val="19"/>
          <w:color w:val="auto"/>
        </w:rPr>
      </w:pPr>
    </w:p>
    <w:p>
      <w:pPr>
        <w:jc w:val="both"/>
        <w:ind w:left="-306" w:firstLine="813"/>
        <w:spacing w:after="0" w:line="241" w:lineRule="auto"/>
        <w:tabs>
          <w:tab w:leader="none" w:pos="1386"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Employee acknowledges that the Company has agreed to provide Employee with Company Confidential Information during Employee's employment with the Company and its Affiliates. Employee further acknowledges that, if Employee was to leave the employ of the Company and its Affiliates for any reason and use or disclose Company Confidential Information, that use or disclosure would cause the Company and its Affiliates irreparable harm and injury for which no adequate remedy at law exists. Therefore, in the event of the breach or threatened breach of the provisions of this Attachment II by Employee, the Company and its Affiliates will be entitled to: </w:t>
      </w:r>
      <w:r>
        <w:rPr>
          <w:rFonts w:ascii="Times New Roman" w:cs="Times New Roman" w:eastAsia="Times New Roman" w:hAnsi="Times New Roman"/>
          <w:sz w:val="21"/>
          <w:szCs w:val="21"/>
          <w:b w:val="1"/>
          <w:bCs w:val="1"/>
          <w:color w:val="auto"/>
        </w:rPr>
        <w:t>(i) recover from Employee the value of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portion of the Award that has been paid or delivered; (ii) seek injunctive relief against Employee pursuant to the provisions of subsection (b) below; (iii) recover all damages, court costs, and attorneys’ fees incurred by the Company or its Affiliates in enforcing the provisions of this Award, and (iv) set-off any such sums to which the Company or any of its Affiliates may be entitled hereunder against any sum which may be owed Employee by the Company and its Affiliates.</w:t>
      </w:r>
    </w:p>
    <w:p>
      <w:pPr>
        <w:spacing w:after="0" w:line="176" w:lineRule="exact"/>
        <w:rPr>
          <w:rFonts w:ascii="Times New Roman" w:cs="Times New Roman" w:eastAsia="Times New Roman" w:hAnsi="Times New Roman"/>
          <w:sz w:val="21"/>
          <w:szCs w:val="21"/>
          <w:color w:val="auto"/>
        </w:rPr>
      </w:pPr>
    </w:p>
    <w:p>
      <w:pPr>
        <w:jc w:val="both"/>
        <w:ind w:left="-306" w:firstLine="813"/>
        <w:spacing w:after="0" w:line="244" w:lineRule="auto"/>
        <w:tabs>
          <w:tab w:leader="none" w:pos="1398"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Because of the difficulty of measuring economic losses to the Company or Employer as a result of a breach of the foregoing covenants, and because of the immediate and irreparable damage that could be caused to the Company or its Affiliates for which it would have no other adequate remedy, Employee agrees that the foregoing covenants may be enforced by the Company or its Affiliates in the event of breach by him/her by injunction relief and restraining order, without the necessity of posting a bond, and that such enforcement will not be the Company’s or its Affiliates’ exclusive remedy for a breach but instead will be in addition to all other rights and remedies available to the Company or any Affiliate.</w:t>
      </w:r>
    </w:p>
    <w:p>
      <w:pPr>
        <w:spacing w:after="0" w:line="174" w:lineRule="exact"/>
        <w:rPr>
          <w:rFonts w:ascii="Times New Roman" w:cs="Times New Roman" w:eastAsia="Times New Roman" w:hAnsi="Times New Roman"/>
          <w:sz w:val="21"/>
          <w:szCs w:val="21"/>
          <w:color w:val="auto"/>
        </w:rPr>
      </w:pPr>
    </w:p>
    <w:p>
      <w:pPr>
        <w:jc w:val="both"/>
        <w:ind w:left="-306" w:firstLine="813"/>
        <w:spacing w:after="0" w:line="249" w:lineRule="auto"/>
        <w:tabs>
          <w:tab w:leader="none" w:pos="1386"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covenants in this Attachment II will be construed as an agreement independent of any other provision in this Attachment II, and the existence of any claim or cause of action of Employee against the Company or any Affiliate, whether predicated on this Attachment II or otherwise, will not constitute a defense to the enforcement by the Company or any Affiliate of such covenants or provisions.</w:t>
      </w:r>
    </w:p>
    <w:p>
      <w:pPr>
        <w:spacing w:after="0" w:line="174" w:lineRule="exact"/>
        <w:rPr>
          <w:sz w:val="20"/>
          <w:szCs w:val="20"/>
          <w:color w:val="auto"/>
        </w:rPr>
      </w:pPr>
    </w:p>
    <w:p>
      <w:pPr>
        <w:ind w:left="9354"/>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18</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78740</wp:posOffset>
            </wp:positionV>
            <wp:extent cx="729107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334"/>
          </w:cols>
          <w:pgMar w:left="1326" w:top="108" w:right="239" w:bottom="1440" w:gutter="0" w:footer="0" w:header="0"/>
        </w:sectPr>
      </w:pPr>
    </w:p>
    <w:bookmarkStart w:id="41" w:name="page42"/>
    <w:bookmarkEnd w:id="41"/>
    <w:p>
      <w:pPr>
        <w:jc w:val="center"/>
        <w:ind w:right="220"/>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0" w:firstLine="813"/>
        <w:spacing w:after="0" w:line="273" w:lineRule="auto"/>
        <w:tabs>
          <w:tab w:leader="none" w:pos="2265"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acknowledges that the remedies contained in the Attachment II for violation of this Attachment II are not the exclusive remedies that the Company or an Affiliate may pursue.</w:t>
      </w:r>
    </w:p>
    <w:p>
      <w:pPr>
        <w:spacing w:after="0" w:line="141" w:lineRule="exact"/>
        <w:rPr>
          <w:rFonts w:ascii="Times New Roman" w:cs="Times New Roman" w:eastAsia="Times New Roman" w:hAnsi="Times New Roman"/>
          <w:sz w:val="21"/>
          <w:szCs w:val="21"/>
          <w:color w:val="auto"/>
        </w:rPr>
      </w:pPr>
    </w:p>
    <w:p>
      <w:pPr>
        <w:jc w:val="both"/>
        <w:ind w:firstLine="866"/>
        <w:spacing w:after="0" w:line="255" w:lineRule="auto"/>
        <w:tabs>
          <w:tab w:leader="none" w:pos="1645"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Waiver of any term of this Attachment II by the Company will not operate as a waiver of any other term of this Attachment II. A failure to enforce any provision of this Attachment II will not operate as a waiver of the Company’s right to enforce any other provision of this Attachment II.</w:t>
      </w:r>
    </w:p>
    <w:p>
      <w:pPr>
        <w:spacing w:after="0" w:line="160" w:lineRule="exact"/>
        <w:rPr>
          <w:rFonts w:ascii="Times New Roman" w:cs="Times New Roman" w:eastAsia="Times New Roman" w:hAnsi="Times New Roman"/>
          <w:sz w:val="19"/>
          <w:szCs w:val="19"/>
          <w:color w:val="auto"/>
        </w:rPr>
      </w:pPr>
    </w:p>
    <w:p>
      <w:pPr>
        <w:ind w:left="1740" w:hanging="874"/>
        <w:spacing w:after="0"/>
        <w:tabs>
          <w:tab w:leader="none" w:pos="174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10" w:lineRule="exact"/>
        <w:rPr>
          <w:rFonts w:ascii="Times New Roman" w:cs="Times New Roman" w:eastAsia="Times New Roman" w:hAnsi="Times New Roman"/>
          <w:sz w:val="19"/>
          <w:szCs w:val="19"/>
          <w:color w:val="auto"/>
        </w:rPr>
      </w:pPr>
    </w:p>
    <w:p>
      <w:pPr>
        <w:jc w:val="both"/>
        <w:ind w:left="560" w:firstLine="813"/>
        <w:spacing w:after="0" w:line="249" w:lineRule="auto"/>
        <w:tabs>
          <w:tab w:leader="none" w:pos="2252"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represents and warrants that Employee is not a party to any other agreement that will interfere with Employee’s full compliance with this Attachment II or that otherwise may restrict Employee’s employment by the Company or its Affiliates or the performance of Employee’s duties for the Company or its Affiliates. Employee agrees not to enter into any agreement, whether oral or written, in conflict with this Attachment II.</w:t>
      </w:r>
    </w:p>
    <w:p>
      <w:pPr>
        <w:spacing w:after="0" w:line="167" w:lineRule="exact"/>
        <w:rPr>
          <w:rFonts w:ascii="Times New Roman" w:cs="Times New Roman" w:eastAsia="Times New Roman" w:hAnsi="Times New Roman"/>
          <w:sz w:val="21"/>
          <w:szCs w:val="21"/>
          <w:color w:val="auto"/>
        </w:rPr>
      </w:pPr>
    </w:p>
    <w:p>
      <w:pPr>
        <w:jc w:val="both"/>
        <w:ind w:left="560" w:firstLine="813"/>
        <w:spacing w:after="0" w:line="255" w:lineRule="auto"/>
        <w:tabs>
          <w:tab w:leader="none" w:pos="2265"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Attachment II may be enforced by, will inure to the benefit of, and be binding upon the Company, its successors, and assigns. This Agreement will also inure to the benefit of, and may be enforced by, the Company’s Affiliates. This Attachment II is binding upon Employee’s heirs and legal representatives.</w:t>
      </w:r>
    </w:p>
    <w:p>
      <w:pPr>
        <w:spacing w:after="0" w:line="160" w:lineRule="exact"/>
        <w:rPr>
          <w:rFonts w:ascii="Times New Roman" w:cs="Times New Roman" w:eastAsia="Times New Roman" w:hAnsi="Times New Roman"/>
          <w:sz w:val="21"/>
          <w:szCs w:val="21"/>
          <w:color w:val="auto"/>
        </w:rPr>
      </w:pPr>
    </w:p>
    <w:p>
      <w:pPr>
        <w:jc w:val="both"/>
        <w:ind w:left="560" w:firstLine="813"/>
        <w:spacing w:after="0" w:line="255" w:lineRule="auto"/>
        <w:tabs>
          <w:tab w:leader="none" w:pos="2252"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Attachment II prohibits Employee from reporting possible violation of federal law or regulation to any governmental agency or entity, or making disclosures that are protected under a “whistleblower” provision of federal law or regulation.</w:t>
      </w:r>
    </w:p>
    <w:p>
      <w:pPr>
        <w:spacing w:after="0" w:line="160" w:lineRule="exact"/>
        <w:rPr>
          <w:rFonts w:ascii="Times New Roman" w:cs="Times New Roman" w:eastAsia="Times New Roman" w:hAnsi="Times New Roman"/>
          <w:sz w:val="21"/>
          <w:szCs w:val="21"/>
          <w:color w:val="auto"/>
        </w:rPr>
      </w:pPr>
    </w:p>
    <w:p>
      <w:pPr>
        <w:jc w:val="both"/>
        <w:ind w:left="560" w:firstLine="813"/>
        <w:spacing w:after="0" w:line="249" w:lineRule="auto"/>
        <w:tabs>
          <w:tab w:leader="none" w:pos="2265"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Employee is employed by an Affiliate of the Company or by accepting a transfer to an Affiliate of the Company, Employee agrees to the automatic application of all of the terms of this Attachment II to said Affiliate contemporaneously with the acceptance of such transfer, subject to subsequent agreements, if any, executed by Employee and the Affiliate of the Company or the Company, and to the fullest extent allowed by law.</w:t>
      </w:r>
    </w:p>
    <w:p>
      <w:pPr>
        <w:spacing w:after="0" w:line="167" w:lineRule="exact"/>
        <w:rPr>
          <w:rFonts w:ascii="Times New Roman" w:cs="Times New Roman" w:eastAsia="Times New Roman" w:hAnsi="Times New Roman"/>
          <w:sz w:val="21"/>
          <w:szCs w:val="21"/>
          <w:color w:val="auto"/>
        </w:rPr>
      </w:pPr>
    </w:p>
    <w:p>
      <w:pPr>
        <w:jc w:val="both"/>
        <w:ind w:left="560" w:firstLine="813"/>
        <w:spacing w:after="0" w:line="243" w:lineRule="auto"/>
        <w:tabs>
          <w:tab w:leader="none" w:pos="2252"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Should any portion of this Attachment II be held invalid, unenforceable, or void, such holding will not have the effect of invalidating or voiding the other portions of this Attachment II.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II. No court ordered reformation or amendment will give rise to a finding of knowing, willful, or bad faith unreasonableness against the Company regarding this Attachment II.</w:t>
      </w:r>
    </w:p>
    <w:p>
      <w:pPr>
        <w:spacing w:after="0" w:line="175" w:lineRule="exact"/>
        <w:rPr>
          <w:rFonts w:ascii="Times New Roman" w:cs="Times New Roman" w:eastAsia="Times New Roman" w:hAnsi="Times New Roman"/>
          <w:sz w:val="21"/>
          <w:szCs w:val="21"/>
          <w:color w:val="auto"/>
        </w:rPr>
      </w:pPr>
    </w:p>
    <w:p>
      <w:pPr>
        <w:jc w:val="both"/>
        <w:ind w:left="560" w:firstLine="813"/>
        <w:spacing w:after="0" w:line="249" w:lineRule="auto"/>
        <w:tabs>
          <w:tab w:leader="none" w:pos="2229"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and conditions of this Attachment II supersede any previous agreement, oral or written, between Employee and the Company relating to the subject matter thereof; provided, however, that nothing herein will limit Employee’s obligations to the Company or any Affiliate under any prior agreement containing restrictions related to intellectual property, confidential information, solicitation or competition.</w:t>
      </w:r>
    </w:p>
    <w:p>
      <w:pPr>
        <w:spacing w:after="0" w:line="174"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19</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19</w:t>
      </w:r>
    </w:p>
    <w:p>
      <w:pPr>
        <w:sectPr>
          <w:pgSz w:w="11900" w:h="16838" w:orient="portrait"/>
          <w:cols w:equalWidth="0" w:num="1">
            <w:col w:w="11200"/>
          </w:cols>
          <w:pgMar w:left="460" w:top="108"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6163945</wp:posOffset>
            </wp:positionH>
            <wp:positionV relativeFrom="paragraph">
              <wp:posOffset>153670</wp:posOffset>
            </wp:positionV>
            <wp:extent cx="1088390" cy="2279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088390" cy="22796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Draft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2019 PERFORMANCE SHARE UNIT AWARD AGREEMENT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(WITH RELATIVE TSR MODIFIER)</w:t>
      </w:r>
    </w:p>
    <w:p>
      <w:pPr>
        <w:jc w:val="center"/>
        <w:spacing w:after="0" w:line="237" w:lineRule="auto"/>
        <w:rPr>
          <w:sz w:val="20"/>
          <w:szCs w:val="20"/>
          <w:color w:val="auto"/>
        </w:rPr>
      </w:pPr>
      <w:r>
        <w:rPr>
          <w:rFonts w:ascii="Times New Roman" w:cs="Times New Roman" w:eastAsia="Times New Roman" w:hAnsi="Times New Roman"/>
          <w:sz w:val="21"/>
          <w:szCs w:val="21"/>
          <w:b w:val="1"/>
          <w:bCs w:val="1"/>
          <w:color w:val="auto"/>
        </w:rPr>
        <w:t>under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SCHLUMBERGER 2017 OMNIBUS STOCK INCENTIVE PLAN</w:t>
      </w:r>
    </w:p>
    <w:p>
      <w:pPr>
        <w:spacing w:after="0" w:line="182" w:lineRule="exact"/>
        <w:rPr>
          <w:sz w:val="20"/>
          <w:szCs w:val="20"/>
          <w:color w:val="auto"/>
        </w:rPr>
      </w:pPr>
    </w:p>
    <w:p>
      <w:pPr>
        <w:jc w:val="center"/>
        <w:ind w:left="260" w:right="80"/>
        <w:spacing w:after="0" w:line="27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u w:val="single" w:color="auto"/>
          <w:color w:val="auto"/>
        </w:rPr>
        <w:t>Includes Confidentiality, Intellectual Property, Non-Competition, and Non-Solicitation Provisions in Section 9 and Attachment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u w:val="single" w:color="auto"/>
          <w:color w:val="auto"/>
        </w:rPr>
        <w:t>II</w:t>
      </w:r>
      <w:r>
        <w:rPr>
          <w:rFonts w:ascii="Times New Roman" w:cs="Times New Roman" w:eastAsia="Times New Roman" w:hAnsi="Times New Roman"/>
          <w:sz w:val="21"/>
          <w:szCs w:val="21"/>
          <w:color w:val="auto"/>
        </w:rPr>
        <w: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 Period: 2019, 2020 and 2021</w:t>
      </w:r>
    </w:p>
    <w:p>
      <w:pPr>
        <w:spacing w:after="0" w:line="214" w:lineRule="exact"/>
        <w:rPr>
          <w:sz w:val="20"/>
          <w:szCs w:val="20"/>
          <w:color w:val="auto"/>
        </w:rPr>
      </w:pPr>
    </w:p>
    <w:p>
      <w:pPr>
        <w:jc w:val="both"/>
        <w:ind w:firstLine="878"/>
        <w:spacing w:after="0" w:line="255" w:lineRule="auto"/>
        <w:rPr>
          <w:sz w:val="20"/>
          <w:szCs w:val="20"/>
          <w:color w:val="auto"/>
        </w:rPr>
      </w:pPr>
      <w:r>
        <w:rPr>
          <w:rFonts w:ascii="Times New Roman" w:cs="Times New Roman" w:eastAsia="Times New Roman" w:hAnsi="Times New Roman"/>
          <w:sz w:val="21"/>
          <w:szCs w:val="21"/>
          <w:color w:val="auto"/>
        </w:rPr>
        <w:t xml:space="preserve">This Performance Share Unit Award Agreement (as may be amended, the “Agreement”) is granted effective as of January 16, 2019 (the “Grant Date”) by Schlumberger Limited (the “Company”), for the benefit of </w:t>
      </w:r>
      <w:r>
        <w:rPr>
          <w:rFonts w:ascii="Times New Roman" w:cs="Times New Roman" w:eastAsia="Times New Roman" w:hAnsi="Times New Roman"/>
          <w:sz w:val="21"/>
          <w:szCs w:val="21"/>
          <w:b w:val="1"/>
          <w:bCs w:val="1"/>
          <w:color w:val="auto"/>
        </w:rPr>
        <w:t>___________</w:t>
      </w:r>
      <w:r>
        <w:rPr>
          <w:rFonts w:ascii="Times New Roman" w:cs="Times New Roman" w:eastAsia="Times New Roman" w:hAnsi="Times New Roman"/>
          <w:sz w:val="21"/>
          <w:szCs w:val="21"/>
          <w:color w:val="auto"/>
        </w:rPr>
        <w:t xml:space="preserve"> (“Employee”), pursuant to the Schlumberger 2017 Omnibus Stock Incentive Plan, as may be amended (the “Plan”).</w:t>
      </w:r>
    </w:p>
    <w:p>
      <w:pPr>
        <w:spacing w:after="0" w:line="161" w:lineRule="exact"/>
        <w:rPr>
          <w:sz w:val="20"/>
          <w:szCs w:val="20"/>
          <w:color w:val="auto"/>
        </w:rPr>
      </w:pPr>
    </w:p>
    <w:p>
      <w:pPr>
        <w:jc w:val="both"/>
        <w:ind w:firstLine="884"/>
        <w:spacing w:after="0" w:line="242" w:lineRule="auto"/>
        <w:tabs>
          <w:tab w:leader="none" w:pos="1661"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Award</w:t>
      </w:r>
      <w:r>
        <w:rPr>
          <w:rFonts w:ascii="Times New Roman" w:cs="Times New Roman" w:eastAsia="Times New Roman" w:hAnsi="Times New Roman"/>
          <w:sz w:val="21"/>
          <w:szCs w:val="21"/>
          <w:color w:val="auto"/>
        </w:rPr>
        <w:t>. In consideration of Employee’s continued employment as hereinafter set forth, the Company hereby grants to Employee an award of “Performance Share Units,” provided that (except as otherwise provided in Section 2(c)) the final number of Performance Share Units will be determined in accordance with the performance criteria set forth on Attachment I to this Agreement. The target Performance Share Units subject to this award is set forth in an award letter previously delivered to Employee and the Notice of Grant of Award of Performance Share Units attached hereto. The Performance Share Units are notional units of measurement denominated in shares of common stock of the Company, $.01 par value per share (“Common Stock”). Each Performance Share Unit represents a right to receive one share of Common Stock or equivalent value, subject to the conditions and restrictions on transferability set forth herein and in the Plan.</w:t>
      </w:r>
    </w:p>
    <w:p>
      <w:pPr>
        <w:spacing w:after="0" w:line="178" w:lineRule="exact"/>
        <w:rPr>
          <w:rFonts w:ascii="Times New Roman" w:cs="Times New Roman" w:eastAsia="Times New Roman" w:hAnsi="Times New Roman"/>
          <w:sz w:val="19"/>
          <w:szCs w:val="19"/>
          <w:color w:val="auto"/>
        </w:rPr>
      </w:pPr>
    </w:p>
    <w:p>
      <w:pPr>
        <w:ind w:left="1660" w:hanging="776"/>
        <w:spacing w:after="0"/>
        <w:tabs>
          <w:tab w:leader="none" w:pos="166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Vesting of Performance Share Units</w:t>
      </w:r>
      <w:r>
        <w:rPr>
          <w:rFonts w:ascii="Times New Roman" w:cs="Times New Roman" w:eastAsia="Times New Roman" w:hAnsi="Times New Roman"/>
          <w:sz w:val="21"/>
          <w:szCs w:val="21"/>
          <w:color w:val="auto"/>
        </w:rPr>
        <w:t>.  The period of time from and including January 1, 2019 to December 31,</w:t>
      </w:r>
    </w:p>
    <w:p>
      <w:pPr>
        <w:spacing w:after="0" w:line="2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2021 is the “Performance Period.” The Performance Share Units will vest as follows:</w:t>
      </w:r>
    </w:p>
    <w:p>
      <w:pPr>
        <w:spacing w:after="0" w:line="186" w:lineRule="exact"/>
        <w:rPr>
          <w:sz w:val="20"/>
          <w:szCs w:val="20"/>
          <w:color w:val="auto"/>
        </w:rPr>
      </w:pPr>
    </w:p>
    <w:p>
      <w:pPr>
        <w:jc w:val="both"/>
        <w:ind w:firstLine="884"/>
        <w:spacing w:after="0" w:line="242" w:lineRule="auto"/>
        <w:tabs>
          <w:tab w:leader="none" w:pos="1751"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first Friday following the first meeting of the Compensation Committee of the Board of Directors of the Company (the “Committee”) in 2022 (the “First Committee Meeting”), or as soon thereafter as reasonably practicable (such date, the “initial Vesting Date”), a number of Performance Share Units will vest based on the extent to which the Company has satisfied the performance conditions set forth on Attachment I, provided that Employee is continuously employed by the Company or any of its Subsidiaries from the Grant Date through the initial Vesting Date and has not experienced a Termination of Employment (as defined in Section 12(y) below) as of such date. If, immediately following the First Committee Meeting, not all companies comprising the ROCE Peer Group (as defined in Attachment I) have publicly disclosed the full-year financial information required to determine the number of shares of Schlumberger common stock earned, the Committee may elect, at its discretion, to award to Employee a specified percentage of the number of such shares initially determined to be earned.</w:t>
      </w:r>
    </w:p>
    <w:p>
      <w:pPr>
        <w:spacing w:after="0" w:line="394" w:lineRule="exact"/>
        <w:rPr>
          <w:sz w:val="20"/>
          <w:szCs w:val="20"/>
          <w:color w:val="auto"/>
        </w:rPr>
      </w:pPr>
    </w:p>
    <w:p>
      <w:pPr>
        <w:spacing w:after="0"/>
        <w:tabs>
          <w:tab w:leader="none" w:pos="10520" w:val="left"/>
        </w:tabs>
        <w:rPr>
          <w:sz w:val="20"/>
          <w:szCs w:val="20"/>
          <w:color w:val="auto"/>
        </w:rPr>
      </w:pPr>
      <w:r>
        <w:rPr>
          <w:rFonts w:ascii="Times New Roman" w:cs="Times New Roman" w:eastAsia="Times New Roman" w:hAnsi="Times New Roman"/>
          <w:sz w:val="18"/>
          <w:szCs w:val="18"/>
          <w:color w:val="auto"/>
        </w:rPr>
        <w:t>Active 38494275.8</w:t>
      </w:r>
      <w:r>
        <w:rPr>
          <w:sz w:val="20"/>
          <w:szCs w:val="20"/>
          <w:color w:val="auto"/>
        </w:rPr>
        <w:tab/>
      </w: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206375</wp:posOffset>
            </wp:positionV>
            <wp:extent cx="729107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The percentage of shares initially issued to Employee will be based on available reported results of the ROCE Peer Group as of the First Committee Meeting, and the issuance of the shares will occur as soon after the First Committee Meeting as reasonably practicable. Any additional shares earned will be issued to Employee as soon as reasonably practicable following the public release by all ROCE Peer Group companies of the requisite full-year financial results necessary to determine the final number of shares earned. The date of the issuance of such additional shares will be a “subsequent Vesting Date” for purposes of this Agreement). Except as provided in Sections 2(b) and 2(c) below, if there is any Termination of Employment during the period from and between the Grant Date until and including the initial Vesting Date, Employee will immediately and automatically forfeit all Performance Share Units. The Committee may delegate, to an officer of the Company or to a subcommittee of the Committee, its authority to determine whether Employee has incurred a Termination of Employment, the cause of such termination or any related issue, and any such determination by the Committee or its delegate will be final and binding on all parties.</w:t>
      </w:r>
    </w:p>
    <w:p>
      <w:pPr>
        <w:spacing w:after="0" w:line="180" w:lineRule="exact"/>
        <w:rPr>
          <w:sz w:val="20"/>
          <w:szCs w:val="20"/>
          <w:color w:val="auto"/>
        </w:rPr>
      </w:pPr>
    </w:p>
    <w:p>
      <w:pPr>
        <w:jc w:val="both"/>
        <w:ind w:firstLine="884"/>
        <w:spacing w:after="0" w:line="249" w:lineRule="auto"/>
        <w:tabs>
          <w:tab w:leader="none" w:pos="1763"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Employee’s Termination of Employment occurs due to Retirement (as defined in Section 12(q) below) or Special Retirement (as defined in Section 12(t) below), the Performance Share Units will vest in accordance with Section 2(a) above as if Employee had remained continuously employed by the Company or any of its Subsidiaries from the Grant Date through the initial Vesting Date.</w:t>
      </w:r>
    </w:p>
    <w:p>
      <w:pPr>
        <w:spacing w:after="0" w:line="167" w:lineRule="exact"/>
        <w:rPr>
          <w:rFonts w:ascii="Times New Roman" w:cs="Times New Roman" w:eastAsia="Times New Roman" w:hAnsi="Times New Roman"/>
          <w:sz w:val="21"/>
          <w:szCs w:val="21"/>
          <w:color w:val="auto"/>
        </w:rPr>
      </w:pPr>
    </w:p>
    <w:p>
      <w:pPr>
        <w:jc w:val="both"/>
        <w:ind w:firstLine="884"/>
        <w:spacing w:after="0" w:line="255" w:lineRule="auto"/>
        <w:tabs>
          <w:tab w:leader="none" w:pos="1751"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Employee’s Termination of Employment occurs due to Disability (as defined in Section 12(h) below) or death, then immediately on the occurrence of such Termination of Employment, the target number of Performance Share Units will vest, and the date of such Termination of Employment will be considered the initial Vesting Date.</w:t>
      </w:r>
    </w:p>
    <w:p>
      <w:pPr>
        <w:spacing w:after="0" w:line="161" w:lineRule="exact"/>
        <w:rPr>
          <w:sz w:val="20"/>
          <w:szCs w:val="20"/>
          <w:color w:val="auto"/>
        </w:rPr>
      </w:pPr>
    </w:p>
    <w:p>
      <w:pPr>
        <w:jc w:val="both"/>
        <w:ind w:firstLine="884"/>
        <w:spacing w:after="0" w:line="246" w:lineRule="auto"/>
        <w:tabs>
          <w:tab w:leader="none" w:pos="1661"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Settlement of Performance Share Units</w:t>
      </w:r>
      <w:r>
        <w:rPr>
          <w:rFonts w:ascii="Times New Roman" w:cs="Times New Roman" w:eastAsia="Times New Roman" w:hAnsi="Times New Roman"/>
          <w:sz w:val="21"/>
          <w:szCs w:val="21"/>
          <w:color w:val="auto"/>
        </w:rPr>
        <w:t xml:space="preserve">. Payment of vested Performance Share Units will be made in shares of Common Stock as soon as administratively practicable, but in no event later than 2-1/2 months following the end of the Performance Period (the date of any such payment, the “Settlement Date”);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Committee may, in its sole and absolute discretion, settle the vested Performance Share Units in cash based on the Fair Market Value of the shares of Common Stock on the Settlement Date.</w:t>
      </w:r>
    </w:p>
    <w:p>
      <w:pPr>
        <w:spacing w:after="0" w:line="171" w:lineRule="exact"/>
        <w:rPr>
          <w:rFonts w:ascii="Times New Roman" w:cs="Times New Roman" w:eastAsia="Times New Roman" w:hAnsi="Times New Roman"/>
          <w:sz w:val="19"/>
          <w:szCs w:val="19"/>
          <w:color w:val="auto"/>
        </w:rPr>
      </w:pPr>
    </w:p>
    <w:p>
      <w:pPr>
        <w:ind w:left="1660" w:hanging="776"/>
        <w:spacing w:after="0"/>
        <w:tabs>
          <w:tab w:leader="none" w:pos="166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Forfeiture of Performance Share Units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884"/>
        <w:spacing w:after="0" w:line="246" w:lineRule="auto"/>
        <w:tabs>
          <w:tab w:leader="none" w:pos="1751"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during the Performance Period and up to and including the initial Vesting Date, upon a Termination of Employment for any reason that does not result in a continuation or acceleration of vesting pursuant to Section 2, Employee will immediately and automatically forfeit all unvested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884"/>
        <w:spacing w:after="0" w:line="246" w:lineRule="auto"/>
        <w:tabs>
          <w:tab w:leader="none" w:pos="1763"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in this Agreement to the contrary, if at any time during the Performance Period and up to and including the subsequent Vesting Date, Employee engages in Detrimental Activity (as defined in Section 12(f) below), Employee will immediately and automatically forfeit all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71" w:lineRule="exact"/>
        <w:rPr>
          <w:sz w:val="20"/>
          <w:szCs w:val="20"/>
          <w:color w:val="auto"/>
        </w:rPr>
      </w:pPr>
    </w:p>
    <w:p>
      <w:pPr>
        <w:ind w:left="1660" w:hanging="776"/>
        <w:spacing w:after="0"/>
        <w:tabs>
          <w:tab w:leader="none" w:pos="166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Restrictions on Transfer of Performance Share Units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884"/>
        <w:spacing w:after="0" w:line="244" w:lineRule="auto"/>
        <w:tabs>
          <w:tab w:leader="none" w:pos="1751"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Share Units granted hereunder to Employee may not be sold, assigned, transferred, pledged or otherwise encumbered, whether voluntarily or involuntarily, by operation of law or otherwise (any of the foregoing, a “Transfer”), other than (i) to the Company as a result of the forfeiture of Performance Share Units, or (ii) by will or applicable laws of descent and distribution. Payment of Performance Share Units after Employee’s death will be made to Employee’s estate or, in the sole and absolute discretion of the Committee, to the person or persons entitled to receive such payment under applicable laws of descent and distribution.</w:t>
      </w:r>
    </w:p>
    <w:p>
      <w:pPr>
        <w:spacing w:after="0" w:line="174" w:lineRule="exact"/>
        <w:rPr>
          <w:rFonts w:ascii="Times New Roman" w:cs="Times New Roman" w:eastAsia="Times New Roman" w:hAnsi="Times New Roman"/>
          <w:sz w:val="21"/>
          <w:szCs w:val="21"/>
          <w:color w:val="auto"/>
        </w:rPr>
      </w:pPr>
    </w:p>
    <w:p>
      <w:pPr>
        <w:jc w:val="both"/>
        <w:ind w:firstLine="884"/>
        <w:spacing w:after="0" w:line="244" w:lineRule="auto"/>
        <w:tabs>
          <w:tab w:leader="none" w:pos="1763"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Performance Share Units will terminate and become of no further effect.</w:t>
      </w:r>
    </w:p>
    <w:p>
      <w:pPr>
        <w:spacing w:after="0" w:line="175" w:lineRule="exact"/>
        <w:rPr>
          <w:sz w:val="20"/>
          <w:szCs w:val="20"/>
          <w:color w:val="auto"/>
        </w:rPr>
      </w:pPr>
    </w:p>
    <w:p>
      <w:pPr>
        <w:jc w:val="both"/>
        <w:ind w:firstLine="884"/>
        <w:spacing w:after="0" w:line="255" w:lineRule="auto"/>
        <w:tabs>
          <w:tab w:leader="none" w:pos="1661"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Rights as a Stockholder</w:t>
      </w:r>
      <w:r>
        <w:rPr>
          <w:rFonts w:ascii="Times New Roman" w:cs="Times New Roman" w:eastAsia="Times New Roman" w:hAnsi="Times New Roman"/>
          <w:sz w:val="21"/>
          <w:szCs w:val="21"/>
          <w:color w:val="auto"/>
        </w:rPr>
        <w:t>. Employee will have no rights as a stockholder of the Company with regard to the Performance Share Units. Rights as a stockholder of the Company will arise only if the Performance Share Units are settled in shares of Common Stock pursuant to Section 3 above.</w:t>
      </w:r>
    </w:p>
    <w:p>
      <w:pPr>
        <w:spacing w:after="0" w:line="160" w:lineRule="exact"/>
        <w:rPr>
          <w:rFonts w:ascii="Times New Roman" w:cs="Times New Roman" w:eastAsia="Times New Roman" w:hAnsi="Times New Roman"/>
          <w:sz w:val="19"/>
          <w:szCs w:val="19"/>
          <w:color w:val="auto"/>
        </w:rPr>
      </w:pPr>
    </w:p>
    <w:p>
      <w:pPr>
        <w:ind w:left="1660" w:hanging="776"/>
        <w:spacing w:after="0"/>
        <w:tabs>
          <w:tab w:leader="none" w:pos="166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Tax and Social Insurance Withholding</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884"/>
        <w:spacing w:after="0" w:line="241" w:lineRule="auto"/>
        <w:tabs>
          <w:tab w:leader="none" w:pos="1751"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Regardless of any action the Company takes with respect to any or all income tax (including foreign, federal, state and local taxes), social insurance, payroll tax, payment on account or other tax-related items related to Employee’s participation in the Plan and legally applicable to him or her (“Tax-Related Items”), Employee acknowledges that the ultimate liability for all Tax-Related Items legally due by Employee is and remains his or her responsibility and may exceed the amount actually withheld by the Company. Employee further acknowledges that the Company (i) makes no representations or undertakings regarding the treatment of any Tax-Related Items in connection with any aspect of the Performance Share Units, including the grant of the Performance Share Units, the vesting of the Performance Share Units, the conversion of the Performance Share Units into shares of Common Stock or the receipt of any equivalent cash payment, or the subsequent sale of any shares of Common Stock acquired at vesting, and (ii) does not commit to structure the terms of the grant or any aspect of the Performance Share Units to reduce or eliminate Employee’s liability for the Tax-Related Items.</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884"/>
        <w:spacing w:after="0" w:line="242" w:lineRule="auto"/>
        <w:tabs>
          <w:tab w:leader="none" w:pos="1763"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any relevant taxable or tax withholding event (“Tax Date”), as applicable, Employee will pay or make adequate arrangements satisfactory to the Company to satisfy all Tax-Related Items. In this regard, Employee authorizes the Company or its respective agents, at their discretion, to satisfy the obligations with regard to all Tax-Related Items by one or a combination of the following: (i) accept a cash payment in U.S. dollars in the amount of the Tax-Related Items, (ii) withhold whole Shares which would otherwise be delivered to Employee having an aggregate Fair Market Value, determined as of the Tax Date, or</w:t>
      </w:r>
    </w:p>
    <w:p>
      <w:pPr>
        <w:spacing w:after="0" w:line="2" w:lineRule="exact"/>
        <w:rPr>
          <w:rFonts w:ascii="Times New Roman" w:cs="Times New Roman" w:eastAsia="Times New Roman" w:hAnsi="Times New Roman"/>
          <w:sz w:val="21"/>
          <w:szCs w:val="21"/>
          <w:color w:val="auto"/>
        </w:rPr>
      </w:pPr>
    </w:p>
    <w:p>
      <w:pPr>
        <w:jc w:val="both"/>
        <w:ind w:firstLine="6"/>
        <w:spacing w:after="0" w:line="243" w:lineRule="auto"/>
        <w:tabs>
          <w:tab w:leader="none" w:pos="374"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withhold an amount of cash from Employee’s wages or other cash compensation which would otherwise be payable to Employee by the Company or from any equivalent cash payment received upon vesting of the Performance Share Units, equal to the amount necessary to satisfy any such obligation.</w:t>
      </w:r>
    </w:p>
    <w:p>
      <w:pPr>
        <w:spacing w:after="0" w:line="172" w:lineRule="exact"/>
        <w:rPr>
          <w:rFonts w:ascii="Times New Roman" w:cs="Times New Roman" w:eastAsia="Times New Roman" w:hAnsi="Times New Roman"/>
          <w:sz w:val="21"/>
          <w:szCs w:val="21"/>
          <w:color w:val="auto"/>
        </w:rPr>
      </w:pPr>
    </w:p>
    <w:p>
      <w:pPr>
        <w:jc w:val="both"/>
        <w:ind w:firstLine="884"/>
        <w:spacing w:after="0" w:line="241" w:lineRule="auto"/>
        <w:tabs>
          <w:tab w:leader="none" w:pos="1751"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withhold or account for Tax-Related Items by considering applicable minimum statutory withholding rates, unless Employee elects, pursuant to the Company’s prescribed procedures as in effect from time to time, to have withholding for Tax Related Items based on the maximum withholding rate applicable to Employee. If the obligation for Tax-Related Items is satisfied by withholding in shares of Common Stock, for tax purposes, Employee is deemed to have been issued the full number of shares of Common Stock due to him or her at vesting, notwithstanding that a number of shares of Common Stock are held back solely for the purpose of paying the Tax-Related Items due as a result of any aspect of Employee’s participation in the Plan. Finally, Employee shall pay to the Company any amount of Tax-Related Items that the Company may be required to withhold as a result of Employee’s participation in the Plan that cannot be satisfied by the means previously described. The Company may refuse to issue shares of Common Stock to Employee if Employee fails to comply with his or her obligations in connection with the Tax-Related Items as described herein. The Performance Share Units are intended to be “short-term deferrals” exempt from Section 409A of the Internal Revenue Code and shall be construed and interpreted accordingly.</w:t>
      </w:r>
    </w:p>
    <w:p>
      <w:pPr>
        <w:spacing w:after="0" w:line="177" w:lineRule="exact"/>
        <w:rPr>
          <w:sz w:val="20"/>
          <w:szCs w:val="20"/>
          <w:color w:val="auto"/>
        </w:rPr>
      </w:pPr>
    </w:p>
    <w:p>
      <w:pPr>
        <w:jc w:val="both"/>
        <w:ind w:firstLine="884"/>
        <w:spacing w:after="0" w:line="249" w:lineRule="auto"/>
        <w:tabs>
          <w:tab w:leader="none" w:pos="1661"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Changes in Capital Structure</w:t>
      </w:r>
      <w:r>
        <w:rPr>
          <w:rFonts w:ascii="Times New Roman" w:cs="Times New Roman" w:eastAsia="Times New Roman" w:hAnsi="Times New Roman"/>
          <w:sz w:val="21"/>
          <w:szCs w:val="21"/>
          <w:color w:val="auto"/>
        </w:rPr>
        <w:t>. As more fully described in the Plan, if the outstanding shares of Common Stock at any time are changed or exchanged by declaration of a stock dividend, stock split, combination of shares, or recapitalization, the number and kind of Performance Share Units will be appropriately and equitably adjusted so as to maintain their equivalence to the proportionate number of shares.</w:t>
      </w:r>
    </w:p>
    <w:p>
      <w:pPr>
        <w:spacing w:after="0" w:line="163" w:lineRule="exact"/>
        <w:rPr>
          <w:rFonts w:ascii="Times New Roman" w:cs="Times New Roman" w:eastAsia="Times New Roman" w:hAnsi="Times New Roman"/>
          <w:sz w:val="19"/>
          <w:szCs w:val="19"/>
          <w:color w:val="auto"/>
        </w:rPr>
      </w:pPr>
    </w:p>
    <w:p>
      <w:pPr>
        <w:jc w:val="both"/>
        <w:ind w:firstLine="884"/>
        <w:spacing w:after="0" w:line="243" w:lineRule="auto"/>
        <w:tabs>
          <w:tab w:leader="none" w:pos="1661"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Confidential Information, Intellectual Property and Noncompetition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Employee acknowledges that Employee 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 possession of and has access 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II, which is incorporated herein by reference, including all rules, procedures, policies and requirements that the Company may promulgate consistent with Attachment II.</w:t>
      </w:r>
    </w:p>
    <w:p>
      <w:pPr>
        <w:spacing w:after="0" w:line="181"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4</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884"/>
        <w:spacing w:after="0" w:line="244" w:lineRule="auto"/>
        <w:tabs>
          <w:tab w:leader="none" w:pos="1759"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Compliance with Securities Laws</w:t>
      </w:r>
      <w:r>
        <w:rPr>
          <w:rFonts w:ascii="Times New Roman" w:cs="Times New Roman" w:eastAsia="Times New Roman" w:hAnsi="Times New Roman"/>
          <w:sz w:val="21"/>
          <w:szCs w:val="21"/>
          <w:color w:val="auto"/>
        </w:rPr>
        <w:t>. The Company will not be required to deliver any shares of Common Stock pursuant to this Agreement if, in the opinion of counsel for the Company, such issuance would violate the Securities Act of 1933, as amended,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74" w:lineRule="exact"/>
        <w:rPr>
          <w:rFonts w:ascii="Times New Roman" w:cs="Times New Roman" w:eastAsia="Times New Roman" w:hAnsi="Times New Roman"/>
          <w:sz w:val="19"/>
          <w:szCs w:val="19"/>
          <w:color w:val="auto"/>
        </w:rPr>
      </w:pPr>
    </w:p>
    <w:p>
      <w:pPr>
        <w:ind w:left="1760" w:hanging="876"/>
        <w:spacing w:after="0"/>
        <w:tabs>
          <w:tab w:leader="none" w:pos="176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Limitation of Rights</w:t>
      </w:r>
      <w:r>
        <w:rPr>
          <w:rFonts w:ascii="Times New Roman" w:cs="Times New Roman" w:eastAsia="Times New Roman" w:hAnsi="Times New Roman"/>
          <w:sz w:val="21"/>
          <w:szCs w:val="21"/>
          <w:color w:val="auto"/>
        </w:rPr>
        <w:t>. Nothing in this Agreement or the Plan may be construed to:</w:t>
      </w:r>
    </w:p>
    <w:p>
      <w:pPr>
        <w:spacing w:after="0" w:line="210" w:lineRule="exact"/>
        <w:rPr>
          <w:sz w:val="20"/>
          <w:szCs w:val="20"/>
          <w:color w:val="auto"/>
        </w:rPr>
      </w:pPr>
    </w:p>
    <w:p>
      <w:pPr>
        <w:ind w:firstLine="884"/>
        <w:spacing w:after="0" w:line="273" w:lineRule="auto"/>
        <w:tabs>
          <w:tab w:leader="none" w:pos="1751"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give Employee or any other person or entity any right to be awarded any further Performance Share Units (or other form of stock incentive awards) other than in the sole discretion of the Committee;</w:t>
      </w:r>
    </w:p>
    <w:p>
      <w:pPr>
        <w:spacing w:after="0" w:line="141" w:lineRule="exact"/>
        <w:rPr>
          <w:rFonts w:ascii="Times New Roman" w:cs="Times New Roman" w:eastAsia="Times New Roman" w:hAnsi="Times New Roman"/>
          <w:sz w:val="21"/>
          <w:szCs w:val="21"/>
          <w:color w:val="auto"/>
        </w:rPr>
      </w:pPr>
    </w:p>
    <w:p>
      <w:pPr>
        <w:ind w:firstLine="884"/>
        <w:spacing w:after="0" w:line="273" w:lineRule="auto"/>
        <w:tabs>
          <w:tab w:leader="none" w:pos="1763"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give Employee or any other person or entity any interest in any fund or in any specified asset or assets of the Company (other than the Performance Share Units); or</w:t>
      </w:r>
    </w:p>
    <w:p>
      <w:pPr>
        <w:spacing w:after="0" w:line="141" w:lineRule="exact"/>
        <w:rPr>
          <w:rFonts w:ascii="Times New Roman" w:cs="Times New Roman" w:eastAsia="Times New Roman" w:hAnsi="Times New Roman"/>
          <w:sz w:val="21"/>
          <w:szCs w:val="21"/>
          <w:color w:val="auto"/>
        </w:rPr>
      </w:pPr>
    </w:p>
    <w:p>
      <w:pPr>
        <w:ind w:right="20" w:firstLine="884"/>
        <w:spacing w:after="0" w:line="273" w:lineRule="auto"/>
        <w:tabs>
          <w:tab w:leader="none" w:pos="1751"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confer upon Employee or any other person or entity the right to continue in the employment or service of the Company or any Subsidiary.</w:t>
      </w:r>
    </w:p>
    <w:p>
      <w:pPr>
        <w:spacing w:after="0" w:line="142" w:lineRule="exact"/>
        <w:rPr>
          <w:sz w:val="20"/>
          <w:szCs w:val="20"/>
          <w:color w:val="auto"/>
        </w:rPr>
      </w:pPr>
    </w:p>
    <w:p>
      <w:pPr>
        <w:ind w:left="1760" w:hanging="876"/>
        <w:spacing w:after="0"/>
        <w:tabs>
          <w:tab w:leader="none" w:pos="176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760" w:hanging="876"/>
        <w:spacing w:after="0"/>
        <w:tabs>
          <w:tab w:leader="none" w:pos="176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 is defined in the introduction.</w:t>
      </w:r>
    </w:p>
    <w:p>
      <w:pPr>
        <w:spacing w:after="0" w:line="210" w:lineRule="exact"/>
        <w:rPr>
          <w:rFonts w:ascii="Times New Roman" w:cs="Times New Roman" w:eastAsia="Times New Roman" w:hAnsi="Times New Roman"/>
          <w:sz w:val="21"/>
          <w:szCs w:val="21"/>
          <w:color w:val="auto"/>
        </w:rPr>
      </w:pPr>
    </w:p>
    <w:p>
      <w:pPr>
        <w:ind w:left="1760" w:hanging="876"/>
        <w:spacing w:after="0"/>
        <w:tabs>
          <w:tab w:leader="none" w:pos="176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“Clawback Policy” is defined in Section 13(i).</w:t>
      </w:r>
    </w:p>
    <w:p>
      <w:pPr>
        <w:spacing w:after="0" w:line="210" w:lineRule="exact"/>
        <w:rPr>
          <w:rFonts w:ascii="Times New Roman" w:cs="Times New Roman" w:eastAsia="Times New Roman" w:hAnsi="Times New Roman"/>
          <w:sz w:val="21"/>
          <w:szCs w:val="21"/>
          <w:color w:val="auto"/>
        </w:rPr>
      </w:pPr>
    </w:p>
    <w:p>
      <w:pPr>
        <w:ind w:left="1760" w:hanging="876"/>
        <w:spacing w:after="0"/>
        <w:tabs>
          <w:tab w:leader="none" w:pos="176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“Committee” is defined in Section 2(a).</w:t>
      </w:r>
    </w:p>
    <w:p>
      <w:pPr>
        <w:spacing w:after="0" w:line="210" w:lineRule="exact"/>
        <w:rPr>
          <w:rFonts w:ascii="Times New Roman" w:cs="Times New Roman" w:eastAsia="Times New Roman" w:hAnsi="Times New Roman"/>
          <w:sz w:val="21"/>
          <w:szCs w:val="21"/>
          <w:color w:val="auto"/>
        </w:rPr>
      </w:pPr>
    </w:p>
    <w:p>
      <w:pPr>
        <w:ind w:left="1760" w:hanging="876"/>
        <w:spacing w:after="0"/>
        <w:tabs>
          <w:tab w:leader="none" w:pos="176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“Common Stock” is defined in Section 1.</w:t>
      </w:r>
    </w:p>
    <w:p>
      <w:pPr>
        <w:spacing w:after="0" w:line="210" w:lineRule="exact"/>
        <w:rPr>
          <w:rFonts w:ascii="Times New Roman" w:cs="Times New Roman" w:eastAsia="Times New Roman" w:hAnsi="Times New Roman"/>
          <w:sz w:val="21"/>
          <w:szCs w:val="21"/>
          <w:color w:val="auto"/>
        </w:rPr>
      </w:pPr>
    </w:p>
    <w:p>
      <w:pPr>
        <w:ind w:left="1760" w:hanging="876"/>
        <w:spacing w:after="0"/>
        <w:tabs>
          <w:tab w:leader="none" w:pos="176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is defined in the introduction.</w:t>
      </w:r>
    </w:p>
    <w:p>
      <w:pPr>
        <w:spacing w:after="0" w:line="210" w:lineRule="exact"/>
        <w:rPr>
          <w:rFonts w:ascii="Times New Roman" w:cs="Times New Roman" w:eastAsia="Times New Roman" w:hAnsi="Times New Roman"/>
          <w:sz w:val="21"/>
          <w:szCs w:val="21"/>
          <w:color w:val="auto"/>
        </w:rPr>
      </w:pPr>
    </w:p>
    <w:p>
      <w:pPr>
        <w:jc w:val="both"/>
        <w:ind w:firstLine="884"/>
        <w:spacing w:after="0" w:line="239" w:lineRule="auto"/>
        <w:tabs>
          <w:tab w:leader="none" w:pos="1728"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“Detrimental Activity” means activity that is determined by the Committee in its sole and absolute discretion to be detrimental to the interests of the Company or any of its Subsidiaries, including but not limited to any breach of Attachment II or any situations where Employee: (i) divulges trade secrets, proprietary data or other confidential information relating to the Company or to the business of the Company or any Subsidiaries; (ii) enters into employment with or otherwise provides services to (A) any company listed, as of the date of Employee’s Termination of Employment, on the Philadelphia Oil Service Sector Index (or any successor index) or (B) any affiliate of any such listed company, in either case under circumstances suggesting that Employee will be using confidential information or unique or special knowledge gained as a Company employee or Subsidiary employee with the effect of competing with the Company or its Subsidiaries; (iii) enters into employment with or otherwise provides services to any Direct Competitor (as defined in Section 12(g) below); (iv) engages or employs, or solicits or contacts with a view to the engagement or employment of, any employee of the Company or its Subsidiaries; (v) canvasses, solicits, approaches or entices away or causes to be canvassed, solicited, approached or enticed away from the Company or its Subsidiaries any customer of any of such entities during the Performance Period and up to and including the subsequent Vesting Date; (vi) is determined to have engaged (whether or not prior to termination of employment) in either gross misconduct or criminal activity that is, or that could reasonably be expected to be, harmful to the Company or a Subsidiary; or (vii) takes any action that otherwise harms, or that could reasonably be expected to harm, the business interests, reputation, or goodwill of the Company or its Subsidiaries. The Committee may delegate, to an officer of the Company or to a subcommittee of the Committee, its authority to determine whether Employee has engaged in “Detrimental Activity,” and any such determination by the Committee or its delegate will be final and binding on all parties.</w:t>
      </w:r>
    </w:p>
    <w:p>
      <w:pPr>
        <w:spacing w:after="0" w:line="198" w:lineRule="exact"/>
        <w:rPr>
          <w:sz w:val="20"/>
          <w:szCs w:val="20"/>
          <w:color w:val="auto"/>
        </w:rPr>
      </w:pPr>
    </w:p>
    <w:p>
      <w:pPr>
        <w:ind w:left="1054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5</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78740</wp:posOffset>
            </wp:positionV>
            <wp:extent cx="729107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884"/>
        <w:spacing w:after="0" w:line="249" w:lineRule="auto"/>
        <w:tabs>
          <w:tab w:leader="none" w:pos="1763"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 Competitor” means any of the following: (i) Halliburton Company, Weatherford International plc, and Baker Hughes, a GE company, and any other oilfield equipment and services company; and (ii) any entity engaged in seismic data acquisition, processing and reservoir geosciences services to the oil and natural gas industry, including in all cases in (i) and (ii) above, any and all of their parents, subsidiaries, affiliates, joint ventures, divisions, successors, or assigns.</w:t>
      </w:r>
    </w:p>
    <w:p>
      <w:pPr>
        <w:spacing w:after="0" w:line="167" w:lineRule="exact"/>
        <w:rPr>
          <w:rFonts w:ascii="Times New Roman" w:cs="Times New Roman" w:eastAsia="Times New Roman" w:hAnsi="Times New Roman"/>
          <w:sz w:val="21"/>
          <w:szCs w:val="21"/>
          <w:color w:val="auto"/>
        </w:rPr>
      </w:pPr>
    </w:p>
    <w:p>
      <w:pPr>
        <w:jc w:val="both"/>
        <w:ind w:firstLine="884"/>
        <w:spacing w:after="0" w:line="255" w:lineRule="auto"/>
        <w:tabs>
          <w:tab w:leader="none" w:pos="1763"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160" w:lineRule="exact"/>
        <w:rPr>
          <w:rFonts w:ascii="Times New Roman" w:cs="Times New Roman" w:eastAsia="Times New Roman" w:hAnsi="Times New Roman"/>
          <w:sz w:val="21"/>
          <w:szCs w:val="21"/>
          <w:color w:val="auto"/>
        </w:rPr>
      </w:pPr>
    </w:p>
    <w:p>
      <w:pPr>
        <w:ind w:left="1720" w:hanging="836"/>
        <w:spacing w:after="0"/>
        <w:tabs>
          <w:tab w:leader="none" w:pos="172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is defined in the introduction.</w:t>
      </w:r>
    </w:p>
    <w:p>
      <w:pPr>
        <w:spacing w:after="0" w:line="210" w:lineRule="exact"/>
        <w:rPr>
          <w:rFonts w:ascii="Times New Roman" w:cs="Times New Roman" w:eastAsia="Times New Roman" w:hAnsi="Times New Roman"/>
          <w:sz w:val="21"/>
          <w:szCs w:val="21"/>
          <w:color w:val="auto"/>
        </w:rPr>
      </w:pPr>
    </w:p>
    <w:p>
      <w:pPr>
        <w:jc w:val="both"/>
        <w:ind w:firstLine="884"/>
        <w:spacing w:after="0" w:line="246" w:lineRule="auto"/>
        <w:tabs>
          <w:tab w:leader="none" w:pos="1716"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71" w:lineRule="exact"/>
        <w:rPr>
          <w:rFonts w:ascii="Times New Roman" w:cs="Times New Roman" w:eastAsia="Times New Roman" w:hAnsi="Times New Roman"/>
          <w:sz w:val="21"/>
          <w:szCs w:val="21"/>
          <w:color w:val="auto"/>
        </w:rPr>
      </w:pPr>
    </w:p>
    <w:p>
      <w:pPr>
        <w:ind w:left="1760" w:hanging="876"/>
        <w:spacing w:after="0"/>
        <w:tabs>
          <w:tab w:leader="none" w:pos="176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“Grant Date” is defined in the introduction.</w:t>
      </w:r>
    </w:p>
    <w:p>
      <w:pPr>
        <w:spacing w:after="0" w:line="210" w:lineRule="exact"/>
        <w:rPr>
          <w:rFonts w:ascii="Times New Roman" w:cs="Times New Roman" w:eastAsia="Times New Roman" w:hAnsi="Times New Roman"/>
          <w:sz w:val="21"/>
          <w:szCs w:val="21"/>
          <w:color w:val="auto"/>
        </w:rPr>
      </w:pPr>
    </w:p>
    <w:p>
      <w:pPr>
        <w:ind w:left="1720" w:hanging="836"/>
        <w:spacing w:after="0"/>
        <w:tabs>
          <w:tab w:leader="none" w:pos="172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“initial Vesting Date” is defined in Section 2(a).</w:t>
      </w:r>
    </w:p>
    <w:p>
      <w:pPr>
        <w:spacing w:after="0" w:line="210" w:lineRule="exact"/>
        <w:rPr>
          <w:rFonts w:ascii="Times New Roman" w:cs="Times New Roman" w:eastAsia="Times New Roman" w:hAnsi="Times New Roman"/>
          <w:sz w:val="21"/>
          <w:szCs w:val="21"/>
          <w:color w:val="auto"/>
        </w:rPr>
      </w:pPr>
    </w:p>
    <w:p>
      <w:pPr>
        <w:ind w:left="1820" w:hanging="936"/>
        <w:spacing w:after="0"/>
        <w:tabs>
          <w:tab w:leader="none" w:pos="182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Period” is defined in Section 2.</w:t>
      </w:r>
    </w:p>
    <w:p>
      <w:pPr>
        <w:spacing w:after="0" w:line="210" w:lineRule="exact"/>
        <w:rPr>
          <w:rFonts w:ascii="Times New Roman" w:cs="Times New Roman" w:eastAsia="Times New Roman" w:hAnsi="Times New Roman"/>
          <w:sz w:val="21"/>
          <w:szCs w:val="21"/>
          <w:color w:val="auto"/>
        </w:rPr>
      </w:pPr>
    </w:p>
    <w:p>
      <w:pPr>
        <w:ind w:left="1760" w:hanging="876"/>
        <w:spacing w:after="0"/>
        <w:tabs>
          <w:tab w:leader="none" w:pos="176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“Performance Share Units” is defined in Section 1.</w:t>
      </w:r>
    </w:p>
    <w:p>
      <w:pPr>
        <w:spacing w:after="0" w:line="210" w:lineRule="exact"/>
        <w:rPr>
          <w:rFonts w:ascii="Times New Roman" w:cs="Times New Roman" w:eastAsia="Times New Roman" w:hAnsi="Times New Roman"/>
          <w:sz w:val="21"/>
          <w:szCs w:val="21"/>
          <w:color w:val="auto"/>
        </w:rPr>
      </w:pPr>
    </w:p>
    <w:p>
      <w:pPr>
        <w:ind w:left="1760" w:hanging="876"/>
        <w:spacing w:after="0"/>
        <w:tabs>
          <w:tab w:leader="none" w:pos="176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“Plan” is defined in the introduction.</w:t>
      </w:r>
    </w:p>
    <w:p>
      <w:pPr>
        <w:spacing w:after="0" w:line="210" w:lineRule="exact"/>
        <w:rPr>
          <w:rFonts w:ascii="Times New Roman" w:cs="Times New Roman" w:eastAsia="Times New Roman" w:hAnsi="Times New Roman"/>
          <w:sz w:val="21"/>
          <w:szCs w:val="21"/>
          <w:color w:val="auto"/>
        </w:rPr>
      </w:pPr>
    </w:p>
    <w:p>
      <w:pPr>
        <w:ind w:right="20" w:firstLine="884"/>
        <w:spacing w:after="0" w:line="273" w:lineRule="auto"/>
        <w:tabs>
          <w:tab w:leader="none" w:pos="1763"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“Qualifying Termination” means a Termination of Employment due to Employee’s death, Disability, Retirement or Special Retirement.</w:t>
      </w:r>
    </w:p>
    <w:p>
      <w:pPr>
        <w:spacing w:after="0" w:line="141" w:lineRule="exact"/>
        <w:rPr>
          <w:rFonts w:ascii="Times New Roman" w:cs="Times New Roman" w:eastAsia="Times New Roman" w:hAnsi="Times New Roman"/>
          <w:sz w:val="21"/>
          <w:szCs w:val="21"/>
          <w:color w:val="auto"/>
        </w:rPr>
      </w:pPr>
    </w:p>
    <w:p>
      <w:pPr>
        <w:jc w:val="both"/>
        <w:ind w:firstLine="884"/>
        <w:spacing w:after="0" w:line="243" w:lineRule="auto"/>
        <w:tabs>
          <w:tab w:leader="none" w:pos="1763"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“Retirement” means either: (i) Employee’s voluntary election to retire from employment with the Company and its Subsidiaries at any time after Employee has reached both the age of 60 and 25 years of service, or (ii) Employee’s voluntary election to retire from employment with the Company and its Subsidiaries at any time after Employee has reached both the age of 55 and 20 years of service, subject, however, to the approval of either (A) the Committee, if Employee is an executive officer of the Company at the time of Employee’s election to retire, or (B) the Retirement Committee, if Employee is not an executive officer of the Company at the time of Employee’s election to retire, which approval under clauses (A) or (B) may be granted or withheld in the sole discretion of the Committee or the Retirement Committee, as applicable.</w:t>
      </w:r>
    </w:p>
    <w:p>
      <w:pPr>
        <w:spacing w:after="0" w:line="175" w:lineRule="exact"/>
        <w:rPr>
          <w:rFonts w:ascii="Times New Roman" w:cs="Times New Roman" w:eastAsia="Times New Roman" w:hAnsi="Times New Roman"/>
          <w:sz w:val="21"/>
          <w:szCs w:val="21"/>
          <w:color w:val="auto"/>
        </w:rPr>
      </w:pPr>
    </w:p>
    <w:p>
      <w:pPr>
        <w:ind w:firstLine="884"/>
        <w:spacing w:after="0" w:line="273" w:lineRule="auto"/>
        <w:tabs>
          <w:tab w:leader="none" w:pos="1728"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“Retirement Committee” means a committee consisting of the Company’s Vice President of Human Resources, the Director of HR Operations and the HR Director of Compensation &amp; Benefits.</w:t>
      </w:r>
    </w:p>
    <w:p>
      <w:pPr>
        <w:spacing w:after="0" w:line="1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740" w:hanging="856"/>
        <w:spacing w:after="0"/>
        <w:tabs>
          <w:tab w:leader="none" w:pos="174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“Settlement Date” is defined in Section 3.</w:t>
      </w:r>
    </w:p>
    <w:p>
      <w:pPr>
        <w:spacing w:after="0" w:line="210" w:lineRule="exact"/>
        <w:rPr>
          <w:rFonts w:ascii="Times New Roman" w:cs="Times New Roman" w:eastAsia="Times New Roman" w:hAnsi="Times New Roman"/>
          <w:sz w:val="21"/>
          <w:szCs w:val="21"/>
          <w:color w:val="auto"/>
        </w:rPr>
      </w:pPr>
    </w:p>
    <w:p>
      <w:pPr>
        <w:ind w:firstLine="884"/>
        <w:spacing w:after="0" w:line="273" w:lineRule="auto"/>
        <w:tabs>
          <w:tab w:leader="none" w:pos="1716"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“Special Retirement” means the Termination of Employment of Employee with the Company and all Subsidiaries at or after (i) age 55 or (ii) age 50 and completion of at least 10 years of service with the Company and any of its Subsidiaries.</w:t>
      </w:r>
    </w:p>
    <w:p>
      <w:pPr>
        <w:spacing w:after="0" w:line="141" w:lineRule="exact"/>
        <w:rPr>
          <w:rFonts w:ascii="Times New Roman" w:cs="Times New Roman" w:eastAsia="Times New Roman" w:hAnsi="Times New Roman"/>
          <w:sz w:val="21"/>
          <w:szCs w:val="21"/>
          <w:color w:val="auto"/>
        </w:rPr>
      </w:pPr>
    </w:p>
    <w:p>
      <w:pPr>
        <w:ind w:left="1760" w:hanging="876"/>
        <w:spacing w:after="0"/>
        <w:tabs>
          <w:tab w:leader="none" w:pos="176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“subsequent Vesting Date” is defined in Section 2(a).</w:t>
      </w:r>
    </w:p>
    <w:p>
      <w:pPr>
        <w:spacing w:after="0" w:line="210" w:lineRule="exact"/>
        <w:rPr>
          <w:rFonts w:ascii="Times New Roman" w:cs="Times New Roman" w:eastAsia="Times New Roman" w:hAnsi="Times New Roman"/>
          <w:sz w:val="21"/>
          <w:szCs w:val="21"/>
          <w:color w:val="auto"/>
        </w:rPr>
      </w:pPr>
    </w:p>
    <w:p>
      <w:pPr>
        <w:jc w:val="both"/>
        <w:ind w:firstLine="884"/>
        <w:spacing w:after="0" w:line="249" w:lineRule="auto"/>
        <w:tabs>
          <w:tab w:leader="none" w:pos="1763"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“Subsidiary” means (i) in the case of a corporation, a “subsidiary corporation” of the Company as defined in Section 424(f) of the Internal Revenue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67" w:lineRule="exact"/>
        <w:rPr>
          <w:rFonts w:ascii="Times New Roman" w:cs="Times New Roman" w:eastAsia="Times New Roman" w:hAnsi="Times New Roman"/>
          <w:sz w:val="21"/>
          <w:szCs w:val="21"/>
          <w:color w:val="auto"/>
        </w:rPr>
      </w:pPr>
    </w:p>
    <w:p>
      <w:pPr>
        <w:ind w:left="1820" w:hanging="936"/>
        <w:spacing w:after="0"/>
        <w:tabs>
          <w:tab w:leader="none" w:pos="182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Date” is defined in Section 7(b).</w:t>
      </w:r>
    </w:p>
    <w:p>
      <w:pPr>
        <w:spacing w:after="0" w:line="210" w:lineRule="exact"/>
        <w:rPr>
          <w:rFonts w:ascii="Times New Roman" w:cs="Times New Roman" w:eastAsia="Times New Roman" w:hAnsi="Times New Roman"/>
          <w:sz w:val="21"/>
          <w:szCs w:val="21"/>
          <w:color w:val="auto"/>
        </w:rPr>
      </w:pPr>
    </w:p>
    <w:p>
      <w:pPr>
        <w:ind w:left="1760" w:hanging="876"/>
        <w:spacing w:after="0"/>
        <w:tabs>
          <w:tab w:leader="none" w:pos="176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“Tax-Related Items” is defined in Section 7(a).</w:t>
      </w:r>
    </w:p>
    <w:p>
      <w:pPr>
        <w:spacing w:after="0" w:line="210" w:lineRule="exact"/>
        <w:rPr>
          <w:rFonts w:ascii="Times New Roman" w:cs="Times New Roman" w:eastAsia="Times New Roman" w:hAnsi="Times New Roman"/>
          <w:sz w:val="21"/>
          <w:szCs w:val="21"/>
          <w:color w:val="auto"/>
        </w:rPr>
      </w:pPr>
    </w:p>
    <w:p>
      <w:pPr>
        <w:jc w:val="both"/>
        <w:ind w:firstLine="884"/>
        <w:spacing w:after="0" w:line="255" w:lineRule="auto"/>
        <w:tabs>
          <w:tab w:leader="none" w:pos="1763"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of Employment” means the termination of Employee’s employment with the Company and its Subsidiaries; provided, however, that temporary absences from employment because of illness, vacation or leave of absence and transfers among the Company and its Subsidiaries will not constitute a Termination of Employment.</w:t>
      </w:r>
    </w:p>
    <w:p>
      <w:pPr>
        <w:spacing w:after="0" w:line="160" w:lineRule="exact"/>
        <w:rPr>
          <w:rFonts w:ascii="Times New Roman" w:cs="Times New Roman" w:eastAsia="Times New Roman" w:hAnsi="Times New Roman"/>
          <w:sz w:val="21"/>
          <w:szCs w:val="21"/>
          <w:color w:val="auto"/>
        </w:rPr>
      </w:pPr>
    </w:p>
    <w:p>
      <w:pPr>
        <w:ind w:left="1760" w:hanging="876"/>
        <w:spacing w:after="0"/>
        <w:tabs>
          <w:tab w:leader="none" w:pos="176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“Transfer” is defined in Section 5(a).</w:t>
      </w:r>
    </w:p>
    <w:p>
      <w:pPr>
        <w:spacing w:after="0" w:line="210" w:lineRule="exact"/>
        <w:rPr>
          <w:sz w:val="20"/>
          <w:szCs w:val="20"/>
          <w:color w:val="auto"/>
        </w:rPr>
      </w:pPr>
    </w:p>
    <w:p>
      <w:pPr>
        <w:ind w:left="1760" w:hanging="876"/>
        <w:spacing w:after="0"/>
        <w:tabs>
          <w:tab w:leader="none" w:pos="176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firstLine="884"/>
        <w:spacing w:after="0" w:line="273" w:lineRule="auto"/>
        <w:tabs>
          <w:tab w:leader="none" w:pos="1751"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hereby acknowledges that he or she is to consult with and rely upon only Employee’s own tax, legal, and financial advisors regarding the consequences and risks of this Agreement and any award of Performance Share Units.</w:t>
      </w:r>
    </w:p>
    <w:p>
      <w:pPr>
        <w:spacing w:after="0" w:line="141" w:lineRule="exact"/>
        <w:rPr>
          <w:rFonts w:ascii="Times New Roman" w:cs="Times New Roman" w:eastAsia="Times New Roman" w:hAnsi="Times New Roman"/>
          <w:sz w:val="21"/>
          <w:szCs w:val="21"/>
          <w:color w:val="auto"/>
        </w:rPr>
      </w:pPr>
    </w:p>
    <w:p>
      <w:pPr>
        <w:jc w:val="both"/>
        <w:ind w:firstLine="884"/>
        <w:spacing w:after="0" w:line="255" w:lineRule="auto"/>
        <w:tabs>
          <w:tab w:leader="none" w:pos="1763"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60" w:lineRule="exact"/>
        <w:rPr>
          <w:rFonts w:ascii="Times New Roman" w:cs="Times New Roman" w:eastAsia="Times New Roman" w:hAnsi="Times New Roman"/>
          <w:sz w:val="21"/>
          <w:szCs w:val="21"/>
          <w:color w:val="auto"/>
        </w:rPr>
      </w:pPr>
    </w:p>
    <w:p>
      <w:pPr>
        <w:ind w:firstLine="884"/>
        <w:spacing w:after="0" w:line="273" w:lineRule="auto"/>
        <w:tabs>
          <w:tab w:leader="none" w:pos="1751"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invalidity or unenforceability of any provision of this Agreement will not affect the validity or enforceability of any other provision of this Agreement.</w:t>
      </w:r>
    </w:p>
    <w:p>
      <w:pPr>
        <w:spacing w:after="0" w:line="141" w:lineRule="exact"/>
        <w:rPr>
          <w:rFonts w:ascii="Times New Roman" w:cs="Times New Roman" w:eastAsia="Times New Roman" w:hAnsi="Times New Roman"/>
          <w:sz w:val="21"/>
          <w:szCs w:val="21"/>
          <w:color w:val="auto"/>
        </w:rPr>
      </w:pPr>
    </w:p>
    <w:p>
      <w:pPr>
        <w:jc w:val="both"/>
        <w:ind w:firstLine="884"/>
        <w:spacing w:after="0" w:line="255" w:lineRule="auto"/>
        <w:tabs>
          <w:tab w:leader="none" w:pos="1763"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160" w:lineRule="exact"/>
        <w:rPr>
          <w:rFonts w:ascii="Times New Roman" w:cs="Times New Roman" w:eastAsia="Times New Roman" w:hAnsi="Times New Roman"/>
          <w:sz w:val="21"/>
          <w:szCs w:val="21"/>
          <w:color w:val="auto"/>
        </w:rPr>
      </w:pPr>
    </w:p>
    <w:p>
      <w:pPr>
        <w:jc w:val="both"/>
        <w:ind w:firstLine="884"/>
        <w:spacing w:after="0" w:line="255" w:lineRule="auto"/>
        <w:tabs>
          <w:tab w:leader="none" w:pos="1751"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884"/>
        <w:spacing w:after="0" w:line="273" w:lineRule="auto"/>
        <w:tabs>
          <w:tab w:leader="none" w:pos="1728"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and the Company agree to execute such further instruments and to take such further action as may reasonably be necessary to carry out the intent of this Agreement.</w:t>
      </w:r>
    </w:p>
    <w:p>
      <w:pPr>
        <w:spacing w:after="0" w:line="141" w:lineRule="exact"/>
        <w:rPr>
          <w:rFonts w:ascii="Times New Roman" w:cs="Times New Roman" w:eastAsia="Times New Roman" w:hAnsi="Times New Roman"/>
          <w:sz w:val="21"/>
          <w:szCs w:val="21"/>
          <w:color w:val="auto"/>
        </w:rPr>
      </w:pPr>
    </w:p>
    <w:p>
      <w:pPr>
        <w:jc w:val="both"/>
        <w:ind w:firstLine="884"/>
        <w:spacing w:after="0" w:line="242" w:lineRule="auto"/>
        <w:tabs>
          <w:tab w:leader="none" w:pos="1763"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including all Attachments hereto, and the Plan (i) constitute the entire agreement among Employee and the Company with respect to the subject matter hereof and this Agreement supersedes all prior agreements and understandings, both written and oral, with respect to the subject matter hereof; and (ii) are not intended to confer upon any other Person any rights or remedies hereunder. Employee and the Company agree that (A) no other party (including its agents and representatives) has made any representation, warranty, covenant or agreement to or with such party relating to the Performance Share Units other than those expressly set forth herein or in the Plan, and (B) such party has not relied upon any representation, warranty, covenant or agreement relating to the Performance Share Units, other than those referred to in clause (A) above. All references herein to “Agreement” will include all Attachments hereto.</w:t>
      </w:r>
    </w:p>
    <w:p>
      <w:pPr>
        <w:spacing w:after="0" w:line="178" w:lineRule="exact"/>
        <w:rPr>
          <w:rFonts w:ascii="Times New Roman" w:cs="Times New Roman" w:eastAsia="Times New Roman" w:hAnsi="Times New Roman"/>
          <w:sz w:val="21"/>
          <w:szCs w:val="21"/>
          <w:color w:val="auto"/>
        </w:rPr>
      </w:pPr>
    </w:p>
    <w:p>
      <w:pPr>
        <w:jc w:val="both"/>
        <w:ind w:firstLine="884"/>
        <w:spacing w:after="0" w:line="239" w:lineRule="auto"/>
        <w:tabs>
          <w:tab w:leader="none" w:pos="1763"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Employee may work in various locations and to eliminate potential uncertainty over the governing law, this Agreement (including, for the sake of clarity, all Attachments) will be interpreted and construed exclusively in accordance with the laws of the State of Texas. Employee agrees that Texas, as the Company’s United States headquarters, has a greater legal interest in matters relating to this Agreement than any other state, has a greater public policy interest in matters relating to this Agreement than any other state, and has a greater factual relationship to matters relating to this Agreement than any other state. The sole, mandatory, and exclusive venue for any dispute arising from or related to Employee’s employment with the Company and its Subsidiaries, and this Agreement (including, for the sake of clarity, all Attachments) will lie and be deemed as convenient, in Fort Bend County, Texas, state or federal court without regard to the conflict of law provisions thereof, or, at the Company’s option, any venue in which personal jurisdiction over Employee may be established. Employee waives any objection he or she may have to the venue of any such proceeding being brought in Fort Bend County, Texas courts and waives any claim that any such action or proceeding brought in the Fort Bend County, Texas courts has been brought in an inconvenient forum. In addition, Employee irrevocably and unconditionally submits to the exclusive personal jurisdiction of the Fort Bend County, Texas courts in any such suit, action or proceeding. Employee acknowledges and agrees that a judgment in any such suit, action or proceeding brought in the Fort Bend County, Texas courts will be conclusive and binding on Employee and may be enforced in any other courts to whose jurisdiction the Company or Employee is or may be subject to, by suit upon such judgment. Employee consents to the choice of law, jurisdiction and venue provisions of this Agreement and agrees that Employee will not contest these provisions in any future proceeding(s).</w:t>
      </w:r>
    </w:p>
    <w:p>
      <w:pPr>
        <w:spacing w:after="0" w:line="3" w:lineRule="exact"/>
        <w:rPr>
          <w:rFonts w:ascii="Times New Roman" w:cs="Times New Roman" w:eastAsia="Times New Roman" w:hAnsi="Times New Roman"/>
          <w:sz w:val="21"/>
          <w:szCs w:val="21"/>
          <w:color w:val="auto"/>
        </w:rPr>
      </w:pPr>
    </w:p>
    <w:p>
      <w:pPr>
        <w:jc w:val="both"/>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AND THE COMPANY HEREBY WAIVE, TO THE FULLEST EXTENT PERMITTED BY LAW, ANY RIGHT TO TRIAL BY JURY OF ANY CLAIM, DEMAND, ACTION, OR CAUSE OF ACTION ARISING OUT OF THIS AGREEMENT OR ANY ATTACHMENT THERETO.</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884"/>
        <w:spacing w:after="0" w:line="244" w:lineRule="auto"/>
        <w:tabs>
          <w:tab w:leader="none" w:pos="1716"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The Company’s policy on recoupment of performance-based bonuses, as amended from time to time (its “Clawback Policy”), will apply to the Performance Share Units, any shares of Common Stock delivered hereunder, and any profits realized on the sale of such shares, to the extent that Employee is covered by the Clawback Policy. Employee acknowledges that if Employee is covered by such policy, the policy may result in the recoupment of Performance Share Units awarded, any shares of Common Stock delivered hereunder and profits realized on the sale of such shares either before, on or after the date on which Employee becomes subject to such policy.</w:t>
      </w:r>
    </w:p>
    <w:p>
      <w:pPr>
        <w:spacing w:after="0" w:line="175" w:lineRule="exact"/>
        <w:rPr>
          <w:sz w:val="20"/>
          <w:szCs w:val="20"/>
          <w:color w:val="auto"/>
        </w:rPr>
      </w:pPr>
    </w:p>
    <w:p>
      <w:pPr>
        <w:jc w:val="both"/>
        <w:ind w:firstLine="884"/>
        <w:spacing w:after="0" w:line="243" w:lineRule="auto"/>
        <w:tabs>
          <w:tab w:leader="none" w:pos="1759"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Acceptance of Award</w:t>
      </w:r>
      <w:r>
        <w:rPr>
          <w:rFonts w:ascii="Times New Roman" w:cs="Times New Roman" w:eastAsia="Times New Roman" w:hAnsi="Times New Roman"/>
          <w:sz w:val="21"/>
          <w:szCs w:val="21"/>
          <w:color w:val="auto"/>
        </w:rPr>
        <w:t>. Employee is deemed to accept the award of Performance Share Units under this Agreement and to agree that such award is subject to the terms and conditions set forth in this Agreement and the Plan unless Employee provides the Company written notification not later than 30 days after Employee’s receipt of this Agreement of Employee’s rejection of this award of Performance Share Units (in which case such awards will be forfeited and Employee will have no further right or interest therein as of such date).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ATTACHMENT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 Conditions</w:t>
      </w:r>
    </w:p>
    <w:p>
      <w:pPr>
        <w:spacing w:after="0" w:line="186" w:lineRule="exact"/>
        <w:rPr>
          <w:sz w:val="20"/>
          <w:szCs w:val="20"/>
          <w:color w:val="auto"/>
        </w:rPr>
      </w:pPr>
    </w:p>
    <w:p>
      <w:pPr>
        <w:ind w:firstLine="878"/>
        <w:spacing w:after="0" w:line="273" w:lineRule="auto"/>
        <w:rPr>
          <w:sz w:val="20"/>
          <w:szCs w:val="20"/>
          <w:color w:val="auto"/>
        </w:rPr>
      </w:pPr>
      <w:r>
        <w:rPr>
          <w:rFonts w:ascii="Times New Roman" w:cs="Times New Roman" w:eastAsia="Times New Roman" w:hAnsi="Times New Roman"/>
          <w:sz w:val="21"/>
          <w:szCs w:val="21"/>
          <w:color w:val="auto"/>
        </w:rPr>
        <w:t>Subject to the provisions of the Agreement and this Attachment I, vesting of the Performance Share Units is conditioned upon the delta between:</w:t>
      </w:r>
    </w:p>
    <w:p>
      <w:pPr>
        <w:spacing w:after="0" w:line="142" w:lineRule="exact"/>
        <w:rPr>
          <w:sz w:val="20"/>
          <w:szCs w:val="20"/>
          <w:color w:val="auto"/>
        </w:rPr>
      </w:pPr>
    </w:p>
    <w:p>
      <w:pPr>
        <w:ind w:firstLine="884"/>
        <w:spacing w:after="0" w:line="273" w:lineRule="auto"/>
        <w:tabs>
          <w:tab w:leader="none" w:pos="1751"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Schlumberger’s average annual return on capital employed (as further described below, “ROCE”) over the three-year performance period beginning on January 1, 2019 and ending on December 31, 2021 (the “Performance Period”), and</w:t>
      </w:r>
    </w:p>
    <w:p>
      <w:pPr>
        <w:spacing w:after="0" w:line="141" w:lineRule="exact"/>
        <w:rPr>
          <w:rFonts w:ascii="Times New Roman" w:cs="Times New Roman" w:eastAsia="Times New Roman" w:hAnsi="Times New Roman"/>
          <w:sz w:val="21"/>
          <w:szCs w:val="21"/>
          <w:color w:val="auto"/>
        </w:rPr>
      </w:pPr>
    </w:p>
    <w:p>
      <w:pPr>
        <w:jc w:val="both"/>
        <w:ind w:firstLine="884"/>
        <w:spacing w:after="0" w:line="249" w:lineRule="auto"/>
        <w:tabs>
          <w:tab w:leader="none" w:pos="1763"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average annual ROCE of the following companies taken together (collectively, the “ROCE Peer Group”) over the Performance Period: Halliburton Company, Weatherford International plc, National Oilwell Varco, TechnipFMC and Baker Hughes, a GE company, in each case with appropriate adjustments for mergers, acquisitions and dispositions, as well as any adjustment for the Company’s relative total shareholder return (as further described below).</w:t>
      </w:r>
    </w:p>
    <w:p>
      <w:pPr>
        <w:spacing w:after="0" w:line="167" w:lineRule="exact"/>
        <w:rPr>
          <w:sz w:val="20"/>
          <w:szCs w:val="20"/>
          <w:color w:val="auto"/>
        </w:rPr>
      </w:pPr>
    </w:p>
    <w:p>
      <w:pPr>
        <w:jc w:val="both"/>
        <w:ind w:firstLine="878"/>
        <w:spacing w:after="0" w:line="255" w:lineRule="auto"/>
        <w:rPr>
          <w:sz w:val="20"/>
          <w:szCs w:val="20"/>
          <w:color w:val="auto"/>
        </w:rPr>
      </w:pPr>
      <w:r>
        <w:rPr>
          <w:rFonts w:ascii="Times New Roman" w:cs="Times New Roman" w:eastAsia="Times New Roman" w:hAnsi="Times New Roman"/>
          <w:sz w:val="21"/>
          <w:szCs w:val="21"/>
          <w:color w:val="auto"/>
        </w:rPr>
        <w:t>“ROCE” is equal to the sum of (i) income from continuing operations, before charges and credits, and (ii) the after-tax impact of net interest expense, divided by the sum of (x) the average quarterly equity, including noncontrolling interests, and (y) the average quarterly net debt.</w:t>
      </w:r>
    </w:p>
    <w:p>
      <w:pPr>
        <w:spacing w:after="0" w:line="161" w:lineRule="exact"/>
        <w:rPr>
          <w:sz w:val="20"/>
          <w:szCs w:val="20"/>
          <w:color w:val="auto"/>
        </w:rPr>
      </w:pPr>
    </w:p>
    <w:p>
      <w:pPr>
        <w:jc w:val="both"/>
        <w:ind w:firstLine="878"/>
        <w:spacing w:after="0" w:line="255" w:lineRule="auto"/>
        <w:rPr>
          <w:sz w:val="20"/>
          <w:szCs w:val="20"/>
          <w:color w:val="auto"/>
        </w:rPr>
      </w:pPr>
      <w:r>
        <w:rPr>
          <w:rFonts w:ascii="Times New Roman" w:cs="Times New Roman" w:eastAsia="Times New Roman" w:hAnsi="Times New Roman"/>
          <w:sz w:val="21"/>
          <w:szCs w:val="21"/>
          <w:color w:val="auto"/>
        </w:rPr>
        <w:t>Schlumberger’s “average annual ROCE” means the average of the three annual ROCE achievements during the Performance Period. The ROCE Peer Group’s “average annual ROCE” means the average of the three annual ROCE achievements during the Performance Period for the ROCE Peer Group as a whole.</w:t>
      </w:r>
    </w:p>
    <w:p>
      <w:pPr>
        <w:spacing w:after="0" w:line="161" w:lineRule="exact"/>
        <w:rPr>
          <w:sz w:val="20"/>
          <w:szCs w:val="20"/>
          <w:color w:val="auto"/>
        </w:rPr>
      </w:pPr>
    </w:p>
    <w:p>
      <w:pPr>
        <w:jc w:val="both"/>
        <w:ind w:right="20" w:firstLine="878"/>
        <w:spacing w:after="0" w:line="273" w:lineRule="auto"/>
        <w:rPr>
          <w:sz w:val="20"/>
          <w:szCs w:val="20"/>
          <w:color w:val="auto"/>
        </w:rPr>
      </w:pPr>
      <w:r>
        <w:rPr>
          <w:rFonts w:ascii="Times New Roman" w:cs="Times New Roman" w:eastAsia="Times New Roman" w:hAnsi="Times New Roman"/>
          <w:sz w:val="21"/>
          <w:szCs w:val="21"/>
          <w:color w:val="auto"/>
        </w:rPr>
        <w:t>The number of Performance Share Units that will vest will be equal to the product of (i) the target Performance Share Units and (ii) the Payout Factor (with any fractional shares rounded up to the next whole share).</w:t>
      </w:r>
    </w:p>
    <w:p>
      <w:pPr>
        <w:spacing w:after="0" w:line="142" w:lineRule="exact"/>
        <w:rPr>
          <w:sz w:val="20"/>
          <w:szCs w:val="20"/>
          <w:color w:val="auto"/>
        </w:rPr>
      </w:pPr>
    </w:p>
    <w:p>
      <w:pPr>
        <w:jc w:val="both"/>
        <w:ind w:firstLine="878"/>
        <w:spacing w:after="0" w:line="246" w:lineRule="auto"/>
        <w:rPr>
          <w:sz w:val="20"/>
          <w:szCs w:val="20"/>
          <w:color w:val="auto"/>
        </w:rPr>
      </w:pPr>
      <w:r>
        <w:rPr>
          <w:rFonts w:ascii="Times New Roman" w:cs="Times New Roman" w:eastAsia="Times New Roman" w:hAnsi="Times New Roman"/>
          <w:sz w:val="21"/>
          <w:szCs w:val="21"/>
          <w:color w:val="auto"/>
        </w:rPr>
        <w:t>The average annual ROCE achieved by the Company over the Performance Period, and the average annual ROCE achieved by the ROCE Peer Group over the Performance Period, will be certified by the Committee. The Committee is authorized to vest the number of Performance Share Units at the Payout Factor based on the chart below, subject to adjustment as set forth below. The Payout Factor for ROCE achievement levels between points on this chart will be determined by linear interpolation between the values listed. The maximum payout of Performance Share Units is 250% of the Target Performance Share Units.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5720" w:type="dxa"/>
            <w:vAlign w:val="bottom"/>
            <w:tcBorders>
              <w:top w:val="single" w:sz="8" w:color="auto"/>
              <w:left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1"/>
                <w:szCs w:val="21"/>
                <w:b w:val="1"/>
                <w:bCs w:val="1"/>
                <w:color w:val="auto"/>
              </w:rPr>
              <w:t>ROCE Delta (bps)</w:t>
            </w:r>
          </w:p>
        </w:tc>
        <w:tc>
          <w:tcPr>
            <w:tcW w:w="5700" w:type="dxa"/>
            <w:vAlign w:val="bottom"/>
            <w:tcBorders>
              <w:top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1"/>
                <w:szCs w:val="21"/>
                <w:b w:val="1"/>
                <w:bCs w:val="1"/>
                <w:color w:val="auto"/>
              </w:rPr>
              <w:t>Payout Factor for Vested Performance</w:t>
            </w:r>
          </w:p>
        </w:tc>
      </w:tr>
      <w:tr>
        <w:trPr>
          <w:trHeight w:val="239"/>
        </w:trPr>
        <w:tc>
          <w:tcPr>
            <w:tcW w:w="5720" w:type="dxa"/>
            <w:vAlign w:val="bottom"/>
            <w:tcBorders>
              <w:left w:val="single" w:sz="8" w:color="auto"/>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line="239" w:lineRule="exact"/>
              <w:rPr>
                <w:sz w:val="20"/>
                <w:szCs w:val="20"/>
                <w:color w:val="auto"/>
              </w:rPr>
            </w:pPr>
            <w:r>
              <w:rPr>
                <w:rFonts w:ascii="Times New Roman" w:cs="Times New Roman" w:eastAsia="Times New Roman" w:hAnsi="Times New Roman"/>
                <w:sz w:val="21"/>
                <w:szCs w:val="21"/>
                <w:b w:val="1"/>
                <w:bCs w:val="1"/>
                <w:color w:val="auto"/>
              </w:rPr>
              <w:t>Share Units</w:t>
            </w:r>
          </w:p>
        </w:tc>
      </w:tr>
      <w:tr>
        <w:trPr>
          <w:trHeight w:val="271"/>
        </w:trPr>
        <w:tc>
          <w:tcPr>
            <w:tcW w:w="5720" w:type="dxa"/>
            <w:vAlign w:val="bottom"/>
            <w:tcBorders>
              <w:left w:val="single" w:sz="8" w:color="auto"/>
              <w:bottom w:val="single" w:sz="8" w:color="auto"/>
              <w:right w:val="single" w:sz="8" w:color="auto"/>
            </w:tcBorders>
          </w:tcPr>
          <w:p>
            <w:pPr>
              <w:spacing w:after="0"/>
              <w:rPr>
                <w:sz w:val="23"/>
                <w:szCs w:val="23"/>
                <w:color w:val="auto"/>
              </w:rPr>
            </w:pPr>
          </w:p>
        </w:tc>
        <w:tc>
          <w:tcPr>
            <w:tcW w:w="5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rPr>
              <w:t>(before Relative TSR Adjustment)</w:t>
            </w:r>
          </w:p>
        </w:tc>
      </w:tr>
      <w:tr>
        <w:trPr>
          <w:trHeight w:val="232"/>
        </w:trPr>
        <w:tc>
          <w:tcPr>
            <w:tcW w:w="5720" w:type="dxa"/>
            <w:vAlign w:val="bottom"/>
            <w:tcBorders>
              <w:left w:val="single" w:sz="8" w:color="auto"/>
              <w:bottom w:val="single" w:sz="8" w:color="auto"/>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21"/>
                <w:szCs w:val="21"/>
                <w:color w:val="auto"/>
              </w:rPr>
              <w:t>Less than or equal to -600 bps</w:t>
            </w:r>
          </w:p>
        </w:tc>
        <w:tc>
          <w:tcPr>
            <w:tcW w:w="5700" w:type="dxa"/>
            <w:vAlign w:val="bottom"/>
            <w:tcBorders>
              <w:bottom w:val="single" w:sz="8" w:color="auto"/>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21"/>
                <w:szCs w:val="21"/>
                <w:color w:val="auto"/>
                <w:w w:val="99"/>
              </w:rPr>
              <w:t>0% of Target</w:t>
            </w:r>
          </w:p>
        </w:tc>
      </w:tr>
      <w:tr>
        <w:trPr>
          <w:trHeight w:val="232"/>
        </w:trPr>
        <w:tc>
          <w:tcPr>
            <w:tcW w:w="5720" w:type="dxa"/>
            <w:vAlign w:val="bottom"/>
            <w:tcBorders>
              <w:left w:val="single" w:sz="8" w:color="auto"/>
              <w:bottom w:val="single" w:sz="8" w:color="auto"/>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21"/>
                <w:szCs w:val="21"/>
                <w:color w:val="auto"/>
              </w:rPr>
              <w:t>Equal to 0 bps</w:t>
            </w:r>
          </w:p>
        </w:tc>
        <w:tc>
          <w:tcPr>
            <w:tcW w:w="5700" w:type="dxa"/>
            <w:vAlign w:val="bottom"/>
            <w:tcBorders>
              <w:bottom w:val="single" w:sz="8" w:color="auto"/>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21"/>
                <w:szCs w:val="21"/>
                <w:color w:val="auto"/>
              </w:rPr>
              <w:t>100% of Target</w:t>
            </w:r>
          </w:p>
        </w:tc>
      </w:tr>
      <w:tr>
        <w:trPr>
          <w:trHeight w:val="232"/>
        </w:trPr>
        <w:tc>
          <w:tcPr>
            <w:tcW w:w="5720" w:type="dxa"/>
            <w:vAlign w:val="bottom"/>
            <w:tcBorders>
              <w:left w:val="single" w:sz="8" w:color="auto"/>
              <w:bottom w:val="single" w:sz="8" w:color="auto"/>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21"/>
                <w:szCs w:val="21"/>
                <w:color w:val="auto"/>
              </w:rPr>
              <w:t>Greater than or equal to 600 bps</w:t>
            </w:r>
          </w:p>
        </w:tc>
        <w:tc>
          <w:tcPr>
            <w:tcW w:w="5700" w:type="dxa"/>
            <w:vAlign w:val="bottom"/>
            <w:tcBorders>
              <w:bottom w:val="single" w:sz="8" w:color="auto"/>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21"/>
                <w:szCs w:val="21"/>
                <w:color w:val="auto"/>
              </w:rPr>
              <w:t>250% of Target</w:t>
            </w:r>
          </w:p>
        </w:tc>
      </w:tr>
    </w:tbl>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Adjustment for Relative TSR during Performance Period</w:t>
      </w:r>
    </w:p>
    <w:p>
      <w:pPr>
        <w:spacing w:after="0" w:line="214" w:lineRule="exact"/>
        <w:rPr>
          <w:sz w:val="20"/>
          <w:szCs w:val="20"/>
          <w:color w:val="auto"/>
        </w:rPr>
      </w:pPr>
    </w:p>
    <w:p>
      <w:pPr>
        <w:jc w:val="both"/>
        <w:ind w:firstLine="878"/>
        <w:spacing w:after="0" w:line="242" w:lineRule="auto"/>
        <w:rPr>
          <w:sz w:val="20"/>
          <w:szCs w:val="20"/>
          <w:color w:val="auto"/>
        </w:rPr>
      </w:pPr>
      <w:r>
        <w:rPr>
          <w:rFonts w:ascii="Times New Roman" w:cs="Times New Roman" w:eastAsia="Times New Roman" w:hAnsi="Times New Roman"/>
          <w:sz w:val="21"/>
          <w:szCs w:val="21"/>
          <w:color w:val="auto"/>
        </w:rPr>
        <w:t>At the conclusion of the Performance Period, the Committee will certify the Company’s cumulative shareholder return (“TSR”) over the Performance Period, determine the percentile ranking of the Company’s TSR relative to the cumulative TSR of the companies comprising the Philadelphia Oil Service Sector Index (or any successor index) as of the first day of the Performance Period (the “OSX Index”) (the “Relative TSR Performance”), and determine the amount, if any, by which the Payout Factor will be adjusted (the “Relative TSR Modifier”). If the Company’s Relative TSR Performance during the Performance Period is in the bottom 33</w:t>
      </w:r>
      <w:r>
        <w:rPr>
          <w:rFonts w:ascii="Times New Roman" w:cs="Times New Roman" w:eastAsia="Times New Roman" w:hAnsi="Times New Roman"/>
          <w:sz w:val="18"/>
          <w:szCs w:val="18"/>
          <w:color w:val="auto"/>
        </w:rPr>
        <w:t>rd</w:t>
      </w:r>
      <w:r>
        <w:rPr>
          <w:rFonts w:ascii="Times New Roman" w:cs="Times New Roman" w:eastAsia="Times New Roman" w:hAnsi="Times New Roman"/>
          <w:sz w:val="21"/>
          <w:szCs w:val="21"/>
          <w:color w:val="auto"/>
        </w:rPr>
        <w:t xml:space="preserve"> percentile relative to the cumulative TSR of the companies comprising the OSX Index over the same period, the number of shares earned according to the Payout Factor will be reduced by 25 percentage points (e.g., if the Payout Factor from the table above was 110%, the reduced Payout Factor would be 85%). The Relative TSR Modifier will only reduce the number of shares earned under a PSU award, but will not increase the number of shares otherwise earned.</w:t>
      </w:r>
    </w:p>
    <w:p>
      <w:pPr>
        <w:spacing w:after="0" w:line="174" w:lineRule="exact"/>
        <w:rPr>
          <w:sz w:val="20"/>
          <w:szCs w:val="20"/>
          <w:color w:val="auto"/>
        </w:rPr>
      </w:pPr>
    </w:p>
    <w:p>
      <w:pPr>
        <w:jc w:val="both"/>
        <w:ind w:firstLine="878"/>
        <w:spacing w:after="0" w:line="249" w:lineRule="auto"/>
        <w:rPr>
          <w:sz w:val="20"/>
          <w:szCs w:val="20"/>
          <w:color w:val="auto"/>
        </w:rPr>
      </w:pPr>
      <w:r>
        <w:rPr>
          <w:rFonts w:ascii="Times New Roman" w:cs="Times New Roman" w:eastAsia="Times New Roman" w:hAnsi="Times New Roman"/>
          <w:sz w:val="21"/>
          <w:szCs w:val="21"/>
          <w:color w:val="auto"/>
        </w:rPr>
        <w:t>TSR for the Company or any other member of the Index means the annualized rate of return reflecting price appreciation plus reinvestment of dividends (calculated monthly) and the compounding effect of dividends paid on reinvested dividends. The Committee will utilize Standard &amp; Poor’s Compustat Database (or any successor database), or such other database or method as the Committee determines is appropriate in its discretion, to calculate any company’s TSR.</w:t>
      </w:r>
    </w:p>
    <w:p>
      <w:pPr>
        <w:spacing w:after="0" w:line="167" w:lineRule="exact"/>
        <w:rPr>
          <w:sz w:val="20"/>
          <w:szCs w:val="20"/>
          <w:color w:val="auto"/>
        </w:rPr>
      </w:pPr>
    </w:p>
    <w:p>
      <w:pPr>
        <w:jc w:val="both"/>
        <w:ind w:firstLine="878"/>
        <w:spacing w:after="0" w:line="249" w:lineRule="auto"/>
        <w:rPr>
          <w:sz w:val="20"/>
          <w:szCs w:val="20"/>
          <w:color w:val="auto"/>
        </w:rPr>
      </w:pPr>
      <w:r>
        <w:rPr>
          <w:rFonts w:ascii="Times New Roman" w:cs="Times New Roman" w:eastAsia="Times New Roman" w:hAnsi="Times New Roman"/>
          <w:sz w:val="21"/>
          <w:szCs w:val="21"/>
          <w:color w:val="auto"/>
        </w:rPr>
        <w:t>In the event that any member of the OSX Index ceases to be publicly-traded during the Performance Period or is otherwise removed from the OSX Index prior to the end of the Performance Period, then such member will be removed from the OSX Index for purposes of the Relative TSR Performance calculation. No company that was not a member of the OSX Index as of the first day of the Performance Period will be added to the Index for purposes of the Relative TSR Performance calculation.</w:t>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29107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3" w:name="page54"/>
    <w:bookmarkEnd w:id="53"/>
    <w:p>
      <w:pPr>
        <w:ind w:left="3920"/>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21"/>
          <w:szCs w:val="21"/>
          <w:b w:val="1"/>
          <w:bCs w:val="1"/>
          <w:color w:val="auto"/>
        </w:rPr>
        <w:t>ATTACHMENT II</w:t>
      </w:r>
    </w:p>
    <w:p>
      <w:pPr>
        <w:spacing w:after="0" w:line="23"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21"/>
          <w:szCs w:val="21"/>
          <w:b w:val="1"/>
          <w:bCs w:val="1"/>
          <w:color w:val="auto"/>
        </w:rPr>
        <w:t>Confidential Information, Intellectual Property,</w:t>
      </w:r>
    </w:p>
    <w:p>
      <w:pPr>
        <w:jc w:val="center"/>
        <w:ind w:right="760"/>
        <w:spacing w:after="0"/>
        <w:rPr>
          <w:sz w:val="20"/>
          <w:szCs w:val="20"/>
          <w:color w:val="auto"/>
        </w:rPr>
      </w:pPr>
      <w:r>
        <w:rPr>
          <w:rFonts w:ascii="Times New Roman" w:cs="Times New Roman" w:eastAsia="Times New Roman" w:hAnsi="Times New Roman"/>
          <w:sz w:val="21"/>
          <w:szCs w:val="21"/>
          <w:b w:val="1"/>
          <w:bCs w:val="1"/>
          <w:color w:val="auto"/>
        </w:rPr>
        <w:t>and Non-Compete Agreement</w:t>
      </w:r>
    </w:p>
    <w:p>
      <w:pPr>
        <w:spacing w:after="0" w:line="186" w:lineRule="exact"/>
        <w:rPr>
          <w:sz w:val="20"/>
          <w:szCs w:val="20"/>
          <w:color w:val="auto"/>
        </w:rPr>
      </w:pPr>
    </w:p>
    <w:p>
      <w:pPr>
        <w:ind w:left="1100" w:hanging="794"/>
        <w:spacing w:after="0"/>
        <w:tabs>
          <w:tab w:leader="none" w:pos="1100"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10" w:lineRule="exact"/>
        <w:rPr>
          <w:rFonts w:ascii="Times New Roman" w:cs="Times New Roman" w:eastAsia="Times New Roman" w:hAnsi="Times New Roman"/>
          <w:sz w:val="19"/>
          <w:szCs w:val="19"/>
          <w:color w:val="auto"/>
        </w:rPr>
      </w:pPr>
    </w:p>
    <w:p>
      <w:pPr>
        <w:jc w:val="both"/>
        <w:ind w:firstLine="813"/>
        <w:spacing w:after="0" w:line="255" w:lineRule="auto"/>
        <w:tabs>
          <w:tab w:leader="none" w:pos="1692"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“Affiliate” means any entity that now or in the future directly or indirectly controls, is controlled by, or is under common control with the Company, where “control” in relation to a company means the direct or indirect ownership of at least fifty percent of the voting securities or shares.</w:t>
      </w:r>
    </w:p>
    <w:p>
      <w:pPr>
        <w:spacing w:after="0" w:line="160" w:lineRule="exact"/>
        <w:rPr>
          <w:rFonts w:ascii="Times New Roman" w:cs="Times New Roman" w:eastAsia="Times New Roman" w:hAnsi="Times New Roman"/>
          <w:sz w:val="21"/>
          <w:szCs w:val="21"/>
          <w:color w:val="auto"/>
        </w:rPr>
      </w:pPr>
    </w:p>
    <w:p>
      <w:pPr>
        <w:jc w:val="both"/>
        <w:ind w:firstLine="813"/>
        <w:spacing w:after="0"/>
        <w:tabs>
          <w:tab w:leader="none" w:pos="1705"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200" w:lineRule="exact"/>
        <w:rPr>
          <w:rFonts w:ascii="Times New Roman" w:cs="Times New Roman" w:eastAsia="Times New Roman" w:hAnsi="Times New Roman"/>
          <w:sz w:val="21"/>
          <w:szCs w:val="21"/>
          <w:color w:val="auto"/>
        </w:rPr>
      </w:pPr>
    </w:p>
    <w:p>
      <w:pPr>
        <w:spacing w:after="0" w:line="222" w:lineRule="exact"/>
        <w:rPr>
          <w:rFonts w:ascii="Times New Roman" w:cs="Times New Roman" w:eastAsia="Times New Roman" w:hAnsi="Times New Roman"/>
          <w:sz w:val="21"/>
          <w:szCs w:val="21"/>
          <w:color w:val="auto"/>
        </w:rPr>
      </w:pPr>
    </w:p>
    <w:p>
      <w:pPr>
        <w:jc w:val="both"/>
        <w:ind w:firstLine="813"/>
        <w:spacing w:after="0" w:line="241" w:lineRule="auto"/>
        <w:tabs>
          <w:tab w:leader="none" w:pos="1692"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Intellectual Property” is all Intellectual Property that was authored, conceived, developed, or reduced to practice by Employee (either solely or jointly with others), in the term of his/her employment: (a) at the Company’s expense or the expense of any Affiliate; (b) using any of the Company’s materials or facilities or the materials or facilities of any Affiliate; (c) during Employee’s working hours; or (d) that is applicable to any activity of the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the Company, and any Pre-existing Intellectual Property in which the Company has a vested or executory interest.</w:t>
      </w:r>
    </w:p>
    <w:p>
      <w:pPr>
        <w:spacing w:after="0" w:line="200" w:lineRule="exact"/>
        <w:rPr>
          <w:rFonts w:ascii="Times New Roman" w:cs="Times New Roman" w:eastAsia="Times New Roman" w:hAnsi="Times New Roman"/>
          <w:sz w:val="21"/>
          <w:szCs w:val="21"/>
          <w:color w:val="auto"/>
        </w:rPr>
      </w:pPr>
    </w:p>
    <w:p>
      <w:pPr>
        <w:spacing w:after="0" w:line="222" w:lineRule="exact"/>
        <w:rPr>
          <w:rFonts w:ascii="Times New Roman" w:cs="Times New Roman" w:eastAsia="Times New Roman" w:hAnsi="Times New Roman"/>
          <w:sz w:val="21"/>
          <w:szCs w:val="21"/>
          <w:color w:val="auto"/>
        </w:rPr>
      </w:pPr>
    </w:p>
    <w:p>
      <w:pPr>
        <w:jc w:val="both"/>
        <w:ind w:firstLine="813"/>
        <w:spacing w:after="0" w:line="244" w:lineRule="auto"/>
        <w:tabs>
          <w:tab w:leader="none" w:pos="1705"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 manufacturing techniques, business methods, information considered by the Company to be confidential, tools, routines and methodology, documentation, systems, enhancements or modifications thereto, know-how, and developments, any derivative works and ideas whether or not patentable, and any other form of intellectual property.</w:t>
      </w:r>
    </w:p>
    <w:p>
      <w:pPr>
        <w:spacing w:after="0" w:line="174" w:lineRule="exact"/>
        <w:rPr>
          <w:rFonts w:ascii="Times New Roman" w:cs="Times New Roman" w:eastAsia="Times New Roman" w:hAnsi="Times New Roman"/>
          <w:sz w:val="21"/>
          <w:szCs w:val="21"/>
          <w:color w:val="auto"/>
        </w:rPr>
      </w:pPr>
    </w:p>
    <w:p>
      <w:pPr>
        <w:ind w:firstLine="813"/>
        <w:spacing w:after="0" w:line="273" w:lineRule="auto"/>
        <w:tabs>
          <w:tab w:leader="none" w:pos="1692"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“Pre-existing Intellectual Property” is all Intellectual Property that was authored, conceived, developed, or reduced to practice by Employee before the term of Employee’s employment with the Company or any Affiliate began.</w:t>
      </w:r>
    </w:p>
    <w:p>
      <w:pPr>
        <w:spacing w:after="0" w:line="149"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12</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78740</wp:posOffset>
            </wp:positionV>
            <wp:extent cx="729107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640"/>
          </w:cols>
          <w:pgMar w:left="1020" w:top="108" w:right="239" w:bottom="1440" w:gutter="0" w:footer="0" w:header="0"/>
        </w:sectPr>
      </w:pPr>
    </w:p>
    <w:bookmarkStart w:id="54" w:name="page55"/>
    <w:bookmarkEnd w:id="54"/>
    <w:p>
      <w:pPr>
        <w:jc w:val="center"/>
        <w:ind w:right="220"/>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866"/>
        <w:spacing w:after="0" w:line="249" w:lineRule="auto"/>
        <w:tabs>
          <w:tab w:leader="none" w:pos="1645"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Codes of Conduct</w:t>
      </w:r>
      <w:r>
        <w:rPr>
          <w:rFonts w:ascii="Times New Roman" w:cs="Times New Roman" w:eastAsia="Times New Roman" w:hAnsi="Times New Roman"/>
          <w:sz w:val="21"/>
          <w:szCs w:val="21"/>
          <w:color w:val="auto"/>
        </w:rPr>
        <w:t>. 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II. In the event of any conflict or ambiguity, this Attachment II prevails.</w:t>
      </w:r>
    </w:p>
    <w:p>
      <w:pPr>
        <w:spacing w:after="0" w:line="167" w:lineRule="exact"/>
        <w:rPr>
          <w:rFonts w:ascii="Times New Roman" w:cs="Times New Roman" w:eastAsia="Times New Roman" w:hAnsi="Times New Roman"/>
          <w:sz w:val="19"/>
          <w:szCs w:val="19"/>
          <w:color w:val="auto"/>
        </w:rPr>
      </w:pPr>
    </w:p>
    <w:p>
      <w:pPr>
        <w:ind w:left="1660" w:hanging="794"/>
        <w:spacing w:after="0"/>
        <w:tabs>
          <w:tab w:leader="none" w:pos="166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w:t>
      </w:r>
    </w:p>
    <w:p>
      <w:pPr>
        <w:spacing w:after="0" w:line="210" w:lineRule="exact"/>
        <w:rPr>
          <w:rFonts w:ascii="Times New Roman" w:cs="Times New Roman" w:eastAsia="Times New Roman" w:hAnsi="Times New Roman"/>
          <w:sz w:val="19"/>
          <w:szCs w:val="19"/>
          <w:color w:val="auto"/>
        </w:rPr>
      </w:pPr>
    </w:p>
    <w:p>
      <w:pPr>
        <w:jc w:val="both"/>
        <w:ind w:left="560" w:firstLine="813"/>
        <w:spacing w:after="0" w:line="243" w:lineRule="auto"/>
        <w:tabs>
          <w:tab w:leader="none" w:pos="2252"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does not wish to receive from Employee any confidential or proprietary information of a third party to which Employee owes an obligation of confidence. Employee will not disclose to the Company or any of its Affiliates or use while employed by the Company or any of its Affiliates any information for which he or she is subject to an obligation of confidentiality to any former employer or other third party. Employee represents that his or her duties as an employee of the Company and Employee’s performance of this Attachment II do not and will not breach any agreement or duty to keep in confidence information, knowledge, or data acquired by Employee outside of Employee’s employment with the Company or any of its Affiliates.</w:t>
      </w:r>
    </w:p>
    <w:p>
      <w:pPr>
        <w:spacing w:after="0" w:line="175" w:lineRule="exact"/>
        <w:rPr>
          <w:rFonts w:ascii="Times New Roman" w:cs="Times New Roman" w:eastAsia="Times New Roman" w:hAnsi="Times New Roman"/>
          <w:sz w:val="21"/>
          <w:szCs w:val="21"/>
          <w:color w:val="auto"/>
        </w:rPr>
      </w:pPr>
    </w:p>
    <w:p>
      <w:pPr>
        <w:jc w:val="both"/>
        <w:ind w:left="560" w:firstLine="813"/>
        <w:spacing w:after="0" w:line="255" w:lineRule="auto"/>
        <w:tabs>
          <w:tab w:leader="none" w:pos="2265"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Employee’s term of employment, the Company or, if applicable its Affiliate, will provide Employee and Employee will receive access to Company Confidential Information that is proprietary, confidential, valuable, and relates to the Company’s business.</w:t>
      </w:r>
    </w:p>
    <w:p>
      <w:pPr>
        <w:spacing w:after="0" w:line="160" w:lineRule="exact"/>
        <w:rPr>
          <w:rFonts w:ascii="Times New Roman" w:cs="Times New Roman" w:eastAsia="Times New Roman" w:hAnsi="Times New Roman"/>
          <w:sz w:val="21"/>
          <w:szCs w:val="21"/>
          <w:color w:val="auto"/>
        </w:rPr>
      </w:pPr>
    </w:p>
    <w:p>
      <w:pPr>
        <w:jc w:val="both"/>
        <w:ind w:left="560" w:firstLine="813"/>
        <w:spacing w:after="0" w:line="246" w:lineRule="auto"/>
        <w:tabs>
          <w:tab w:leader="none" w:pos="2252"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in the proper performance of Employee’s duties for the Company or any of its Affiliates, Employee agrees not publish, disclose or transfer to any person or third party, or use in any way other than in the Company’s business or that of or any of its Affiliates, any confidential information or material of the Company or any of its Affiliates, including Company Confidential Information and Company Intellectual Property, either during or after employment with the Company.</w:t>
      </w:r>
    </w:p>
    <w:p>
      <w:pPr>
        <w:spacing w:after="0" w:line="171" w:lineRule="exact"/>
        <w:rPr>
          <w:rFonts w:ascii="Times New Roman" w:cs="Times New Roman" w:eastAsia="Times New Roman" w:hAnsi="Times New Roman"/>
          <w:sz w:val="21"/>
          <w:szCs w:val="21"/>
          <w:color w:val="auto"/>
        </w:rPr>
      </w:pPr>
    </w:p>
    <w:p>
      <w:pPr>
        <w:jc w:val="both"/>
        <w:ind w:left="560" w:firstLine="813"/>
        <w:spacing w:after="0" w:line="242" w:lineRule="auto"/>
        <w:tabs>
          <w:tab w:leader="none" w:pos="2265"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required in performing Employee's duties for the Company or any of its Affiliates, Employee agrees not remove from the Company premises or its control any Company Confidential Information including but not limited to equipment, drawings, notes, reports, manuals, invention records, software, customer information, well logs or other data, or other material, whether produced by Employee or obtained from the Company. This includes copying or transmitting such information via personal digital devices, mobile phones, external hard drives, USB “flash” drives, USB storage devices, FireWire storage devices, floppy discs, CD’s, DVD’s, personal email accounts, online or cloud storage accounts, memory cards, Zip discs, and any other similar media or means of transmitting, storing or archiving data outside systems supported by the Company or its Affiliate.</w:t>
      </w:r>
    </w:p>
    <w:p>
      <w:pPr>
        <w:spacing w:after="0" w:line="178" w:lineRule="exact"/>
        <w:rPr>
          <w:rFonts w:ascii="Times New Roman" w:cs="Times New Roman" w:eastAsia="Times New Roman" w:hAnsi="Times New Roman"/>
          <w:sz w:val="21"/>
          <w:szCs w:val="21"/>
          <w:color w:val="auto"/>
        </w:rPr>
      </w:pPr>
    </w:p>
    <w:p>
      <w:pPr>
        <w:jc w:val="both"/>
        <w:ind w:left="560" w:firstLine="813"/>
        <w:spacing w:after="0" w:line="246" w:lineRule="auto"/>
        <w:tabs>
          <w:tab w:leader="none" w:pos="2252"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to deliver all Company Confidential Information and materials to the Company immediately upon request, and in any event upon termination of employment. If any such Company Confidential Information has been stored on any personal electronic data storage device, including a home or personal computer, or personal email, online or cloud storage accounts, Employee agrees to notify the Company and its Affiliates and make available the device and account to the Company for inspection and removal of the information.</w:t>
      </w:r>
    </w:p>
    <w:p>
      <w:pPr>
        <w:spacing w:after="0" w:line="178"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13</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78740</wp:posOffset>
            </wp:positionV>
            <wp:extent cx="729107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200"/>
          </w:cols>
          <w:pgMar w:left="460" w:top="108" w:right="239" w:bottom="1440" w:gutter="0" w:footer="0" w:header="0"/>
        </w:sectPr>
      </w:pPr>
    </w:p>
    <w:bookmarkStart w:id="55" w:name="page56"/>
    <w:bookmarkEnd w:id="55"/>
    <w:p>
      <w:pPr>
        <w:ind w:left="3920"/>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813"/>
        <w:spacing w:after="0" w:line="255" w:lineRule="auto"/>
        <w:tabs>
          <w:tab w:leader="none" w:pos="1669"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160" w:lineRule="exact"/>
        <w:rPr>
          <w:rFonts w:ascii="Times New Roman" w:cs="Times New Roman" w:eastAsia="Times New Roman" w:hAnsi="Times New Roman"/>
          <w:sz w:val="21"/>
          <w:szCs w:val="21"/>
          <w:color w:val="auto"/>
        </w:rPr>
      </w:pPr>
    </w:p>
    <w:p>
      <w:pPr>
        <w:ind w:left="1100" w:hanging="794"/>
        <w:spacing w:after="0"/>
        <w:tabs>
          <w:tab w:leader="none" w:pos="110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Disclosure of Intellectual Property</w:t>
      </w:r>
      <w:r>
        <w:rPr>
          <w:rFonts w:ascii="Times New Roman" w:cs="Times New Roman" w:eastAsia="Times New Roman" w:hAnsi="Times New Roman"/>
          <w:sz w:val="21"/>
          <w:szCs w:val="21"/>
          <w:color w:val="auto"/>
        </w:rPr>
        <w:t>.</w:t>
      </w:r>
    </w:p>
    <w:p>
      <w:pPr>
        <w:spacing w:after="0" w:line="210" w:lineRule="exact"/>
        <w:rPr>
          <w:rFonts w:ascii="Times New Roman" w:cs="Times New Roman" w:eastAsia="Times New Roman" w:hAnsi="Times New Roman"/>
          <w:sz w:val="19"/>
          <w:szCs w:val="19"/>
          <w:color w:val="auto"/>
        </w:rPr>
      </w:pPr>
    </w:p>
    <w:p>
      <w:pPr>
        <w:jc w:val="both"/>
        <w:ind w:firstLine="813"/>
        <w:spacing w:after="0" w:line="242" w:lineRule="auto"/>
        <w:tabs>
          <w:tab w:leader="none" w:pos="1692"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to promptly disclose in writing to Company all Company Intellectual Property conceived, developed, improved or reduced to practice by Employee during Employee’s employment with the Company and its Affiliates, by completing and submitting an IP Disclosure Form. 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 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78" w:lineRule="exact"/>
        <w:rPr>
          <w:rFonts w:ascii="Times New Roman" w:cs="Times New Roman" w:eastAsia="Times New Roman" w:hAnsi="Times New Roman"/>
          <w:sz w:val="21"/>
          <w:szCs w:val="21"/>
          <w:color w:val="auto"/>
        </w:rPr>
      </w:pPr>
    </w:p>
    <w:p>
      <w:pPr>
        <w:jc w:val="both"/>
        <w:ind w:firstLine="813"/>
        <w:spacing w:after="0" w:line="243" w:lineRule="auto"/>
        <w:tabs>
          <w:tab w:leader="none" w:pos="1705"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will disclose to the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175" w:lineRule="exact"/>
        <w:rPr>
          <w:rFonts w:ascii="Times New Roman" w:cs="Times New Roman" w:eastAsia="Times New Roman" w:hAnsi="Times New Roman"/>
          <w:sz w:val="21"/>
          <w:szCs w:val="21"/>
          <w:color w:val="auto"/>
        </w:rPr>
      </w:pPr>
    </w:p>
    <w:p>
      <w:pPr>
        <w:jc w:val="both"/>
        <w:ind w:firstLine="813"/>
        <w:spacing w:after="0" w:line="255" w:lineRule="auto"/>
        <w:tabs>
          <w:tab w:leader="none" w:pos="1692"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receipt or acceptance of an IP Disclosure Form does not constitute an admission or agreement to any responses contained therein, does not waive or modify any terms of any agreement between Employee and the Company, and does not obligate or bind the Company.</w:t>
      </w:r>
    </w:p>
    <w:p>
      <w:pPr>
        <w:spacing w:after="0" w:line="160" w:lineRule="exact"/>
        <w:rPr>
          <w:rFonts w:ascii="Times New Roman" w:cs="Times New Roman" w:eastAsia="Times New Roman" w:hAnsi="Times New Roman"/>
          <w:sz w:val="21"/>
          <w:szCs w:val="21"/>
          <w:color w:val="auto"/>
        </w:rPr>
      </w:pPr>
    </w:p>
    <w:p>
      <w:pPr>
        <w:jc w:val="both"/>
        <w:ind w:firstLine="813"/>
        <w:spacing w:after="0" w:line="243" w:lineRule="auto"/>
        <w:tabs>
          <w:tab w:leader="none" w:pos="1705"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75" w:lineRule="exact"/>
        <w:rPr>
          <w:rFonts w:ascii="Times New Roman" w:cs="Times New Roman" w:eastAsia="Times New Roman" w:hAnsi="Times New Roman"/>
          <w:sz w:val="21"/>
          <w:szCs w:val="21"/>
          <w:color w:val="auto"/>
        </w:rPr>
      </w:pPr>
    </w:p>
    <w:p>
      <w:pPr>
        <w:jc w:val="both"/>
        <w:ind w:firstLine="813"/>
        <w:spacing w:after="0" w:line="244" w:lineRule="auto"/>
        <w:tabs>
          <w:tab w:leader="none" w:pos="1692"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and after employment with the Company, Employee will assist the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 documents pertaining to Company Intellectual Property which the Company may, in its sole discretion, determine to obtain.</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71120</wp:posOffset>
            </wp:positionV>
            <wp:extent cx="729107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640"/>
          </w:cols>
          <w:pgMar w:left="1020" w:top="108" w:right="239" w:bottom="1440" w:gutter="0" w:footer="0" w:header="0"/>
        </w:sectPr>
      </w:pPr>
    </w:p>
    <w:bookmarkStart w:id="56" w:name="page57"/>
    <w:bookmarkEnd w:id="56"/>
    <w:p>
      <w:pPr>
        <w:ind w:left="3614"/>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94" w:hanging="785"/>
        <w:spacing w:after="0"/>
        <w:tabs>
          <w:tab w:leader="none" w:pos="794"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Assignment of Intellectual Property</w:t>
      </w:r>
      <w:r>
        <w:rPr>
          <w:rFonts w:ascii="Times New Roman" w:cs="Times New Roman" w:eastAsia="Times New Roman" w:hAnsi="Times New Roman"/>
          <w:sz w:val="21"/>
          <w:szCs w:val="21"/>
          <w:color w:val="auto"/>
        </w:rPr>
        <w:t>.</w:t>
      </w:r>
    </w:p>
    <w:p>
      <w:pPr>
        <w:spacing w:after="0" w:line="210" w:lineRule="exact"/>
        <w:rPr>
          <w:rFonts w:ascii="Times New Roman" w:cs="Times New Roman" w:eastAsia="Times New Roman" w:hAnsi="Times New Roman"/>
          <w:sz w:val="19"/>
          <w:szCs w:val="19"/>
          <w:color w:val="auto"/>
        </w:rPr>
      </w:pPr>
    </w:p>
    <w:p>
      <w:pPr>
        <w:jc w:val="both"/>
        <w:ind w:left="-306" w:firstLine="813"/>
        <w:spacing w:after="0" w:line="242" w:lineRule="auto"/>
        <w:tabs>
          <w:tab w:leader="none" w:pos="1386"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to assign and hereby assigns to the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The Company has and will have the royalty-free right to use or otherwise exploit Company Intellectual Property without any further agreement between the Company and Employee. Company Intellectual Property remains the exclusive property of the Company whether or not deemed to be a “work made for hire” within the meaning of the copyright laws of the United States. For clarity, Employee does not hereby assign or agree to assign any Pre-existing Intellectual Property to the Company.</w:t>
      </w:r>
    </w:p>
    <w:p>
      <w:pPr>
        <w:spacing w:after="0" w:line="178" w:lineRule="exact"/>
        <w:rPr>
          <w:rFonts w:ascii="Times New Roman" w:cs="Times New Roman" w:eastAsia="Times New Roman" w:hAnsi="Times New Roman"/>
          <w:sz w:val="21"/>
          <w:szCs w:val="21"/>
          <w:color w:val="auto"/>
        </w:rPr>
      </w:pPr>
    </w:p>
    <w:p>
      <w:pPr>
        <w:jc w:val="both"/>
        <w:ind w:left="-306" w:firstLine="813"/>
        <w:spacing w:after="0" w:line="244" w:lineRule="auto"/>
        <w:tabs>
          <w:tab w:leader="none" w:pos="1398"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is hereby notified that certain statutes in some U.S. states relate to ownership and assignment of inventions. At relevant locations and in accordance with those statutes, the Company agrees that this Attachment II does not apply to an invention developed by Employee entirely on his or her own time without use of the Company Group’s equipment, supplies, facilities, systems, or confidential information, except for inventions that relate to the Company Group’s business, or actual or anticipated research or development of the Company Group or work performed by Employee for the Company Group. For this purpose, the “Company Group” means the Company and all Affiliates.</w:t>
      </w:r>
    </w:p>
    <w:p>
      <w:pPr>
        <w:spacing w:after="0" w:line="174" w:lineRule="exact"/>
        <w:rPr>
          <w:rFonts w:ascii="Times New Roman" w:cs="Times New Roman" w:eastAsia="Times New Roman" w:hAnsi="Times New Roman"/>
          <w:sz w:val="21"/>
          <w:szCs w:val="21"/>
          <w:color w:val="auto"/>
        </w:rPr>
      </w:pPr>
    </w:p>
    <w:p>
      <w:pPr>
        <w:jc w:val="both"/>
        <w:ind w:left="-306" w:firstLine="813"/>
        <w:spacing w:after="0" w:line="255" w:lineRule="auto"/>
        <w:tabs>
          <w:tab w:leader="none" w:pos="1386"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in its sole discretion, waive the automatic assignment provisions of Section 5(a) using such criteria as the Company, in its sole discretion, may decide to use. No waiver of the automatic assignment provision is effective unless in a writing signed by a person authorized by the Company.</w:t>
      </w:r>
    </w:p>
    <w:p>
      <w:pPr>
        <w:spacing w:after="0" w:line="160" w:lineRule="exact"/>
        <w:rPr>
          <w:rFonts w:ascii="Times New Roman" w:cs="Times New Roman" w:eastAsia="Times New Roman" w:hAnsi="Times New Roman"/>
          <w:sz w:val="21"/>
          <w:szCs w:val="21"/>
          <w:color w:val="auto"/>
        </w:rPr>
      </w:pPr>
    </w:p>
    <w:p>
      <w:pPr>
        <w:jc w:val="both"/>
        <w:ind w:left="-306" w:firstLine="813"/>
        <w:spacing w:after="0" w:line="243" w:lineRule="auto"/>
        <w:tabs>
          <w:tab w:leader="none" w:pos="1398"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 waiver is obtained in violation of this Attachment II, or obtained through fraud, negligence, failure to disclose, or incorrect, incomplete, or defective information on an IP Disclosure Form.</w:t>
      </w:r>
    </w:p>
    <w:p>
      <w:pPr>
        <w:spacing w:after="0" w:line="175" w:lineRule="exact"/>
        <w:rPr>
          <w:rFonts w:ascii="Times New Roman" w:cs="Times New Roman" w:eastAsia="Times New Roman" w:hAnsi="Times New Roman"/>
          <w:sz w:val="21"/>
          <w:szCs w:val="21"/>
          <w:color w:val="auto"/>
        </w:rPr>
      </w:pPr>
    </w:p>
    <w:p>
      <w:pPr>
        <w:ind w:left="794" w:hanging="794"/>
        <w:spacing w:after="0"/>
        <w:tabs>
          <w:tab w:leader="none" w:pos="794"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w:t>
      </w:r>
    </w:p>
    <w:p>
      <w:pPr>
        <w:spacing w:after="0" w:line="210" w:lineRule="exact"/>
        <w:rPr>
          <w:rFonts w:ascii="Times New Roman" w:cs="Times New Roman" w:eastAsia="Times New Roman" w:hAnsi="Times New Roman"/>
          <w:sz w:val="19"/>
          <w:szCs w:val="19"/>
          <w:color w:val="auto"/>
        </w:rPr>
      </w:pPr>
    </w:p>
    <w:p>
      <w:pPr>
        <w:jc w:val="both"/>
        <w:ind w:left="-306" w:firstLine="813"/>
        <w:spacing w:after="0" w:line="255" w:lineRule="auto"/>
        <w:tabs>
          <w:tab w:leader="none" w:pos="1386"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term of employment with the Company or any of its Affiliates, Employee agrees not to engage, as an employee, officer, director, consultant, partner, owner or another capacity, in any activity or business competitive to that of the Company or any of its Affiliates.</w:t>
      </w:r>
    </w:p>
    <w:p>
      <w:pPr>
        <w:spacing w:after="0" w:line="168" w:lineRule="exact"/>
        <w:rPr>
          <w:sz w:val="20"/>
          <w:szCs w:val="20"/>
          <w:color w:val="auto"/>
        </w:rPr>
      </w:pPr>
    </w:p>
    <w:p>
      <w:pPr>
        <w:ind w:left="9354"/>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15</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78740</wp:posOffset>
            </wp:positionV>
            <wp:extent cx="729107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334"/>
          </w:cols>
          <w:pgMar w:left="1326" w:top="108" w:right="239" w:bottom="1440" w:gutter="0" w:footer="0" w:header="0"/>
        </w:sectPr>
      </w:pPr>
    </w:p>
    <w:bookmarkStart w:id="57" w:name="page58"/>
    <w:bookmarkEnd w:id="57"/>
    <w:p>
      <w:pPr>
        <w:ind w:left="3920"/>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813"/>
        <w:spacing w:after="0"/>
        <w:tabs>
          <w:tab w:leader="none" w:pos="1705"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recognizes and acknowledges that Company Confidential Information constitutes protectable information belonging to the Company and its Affiliates, including deemed trade secrets defined under applicable laws. In order to protect the Company and its Affiliates against any unauthorized use or disclosure of Company Confidential Information and in exchange for the Company's promise to provide Employee with access to Company Confidential Information and other consideration during employment with the Company and its Affiliates, Employee agrees that for a period of one year following the end of employment with the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the Company. Moreover, Employee agrees that the Company may provide a copy of this Attachment II to any entity for whom Employee provides services in the one-year period following the date of termination of Employee's employment with the Company and its Affiliates. In the event of breach by Employee, the specified period will be extended by the period of time of the breach.</w:t>
      </w:r>
    </w:p>
    <w:p>
      <w:pPr>
        <w:spacing w:after="0" w:line="1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Employee recognizes and acknowledges that the business, research, products, and services of the Company and its Affiliates are by nature worldwide in scope, and that the Company and its Affiliates are not required to maintain a physical location in close proximity to its customers. Employee agrees that in order to protect Company Confidential Information, business interests and goodwill, the “Restricted Territory” includes any county, parish, borough, or foreign equivalent: (1) in which the Company has customers or service assignments about which Employee received or obtained Company Confidential Information during his/her employment with the Company; (2) in which Employee had a customer or service assignment for the Company in the one-year period preceding Employee's termination; or (3) in which the Company had a work site, job site, facility, or office, at which Employee had a work activity for the Company in the one-year period preceding Employee’s termination. With respect to competitive activities in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Terrebonne, Union, Vermillion, and West Baton Rouge.</w:t>
      </w:r>
    </w:p>
    <w:p>
      <w:pPr>
        <w:spacing w:after="0" w:line="185" w:lineRule="exact"/>
        <w:rPr>
          <w:sz w:val="20"/>
          <w:szCs w:val="20"/>
          <w:color w:val="auto"/>
        </w:rPr>
      </w:pPr>
    </w:p>
    <w:p>
      <w:pPr>
        <w:jc w:val="both"/>
        <w:ind w:firstLine="813"/>
        <w:spacing w:after="0"/>
        <w:tabs>
          <w:tab w:leader="none" w:pos="1692"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attempted to place the most reasonable limitations on Employee’s subsequent employment opportunities consistent with the protection of the Company’s and its Affiliates’ valuable trade secrets, Company Confidential Information, business interests, and goodwill. Employee acknowledges that the limitations contained herein, especially limitations as to time, scope, and geography, are reasonable. In order to accommodate Employee in obtaining subsequent employment, the Company and its Affiliates may, in their discretion, grant a waiver of one or more of the restrictions on subsequent employment herein. A request for a waiver must be in writing and must be received by the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the Company decides to grant a waiver, the waiver may be subject to such restrictions or conditions as the Company may impose and will not constitute a waiver of any other term.</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71120</wp:posOffset>
            </wp:positionV>
            <wp:extent cx="729107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640"/>
          </w:cols>
          <w:pgMar w:left="1020" w:top="108" w:right="239" w:bottom="1440" w:gutter="0" w:footer="0" w:header="0"/>
        </w:sectPr>
      </w:pPr>
    </w:p>
    <w:bookmarkStart w:id="58" w:name="page59"/>
    <w:bookmarkEnd w:id="58"/>
    <w:p>
      <w:pPr>
        <w:ind w:left="3614"/>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94" w:hanging="794"/>
        <w:spacing w:after="0"/>
        <w:tabs>
          <w:tab w:leader="none" w:pos="794"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w:t>
      </w:r>
    </w:p>
    <w:p>
      <w:pPr>
        <w:spacing w:after="0" w:line="210" w:lineRule="exact"/>
        <w:rPr>
          <w:rFonts w:ascii="Times New Roman" w:cs="Times New Roman" w:eastAsia="Times New Roman" w:hAnsi="Times New Roman"/>
          <w:sz w:val="19"/>
          <w:szCs w:val="19"/>
          <w:color w:val="auto"/>
        </w:rPr>
      </w:pPr>
    </w:p>
    <w:p>
      <w:pPr>
        <w:jc w:val="both"/>
        <w:ind w:left="-306" w:firstLine="813"/>
        <w:spacing w:after="0" w:line="242" w:lineRule="auto"/>
        <w:tabs>
          <w:tab w:leader="none" w:pos="1386"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While employed by the Company and its Affiliates, and during the 18-month period or after employment with the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the Company to leave the Company and its Affiliates, diminish their relationship with the Company and its Affiliates, or work for a competing business. This restriction will be limited to persons: (1) with whom Employee had contact or business dealings while employed by the Company and its Affiliates; (2) who worked in Employee’s business unit (Group); or (3) about whom Employee had access to confidential information. In the event of breach by Employee, the specified period will be extended by the period of time of the breach.</w:t>
      </w:r>
    </w:p>
    <w:p>
      <w:pPr>
        <w:spacing w:after="0" w:line="178" w:lineRule="exact"/>
        <w:rPr>
          <w:rFonts w:ascii="Times New Roman" w:cs="Times New Roman" w:eastAsia="Times New Roman" w:hAnsi="Times New Roman"/>
          <w:sz w:val="21"/>
          <w:szCs w:val="21"/>
          <w:color w:val="auto"/>
        </w:rPr>
      </w:pPr>
    </w:p>
    <w:p>
      <w:pPr>
        <w:jc w:val="both"/>
        <w:ind w:left="-306" w:firstLine="813"/>
        <w:spacing w:after="0" w:line="242" w:lineRule="auto"/>
        <w:tabs>
          <w:tab w:leader="none" w:pos="1398"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While employed by the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the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78" w:lineRule="exact"/>
        <w:rPr>
          <w:rFonts w:ascii="Times New Roman" w:cs="Times New Roman" w:eastAsia="Times New Roman" w:hAnsi="Times New Roman"/>
          <w:sz w:val="21"/>
          <w:szCs w:val="21"/>
          <w:color w:val="auto"/>
        </w:rPr>
      </w:pPr>
    </w:p>
    <w:p>
      <w:pPr>
        <w:ind w:left="794" w:hanging="794"/>
        <w:spacing w:after="0"/>
        <w:tabs>
          <w:tab w:leader="none" w:pos="794"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Remedies for Employee’s Breach</w:t>
      </w:r>
      <w:r>
        <w:rPr>
          <w:rFonts w:ascii="Times New Roman" w:cs="Times New Roman" w:eastAsia="Times New Roman" w:hAnsi="Times New Roman"/>
          <w:sz w:val="21"/>
          <w:szCs w:val="21"/>
          <w:color w:val="auto"/>
        </w:rPr>
        <w:t>.</w:t>
      </w:r>
    </w:p>
    <w:p>
      <w:pPr>
        <w:spacing w:after="0" w:line="210" w:lineRule="exact"/>
        <w:rPr>
          <w:rFonts w:ascii="Times New Roman" w:cs="Times New Roman" w:eastAsia="Times New Roman" w:hAnsi="Times New Roman"/>
          <w:sz w:val="19"/>
          <w:szCs w:val="19"/>
          <w:color w:val="auto"/>
        </w:rPr>
      </w:pPr>
    </w:p>
    <w:p>
      <w:pPr>
        <w:jc w:val="both"/>
        <w:ind w:left="-306" w:firstLine="813"/>
        <w:spacing w:after="0" w:line="241" w:lineRule="auto"/>
        <w:tabs>
          <w:tab w:leader="none" w:pos="1386"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Employee acknowledges that the Company has agreed to provide Employee with Company Confidential Information during Employee's employment with the Company and its Affiliates. Employee further acknowledges that, if Employee was to leave the employ of the Company and its Affiliates for any reason and use or disclose Company Confidential Information, that use or disclosure would cause the Company and its Affiliates irreparable harm and injury for which no adequate remedy at law exists. Therefore, in the event of the breach or threatened breach of the provisions of this Attachment II by Employee, the Company and its Affiliates will be entitled to: </w:t>
      </w:r>
      <w:r>
        <w:rPr>
          <w:rFonts w:ascii="Times New Roman" w:cs="Times New Roman" w:eastAsia="Times New Roman" w:hAnsi="Times New Roman"/>
          <w:sz w:val="21"/>
          <w:szCs w:val="21"/>
          <w:b w:val="1"/>
          <w:bCs w:val="1"/>
          <w:color w:val="auto"/>
        </w:rPr>
        <w:t>(i) recover from Employee the value of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portion of the Award that has been paid or delivered; (ii) seek injunctive relief against Employee pursuant to the provisions of subsection (b) below; (iii) recover all damages, court costs, and attorneys’ fees incurred by the Company or its Affiliates in enforcing the provisions of this Award, and (iv) set-off any such sums to which the Company or any of its Affiliates may be entitled hereunder against any sum which may be owed Employee by the Company and its Affiliates.</w:t>
      </w:r>
    </w:p>
    <w:p>
      <w:pPr>
        <w:spacing w:after="0" w:line="176" w:lineRule="exact"/>
        <w:rPr>
          <w:rFonts w:ascii="Times New Roman" w:cs="Times New Roman" w:eastAsia="Times New Roman" w:hAnsi="Times New Roman"/>
          <w:sz w:val="21"/>
          <w:szCs w:val="21"/>
          <w:color w:val="auto"/>
        </w:rPr>
      </w:pPr>
    </w:p>
    <w:p>
      <w:pPr>
        <w:jc w:val="both"/>
        <w:ind w:left="-306" w:firstLine="813"/>
        <w:spacing w:after="0" w:line="244" w:lineRule="auto"/>
        <w:tabs>
          <w:tab w:leader="none" w:pos="1398"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Because of the difficulty of measuring economic losses to the Company or Employer as a result of a breach of the foregoing covenants, and because of the immediate and irreparable damage that could be caused to the Company or its Affiliates for which it would have no other adequate remedy, Employee agrees that the foregoing covenants may be enforced by the Company or its Affiliates in the event of breach by him/her by injunction relief and restraining order, without the necessity of posting a bond, and that such enforcement will not be the Company’s or its Affiliates’ exclusive remedy for a breach but instead will be in addition to all other rights and remedies available to the Company or any Affiliate.</w:t>
      </w:r>
    </w:p>
    <w:p>
      <w:pPr>
        <w:spacing w:after="0" w:line="182" w:lineRule="exact"/>
        <w:rPr>
          <w:sz w:val="20"/>
          <w:szCs w:val="20"/>
          <w:color w:val="auto"/>
        </w:rPr>
      </w:pPr>
    </w:p>
    <w:p>
      <w:pPr>
        <w:ind w:left="9354"/>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17</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78740</wp:posOffset>
            </wp:positionV>
            <wp:extent cx="729107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334"/>
          </w:cols>
          <w:pgMar w:left="1326" w:top="108" w:right="239" w:bottom="1440" w:gutter="0" w:footer="0" w:header="0"/>
        </w:sectPr>
      </w:pPr>
    </w:p>
    <w:bookmarkStart w:id="59" w:name="page60"/>
    <w:bookmarkEnd w:id="59"/>
    <w:p>
      <w:pPr>
        <w:jc w:val="center"/>
        <w:ind w:right="220"/>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560" w:firstLine="813"/>
        <w:spacing w:after="0" w:line="249" w:lineRule="auto"/>
        <w:tabs>
          <w:tab w:leader="none" w:pos="2252"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covenants in this Attachment II will be construed as an agreement independent of any other provision in this Attachment II, and the existence of any claim or cause of action of Employee against the Company or any Affiliate, whether predicated on this Attachment II or otherwise, will not constitute a defense to the enforcement by the Company or any Affiliate of such covenants or provisions.</w:t>
      </w:r>
    </w:p>
    <w:p>
      <w:pPr>
        <w:spacing w:after="0" w:line="167" w:lineRule="exact"/>
        <w:rPr>
          <w:rFonts w:ascii="Times New Roman" w:cs="Times New Roman" w:eastAsia="Times New Roman" w:hAnsi="Times New Roman"/>
          <w:sz w:val="21"/>
          <w:szCs w:val="21"/>
          <w:color w:val="auto"/>
        </w:rPr>
      </w:pPr>
    </w:p>
    <w:p>
      <w:pPr>
        <w:ind w:left="560" w:firstLine="813"/>
        <w:spacing w:after="0" w:line="273" w:lineRule="auto"/>
        <w:tabs>
          <w:tab w:leader="none" w:pos="2265"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acknowledges that the remedies contained in the Attachment II for violation of this Attachment II are not the exclusive remedies that the Company or an Affiliate may pursue.</w:t>
      </w:r>
    </w:p>
    <w:p>
      <w:pPr>
        <w:spacing w:after="0" w:line="141" w:lineRule="exact"/>
        <w:rPr>
          <w:rFonts w:ascii="Times New Roman" w:cs="Times New Roman" w:eastAsia="Times New Roman" w:hAnsi="Times New Roman"/>
          <w:sz w:val="21"/>
          <w:szCs w:val="21"/>
          <w:color w:val="auto"/>
        </w:rPr>
      </w:pPr>
    </w:p>
    <w:p>
      <w:pPr>
        <w:jc w:val="both"/>
        <w:ind w:firstLine="866"/>
        <w:spacing w:after="0" w:line="255" w:lineRule="auto"/>
        <w:tabs>
          <w:tab w:leader="none" w:pos="1645"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Waiver of any term of this Attachment II by the Company will not operate as a waiver of any other term of this Attachment II. A failure to enforce any provision of this Attachment II will not operate as a waiver of the Company’s right to enforce any other provision of this Attachment II.</w:t>
      </w:r>
    </w:p>
    <w:p>
      <w:pPr>
        <w:spacing w:after="0" w:line="160" w:lineRule="exact"/>
        <w:rPr>
          <w:rFonts w:ascii="Times New Roman" w:cs="Times New Roman" w:eastAsia="Times New Roman" w:hAnsi="Times New Roman"/>
          <w:sz w:val="19"/>
          <w:szCs w:val="19"/>
          <w:color w:val="auto"/>
        </w:rPr>
      </w:pPr>
    </w:p>
    <w:p>
      <w:pPr>
        <w:ind w:left="1740" w:hanging="874"/>
        <w:spacing w:after="0"/>
        <w:tabs>
          <w:tab w:leader="none" w:pos="174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10" w:lineRule="exact"/>
        <w:rPr>
          <w:rFonts w:ascii="Times New Roman" w:cs="Times New Roman" w:eastAsia="Times New Roman" w:hAnsi="Times New Roman"/>
          <w:sz w:val="19"/>
          <w:szCs w:val="19"/>
          <w:color w:val="auto"/>
        </w:rPr>
      </w:pPr>
    </w:p>
    <w:p>
      <w:pPr>
        <w:jc w:val="both"/>
        <w:ind w:left="560" w:firstLine="813"/>
        <w:spacing w:after="0" w:line="249" w:lineRule="auto"/>
        <w:tabs>
          <w:tab w:leader="none" w:pos="2252"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represents and warrants that Employee is not a party to any other agreement that will interfere with Employee’s full compliance with this Attachment II or that otherwise may restrict Employee’s employment by the Company or its Affiliates or the performance of Employee’s duties for the Company or its Affiliates. Employee agrees not to enter into any agreement, whether oral or written, in conflict with this Attachment II.</w:t>
      </w:r>
    </w:p>
    <w:p>
      <w:pPr>
        <w:spacing w:after="0" w:line="167" w:lineRule="exact"/>
        <w:rPr>
          <w:rFonts w:ascii="Times New Roman" w:cs="Times New Roman" w:eastAsia="Times New Roman" w:hAnsi="Times New Roman"/>
          <w:sz w:val="21"/>
          <w:szCs w:val="21"/>
          <w:color w:val="auto"/>
        </w:rPr>
      </w:pPr>
    </w:p>
    <w:p>
      <w:pPr>
        <w:jc w:val="both"/>
        <w:ind w:left="560" w:firstLine="813"/>
        <w:spacing w:after="0" w:line="255" w:lineRule="auto"/>
        <w:tabs>
          <w:tab w:leader="none" w:pos="2265"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Attachment II may be enforced by, will inure to the benefit of, and be binding upon the Company, its successors, and assigns. This Agreement will also inure to the benefit of, and may be enforced by, the Company’s Affiliates. This Attachment II is binding upon Employee’s heirs and legal representatives.</w:t>
      </w:r>
    </w:p>
    <w:p>
      <w:pPr>
        <w:spacing w:after="0" w:line="160" w:lineRule="exact"/>
        <w:rPr>
          <w:rFonts w:ascii="Times New Roman" w:cs="Times New Roman" w:eastAsia="Times New Roman" w:hAnsi="Times New Roman"/>
          <w:sz w:val="21"/>
          <w:szCs w:val="21"/>
          <w:color w:val="auto"/>
        </w:rPr>
      </w:pPr>
    </w:p>
    <w:p>
      <w:pPr>
        <w:jc w:val="both"/>
        <w:ind w:left="560" w:firstLine="813"/>
        <w:spacing w:after="0" w:line="255" w:lineRule="auto"/>
        <w:tabs>
          <w:tab w:leader="none" w:pos="2252"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Attachment II prohibits Employee from reporting possible violation of federal law or regulation to any governmental agency or entity, or making disclosures that are protected under a “whistleblower” provision of federal law or regulation.</w:t>
      </w:r>
    </w:p>
    <w:p>
      <w:pPr>
        <w:spacing w:after="0" w:line="160" w:lineRule="exact"/>
        <w:rPr>
          <w:rFonts w:ascii="Times New Roman" w:cs="Times New Roman" w:eastAsia="Times New Roman" w:hAnsi="Times New Roman"/>
          <w:sz w:val="21"/>
          <w:szCs w:val="21"/>
          <w:color w:val="auto"/>
        </w:rPr>
      </w:pPr>
    </w:p>
    <w:p>
      <w:pPr>
        <w:jc w:val="both"/>
        <w:ind w:left="560" w:firstLine="813"/>
        <w:spacing w:after="0" w:line="249" w:lineRule="auto"/>
        <w:tabs>
          <w:tab w:leader="none" w:pos="2265"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Employee is employed by an Affiliate of the Company or by accepting a transfer to an Affiliate of the Company, Employee agrees to the automatic application of all of the terms of this Attachment II to said Affiliate contemporaneously with the acceptance of such transfer, subject to subsequent agreements, if any, executed by Employee and the Affiliate of the Company or the Company, and to the fullest extent allowed by law.</w:t>
      </w:r>
    </w:p>
    <w:p>
      <w:pPr>
        <w:spacing w:after="0" w:line="167" w:lineRule="exact"/>
        <w:rPr>
          <w:rFonts w:ascii="Times New Roman" w:cs="Times New Roman" w:eastAsia="Times New Roman" w:hAnsi="Times New Roman"/>
          <w:sz w:val="21"/>
          <w:szCs w:val="21"/>
          <w:color w:val="auto"/>
        </w:rPr>
      </w:pPr>
    </w:p>
    <w:p>
      <w:pPr>
        <w:jc w:val="both"/>
        <w:ind w:left="560" w:firstLine="813"/>
        <w:spacing w:after="0" w:line="243" w:lineRule="auto"/>
        <w:tabs>
          <w:tab w:leader="none" w:pos="2252"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Should any portion of this Attachment II be held invalid, unenforceable, or void, such holding will not have the effect of invalidating or voiding the other portions of this Attachment II.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II. No court ordered reformation or amendment will give rise to a finding of knowing, willful, or bad faith unreasonableness against the Company regarding this Attachment II.</w:t>
      </w:r>
    </w:p>
    <w:p>
      <w:pPr>
        <w:spacing w:after="0" w:line="183"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18</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78740</wp:posOffset>
            </wp:positionV>
            <wp:extent cx="729107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200"/>
          </w:cols>
          <w:pgMar w:left="460" w:top="108" w:right="2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21"/>
          <w:szCs w:val="21"/>
          <w:b w:val="1"/>
          <w:bCs w:val="1"/>
          <w:color w:val="C8C9CE"/>
        </w:rPr>
        <w:t>Schlumberger-Private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780" w:firstLine="819"/>
        <w:spacing w:after="0" w:line="249" w:lineRule="auto"/>
        <w:rPr>
          <w:sz w:val="20"/>
          <w:szCs w:val="20"/>
          <w:color w:val="auto"/>
        </w:rPr>
      </w:pPr>
      <w:r>
        <w:rPr>
          <w:rFonts w:ascii="Times New Roman" w:cs="Times New Roman" w:eastAsia="Times New Roman" w:hAnsi="Times New Roman"/>
          <w:sz w:val="21"/>
          <w:szCs w:val="21"/>
          <w:color w:val="auto"/>
        </w:rPr>
        <w:t>(f) The terms and conditions of this Attachment II supersedes any previous agreement, oral or written, between Employee and the Company relating to the subject matter thereof[; provided, however, that nothing herein will limit Employee’s obligations to the Company or any Affiliate under any prior agreement containing restrictions related to intellectual property, confidential information, solicitation or competition.]</w:t>
      </w: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216535</wp:posOffset>
            </wp:positionV>
            <wp:extent cx="14427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1 </w:t>
      </w:r>
      <w:r>
        <w:rPr>
          <w:rFonts w:ascii="Times New Roman" w:cs="Times New Roman" w:eastAsia="Times New Roman" w:hAnsi="Times New Roman"/>
          <w:sz w:val="17"/>
          <w:szCs w:val="17"/>
          <w:color w:val="auto"/>
        </w:rPr>
        <w:t>NTD: Consider whether we want to supersede agreements signed at commencement of employment regarding invention assignment, confidentiality, etc.</w:t>
      </w: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19</w:t>
      </w:r>
    </w:p>
    <w:p>
      <w:pPr>
        <w:sectPr>
          <w:pgSz w:w="11900" w:h="16838" w:orient="portrait"/>
          <w:cols w:equalWidth="0" w:num="1">
            <w:col w:w="11420"/>
          </w:cols>
          <w:pgMar w:left="240" w:top="108"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Paal Kibsgaard, certify that:</w:t>
      </w:r>
    </w:p>
    <w:p>
      <w:pPr>
        <w:spacing w:after="0" w:line="112" w:lineRule="exact"/>
        <w:rPr>
          <w:sz w:val="20"/>
          <w:szCs w:val="20"/>
          <w:color w:val="auto"/>
        </w:rPr>
      </w:pPr>
    </w:p>
    <w:p>
      <w:pPr>
        <w:ind w:left="560" w:hanging="174"/>
        <w:spacing w:after="0"/>
        <w:tabs>
          <w:tab w:leader="none" w:pos="5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Schlumberger Limited;</w:t>
      </w:r>
    </w:p>
    <w:p>
      <w:pPr>
        <w:spacing w:after="0" w:line="111" w:lineRule="exact"/>
        <w:rPr>
          <w:rFonts w:ascii="Times New Roman" w:cs="Times New Roman" w:eastAsia="Times New Roman" w:hAnsi="Times New Roman"/>
          <w:sz w:val="18"/>
          <w:szCs w:val="18"/>
          <w:color w:val="auto"/>
        </w:rPr>
      </w:pPr>
    </w:p>
    <w:p>
      <w:pPr>
        <w:ind w:firstLine="386"/>
        <w:spacing w:after="0" w:line="275" w:lineRule="auto"/>
        <w:tabs>
          <w:tab w:leader="none" w:pos="57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8"/>
          <w:szCs w:val="18"/>
          <w:color w:val="auto"/>
        </w:rPr>
      </w:pPr>
    </w:p>
    <w:p>
      <w:pPr>
        <w:ind w:firstLine="386"/>
        <w:spacing w:after="0" w:line="275" w:lineRule="auto"/>
        <w:tabs>
          <w:tab w:leader="none" w:pos="58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firstLine="386"/>
        <w:spacing w:after="0" w:line="260" w:lineRule="auto"/>
        <w:tabs>
          <w:tab w:leader="none" w:pos="55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firstLine="386"/>
        <w:spacing w:after="0" w:line="275" w:lineRule="auto"/>
        <w:tabs>
          <w:tab w:leader="none" w:pos="57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24, 2019</w:t>
            </w:r>
          </w:p>
        </w:tc>
        <w:tc>
          <w:tcPr>
            <w:tcW w:w="726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/s/ Paal Kibsgaard</w:t>
            </w:r>
          </w:p>
        </w:tc>
      </w:tr>
      <w:tr>
        <w:trPr>
          <w:trHeight w:val="188"/>
        </w:trPr>
        <w:tc>
          <w:tcPr>
            <w:tcW w:w="41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56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color w:val="auto"/>
              </w:rPr>
              <w:t>Paal Kibsgaard</w:t>
            </w:r>
          </w:p>
        </w:tc>
      </w:tr>
      <w:tr>
        <w:trPr>
          <w:trHeight w:val="232"/>
        </w:trPr>
        <w:tc>
          <w:tcPr>
            <w:tcW w:w="4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420"/>
          </w:cols>
          <w:pgMar w:left="240" w:top="545" w:right="2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Simon Ayat, certify that:</w:t>
      </w:r>
    </w:p>
    <w:p>
      <w:pPr>
        <w:spacing w:after="0" w:line="112" w:lineRule="exact"/>
        <w:rPr>
          <w:sz w:val="20"/>
          <w:szCs w:val="20"/>
          <w:color w:val="auto"/>
        </w:rPr>
      </w:pPr>
    </w:p>
    <w:p>
      <w:pPr>
        <w:ind w:left="560" w:hanging="174"/>
        <w:spacing w:after="0"/>
        <w:tabs>
          <w:tab w:leader="none" w:pos="5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Schlumberger Limited;</w:t>
      </w:r>
    </w:p>
    <w:p>
      <w:pPr>
        <w:spacing w:after="0" w:line="111" w:lineRule="exact"/>
        <w:rPr>
          <w:rFonts w:ascii="Times New Roman" w:cs="Times New Roman" w:eastAsia="Times New Roman" w:hAnsi="Times New Roman"/>
          <w:sz w:val="18"/>
          <w:szCs w:val="18"/>
          <w:color w:val="auto"/>
        </w:rPr>
      </w:pPr>
    </w:p>
    <w:p>
      <w:pPr>
        <w:ind w:firstLine="386"/>
        <w:spacing w:after="0" w:line="275" w:lineRule="auto"/>
        <w:tabs>
          <w:tab w:leader="none" w:pos="57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8"/>
          <w:szCs w:val="18"/>
          <w:color w:val="auto"/>
        </w:rPr>
      </w:pPr>
    </w:p>
    <w:p>
      <w:pPr>
        <w:ind w:firstLine="386"/>
        <w:spacing w:after="0" w:line="275" w:lineRule="auto"/>
        <w:tabs>
          <w:tab w:leader="none" w:pos="58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jc w:val="both"/>
        <w:ind w:firstLine="386"/>
        <w:spacing w:after="0" w:line="260" w:lineRule="auto"/>
        <w:tabs>
          <w:tab w:leader="none" w:pos="55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8"/>
          <w:szCs w:val="18"/>
          <w:color w:val="auto"/>
        </w:rPr>
      </w:pPr>
    </w:p>
    <w:p>
      <w:pPr>
        <w:jc w:val="both"/>
        <w:ind w:left="1100" w:hanging="496"/>
        <w:spacing w:after="0" w:line="260" w:lineRule="auto"/>
        <w:tabs>
          <w:tab w:leader="none" w:pos="11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firstLine="386"/>
        <w:spacing w:after="0" w:line="275" w:lineRule="auto"/>
        <w:tabs>
          <w:tab w:leader="none" w:pos="57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7" w:lineRule="exact"/>
        <w:rPr>
          <w:rFonts w:ascii="Times New Roman" w:cs="Times New Roman" w:eastAsia="Times New Roman" w:hAnsi="Times New Roman"/>
          <w:sz w:val="18"/>
          <w:szCs w:val="18"/>
          <w:color w:val="auto"/>
        </w:rPr>
      </w:pPr>
    </w:p>
    <w:p>
      <w:pPr>
        <w:ind w:left="1100" w:hanging="496"/>
        <w:spacing w:after="0" w:line="275" w:lineRule="auto"/>
        <w:tabs>
          <w:tab w:leader="none" w:pos="11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tabs>
          <w:tab w:leader="none" w:pos="6300" w:val="left"/>
        </w:tabs>
        <w:rPr>
          <w:sz w:val="20"/>
          <w:szCs w:val="20"/>
          <w:color w:val="auto"/>
        </w:rPr>
      </w:pPr>
      <w:r>
        <w:rPr>
          <w:rFonts w:ascii="Times New Roman" w:cs="Times New Roman" w:eastAsia="Times New Roman" w:hAnsi="Times New Roman"/>
          <w:sz w:val="18"/>
          <w:szCs w:val="18"/>
          <w:color w:val="auto"/>
        </w:rPr>
        <w:t>Date: April 24, 2019</w:t>
      </w:r>
      <w:r>
        <w:rPr>
          <w:sz w:val="20"/>
          <w:szCs w:val="20"/>
          <w:color w:val="auto"/>
        </w:rPr>
        <w:tab/>
      </w:r>
      <w:r>
        <w:rPr>
          <w:rFonts w:ascii="Times New Roman" w:cs="Times New Roman" w:eastAsia="Times New Roman" w:hAnsi="Times New Roman"/>
          <w:sz w:val="17"/>
          <w:szCs w:val="17"/>
          <w:color w:val="auto"/>
        </w:rPr>
        <w:t>/s/ 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23495</wp:posOffset>
            </wp:positionV>
            <wp:extent cx="29025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2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Simon Ayat</w:t>
      </w:r>
    </w:p>
    <w:p>
      <w:pPr>
        <w:spacing w:after="0" w:line="2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420"/>
          </w:cols>
          <w:pgMar w:left="240" w:top="558" w:right="2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on Form 10-Q of Schlumberger N.V. (Schlumberger Limited) (the “Company”) for the quarterly period ended March 31, 2019 as filed with the Securities and Exchange Commission on the date hereof (the “Report”), I, Paal Kibsgaard, Chief Executive Officer of the Company, certify, pursuant to 18 U.S.C. § 1350, as adopted pursuant to § 906 of the Sarbanes-Oxley Act of 2002, that:</w:t>
      </w:r>
    </w:p>
    <w:p>
      <w:pPr>
        <w:spacing w:after="0" w:line="71" w:lineRule="exact"/>
        <w:rPr>
          <w:sz w:val="20"/>
          <w:szCs w:val="20"/>
          <w:color w:val="auto"/>
        </w:rPr>
      </w:pPr>
    </w:p>
    <w:p>
      <w:pPr>
        <w:ind w:left="1020" w:hanging="509"/>
        <w:spacing w:after="0" w:line="275" w:lineRule="auto"/>
        <w:tabs>
          <w:tab w:leader="none" w:pos="10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7" w:lineRule="exact"/>
        <w:rPr>
          <w:rFonts w:ascii="Times New Roman" w:cs="Times New Roman" w:eastAsia="Times New Roman" w:hAnsi="Times New Roman"/>
          <w:sz w:val="18"/>
          <w:szCs w:val="18"/>
          <w:color w:val="auto"/>
        </w:rPr>
      </w:pPr>
    </w:p>
    <w:p>
      <w:pPr>
        <w:ind w:left="1020" w:hanging="509"/>
        <w:spacing w:after="0"/>
        <w:tabs>
          <w:tab w:leader="none" w:pos="102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24, 2019</w:t>
            </w:r>
          </w:p>
        </w:tc>
        <w:tc>
          <w:tcPr>
            <w:tcW w:w="496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/s/ Paal Kibsgaard</w:t>
            </w:r>
          </w:p>
        </w:tc>
      </w:tr>
      <w:tr>
        <w:trPr>
          <w:trHeight w:val="188"/>
        </w:trPr>
        <w:tc>
          <w:tcPr>
            <w:tcW w:w="34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02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color w:val="auto"/>
              </w:rPr>
              <w:t>Paal Kibsgaard</w:t>
            </w:r>
          </w:p>
        </w:tc>
      </w:tr>
      <w:tr>
        <w:trPr>
          <w:trHeight w:val="232"/>
        </w:trPr>
        <w:tc>
          <w:tcPr>
            <w:tcW w:w="34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6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544"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on Form 10-Q of Schlumberger N.V. (Schlumberger Limited) (the “Company”) for the quarterly period ended March 31, 2019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71" w:lineRule="exact"/>
        <w:rPr>
          <w:sz w:val="20"/>
          <w:szCs w:val="20"/>
          <w:color w:val="auto"/>
        </w:rPr>
      </w:pPr>
    </w:p>
    <w:p>
      <w:pPr>
        <w:ind w:left="1020" w:hanging="509"/>
        <w:spacing w:after="0" w:line="275" w:lineRule="auto"/>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7" w:lineRule="exact"/>
        <w:rPr>
          <w:rFonts w:ascii="Times New Roman" w:cs="Times New Roman" w:eastAsia="Times New Roman" w:hAnsi="Times New Roman"/>
          <w:sz w:val="18"/>
          <w:szCs w:val="18"/>
          <w:color w:val="auto"/>
        </w:rPr>
      </w:pPr>
    </w:p>
    <w:p>
      <w:pPr>
        <w:ind w:left="1020" w:hanging="509"/>
        <w:spacing w:after="0"/>
        <w:tabs>
          <w:tab w:leader="none" w:pos="10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24, 2019</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Simon Ayat</w:t>
            </w:r>
          </w:p>
        </w:tc>
      </w:tr>
      <w:tr>
        <w:trPr>
          <w:trHeight w:val="188"/>
        </w:trPr>
        <w:tc>
          <w:tcPr>
            <w:tcW w:w="5420" w:type="dxa"/>
            <w:vAlign w:val="bottom"/>
          </w:tcPr>
          <w:p>
            <w:pPr>
              <w:spacing w:after="0"/>
              <w:rPr>
                <w:sz w:val="16"/>
                <w:szCs w:val="16"/>
                <w:color w:val="auto"/>
              </w:rPr>
            </w:pPr>
          </w:p>
        </w:tc>
        <w:tc>
          <w:tcPr>
            <w:tcW w:w="49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Simon Ayat</w:t>
            </w:r>
          </w:p>
        </w:tc>
      </w:tr>
      <w:tr>
        <w:trPr>
          <w:trHeight w:val="232"/>
        </w:trPr>
        <w:tc>
          <w:tcPr>
            <w:tcW w:w="54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9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6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558"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95</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w:t>
      </w:r>
    </w:p>
    <w:p>
      <w:pPr>
        <w:spacing w:after="0" w:line="200" w:lineRule="exact"/>
        <w:rPr>
          <w:sz w:val="20"/>
          <w:szCs w:val="20"/>
          <w:color w:val="auto"/>
        </w:rPr>
      </w:pPr>
    </w:p>
    <w:p>
      <w:pPr>
        <w:spacing w:after="0" w:line="366" w:lineRule="exact"/>
        <w:rPr>
          <w:sz w:val="20"/>
          <w:szCs w:val="20"/>
          <w:color w:val="auto"/>
        </w:rPr>
      </w:pPr>
    </w:p>
    <w:p>
      <w:pPr>
        <w:ind w:right="20" w:firstLine="518"/>
        <w:spacing w:after="0" w:line="260" w:lineRule="auto"/>
        <w:rPr>
          <w:sz w:val="20"/>
          <w:szCs w:val="20"/>
          <w:color w:val="auto"/>
        </w:rPr>
      </w:pPr>
      <w:r>
        <w:rPr>
          <w:rFonts w:ascii="Times New Roman" w:cs="Times New Roman" w:eastAsia="Times New Roman" w:hAnsi="Times New Roman"/>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78" w:lineRule="exact"/>
        <w:rPr>
          <w:sz w:val="20"/>
          <w:szCs w:val="20"/>
          <w:color w:val="auto"/>
        </w:rPr>
      </w:pPr>
    </w:p>
    <w:p>
      <w:pPr>
        <w:ind w:right="20" w:firstLine="518"/>
        <w:spacing w:after="0" w:line="260" w:lineRule="auto"/>
        <w:rPr>
          <w:sz w:val="20"/>
          <w:szCs w:val="20"/>
          <w:color w:val="auto"/>
        </w:rPr>
      </w:pPr>
      <w:r>
        <w:rPr>
          <w:rFonts w:ascii="Times New Roman" w:cs="Times New Roman" w:eastAsia="Times New Roman" w:hAnsi="Times New Roman"/>
          <w:sz w:val="18"/>
          <w:szCs w:val="18"/>
          <w:color w:val="auto"/>
        </w:rPr>
        <w:t>The table that follows reflects citations, orders, violations and proposed assessments issued by the Mine Safety and Health Administration (the “MSHA”) to indirect subsidiaries of Schlumberger. The disclosure is with respect to the three months ended March 31, 2019. Due to timing and other factors, the data may not agree with the mine data retrieval system maintained by the MSHA at www.MSHA.gov.</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March 31, 2019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whole dollars</w:t>
      </w:r>
      <w:r>
        <w:rPr>
          <w:rFonts w:ascii="Times New Roman" w:cs="Times New Roman" w:eastAsia="Times New Roman" w:hAnsi="Times New Roman"/>
          <w:sz w:val="18"/>
          <w:szCs w:val="18"/>
          <w:color w:val="auto"/>
        </w:rPr>
        <w:t>)</w:t>
      </w:r>
    </w:p>
    <w:p>
      <w:pPr>
        <w:spacing w:after="0" w:line="340" w:lineRule="exact"/>
        <w:rPr>
          <w:sz w:val="20"/>
          <w:szCs w:val="20"/>
          <w:color w:val="auto"/>
        </w:rPr>
      </w:pPr>
    </w:p>
    <w:tbl>
      <w:tblPr>
        <w:tblLayout w:type="fixed"/>
        <w:tblInd w:w="180" w:type="dxa"/>
        <w:tblCellMar>
          <w:top w:w="0" w:type="dxa"/>
          <w:left w:w="0" w:type="dxa"/>
          <w:bottom w:w="0" w:type="dxa"/>
          <w:right w:w="0" w:type="dxa"/>
        </w:tblCellMar>
      </w:tblPr>
      <w:tr>
        <w:trPr>
          <w:trHeight w:val="138"/>
        </w:trPr>
        <w:tc>
          <w:tcPr>
            <w:tcW w:w="1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Received</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Received</w:t>
            </w:r>
          </w:p>
        </w:tc>
        <w:tc>
          <w:tcPr>
            <w:tcW w:w="6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Notice of</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Notice of</w:t>
            </w:r>
          </w:p>
        </w:tc>
        <w:tc>
          <w:tcPr>
            <w:tcW w:w="6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Potential to</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7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Pattern of</w:t>
            </w:r>
          </w:p>
        </w:tc>
        <w:tc>
          <w:tcPr>
            <w:tcW w:w="6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Have Pattern</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Total Dollar Value</w:t>
            </w:r>
          </w:p>
        </w:tc>
        <w:tc>
          <w:tcPr>
            <w:tcW w:w="6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Number of</w:t>
            </w:r>
          </w:p>
        </w:tc>
        <w:tc>
          <w:tcPr>
            <w:tcW w:w="7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Violations</w:t>
            </w:r>
          </w:p>
        </w:tc>
        <w:tc>
          <w:tcPr>
            <w:tcW w:w="6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Under</w:t>
            </w: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Legal Actions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center"/>
              <w:ind w:left="38"/>
              <w:spacing w:after="0" w:line="133" w:lineRule="exact"/>
              <w:rPr>
                <w:sz w:val="20"/>
                <w:szCs w:val="20"/>
                <w:color w:val="auto"/>
              </w:rPr>
            </w:pPr>
            <w:r>
              <w:rPr>
                <w:rFonts w:ascii="Times New Roman" w:cs="Times New Roman" w:eastAsia="Times New Roman" w:hAnsi="Times New Roman"/>
                <w:sz w:val="12"/>
                <w:szCs w:val="12"/>
                <w:color w:val="auto"/>
              </w:rPr>
              <w:t>Section 104(d)</w:t>
            </w: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of MSHA</w:t>
            </w:r>
          </w:p>
        </w:tc>
        <w:tc>
          <w:tcPr>
            <w:tcW w:w="6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Mining</w:t>
            </w:r>
          </w:p>
        </w:tc>
        <w:tc>
          <w:tcPr>
            <w:tcW w:w="7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Under Section</w:t>
            </w:r>
          </w:p>
        </w:tc>
        <w:tc>
          <w:tcPr>
            <w:tcW w:w="6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Section</w:t>
            </w: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Pending as of</w:t>
            </w:r>
          </w:p>
        </w:tc>
        <w:tc>
          <w:tcPr>
            <w:tcW w:w="8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Legal Actions</w:t>
            </w:r>
          </w:p>
        </w:tc>
        <w:tc>
          <w:tcPr>
            <w:tcW w:w="7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Legal Actions</w:t>
            </w:r>
          </w:p>
        </w:tc>
        <w:tc>
          <w:tcPr>
            <w:tcW w:w="0" w:type="dxa"/>
            <w:vAlign w:val="bottom"/>
          </w:tcPr>
          <w:p>
            <w:pPr>
              <w:spacing w:after="0"/>
              <w:rPr>
                <w:sz w:val="1"/>
                <w:szCs w:val="1"/>
                <w:color w:val="auto"/>
              </w:rPr>
            </w:pPr>
          </w:p>
        </w:tc>
      </w:tr>
      <w:tr>
        <w:trPr>
          <w:trHeight w:val="133"/>
        </w:trPr>
        <w:tc>
          <w:tcPr>
            <w:tcW w:w="19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Mine or Operating Name/MSHA</w:t>
            </w:r>
          </w:p>
        </w:tc>
        <w:tc>
          <w:tcPr>
            <w:tcW w:w="7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Section 104</w:t>
            </w:r>
          </w:p>
        </w:tc>
        <w:tc>
          <w:tcPr>
            <w:tcW w:w="300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auto"/>
              </w:rPr>
              <w:t>Section 104(b) Citations and Section 110(b) Section 107(a)</w:t>
            </w:r>
          </w:p>
        </w:tc>
        <w:tc>
          <w:tcPr>
            <w:tcW w:w="10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Assessments</w:t>
            </w:r>
          </w:p>
        </w:tc>
        <w:tc>
          <w:tcPr>
            <w:tcW w:w="6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Related</w:t>
            </w:r>
          </w:p>
        </w:tc>
        <w:tc>
          <w:tcPr>
            <w:tcW w:w="7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104(e)</w:t>
            </w:r>
          </w:p>
        </w:tc>
        <w:tc>
          <w:tcPr>
            <w:tcW w:w="6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104(e)</w:t>
            </w: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Last Day of</w:t>
            </w:r>
          </w:p>
        </w:tc>
        <w:tc>
          <w:tcPr>
            <w:tcW w:w="8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Initiated During</w:t>
            </w:r>
          </w:p>
        </w:tc>
        <w:tc>
          <w:tcPr>
            <w:tcW w:w="78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Resolved</w:t>
            </w:r>
          </w:p>
        </w:tc>
        <w:tc>
          <w:tcPr>
            <w:tcW w:w="0" w:type="dxa"/>
            <w:vAlign w:val="bottom"/>
          </w:tcPr>
          <w:p>
            <w:pPr>
              <w:spacing w:after="0"/>
              <w:rPr>
                <w:sz w:val="1"/>
                <w:szCs w:val="1"/>
                <w:color w:val="auto"/>
              </w:rPr>
            </w:pPr>
          </w:p>
        </w:tc>
      </w:tr>
      <w:tr>
        <w:trPr>
          <w:trHeight w:val="151"/>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Identification Number</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S&amp;S Citations</w:t>
            </w:r>
          </w:p>
        </w:tc>
        <w:tc>
          <w:tcPr>
            <w:tcW w:w="640" w:type="dxa"/>
            <w:vAlign w:val="bottom"/>
            <w:tcBorders>
              <w:bottom w:val="single" w:sz="8" w:color="auto"/>
            </w:tcBorders>
          </w:tcPr>
          <w:p>
            <w:pPr>
              <w:jc w:val="center"/>
              <w:ind w:left="38"/>
              <w:spacing w:after="0"/>
              <w:rPr>
                <w:sz w:val="20"/>
                <w:szCs w:val="20"/>
                <w:color w:val="auto"/>
              </w:rPr>
            </w:pPr>
            <w:r>
              <w:rPr>
                <w:rFonts w:ascii="Times New Roman" w:cs="Times New Roman" w:eastAsia="Times New Roman" w:hAnsi="Times New Roman"/>
                <w:sz w:val="12"/>
                <w:szCs w:val="12"/>
                <w:color w:val="auto"/>
              </w:rPr>
              <w:t>Orders</w:t>
            </w:r>
          </w:p>
        </w:tc>
        <w:tc>
          <w:tcPr>
            <w:tcW w:w="860" w:type="dxa"/>
            <w:vAlign w:val="bottom"/>
            <w:tcBorders>
              <w:bottom w:val="single" w:sz="8" w:color="auto"/>
            </w:tcBorders>
          </w:tcPr>
          <w:p>
            <w:pPr>
              <w:jc w:val="center"/>
              <w:ind w:left="38"/>
              <w:spacing w:after="0"/>
              <w:rPr>
                <w:sz w:val="20"/>
                <w:szCs w:val="20"/>
                <w:color w:val="auto"/>
              </w:rPr>
            </w:pPr>
            <w:r>
              <w:rPr>
                <w:rFonts w:ascii="Times New Roman" w:cs="Times New Roman" w:eastAsia="Times New Roman" w:hAnsi="Times New Roman"/>
                <w:sz w:val="12"/>
                <w:szCs w:val="12"/>
                <w:color w:val="auto"/>
                <w:w w:val="97"/>
              </w:rPr>
              <w:t>Orders</w:t>
            </w:r>
          </w:p>
        </w:tc>
        <w:tc>
          <w:tcPr>
            <w:tcW w:w="8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2"/>
                <w:szCs w:val="12"/>
                <w:color w:val="auto"/>
              </w:rPr>
              <w:t>(2) Violations</w:t>
            </w:r>
          </w:p>
        </w:tc>
        <w:tc>
          <w:tcPr>
            <w:tcW w:w="6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2"/>
                <w:szCs w:val="12"/>
                <w:color w:val="auto"/>
              </w:rPr>
              <w:t>Orders</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 xml:space="preserve">Proposed </w:t>
            </w:r>
            <w:r>
              <w:rPr>
                <w:rFonts w:ascii="Times New Roman" w:cs="Times New Roman" w:eastAsia="Times New Roman" w:hAnsi="Times New Roman"/>
                <w:sz w:val="10"/>
                <w:szCs w:val="10"/>
                <w:color w:val="auto"/>
              </w:rPr>
              <w:t>(1)</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Fatalities</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(yes/no)</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(yes/no)</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Period</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Period</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During Period</w:t>
            </w:r>
          </w:p>
        </w:tc>
        <w:tc>
          <w:tcPr>
            <w:tcW w:w="0" w:type="dxa"/>
            <w:vAlign w:val="bottom"/>
          </w:tcPr>
          <w:p>
            <w:pPr>
              <w:spacing w:after="0"/>
              <w:rPr>
                <w:sz w:val="1"/>
                <w:szCs w:val="1"/>
                <w:color w:val="auto"/>
              </w:rPr>
            </w:pPr>
          </w:p>
        </w:tc>
      </w:tr>
      <w:tr>
        <w:trPr>
          <w:trHeight w:val="268"/>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Amelia Barite Plant/1600825</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680" w:type="dxa"/>
            <w:vAlign w:val="bottom"/>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278"/>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Battle Mountain Grinding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vMerge w:val="restart"/>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680" w:type="dxa"/>
            <w:vAlign w:val="bottom"/>
            <w:vMerge w:val="restart"/>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$121*</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94"/>
        </w:trPr>
        <w:tc>
          <w:tcPr>
            <w:tcW w:w="19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Plant/2600828</w:t>
            </w:r>
          </w:p>
        </w:tc>
        <w:tc>
          <w:tcPr>
            <w:tcW w:w="7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Galveston GBT Barite Grinding</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64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vMerge w:val="restart"/>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680" w:type="dxa"/>
            <w:vAlign w:val="bottom"/>
            <w:vMerge w:val="restart"/>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$250*</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94"/>
        </w:trPr>
        <w:tc>
          <w:tcPr>
            <w:tcW w:w="19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Plant/4104675</w:t>
            </w:r>
          </w:p>
        </w:tc>
        <w:tc>
          <w:tcPr>
            <w:tcW w:w="7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Greybull Milling Operation/4800602</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680" w:type="dxa"/>
            <w:vAlign w:val="bottom"/>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439"/>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Greybull Mining Operation/4800603</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680" w:type="dxa"/>
            <w:vAlign w:val="bottom"/>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372"/>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Greystone Mine/2600411</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680" w:type="dxa"/>
            <w:vAlign w:val="bottom"/>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278"/>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Mountain Springs Beneficiation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vMerge w:val="restart"/>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680" w:type="dxa"/>
            <w:vAlign w:val="bottom"/>
            <w:vMerge w:val="restart"/>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94"/>
        </w:trPr>
        <w:tc>
          <w:tcPr>
            <w:tcW w:w="19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Plant/2601390</w:t>
            </w:r>
          </w:p>
        </w:tc>
        <w:tc>
          <w:tcPr>
            <w:tcW w:w="7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Wisconsin Proppants Hixton</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vMerge w:val="restart"/>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680" w:type="dxa"/>
            <w:vAlign w:val="bottom"/>
            <w:vMerge w:val="restart"/>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94"/>
        </w:trPr>
        <w:tc>
          <w:tcPr>
            <w:tcW w:w="19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Mine/4703742</w:t>
            </w:r>
          </w:p>
        </w:tc>
        <w:tc>
          <w:tcPr>
            <w:tcW w:w="7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Wisconsin Proppants Alma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vMerge w:val="restart"/>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680" w:type="dxa"/>
            <w:vAlign w:val="bottom"/>
            <w:vMerge w:val="restart"/>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$0</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94"/>
        </w:trPr>
        <w:tc>
          <w:tcPr>
            <w:tcW w:w="19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Mine/4703823</w:t>
            </w:r>
          </w:p>
        </w:tc>
        <w:tc>
          <w:tcPr>
            <w:tcW w:w="7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Wisconsin Proppants Monahans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4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vMerge w:val="restart"/>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680" w:type="dxa"/>
            <w:vAlign w:val="bottom"/>
            <w:vMerge w:val="restart"/>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94"/>
        </w:trPr>
        <w:tc>
          <w:tcPr>
            <w:tcW w:w="19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Mine/4105336</w:t>
            </w:r>
          </w:p>
        </w:tc>
        <w:tc>
          <w:tcPr>
            <w:tcW w:w="7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Wisconsin Proppants High Roller</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64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auto"/>
                <w:w w:val="99"/>
              </w:rPr>
              <w:t>0</w:t>
            </w:r>
          </w:p>
        </w:tc>
        <w:tc>
          <w:tcPr>
            <w:tcW w:w="860" w:type="dxa"/>
            <w:vAlign w:val="bottom"/>
            <w:vMerge w:val="restart"/>
          </w:tcPr>
          <w:p>
            <w:pPr>
              <w:jc w:val="center"/>
              <w:ind w:left="38"/>
              <w:spacing w:after="0"/>
              <w:rPr>
                <w:sz w:val="20"/>
                <w:szCs w:val="20"/>
                <w:color w:val="auto"/>
              </w:rPr>
            </w:pPr>
            <w:r>
              <w:rPr>
                <w:rFonts w:ascii="Times New Roman" w:cs="Times New Roman" w:eastAsia="Times New Roman" w:hAnsi="Times New Roman"/>
                <w:sz w:val="12"/>
                <w:szCs w:val="12"/>
                <w:color w:val="auto"/>
              </w:rPr>
              <w:t>0</w:t>
            </w:r>
          </w:p>
        </w:tc>
        <w:tc>
          <w:tcPr>
            <w:tcW w:w="820" w:type="dxa"/>
            <w:vAlign w:val="bottom"/>
            <w:vMerge w:val="restart"/>
          </w:tcPr>
          <w:p>
            <w:pPr>
              <w:jc w:val="center"/>
              <w:ind w:right="18"/>
              <w:spacing w:after="0"/>
              <w:rPr>
                <w:sz w:val="20"/>
                <w:szCs w:val="20"/>
                <w:color w:val="auto"/>
              </w:rPr>
            </w:pPr>
            <w:r>
              <w:rPr>
                <w:rFonts w:ascii="Times New Roman" w:cs="Times New Roman" w:eastAsia="Times New Roman" w:hAnsi="Times New Roman"/>
                <w:sz w:val="12"/>
                <w:szCs w:val="12"/>
                <w:color w:val="auto"/>
                <w:w w:val="99"/>
              </w:rPr>
              <w:t>0</w:t>
            </w:r>
          </w:p>
        </w:tc>
        <w:tc>
          <w:tcPr>
            <w:tcW w:w="680" w:type="dxa"/>
            <w:vAlign w:val="bottom"/>
            <w:vMerge w:val="restart"/>
          </w:tcPr>
          <w:p>
            <w:pPr>
              <w:jc w:val="center"/>
              <w:ind w:right="38"/>
              <w:spacing w:after="0"/>
              <w:rPr>
                <w:sz w:val="20"/>
                <w:szCs w:val="20"/>
                <w:color w:val="auto"/>
              </w:rPr>
            </w:pPr>
            <w:r>
              <w:rPr>
                <w:rFonts w:ascii="Times New Roman" w:cs="Times New Roman" w:eastAsia="Times New Roman" w:hAnsi="Times New Roman"/>
                <w:sz w:val="12"/>
                <w:szCs w:val="12"/>
                <w:color w:val="auto"/>
                <w:w w:val="99"/>
              </w:rPr>
              <w:t>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r>
        <w:trPr>
          <w:trHeight w:val="94"/>
        </w:trPr>
        <w:tc>
          <w:tcPr>
            <w:tcW w:w="19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Sand Mine/4105321</w:t>
            </w:r>
          </w:p>
        </w:tc>
        <w:tc>
          <w:tcPr>
            <w:tcW w:w="7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9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left="560" w:right="160" w:hanging="461"/>
        <w:spacing w:after="0" w:line="275" w:lineRule="auto"/>
        <w:tabs>
          <w:tab w:leader="none" w:pos="56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included are the total dollar value of proposed assessments received from MSHA on or before March 31, 2019,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1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*As of March 31, 2019 MSHA had not yet proposed an assessment for five non-S&amp;S citations at Wisconsin Proppants Monahans Mine/4105336.</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*As of March 31, 2019 MSHA had not yet proposed an assessment for the one S&amp;S citation at Wisconsin Proppants High Roller Sand Mine/4105321.</w:t>
      </w:r>
    </w:p>
    <w:sectPr>
      <w:pgSz w:w="11900" w:h="16838" w:orient="portrait"/>
      <w:cols w:equalWidth="0" w:num="1">
        <w:col w:w="11420"/>
      </w:cols>
      <w:pgMar w:left="240" w:top="5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1)"/>
      <w:numFmt w:val="decimal"/>
      <w:start w:val="1"/>
    </w:lvl>
  </w:abstractNum>
  <w:abstractNum w:abstractNumId="1">
    <w:nsid w:val="79A1DEAA"/>
    <w:multiLevelType w:val="hybridMultilevel"/>
    <w:lvl w:ilvl="0">
      <w:lvlJc w:val="left"/>
      <w:lvlText w:val="%1."/>
      <w:numFmt w:val="decimal"/>
      <w:start w:val="1"/>
    </w:lvl>
  </w:abstractNum>
  <w:abstractNum w:abstractNumId="2">
    <w:nsid w:val="75C6C33A"/>
    <w:multiLevelType w:val="hybridMultilevel"/>
    <w:lvl w:ilvl="0">
      <w:lvlJc w:val="left"/>
      <w:lvlText w:val="%1."/>
      <w:numFmt w:val="decimal"/>
      <w:start w:val="2"/>
    </w:lvl>
  </w:abstractNum>
  <w:abstractNum w:abstractNumId="3">
    <w:nsid w:val="12E685FB"/>
    <w:multiLevelType w:val="hybridMultilevel"/>
    <w:lvl w:ilvl="0">
      <w:lvlJc w:val="left"/>
      <w:lvlText w:val="%1."/>
      <w:numFmt w:val="decimal"/>
      <w:start w:val="3"/>
    </w:lvl>
  </w:abstractNum>
  <w:abstractNum w:abstractNumId="4">
    <w:nsid w:val="70C6A529"/>
    <w:multiLevelType w:val="hybridMultilevel"/>
    <w:lvl w:ilvl="0">
      <w:lvlJc w:val="left"/>
      <w:lvlText w:val="%1."/>
      <w:numFmt w:val="decimal"/>
      <w:start w:val="4"/>
    </w:lvl>
  </w:abstractNum>
  <w:abstractNum w:abstractNumId="5">
    <w:nsid w:val="520EEDD1"/>
    <w:multiLevelType w:val="hybridMultilevel"/>
    <w:lvl w:ilvl="0">
      <w:lvlJc w:val="left"/>
      <w:lvlText w:val="%1."/>
      <w:numFmt w:val="decimal"/>
      <w:start w:val="5"/>
    </w:lvl>
  </w:abstractNum>
  <w:abstractNum w:abstractNumId="6">
    <w:nsid w:val="374A3FE6"/>
    <w:multiLevelType w:val="hybridMultilevel"/>
    <w:lvl w:ilvl="0">
      <w:lvlJc w:val="left"/>
      <w:lvlText w:val="%1."/>
      <w:numFmt w:val="decimal"/>
      <w:start w:val="6"/>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1."/>
      <w:numFmt w:val="decimal"/>
      <w:start w:val="7"/>
    </w:lvl>
  </w:abstractNum>
  <w:abstractNum w:abstractNumId="10">
    <w:nsid w:val="275AC794"/>
    <w:multiLevelType w:val="hybridMultilevel"/>
    <w:lvl w:ilvl="0">
      <w:lvlJc w:val="left"/>
      <w:lvlText w:val="%1."/>
      <w:numFmt w:val="decimal"/>
      <w:start w:val="8"/>
    </w:lvl>
  </w:abstractNum>
  <w:abstractNum w:abstractNumId="11">
    <w:nsid w:val="39386575"/>
    <w:multiLevelType w:val="hybridMultilevel"/>
    <w:lvl w:ilvl="0">
      <w:lvlJc w:val="left"/>
      <w:lvlText w:val="%1."/>
      <w:numFmt w:val="decimal"/>
      <w:start w:val="9"/>
    </w:lvl>
  </w:abstractNum>
  <w:abstractNum w:abstractNumId="12">
    <w:nsid w:val="1CF10FD8"/>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13">
    <w:nsid w:val="180115BE"/>
    <w:multiLevelType w:val="hybridMultilevel"/>
    <w:lvl w:ilvl="0">
      <w:lvlJc w:val="left"/>
      <w:lvlText w:val="%1."/>
      <w:numFmt w:val="decimal"/>
      <w:start w:val="11"/>
    </w:lvl>
  </w:abstractNum>
  <w:abstractNum w:abstractNumId="14">
    <w:nsid w:val="235BA861"/>
    <w:multiLevelType w:val="hybridMultilevel"/>
    <w:lvl w:ilvl="0">
      <w:lvlJc w:val="left"/>
      <w:lvlText w:val="(%1)"/>
      <w:numFmt w:val="decimal"/>
      <w:start w:val="1"/>
    </w:lvl>
    <w:lvl w:ilvl="1">
      <w:lvlJc w:val="left"/>
      <w:lvlText w:val="(%2)"/>
      <w:numFmt w:val="decimal"/>
      <w:start w:val="3"/>
    </w:lvl>
    <w:lvl w:ilvl="2">
      <w:lvlJc w:val="left"/>
      <w:lvlText w:val="(%3)"/>
      <w:numFmt w:val="decimal"/>
      <w:start w:val="2"/>
    </w:lvl>
    <w:lvl w:ilvl="3">
      <w:lvlJc w:val="left"/>
      <w:lvlText w:val="(%4)"/>
      <w:numFmt w:val="decimal"/>
      <w:start w:val="2"/>
    </w:lvl>
  </w:abstractNum>
  <w:abstractNum w:abstractNumId="15">
    <w:nsid w:val="47398C89"/>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16">
    <w:nsid w:val="354FE9F9"/>
    <w:multiLevelType w:val="hybridMultilevel"/>
    <w:lvl w:ilvl="0">
      <w:lvlJc w:val="left"/>
      <w:lvlText w:val="(%1)"/>
      <w:numFmt w:val="decimal"/>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lvl w:ilvl="1">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1."/>
      <w:numFmt w:val="decimal"/>
      <w:start w:val="1"/>
    </w:lvl>
  </w:abstractNum>
  <w:abstractNum w:abstractNumId="23">
    <w:nsid w:val="7E0C57B1"/>
    <w:multiLevelType w:val="hybridMultilevel"/>
    <w:lvl w:ilvl="0">
      <w:lvlJc w:val="left"/>
      <w:lvlText w:val="(%1)"/>
      <w:numFmt w:val="lowerLetter"/>
      <w:start w:val="1"/>
    </w:lvl>
  </w:abstractNum>
  <w:abstractNum w:abstractNumId="24">
    <w:nsid w:val="77AE35EB"/>
    <w:multiLevelType w:val="hybridMultilevel"/>
    <w:lvl w:ilvl="0">
      <w:lvlJc w:val="left"/>
      <w:lvlText w:val="(%1)"/>
      <w:numFmt w:val="lowerLetter"/>
      <w:start w:val="2"/>
    </w:lvl>
  </w:abstractNum>
  <w:abstractNum w:abstractNumId="25">
    <w:nsid w:val="579BE4F1"/>
    <w:multiLevelType w:val="hybridMultilevel"/>
    <w:lvl w:ilvl="0">
      <w:lvlJc w:val="left"/>
      <w:lvlText w:val="%1."/>
      <w:numFmt w:val="decimal"/>
      <w:start w:val="3"/>
    </w:lvl>
  </w:abstractNum>
  <w:abstractNum w:abstractNumId="26">
    <w:nsid w:val="310C50B3"/>
    <w:multiLevelType w:val="hybridMultilevel"/>
    <w:lvl w:ilvl="0">
      <w:lvlJc w:val="left"/>
      <w:lvlText w:val="(%1)"/>
      <w:numFmt w:val="lowerLetter"/>
      <w:start w:val="1"/>
    </w:lvl>
  </w:abstractNum>
  <w:abstractNum w:abstractNumId="27">
    <w:nsid w:val="5FF87E05"/>
    <w:multiLevelType w:val="hybridMultilevel"/>
    <w:lvl w:ilvl="0">
      <w:lvlJc w:val="left"/>
      <w:lvlText w:val="%1."/>
      <w:numFmt w:val="decimal"/>
      <w:start w:val="5"/>
    </w:lvl>
  </w:abstractNum>
  <w:abstractNum w:abstractNumId="28">
    <w:nsid w:val="2F305DEF"/>
    <w:multiLevelType w:val="hybridMultilevel"/>
    <w:lvl w:ilvl="0">
      <w:lvlJc w:val="left"/>
      <w:lvlText w:val="(%1)"/>
      <w:numFmt w:val="lowerLetter"/>
      <w:start w:val="1"/>
    </w:lvl>
  </w:abstractNum>
  <w:abstractNum w:abstractNumId="29">
    <w:nsid w:val="25A70BF7"/>
    <w:multiLevelType w:val="hybridMultilevel"/>
    <w:lvl w:ilvl="0">
      <w:lvlJc w:val="left"/>
      <w:lvlText w:val="(%1)"/>
      <w:numFmt w:val="lowerLetter"/>
      <w:start w:val="2"/>
    </w:lvl>
  </w:abstractNum>
  <w:abstractNum w:abstractNumId="30">
    <w:nsid w:val="1DBABF00"/>
    <w:multiLevelType w:val="hybridMultilevel"/>
    <w:lvl w:ilvl="0">
      <w:lvlJc w:val="left"/>
      <w:lvlText w:val="%1."/>
      <w:numFmt w:val="decimal"/>
      <w:start w:val="6"/>
    </w:lvl>
  </w:abstractNum>
  <w:abstractNum w:abstractNumId="31">
    <w:nsid w:val="4AD084E9"/>
    <w:multiLevelType w:val="hybridMultilevel"/>
    <w:lvl w:ilvl="0">
      <w:lvlJc w:val="left"/>
      <w:lvlText w:val="%1"/>
      <w:numFmt w:val="lowerLetter"/>
      <w:start w:val="1"/>
    </w:lvl>
    <w:lvl w:ilvl="1">
      <w:lvlJc w:val="left"/>
      <w:lvlText w:val="(%2)"/>
      <w:numFmt w:val="lowerLetter"/>
      <w:start w:val="1"/>
    </w:lvl>
  </w:abstractNum>
  <w:abstractNum w:abstractNumId="32">
    <w:nsid w:val="1F48EAA1"/>
    <w:multiLevelType w:val="hybridMultilevel"/>
    <w:lvl w:ilvl="0">
      <w:lvlJc w:val="left"/>
      <w:lvlText w:val="(%1)"/>
      <w:numFmt w:val="lowerLetter"/>
      <w:start w:val="61"/>
    </w:lvl>
    <w:lvl w:ilvl="1">
      <w:lvlJc w:val="left"/>
      <w:lvlText w:val="%2"/>
      <w:numFmt w:val="lowerLetter"/>
      <w:start w:val="1"/>
    </w:lvl>
  </w:abstractNum>
  <w:abstractNum w:abstractNumId="33">
    <w:nsid w:val="1381823A"/>
    <w:multiLevelType w:val="hybridMultilevel"/>
    <w:lvl w:ilvl="0">
      <w:lvlJc w:val="left"/>
      <w:lvlText w:val="(%1)"/>
      <w:numFmt w:val="lowerLetter"/>
      <w:start w:val="3"/>
    </w:lvl>
  </w:abstractNum>
  <w:abstractNum w:abstractNumId="34">
    <w:nsid w:val="5DB70AE5"/>
    <w:multiLevelType w:val="hybridMultilevel"/>
    <w:lvl w:ilvl="0">
      <w:lvlJc w:val="left"/>
      <w:lvlText w:val="%1."/>
      <w:numFmt w:val="decimal"/>
      <w:start w:val="8"/>
    </w:lvl>
  </w:abstractNum>
  <w:abstractNum w:abstractNumId="35">
    <w:nsid w:val="100F8FCA"/>
    <w:multiLevelType w:val="hybridMultilevel"/>
    <w:lvl w:ilvl="0">
      <w:lvlJc w:val="left"/>
      <w:lvlText w:val="(%1)"/>
      <w:numFmt w:val="lowerLetter"/>
      <w:start w:val="1"/>
    </w:lvl>
  </w:abstractNum>
  <w:abstractNum w:abstractNumId="36">
    <w:nsid w:val="6590700B"/>
    <w:multiLevelType w:val="hybridMultilevel"/>
    <w:lvl w:ilvl="0">
      <w:lvlJc w:val="left"/>
      <w:lvlText w:val="(%1)"/>
      <w:numFmt w:val="lowerLetter"/>
      <w:start w:val="2"/>
    </w:lvl>
  </w:abstractNum>
  <w:abstractNum w:abstractNumId="37">
    <w:nsid w:val="15014ACB"/>
    <w:multiLevelType w:val="hybridMultilevel"/>
    <w:lvl w:ilvl="0">
      <w:lvlJc w:val="left"/>
      <w:lvlText w:val="%1."/>
      <w:numFmt w:val="decimal"/>
      <w:start w:val="12"/>
    </w:lvl>
  </w:abstractNum>
  <w:abstractNum w:abstractNumId="38">
    <w:nsid w:val="5F5E7FD0"/>
    <w:multiLevelType w:val="hybridMultilevel"/>
    <w:lvl w:ilvl="0">
      <w:lvlJc w:val="left"/>
      <w:lvlText w:val="(%1)"/>
      <w:numFmt w:val="lowerLetter"/>
      <w:start w:val="1"/>
    </w:lvl>
  </w:abstractNum>
  <w:abstractNum w:abstractNumId="39">
    <w:nsid w:val="98A3148"/>
    <w:multiLevelType w:val="hybridMultilevel"/>
    <w:lvl w:ilvl="0">
      <w:lvlJc w:val="left"/>
      <w:lvlText w:val="(%1)"/>
      <w:numFmt w:val="lowerLetter"/>
      <w:start w:val="7"/>
    </w:lvl>
  </w:abstractNum>
  <w:abstractNum w:abstractNumId="40">
    <w:nsid w:val="799D0247"/>
    <w:multiLevelType w:val="hybridMultilevel"/>
    <w:lvl w:ilvl="0">
      <w:lvlJc w:val="left"/>
      <w:lvlText w:val="(%1)"/>
      <w:numFmt w:val="lowerLetter"/>
      <w:start w:val="19"/>
    </w:lvl>
  </w:abstractNum>
  <w:abstractNum w:abstractNumId="41">
    <w:nsid w:val="6B94764"/>
    <w:multiLevelType w:val="hybridMultilevel"/>
    <w:lvl w:ilvl="0">
      <w:lvlJc w:val="left"/>
      <w:lvlText w:val="%1."/>
      <w:numFmt w:val="decimal"/>
      <w:start w:val="13"/>
    </w:lvl>
  </w:abstractNum>
  <w:abstractNum w:abstractNumId="42">
    <w:nsid w:val="42C296BD"/>
    <w:multiLevelType w:val="hybridMultilevel"/>
    <w:lvl w:ilvl="0">
      <w:lvlJc w:val="left"/>
      <w:lvlText w:val="(%1)"/>
      <w:numFmt w:val="lowerLetter"/>
      <w:start w:val="1"/>
    </w:lvl>
  </w:abstractNum>
  <w:abstractNum w:abstractNumId="43">
    <w:nsid w:val="168E121F"/>
    <w:multiLevelType w:val="hybridMultilevel"/>
    <w:lvl w:ilvl="0">
      <w:lvlJc w:val="left"/>
      <w:lvlText w:val="(%1)"/>
      <w:numFmt w:val="lowerLetter"/>
      <w:start w:val="6"/>
    </w:lvl>
  </w:abstractNum>
  <w:abstractNum w:abstractNumId="44">
    <w:nsid w:val="1EBA5D23"/>
    <w:multiLevelType w:val="hybridMultilevel"/>
    <w:lvl w:ilvl="0">
      <w:lvlJc w:val="left"/>
      <w:lvlText w:val="(%1)"/>
      <w:numFmt w:val="lowerRoman"/>
      <w:start w:val="1"/>
    </w:lvl>
  </w:abstractNum>
  <w:abstractNum w:abstractNumId="45">
    <w:nsid w:val="661E3F1E"/>
    <w:multiLevelType w:val="hybridMultilevel"/>
    <w:lvl w:ilvl="0">
      <w:lvlJc w:val="left"/>
      <w:lvlText w:val="%1."/>
      <w:numFmt w:val="decimal"/>
      <w:start w:val="14"/>
    </w:lvl>
  </w:abstractNum>
  <w:abstractNum w:abstractNumId="46">
    <w:nsid w:val="5DC79EA8"/>
    <w:multiLevelType w:val="hybridMultilevel"/>
    <w:lvl w:ilvl="0">
      <w:lvlJc w:val="left"/>
      <w:lvlText w:val="%1."/>
      <w:numFmt w:val="decimal"/>
      <w:start w:val="1"/>
    </w:lvl>
    <w:lvl w:ilvl="1">
      <w:lvlJc w:val="left"/>
      <w:lvlText w:val="(%2)"/>
      <w:numFmt w:val="lowerLetter"/>
      <w:start w:val="1"/>
    </w:lvl>
  </w:abstractNum>
  <w:abstractNum w:abstractNumId="47">
    <w:nsid w:val="540A471C"/>
    <w:multiLevelType w:val="hybridMultilevel"/>
    <w:lvl w:ilvl="0">
      <w:lvlJc w:val="left"/>
      <w:lvlText w:val="%1"/>
      <w:numFmt w:val="decimal"/>
      <w:start w:val="1"/>
    </w:lvl>
    <w:lvl w:ilvl="1">
      <w:lvlJc w:val="left"/>
      <w:lvlText w:val="(%2)"/>
      <w:numFmt w:val="lowerLetter"/>
      <w:start w:val="4"/>
    </w:lvl>
  </w:abstractNum>
  <w:abstractNum w:abstractNumId="48">
    <w:nsid w:val="7BD3EE7B"/>
    <w:multiLevelType w:val="hybridMultilevel"/>
    <w:lvl w:ilvl="0">
      <w:lvlJc w:val="left"/>
      <w:lvlText w:val="%1."/>
      <w:numFmt w:val="decimal"/>
      <w:start w:val="2"/>
    </w:lvl>
    <w:lvl w:ilvl="1">
      <w:lvlJc w:val="left"/>
      <w:lvlText w:val="(%2)"/>
      <w:numFmt w:val="lowerLetter"/>
      <w:start w:val="1"/>
    </w:lvl>
  </w:abstractNum>
  <w:abstractNum w:abstractNumId="49">
    <w:nsid w:val="51D9C564"/>
    <w:multiLevelType w:val="hybridMultilevel"/>
    <w:lvl w:ilvl="0">
      <w:lvlJc w:val="left"/>
      <w:lvlText w:val="%1"/>
      <w:numFmt w:val="decimal"/>
      <w:start w:val="1"/>
    </w:lvl>
    <w:lvl w:ilvl="1">
      <w:lvlJc w:val="left"/>
      <w:lvlText w:val="(%2)"/>
      <w:numFmt w:val="lowerLetter"/>
      <w:start w:val="4"/>
    </w:lvl>
  </w:abstractNum>
  <w:abstractNum w:abstractNumId="50">
    <w:nsid w:val="613EFDC5"/>
    <w:multiLevelType w:val="hybridMultilevel"/>
    <w:lvl w:ilvl="0">
      <w:lvlJc w:val="left"/>
      <w:lvlText w:val="%1."/>
      <w:numFmt w:val="decimal"/>
      <w:start w:val="4"/>
    </w:lvl>
    <w:lvl w:ilvl="1">
      <w:lvlJc w:val="left"/>
      <w:lvlText w:val="(%2)"/>
      <w:numFmt w:val="lowerLetter"/>
      <w:start w:val="1"/>
    </w:lvl>
  </w:abstractNum>
  <w:abstractNum w:abstractNumId="51">
    <w:nsid w:val="BF72B14"/>
    <w:multiLevelType w:val="hybridMultilevel"/>
    <w:lvl w:ilvl="0">
      <w:lvlJc w:val="left"/>
      <w:lvlText w:val="%1"/>
      <w:numFmt w:val="decimal"/>
      <w:start w:val="1"/>
    </w:lvl>
    <w:lvl w:ilvl="1">
      <w:lvlJc w:val="left"/>
      <w:lvlText w:val="(%2)"/>
      <w:numFmt w:val="lowerLetter"/>
      <w:start w:val="3"/>
    </w:lvl>
  </w:abstractNum>
  <w:abstractNum w:abstractNumId="52">
    <w:nsid w:val="11447B73"/>
    <w:multiLevelType w:val="hybridMultilevel"/>
    <w:lvl w:ilvl="0">
      <w:lvlJc w:val="left"/>
      <w:lvlText w:val="%1."/>
      <w:numFmt w:val="decimal"/>
      <w:start w:val="5"/>
    </w:lvl>
    <w:lvl w:ilvl="1">
      <w:lvlJc w:val="left"/>
      <w:lvlText w:val="(%2)"/>
      <w:numFmt w:val="lowerLetter"/>
      <w:start w:val="1"/>
    </w:lvl>
  </w:abstractNum>
  <w:abstractNum w:abstractNumId="53">
    <w:nsid w:val="42963E5A"/>
    <w:multiLevelType w:val="hybridMultilevel"/>
    <w:lvl w:ilvl="0">
      <w:lvlJc w:val="left"/>
      <w:lvlText w:val="%1"/>
      <w:numFmt w:val="decimal"/>
      <w:start w:val="1"/>
    </w:lvl>
    <w:lvl w:ilvl="1">
      <w:lvlJc w:val="left"/>
      <w:lvlText w:val="(%2)"/>
      <w:numFmt w:val="lowerLetter"/>
      <w:start w:val="3"/>
    </w:lvl>
  </w:abstractNum>
  <w:abstractNum w:abstractNumId="54">
    <w:nsid w:val="A0382C5"/>
    <w:multiLevelType w:val="hybridMultilevel"/>
    <w:lvl w:ilvl="0">
      <w:lvlJc w:val="left"/>
      <w:lvlText w:val="%1."/>
      <w:numFmt w:val="decimal"/>
      <w:start w:val="6"/>
    </w:lvl>
    <w:lvl w:ilvl="1">
      <w:lvlJc w:val="left"/>
      <w:lvlText w:val="(%2)"/>
      <w:numFmt w:val="lowerLetter"/>
      <w:start w:val="1"/>
    </w:lvl>
  </w:abstractNum>
  <w:abstractNum w:abstractNumId="55">
    <w:nsid w:val="8F2B15E"/>
    <w:multiLevelType w:val="hybridMultilevel"/>
    <w:lvl w:ilvl="0">
      <w:lvlJc w:val="left"/>
      <w:lvlText w:val="%1"/>
      <w:numFmt w:val="decimal"/>
      <w:start w:val="1"/>
    </w:lvl>
    <w:lvl w:ilvl="1">
      <w:lvlJc w:val="left"/>
      <w:lvlText w:val="(%2)"/>
      <w:numFmt w:val="lowerLetter"/>
      <w:start w:val="3"/>
    </w:lvl>
  </w:abstractNum>
  <w:abstractNum w:abstractNumId="56">
    <w:nsid w:val="1A32234B"/>
    <w:multiLevelType w:val="hybridMultilevel"/>
    <w:lvl w:ilvl="0">
      <w:lvlJc w:val="left"/>
      <w:lvlText w:val="%1."/>
      <w:numFmt w:val="decimal"/>
      <w:start w:val="7"/>
    </w:lvl>
    <w:lvl w:ilvl="1">
      <w:lvlJc w:val="left"/>
      <w:lvlText w:val="(%2)"/>
      <w:numFmt w:val="lowerLetter"/>
      <w:start w:val="1"/>
    </w:lvl>
  </w:abstractNum>
  <w:abstractNum w:abstractNumId="57">
    <w:nsid w:val="3B0FD379"/>
    <w:multiLevelType w:val="hybridMultilevel"/>
    <w:lvl w:ilvl="0">
      <w:lvlJc w:val="left"/>
      <w:lvlText w:val="%1"/>
      <w:numFmt w:val="decimal"/>
      <w:start w:val="1"/>
    </w:lvl>
    <w:lvl w:ilvl="1">
      <w:lvlJc w:val="left"/>
      <w:lvlText w:val="(%2)"/>
      <w:numFmt w:val="lowerLetter"/>
      <w:start w:val="2"/>
    </w:lvl>
  </w:abstractNum>
  <w:abstractNum w:abstractNumId="58">
    <w:nsid w:val="68EB2F63"/>
    <w:multiLevelType w:val="hybridMultilevel"/>
    <w:lvl w:ilvl="0">
      <w:lvlJc w:val="left"/>
      <w:lvlText w:val="%1."/>
      <w:numFmt w:val="decimal"/>
      <w:start w:val="8"/>
    </w:lvl>
    <w:lvl w:ilvl="1">
      <w:lvlJc w:val="left"/>
      <w:lvlText w:val="(%2)"/>
      <w:numFmt w:val="lowerLetter"/>
      <w:start w:val="1"/>
    </w:lvl>
  </w:abstractNum>
  <w:abstractNum w:abstractNumId="59">
    <w:nsid w:val="4962813B"/>
    <w:multiLevelType w:val="hybridMultilevel"/>
    <w:lvl w:ilvl="0">
      <w:lvlJc w:val="left"/>
      <w:lvlText w:val="%1"/>
      <w:numFmt w:val="decimal"/>
      <w:start w:val="1"/>
    </w:lvl>
    <w:lvl w:ilvl="1">
      <w:lvlJc w:val="left"/>
      <w:lvlText w:val="(%2)"/>
      <w:numFmt w:val="lowerLetter"/>
      <w:start w:val="4"/>
    </w:lvl>
  </w:abstractNum>
  <w:abstractNum w:abstractNumId="60">
    <w:nsid w:val="60B6DF70"/>
    <w:multiLevelType w:val="hybridMultilevel"/>
    <w:lvl w:ilvl="0">
      <w:lvlJc w:val="left"/>
      <w:lvlText w:val="%1."/>
      <w:numFmt w:val="decimal"/>
      <w:start w:val="9"/>
    </w:lvl>
    <w:lvl w:ilvl="1">
      <w:lvlJc w:val="left"/>
      <w:lvlText w:val="(%2)"/>
      <w:numFmt w:val="lowerLetter"/>
      <w:start w:val="1"/>
    </w:lvl>
  </w:abstractNum>
  <w:abstractNum w:abstractNumId="61">
    <w:nsid w:val="6A5EE64"/>
    <w:multiLevelType w:val="hybridMultilevel"/>
    <w:lvl w:ilvl="0">
      <w:lvlJc w:val="left"/>
      <w:lvlText w:val="%1."/>
      <w:numFmt w:val="decimal"/>
      <w:start w:val="1"/>
    </w:lvl>
  </w:abstractNum>
  <w:abstractNum w:abstractNumId="62">
    <w:nsid w:val="14330624"/>
    <w:multiLevelType w:val="hybridMultilevel"/>
    <w:lvl w:ilvl="0">
      <w:lvlJc w:val="left"/>
      <w:lvlText w:val="(%1)"/>
      <w:numFmt w:val="lowerLetter"/>
      <w:start w:val="1"/>
    </w:lvl>
  </w:abstractNum>
  <w:abstractNum w:abstractNumId="63">
    <w:nsid w:val="7FFFCA11"/>
    <w:multiLevelType w:val="hybridMultilevel"/>
    <w:lvl w:ilvl="0">
      <w:lvlJc w:val="left"/>
      <w:lvlText w:val="(%1)"/>
      <w:numFmt w:val="lowerLetter"/>
      <w:start w:val="2"/>
    </w:lvl>
  </w:abstractNum>
  <w:abstractNum w:abstractNumId="64">
    <w:nsid w:val="1A27709E"/>
    <w:multiLevelType w:val="hybridMultilevel"/>
    <w:lvl w:ilvl="0">
      <w:lvlJc w:val="left"/>
      <w:lvlText w:val="%1."/>
      <w:numFmt w:val="decimal"/>
      <w:start w:val="3"/>
    </w:lvl>
  </w:abstractNum>
  <w:abstractNum w:abstractNumId="65">
    <w:nsid w:val="71EA1109"/>
    <w:multiLevelType w:val="hybridMultilevel"/>
    <w:lvl w:ilvl="0">
      <w:lvlJc w:val="left"/>
      <w:lvlText w:val="(%1)"/>
      <w:numFmt w:val="lowerLetter"/>
      <w:start w:val="1"/>
    </w:lvl>
  </w:abstractNum>
  <w:abstractNum w:abstractNumId="66">
    <w:nsid w:val="100F59DC"/>
    <w:multiLevelType w:val="hybridMultilevel"/>
    <w:lvl w:ilvl="0">
      <w:lvlJc w:val="left"/>
      <w:lvlText w:val="(%1)"/>
      <w:numFmt w:val="lowerLetter"/>
      <w:start w:val="2"/>
    </w:lvl>
  </w:abstractNum>
  <w:abstractNum w:abstractNumId="67">
    <w:nsid w:val="7FB7E0AA"/>
    <w:multiLevelType w:val="hybridMultilevel"/>
    <w:lvl w:ilvl="0">
      <w:lvlJc w:val="left"/>
      <w:lvlText w:val="%1."/>
      <w:numFmt w:val="decimal"/>
      <w:start w:val="5"/>
    </w:lvl>
  </w:abstractNum>
  <w:abstractNum w:abstractNumId="68">
    <w:nsid w:val="6EB5BD4"/>
    <w:multiLevelType w:val="hybridMultilevel"/>
    <w:lvl w:ilvl="0">
      <w:lvlJc w:val="left"/>
      <w:lvlText w:val="(%1)"/>
      <w:numFmt w:val="lowerLetter"/>
      <w:start w:val="1"/>
    </w:lvl>
  </w:abstractNum>
  <w:abstractNum w:abstractNumId="69">
    <w:nsid w:val="6F6DD9AC"/>
    <w:multiLevelType w:val="hybridMultilevel"/>
    <w:lvl w:ilvl="0">
      <w:lvlJc w:val="left"/>
      <w:lvlText w:val="%1."/>
      <w:numFmt w:val="decimal"/>
      <w:start w:val="6"/>
    </w:lvl>
  </w:abstractNum>
  <w:abstractNum w:abstractNumId="70">
    <w:nsid w:val="94211F2"/>
    <w:multiLevelType w:val="hybridMultilevel"/>
    <w:lvl w:ilvl="0">
      <w:lvlJc w:val="left"/>
      <w:lvlText w:val="(%1)"/>
      <w:numFmt w:val="lowerLetter"/>
      <w:start w:val="1"/>
    </w:lvl>
  </w:abstractNum>
  <w:abstractNum w:abstractNumId="71">
    <w:nsid w:val="885E1B"/>
    <w:multiLevelType w:val="hybridMultilevel"/>
    <w:lvl w:ilvl="0">
      <w:lvlJc w:val="left"/>
      <w:lvlText w:val="%1"/>
      <w:numFmt w:val="lowerLetter"/>
      <w:start w:val="1"/>
    </w:lvl>
    <w:lvl w:ilvl="1">
      <w:lvlJc w:val="left"/>
      <w:lvlText w:val="(%2)"/>
      <w:numFmt w:val="lowerLetter"/>
      <w:start w:val="2"/>
    </w:lvl>
  </w:abstractNum>
  <w:abstractNum w:abstractNumId="72">
    <w:nsid w:val="76272110"/>
    <w:multiLevelType w:val="hybridMultilevel"/>
    <w:lvl w:ilvl="0">
      <w:lvlJc w:val="left"/>
      <w:lvlText w:val="(%1)"/>
      <w:numFmt w:val="lowerLetter"/>
      <w:start w:val="61"/>
    </w:lvl>
    <w:lvl w:ilvl="1">
      <w:lvlJc w:val="left"/>
      <w:lvlText w:val="(%2)"/>
      <w:numFmt w:val="lowerLetter"/>
      <w:start w:val="3"/>
    </w:lvl>
  </w:abstractNum>
  <w:abstractNum w:abstractNumId="73">
    <w:nsid w:val="4C04A8AF"/>
    <w:multiLevelType w:val="hybridMultilevel"/>
    <w:lvl w:ilvl="0">
      <w:lvlJc w:val="left"/>
      <w:lvlText w:val="%1."/>
      <w:numFmt w:val="decimal"/>
      <w:start w:val="8"/>
    </w:lvl>
  </w:abstractNum>
  <w:abstractNum w:abstractNumId="74">
    <w:nsid w:val="1716703B"/>
    <w:multiLevelType w:val="hybridMultilevel"/>
    <w:lvl w:ilvl="0">
      <w:lvlJc w:val="left"/>
      <w:lvlText w:val="%1."/>
      <w:numFmt w:val="decimal"/>
      <w:start w:val="10"/>
    </w:lvl>
  </w:abstractNum>
  <w:abstractNum w:abstractNumId="75">
    <w:nsid w:val="14E17E33"/>
    <w:multiLevelType w:val="hybridMultilevel"/>
    <w:lvl w:ilvl="0">
      <w:lvlJc w:val="left"/>
      <w:lvlText w:val="(%1)"/>
      <w:numFmt w:val="lowerLetter"/>
      <w:start w:val="1"/>
    </w:lvl>
  </w:abstractNum>
  <w:abstractNum w:abstractNumId="76">
    <w:nsid w:val="3222E7CD"/>
    <w:multiLevelType w:val="hybridMultilevel"/>
    <w:lvl w:ilvl="0">
      <w:lvlJc w:val="left"/>
      <w:lvlText w:val="%1."/>
      <w:numFmt w:val="decimal"/>
      <w:start w:val="12"/>
    </w:lvl>
  </w:abstractNum>
  <w:abstractNum w:abstractNumId="77">
    <w:nsid w:val="74DE0EE3"/>
    <w:multiLevelType w:val="hybridMultilevel"/>
    <w:lvl w:ilvl="0">
      <w:lvlJc w:val="left"/>
      <w:lvlText w:val="(%1)"/>
      <w:numFmt w:val="lowerLetter"/>
      <w:start w:val="1"/>
    </w:lvl>
  </w:abstractNum>
  <w:abstractNum w:abstractNumId="78">
    <w:nsid w:val="68EBC550"/>
    <w:multiLevelType w:val="hybridMultilevel"/>
    <w:lvl w:ilvl="0">
      <w:lvlJc w:val="left"/>
      <w:lvlText w:val="(%1)"/>
      <w:numFmt w:val="lowerLetter"/>
      <w:start w:val="7"/>
    </w:lvl>
  </w:abstractNum>
  <w:abstractNum w:abstractNumId="79">
    <w:nsid w:val="2DF6D648"/>
    <w:multiLevelType w:val="hybridMultilevel"/>
    <w:lvl w:ilvl="0">
      <w:lvlJc w:val="left"/>
      <w:lvlText w:val="(%1)"/>
      <w:numFmt w:val="lowerLetter"/>
      <w:start w:val="19"/>
    </w:lvl>
  </w:abstractNum>
  <w:abstractNum w:abstractNumId="80">
    <w:nsid w:val="46B7D447"/>
    <w:multiLevelType w:val="hybridMultilevel"/>
    <w:lvl w:ilvl="0">
      <w:lvlJc w:val="left"/>
      <w:lvlText w:val="%1."/>
      <w:numFmt w:val="decimal"/>
      <w:start w:val="13"/>
    </w:lvl>
  </w:abstractNum>
  <w:abstractNum w:abstractNumId="81">
    <w:nsid w:val="4A2AC315"/>
    <w:multiLevelType w:val="hybridMultilevel"/>
    <w:lvl w:ilvl="0">
      <w:lvlJc w:val="left"/>
      <w:lvlText w:val="(%1)"/>
      <w:numFmt w:val="lowerLetter"/>
      <w:start w:val="1"/>
    </w:lvl>
  </w:abstractNum>
  <w:abstractNum w:abstractNumId="82">
    <w:nsid w:val="39EE015C"/>
    <w:multiLevelType w:val="hybridMultilevel"/>
    <w:lvl w:ilvl="0">
      <w:lvlJc w:val="left"/>
      <w:lvlText w:val="(%1)"/>
      <w:numFmt w:val="lowerLetter"/>
      <w:start w:val="6"/>
    </w:lvl>
  </w:abstractNum>
  <w:abstractNum w:abstractNumId="83">
    <w:nsid w:val="57FC4FBB"/>
    <w:multiLevelType w:val="hybridMultilevel"/>
    <w:lvl w:ilvl="0">
      <w:lvlJc w:val="left"/>
      <w:lvlText w:val="(%1)"/>
      <w:numFmt w:val="lowerRoman"/>
      <w:start w:val="1"/>
    </w:lvl>
  </w:abstractNum>
  <w:abstractNum w:abstractNumId="84">
    <w:nsid w:val="CC1016F"/>
    <w:multiLevelType w:val="hybridMultilevel"/>
    <w:lvl w:ilvl="0">
      <w:lvlJc w:val="left"/>
      <w:lvlText w:val="%1."/>
      <w:numFmt w:val="decimal"/>
      <w:start w:val="14"/>
    </w:lvl>
  </w:abstractNum>
  <w:abstractNum w:abstractNumId="85">
    <w:nsid w:val="43F18422"/>
    <w:multiLevelType w:val="hybridMultilevel"/>
    <w:lvl w:ilvl="0">
      <w:lvlJc w:val="left"/>
      <w:lvlText w:val="(%1)"/>
      <w:numFmt w:val="lowerLetter"/>
      <w:start w:val="1"/>
    </w:lvl>
  </w:abstractNum>
  <w:abstractNum w:abstractNumId="86">
    <w:nsid w:val="60EF0119"/>
    <w:multiLevelType w:val="hybridMultilevel"/>
    <w:lvl w:ilvl="0">
      <w:lvlJc w:val="left"/>
      <w:lvlText w:val="%1."/>
      <w:numFmt w:val="decimal"/>
      <w:start w:val="1"/>
    </w:lvl>
    <w:lvl w:ilvl="1">
      <w:lvlJc w:val="left"/>
      <w:lvlText w:val="(%2)"/>
      <w:numFmt w:val="lowerLetter"/>
      <w:start w:val="1"/>
    </w:lvl>
  </w:abstractNum>
  <w:abstractNum w:abstractNumId="87">
    <w:nsid w:val="26F324BA"/>
    <w:multiLevelType w:val="hybridMultilevel"/>
    <w:lvl w:ilvl="0">
      <w:lvlJc w:val="left"/>
      <w:lvlText w:val="%1."/>
      <w:numFmt w:val="decimal"/>
      <w:start w:val="2"/>
    </w:lvl>
    <w:lvl w:ilvl="1">
      <w:lvlJc w:val="left"/>
      <w:lvlText w:val="(%2)"/>
      <w:numFmt w:val="lowerLetter"/>
      <w:start w:val="1"/>
    </w:lvl>
  </w:abstractNum>
  <w:abstractNum w:abstractNumId="88">
    <w:nsid w:val="7F01579B"/>
    <w:multiLevelType w:val="hybridMultilevel"/>
    <w:lvl w:ilvl="0">
      <w:lvlJc w:val="left"/>
      <w:lvlText w:val="%1"/>
      <w:numFmt w:val="decimal"/>
      <w:start w:val="1"/>
    </w:lvl>
    <w:lvl w:ilvl="1">
      <w:lvlJc w:val="left"/>
      <w:lvlText w:val="(%2)"/>
      <w:numFmt w:val="lowerLetter"/>
      <w:start w:val="6"/>
    </w:lvl>
  </w:abstractNum>
  <w:abstractNum w:abstractNumId="89">
    <w:nsid w:val="49DA307D"/>
    <w:multiLevelType w:val="hybridMultilevel"/>
    <w:lvl w:ilvl="0">
      <w:lvlJc w:val="left"/>
      <w:lvlText w:val="%1."/>
      <w:numFmt w:val="decimal"/>
      <w:start w:val="4"/>
    </w:lvl>
    <w:lvl w:ilvl="1">
      <w:lvlJc w:val="left"/>
      <w:lvlText w:val="(%2)"/>
      <w:numFmt w:val="lowerLetter"/>
      <w:start w:val="1"/>
    </w:lvl>
  </w:abstractNum>
  <w:abstractNum w:abstractNumId="90">
    <w:nsid w:val="7055A5F5"/>
    <w:multiLevelType w:val="hybridMultilevel"/>
    <w:lvl w:ilvl="0">
      <w:lvlJc w:val="left"/>
      <w:lvlText w:val="%1."/>
      <w:numFmt w:val="decimal"/>
      <w:start w:val="5"/>
    </w:lvl>
    <w:lvl w:ilvl="1">
      <w:lvlJc w:val="left"/>
      <w:lvlText w:val="(%2)"/>
      <w:numFmt w:val="lowerLetter"/>
      <w:start w:val="1"/>
    </w:lvl>
  </w:abstractNum>
  <w:abstractNum w:abstractNumId="91">
    <w:nsid w:val="5FB8370B"/>
    <w:multiLevelType w:val="hybridMultilevel"/>
    <w:lvl w:ilvl="0">
      <w:lvlJc w:val="left"/>
      <w:lvlText w:val="(%1)"/>
      <w:numFmt w:val="lowerLetter"/>
      <w:start w:val="2"/>
    </w:lvl>
  </w:abstractNum>
  <w:abstractNum w:abstractNumId="92">
    <w:nsid w:val="50801EE1"/>
    <w:multiLevelType w:val="hybridMultilevel"/>
    <w:lvl w:ilvl="0">
      <w:lvlJc w:val="left"/>
      <w:lvlText w:val="(%1)"/>
      <w:numFmt w:val="lowerLetter"/>
      <w:start w:val="3"/>
    </w:lvl>
  </w:abstractNum>
  <w:abstractNum w:abstractNumId="93">
    <w:nsid w:val="488AC1A"/>
    <w:multiLevelType w:val="hybridMultilevel"/>
    <w:lvl w:ilvl="0">
      <w:lvlJc w:val="left"/>
      <w:lvlText w:val="%1."/>
      <w:numFmt w:val="decimal"/>
      <w:start w:val="7"/>
    </w:lvl>
    <w:lvl w:ilvl="1">
      <w:lvlJc w:val="left"/>
      <w:lvlText w:val="(%2)"/>
      <w:numFmt w:val="lowerLetter"/>
      <w:start w:val="1"/>
    </w:lvl>
  </w:abstractNum>
  <w:abstractNum w:abstractNumId="94">
    <w:nsid w:val="5FB8011C"/>
    <w:multiLevelType w:val="hybridMultilevel"/>
    <w:lvl w:ilvl="0">
      <w:lvlJc w:val="left"/>
      <w:lvlText w:val="%1"/>
      <w:numFmt w:val="decimal"/>
      <w:start w:val="1"/>
    </w:lvl>
    <w:lvl w:ilvl="1">
      <w:lvlJc w:val="left"/>
      <w:lvlText w:val="(%2)"/>
      <w:numFmt w:val="lowerLetter"/>
      <w:start w:val="3"/>
    </w:lvl>
  </w:abstractNum>
  <w:abstractNum w:abstractNumId="95">
    <w:nsid w:val="6AA78F7F"/>
    <w:multiLevelType w:val="hybridMultilevel"/>
    <w:lvl w:ilvl="0">
      <w:lvlJc w:val="left"/>
      <w:lvlText w:val="%1."/>
      <w:numFmt w:val="decimal"/>
      <w:start w:val="9"/>
    </w:lvl>
    <w:lvl w:ilvl="1">
      <w:lvlJc w:val="left"/>
      <w:lvlText w:val="(%2)"/>
      <w:numFmt w:val="lowerLetter"/>
      <w:start w:val="1"/>
    </w:lvl>
  </w:abstractNum>
  <w:abstractNum w:abstractNumId="96">
    <w:nsid w:val="7672BD23"/>
    <w:multiLevelType w:val="hybridMultilevel"/>
    <w:lvl w:ilvl="0">
      <w:lvlJc w:val="left"/>
      <w:lvlText w:val="%1."/>
      <w:numFmt w:val="decimal"/>
      <w:start w:val="1"/>
    </w:lvl>
    <w:lvl w:ilvl="1">
      <w:lvlJc w:val="left"/>
      <w:lvlText w:val="%2)"/>
      <w:numFmt w:val="lowerLetter"/>
      <w:start w:val="1"/>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jpe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jpe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jpe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43" Type="http://schemas.openxmlformats.org/officeDocument/2006/relationships/hyperlink" Target="http://www.sec.gov/Archives/edgar/data/87347/000119312516532046/d176097dex31.htm" TargetMode="External"/><Relationship Id="rId44" Type="http://schemas.openxmlformats.org/officeDocument/2006/relationships/hyperlink" Target="http://www.sec.gov/Archives/edgar/data/87347/000119312517013293/d33316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2019-12-28T13:39:12Z</dcterms:created>
  <dcterms:modified xsi:type="dcterms:W3CDTF">2019-12-28T13:39:12Z</dcterms:modified>
</cp:coreProperties>
</file>