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First-Quarter 2025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April 25, 2025.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April 25,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First-Quarter 2025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69"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2025</w:t>
      </w:r>
    </w:p>
    <w:p>
      <w:pPr>
        <w:sectPr>
          <w:pgSz w:w="11900" w:h="16838" w:orient="portrait"/>
          <w:cols w:equalWidth="0" w:num="1">
            <w:col w:w="10840"/>
          </w:cols>
          <w:pgMar w:left="440" w:top="269"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-118745</wp:posOffset>
            </wp:positionV>
            <wp:extent cx="90868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6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First-Quarter 2025 Results; Remains Committed to Return a Minimum of $4 Billion to Shareholders in 2025</w:t>
      </w:r>
    </w:p>
    <w:p>
      <w:pPr>
        <w:spacing w:after="0" w:line="11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$8.49 billion decreased 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$0.58 decreased 22%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$0.72 decreased 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$797 million decreased 25%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$2.02 billion decreased 2%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of $660 million increased $333 million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$0.285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April 25, 2025—</w:t>
      </w:r>
      <w:r>
        <w:rPr>
          <w:rFonts w:ascii="Arial" w:cs="Arial" w:eastAsia="Arial" w:hAnsi="Arial"/>
          <w:sz w:val="18"/>
          <w:szCs w:val="18"/>
          <w:color w:val="auto"/>
        </w:rPr>
        <w:t>SLB (NYSE: SLB) today announced results for the first-quarter 2025.</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4"/>
          </w:tcPr>
          <w:p>
            <w:pPr>
              <w:ind w:lef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Mar. 31,</w:t>
            </w:r>
          </w:p>
        </w:tc>
        <w:tc>
          <w:tcPr>
            <w:tcW w:w="10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4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2024</w:t>
            </w: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rPr>
              <w:t>Sequential</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8,490</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9,284</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8,707</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72"/>
              <w:spacing w:after="0" w:line="196" w:lineRule="exact"/>
              <w:rPr>
                <w:sz w:val="20"/>
                <w:szCs w:val="20"/>
                <w:color w:val="auto"/>
              </w:rPr>
            </w:pPr>
            <w:r>
              <w:rPr>
                <w:rFonts w:ascii="Arial" w:cs="Arial" w:eastAsia="Arial" w:hAnsi="Arial"/>
                <w:sz w:val="18"/>
                <w:szCs w:val="18"/>
                <w:b w:val="1"/>
                <w:bCs w:val="1"/>
                <w:color w:val="auto"/>
                <w:w w:val="99"/>
              </w:rPr>
              <w:t>-9%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1,063</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1,387</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1,357</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-23%</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-22%</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-241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-306 bps</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797</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1,095</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1,068</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-27%</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-25%</w:t>
            </w:r>
          </w:p>
        </w:tc>
      </w:tr>
      <w:tr>
        <w:trPr>
          <w:trHeight w:val="202"/>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0.58</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0.77</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0.74</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-25%</w:t>
            </w:r>
          </w:p>
        </w:tc>
        <w:tc>
          <w:tcPr>
            <w:tcW w:w="2000" w:type="dxa"/>
            <w:vAlign w:val="bottom"/>
            <w:gridSpan w:val="3"/>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9"/>
              </w:rPr>
              <w:t>-22%</w:t>
            </w:r>
          </w:p>
        </w:tc>
      </w:tr>
      <w:tr>
        <w:trPr>
          <w:trHeight w:val="311"/>
        </w:trPr>
        <w:tc>
          <w:tcPr>
            <w:tcW w:w="45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2,020</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2,382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2,057</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-15%</w:t>
            </w:r>
          </w:p>
        </w:tc>
        <w:tc>
          <w:tcPr>
            <w:tcW w:w="200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-2%</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-186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 bps</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1,556</w:t>
            </w:r>
          </w:p>
        </w:tc>
        <w:tc>
          <w:tcPr>
            <w:tcW w:w="5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1,918</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1,649</w:t>
            </w:r>
          </w:p>
        </w:tc>
        <w:tc>
          <w:tcPr>
            <w:tcW w:w="1160" w:type="dxa"/>
            <w:vAlign w:val="bottom"/>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-19%</w:t>
            </w:r>
          </w:p>
        </w:tc>
        <w:tc>
          <w:tcPr>
            <w:tcW w:w="2000" w:type="dxa"/>
            <w:vAlign w:val="bottom"/>
            <w:gridSpan w:val="3"/>
          </w:tcPr>
          <w:p>
            <w:pPr>
              <w:jc w:val="center"/>
              <w:ind w:left="39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8"/>
              <w:spacing w:after="0" w:line="202"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18.9%</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rPr>
              <w:t>-232 bps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-60 bps</w:t>
            </w:r>
          </w:p>
        </w:tc>
      </w:tr>
      <w:tr>
        <w:trPr>
          <w:trHeight w:val="184"/>
        </w:trPr>
        <w:tc>
          <w:tcPr>
            <w:tcW w:w="458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 charges &amp;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21"/>
        </w:trPr>
        <w:tc>
          <w:tcPr>
            <w:tcW w:w="4580" w:type="dxa"/>
            <w:vAlign w:val="bottom"/>
          </w:tcPr>
          <w:p>
            <w:pPr>
              <w:ind w:left="180"/>
              <w:spacing w:after="0"/>
              <w:rPr>
                <w:sz w:val="20"/>
                <w:szCs w:val="20"/>
                <w:color w:val="auto"/>
              </w:rPr>
            </w:pPr>
            <w:r>
              <w:rPr>
                <w:rFonts w:ascii="Arial" w:cs="Arial" w:eastAsia="Arial" w:hAnsi="Arial"/>
                <w:sz w:val="18"/>
                <w:szCs w:val="18"/>
                <w:color w:val="auto"/>
              </w:rPr>
              <w:t>credits*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988</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1,311</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1,082</w:t>
            </w: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-25%</w:t>
            </w:r>
          </w:p>
        </w:tc>
        <w:tc>
          <w:tcPr>
            <w:tcW w:w="200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-9%</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0.92</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0.75</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-22%</w:t>
            </w:r>
          </w:p>
        </w:tc>
        <w:tc>
          <w:tcPr>
            <w:tcW w:w="2000" w:type="dxa"/>
            <w:vAlign w:val="bottom"/>
            <w:gridSpan w:val="3"/>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9"/>
              </w:rPr>
              <w:t>-4%</w:t>
            </w:r>
          </w:p>
        </w:tc>
      </w:tr>
      <w:tr>
        <w:trPr>
          <w:trHeight w:val="311"/>
        </w:trPr>
        <w:tc>
          <w:tcPr>
            <w:tcW w:w="458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6,727</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7,483</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7,056</w:t>
            </w:r>
          </w:p>
        </w:tc>
        <w:tc>
          <w:tcPr>
            <w:tcW w:w="1160" w:type="dxa"/>
            <w:vAlign w:val="bottom"/>
            <w:shd w:val="clear" w:color="auto" w:fill="CCEEFF"/>
          </w:tcPr>
          <w:p>
            <w:pPr>
              <w:jc w:val="center"/>
              <w:ind w:left="52"/>
              <w:spacing w:after="0" w:line="202" w:lineRule="exact"/>
              <w:rPr>
                <w:sz w:val="20"/>
                <w:szCs w:val="20"/>
                <w:color w:val="auto"/>
              </w:rPr>
            </w:pPr>
            <w:r>
              <w:rPr>
                <w:rFonts w:ascii="Arial" w:cs="Arial" w:eastAsia="Arial" w:hAnsi="Arial"/>
                <w:sz w:val="18"/>
                <w:szCs w:val="18"/>
                <w:b w:val="1"/>
                <w:bCs w:val="1"/>
                <w:color w:val="auto"/>
                <w:w w:val="99"/>
              </w:rPr>
              <w:t>-10%</w:t>
            </w:r>
          </w:p>
        </w:tc>
        <w:tc>
          <w:tcPr>
            <w:tcW w:w="2000" w:type="dxa"/>
            <w:vAlign w:val="bottom"/>
            <w:gridSpan w:val="3"/>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9"/>
              </w:rPr>
              <w:t>-5%</w:t>
            </w:r>
          </w:p>
        </w:tc>
      </w:tr>
      <w:tr>
        <w:trPr>
          <w:trHeight w:val="202"/>
        </w:trPr>
        <w:tc>
          <w:tcPr>
            <w:tcW w:w="45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1,719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1,752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1,598</w:t>
            </w:r>
          </w:p>
        </w:tc>
        <w:tc>
          <w:tcPr>
            <w:tcW w:w="1160" w:type="dxa"/>
            <w:vAlign w:val="bottom"/>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-2%</w:t>
            </w:r>
          </w:p>
        </w:tc>
        <w:tc>
          <w:tcPr>
            <w:tcW w:w="2000" w:type="dxa"/>
            <w:vAlign w:val="bottom"/>
            <w:gridSpan w:val="3"/>
          </w:tcPr>
          <w:p>
            <w:pPr>
              <w:jc w:val="center"/>
              <w:ind w:left="372"/>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53</w:t>
            </w:r>
          </w:p>
        </w:tc>
        <w:tc>
          <w:tcPr>
            <w:tcW w:w="11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b w:val="1"/>
                <w:bCs w:val="1"/>
                <w:color w:val="auto"/>
                <w:w w:val="99"/>
              </w:rPr>
              <w:t>n/m</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10"/>
        </w:trPr>
        <w:tc>
          <w:tcPr>
            <w:tcW w:w="4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8,490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9,284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8,707</w:t>
            </w:r>
          </w:p>
        </w:tc>
        <w:tc>
          <w:tcPr>
            <w:tcW w:w="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7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620" w:type="dxa"/>
            <w:vAlign w:val="bottom"/>
            <w:gridSpan w:val="2"/>
          </w:tcPr>
          <w:p>
            <w:pPr>
              <w:ind w:left="15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1,006</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1,156</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1,700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1,810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2,977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3,267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2,938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8,490</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9,284</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8,707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620" w:type="dxa"/>
            <w:vAlign w:val="bottom"/>
            <w:gridSpan w:val="2"/>
            <w:shd w:val="clear" w:color="auto" w:fill="CCEEFF"/>
          </w:tcPr>
          <w:p>
            <w:pPr>
              <w:ind w:left="15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306</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442</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-24%</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7"/>
              </w:rPr>
              <w:t>- 14%</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- 6%</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-784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380 bps</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-391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-311 bps</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-106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-71 bps</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34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197 bps</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-232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-60 bps</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380" w:hanging="224"/>
        <w:spacing w:after="0" w:line="27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 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Adjusted EBITDA Margin Protected Despite Market Softness</w:t>
      </w:r>
    </w:p>
    <w:p>
      <w:pPr>
        <w:spacing w:after="0" w:line="104" w:lineRule="exact"/>
        <w:rPr>
          <w:sz w:val="20"/>
          <w:szCs w:val="20"/>
          <w:color w:val="auto"/>
        </w:rPr>
      </w:pPr>
    </w:p>
    <w:p>
      <w:pPr>
        <w:ind w:left="4" w:right="520"/>
        <w:spacing w:after="0" w:line="271" w:lineRule="auto"/>
        <w:rPr>
          <w:sz w:val="20"/>
          <w:szCs w:val="20"/>
          <w:color w:val="auto"/>
        </w:rPr>
      </w:pPr>
      <w:r>
        <w:rPr>
          <w:rFonts w:ascii="Arial" w:cs="Arial" w:eastAsia="Arial" w:hAnsi="Arial"/>
          <w:sz w:val="18"/>
          <w:szCs w:val="18"/>
          <w:color w:val="auto"/>
        </w:rPr>
        <w:t>“ First-quarter adjusted EBITDA margin was slightly up year on year despite softer revenue as we continued to navigate the evolving market dynamics,” said SLB Chief Executive Officer, Olivier Le Peuch.</w:t>
      </w:r>
    </w:p>
    <w:p>
      <w:pPr>
        <w:spacing w:after="0" w:line="15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“It was a subdued start to the year as revenue declined 3% year on year. Higher activity in parts of the Middle East, North Africa, Argentina and offshore U.S., along with strong growth in our data center infrastructure solutions and digital businesses in North America, were more than offset by a sharper-than-expected slowdown in Mexico, a slow start to the year in Saudi Arabia and offshore Africa, and steep decline in Russia.</w:t>
      </w:r>
    </w:p>
    <w:p>
      <w:pPr>
        <w:spacing w:after="0" w:line="174" w:lineRule="exact"/>
        <w:rPr>
          <w:sz w:val="20"/>
          <w:szCs w:val="20"/>
          <w:color w:val="auto"/>
        </w:rPr>
      </w:pPr>
    </w:p>
    <w:p>
      <w:pPr>
        <w:ind w:left="4" w:right="520"/>
        <w:spacing w:after="0" w:line="271" w:lineRule="auto"/>
        <w:rPr>
          <w:sz w:val="20"/>
          <w:szCs w:val="20"/>
          <w:color w:val="auto"/>
        </w:rPr>
      </w:pPr>
      <w:r>
        <w:rPr>
          <w:rFonts w:ascii="Arial" w:cs="Arial" w:eastAsia="Arial" w:hAnsi="Arial"/>
          <w:sz w:val="18"/>
          <w:szCs w:val="18"/>
          <w:color w:val="auto"/>
        </w:rPr>
        <w:t>“The expansion of our accretive margin digital business and the strength of our Production Systems division, combined with our cost reduction initiatives, have driven another consecutive quarter of year-on-year adjusted EBITDA margin growth.</w:t>
      </w:r>
    </w:p>
    <w:p>
      <w:pPr>
        <w:spacing w:after="0" w:line="154" w:lineRule="exact"/>
        <w:rPr>
          <w:sz w:val="20"/>
          <w:szCs w:val="20"/>
          <w:color w:val="auto"/>
        </w:rPr>
      </w:pPr>
    </w:p>
    <w:p>
      <w:pPr>
        <w:jc w:val="both"/>
        <w:ind w:left="4" w:right="300"/>
        <w:spacing w:after="0" w:line="253" w:lineRule="auto"/>
        <w:rPr>
          <w:sz w:val="20"/>
          <w:szCs w:val="20"/>
          <w:color w:val="auto"/>
        </w:rPr>
      </w:pPr>
      <w:r>
        <w:rPr>
          <w:rFonts w:ascii="Arial" w:cs="Arial" w:eastAsia="Arial" w:hAnsi="Arial"/>
          <w:sz w:val="18"/>
          <w:szCs w:val="18"/>
          <w:color w:val="auto"/>
        </w:rPr>
        <w:t>“These results demonstrate SLB’s resilience in changing market conditions. We are continuously exercising cost discipline and aligning our resources with activity levels, leveraging our global reach and industry-leading innovation capabilities, expanding our differentiated digital offerings, and strategically diversifying the portfolio beyond oil and gas,” Le Peuch said.</w:t>
      </w:r>
    </w:p>
    <w:p>
      <w:pPr>
        <w:sectPr>
          <w:pgSz w:w="11900" w:h="16838" w:orient="portrait"/>
          <w:cols w:equalWidth="0" w:num="1">
            <w:col w:w="11024"/>
          </w:cols>
          <w:pgMar w:left="436"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Core Benefiting from Late-Cycle Customer Spend and Growth in International Unconventional Markets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Core, we continue to see rising demand for production solutions as customers seek to offset declines and maintain or grow production from maturing assets. This is an area that will continue to present strong opportunities for SLB. As a result, Production Systems revenue grew 4% and expanded pretax operating margins by 197 bps year on year, with strong demand for surface production systems, completions, and artificial lift. In addition, Reservoir Performance was supported by strong international unconventional stimulation and intervention activity although it was offset by lower evaluation activity.</w:t>
      </w:r>
    </w:p>
    <w:p>
      <w:pPr>
        <w:spacing w:after="0" w:line="17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“Overall, the combined revenue of the Core divisions was down 4% year on year, as growth in Production Systems was more than offset by declines in Reservoir Performance and Well Construction. Despite the year-on-year decline, our diversified portfolio and broad market position helped to offset lower rig activity,”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and AI Growth Increasingly Decoupled from Upstream Cycle Dynamics</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energy industry is focused on efficiency and performance, and our customers are recognizing the opportunity to unlock value from their data. As a result, operators are increasing their digital capabilities, strengthening partnerships with technology companies, and investing in digital and AI solutions.</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is translating into highly accretive revenue growth, and as a result, our quarterly digital revenue grew 17% year on year, contributing to a 6% increase in Digital &amp; Integration revenue over that same period.</w:t>
      </w:r>
    </w:p>
    <w:p>
      <w:pPr>
        <w:spacing w:after="0" w:line="15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“When we designed our strategy around three engines of growth, we envisioned digital leading the second phase of revenue expansion, complementing our leading offering in the Core. Today, that vision is materializing, and we will continue to enhance our leadership in AI, cloud computing and digital operations,”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Committing to Return a Minimum of $4 Billion to Shareholders in 2025</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“SLB is committed to returning more than 50% of its free cash flow to our shareholders, and we will materially exceed this target in 2025. We continue to have confidence in our ability to generate strong cash flow in the current environment and will return a minimum of $4 billion to shareholders through dividends and share repurchases this year.</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industry may experience a potential shift of priorities driven by changes in the global economy, fluctuating commodity prices and evolving tariffs—all of which could impact upstream oil and gas investment and, in turn, affect demand for our products and services. In this uncertain environment, we remain committed to protecting our margins, generating strong cash flow and delivering consistent value to our customers and shareholders in 2025,” Le Peuch concluded.</w:t>
      </w:r>
    </w:p>
    <w:p>
      <w:pPr>
        <w:sectPr>
          <w:pgSz w:w="11900" w:h="16838" w:orient="portrait"/>
          <w:cols w:equalWidth="0" w:num="1">
            <w:col w:w="11000"/>
          </w:cols>
          <w:pgMar w:left="440" w:top="26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0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February 2, 2025, SLB entered into an agreement to purchase the operations of Interactive Network Technologies, Inc. (INT), a global leader in energy data visualization. INT provides data visualization technology that empowers geoscientists, engineers and data scientists with the desktop and web-based domain data visualization required to make business and operational decisions. Incorporating this technology directly into the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and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will further enhance the ability of asset teams to accelerate data driven insights via a single, unified interface.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previously announced accelerated share repurchase (ASR) transaction, SLB entered into agreements to repurchase $2.3 billion of its common stock commencing on January 13, 2025, and ending no later than May 31, 2025. The ASR was completed on April 7, 2025, and SLB received a total of 56.8 million shares of its common stock, of which 47.6 million were received in January and the remaining</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9.2 million shares were received in April. These shares were repurchased by SLB at an average price of $40.51, representing the volume-weighted average price of SLB’s common stock during this period less a discount.</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April 2024, SLB and ChampionX announced that they entered into a definitive agreement for SLB to purchase ChampionX. The combined portfolios will drive customer value through deep industry expertise and digital integration, as well as enhanced equipment life and production optimization. On April 10, 2025, SLB announced that the United Kingdom Competition and Markets Authority (CMA) has agreed to consider SLB’s proposed actions to address concerns around the ChampionX acquisition as part of the CMA’s Phase 1 review. SLB is pleased with this further progress and will continue its collaboration with the CMA and other regulators toward an anticipated closing in the second quarter or early third quarter of 2025.</w:t>
      </w:r>
    </w:p>
    <w:p>
      <w:pPr>
        <w:spacing w:after="0" w:line="17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On April 17, 2025, SLB’s Board of Directors approved a quarterly cash dividend of $0.285 per share of outstanding common stock, payable on July 10, 2025, to stockholders of record on June 4, 2025.</w:t>
      </w:r>
    </w:p>
    <w:p>
      <w:pPr>
        <w:sectPr>
          <w:pgSz w:w="11900" w:h="16838" w:orient="portrait"/>
          <w:cols w:equalWidth="0" w:num="1">
            <w:col w:w="10980"/>
          </w:cols>
          <w:pgMar w:left="440" w:top="26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w w:val="99"/>
              </w:rPr>
              <w:t>Dec.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$1,719</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$1,598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1,495</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1,634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1,654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2,235</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2,473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2,322</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2,997</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3,376</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3,080</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8,490</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9,284</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8,707</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$6,727</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$7,483</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$7,056</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$1,719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$1,752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$1,598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$ 1.49 billion declined 10% year on year primarily due to a significant reduction in drilling activity in Mexico. The decline was also driven by a temporary production interruption in our Asset Performance Solutions (APS) project in Ecuador due to pipeline disruption, partially offset by higher stimulation activity in Argentina.</w:t>
      </w:r>
    </w:p>
    <w:p>
      <w:pPr>
        <w:spacing w:after="0" w:line="169"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Sequentially, revenue decreased 9% due to lower drilling activity in Mexico, reduced APS revenue in Ecuador and seasonally lower revenue in Brazil following strong year-end production systems sales last quarter. These declines were partially offset by increased revenue in Argentina due to higher stimulation activity.</w:t>
      </w:r>
    </w:p>
    <w:p>
      <w:pPr>
        <w:spacing w:after="0" w:line="16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Europe &amp; Africa </w:t>
      </w:r>
      <w:r>
        <w:rPr>
          <w:rFonts w:ascii="Arial" w:cs="Arial" w:eastAsia="Arial" w:hAnsi="Arial"/>
          <w:sz w:val="17"/>
          <w:szCs w:val="17"/>
          <w:color w:val="auto"/>
        </w:rPr>
        <w:t>revenue of $2.23 billion decreased 4% year on year due to reduced offshore exploration, drilling and production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in West Africa and lower activity in Russia. This decline was partially offset by increased revenue in North Africa and the North Sea.</w:t>
      </w:r>
    </w:p>
    <w:p>
      <w:pPr>
        <w:spacing w:after="0" w:line="13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Sequentially, revenue declined 10% due to seasonally lower activity following strong year-end product and digital sales across the area in the fourth quarter of 2024.</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$3.00 billion declined 3% year on year due to a meaningful reduction in drilling and stimulation activity in Saudi Arabia, lower production systems sales in Egypt and Australia, and reduced drilling activity in India. These declines were partially offset by significantly higher revenue in the United Arab Emirates and Kuwait.</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Sequentially, revenue declined 11% due to seasonally lower activity following strong year-end product and digital sales across the area in the fourth quarter of 2024.</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 America</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$ 1.72 billion increased 8% year on year due to higher digital sales and sales of subsea production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U.S., strong growth in data center infrastructure solutions, and increased intervention activity. These increases were partially offset by lower drilling revenue in U.S. land.</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Sequentially, revenue declined 2% due to lower drilling activity both on land and offshore North America, partially offset by higher revenue from data center infrastructure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7"/>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Sequential</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717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824</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717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tcPr>
          <w:p>
            <w:pPr>
              <w:spacing w:after="0"/>
              <w:rPr>
                <w:sz w:val="17"/>
                <w:szCs w:val="17"/>
                <w:color w:val="auto"/>
              </w:rPr>
            </w:pPr>
          </w:p>
        </w:tc>
        <w:tc>
          <w:tcPr>
            <w:tcW w:w="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236</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n/m</w:t>
            </w:r>
          </w:p>
        </w:tc>
        <w:tc>
          <w:tcPr>
            <w:tcW w:w="9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1,006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1,156</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306</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442</w:t>
            </w:r>
          </w:p>
        </w:tc>
        <w:tc>
          <w:tcPr>
            <w:tcW w:w="40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254</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-31%</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1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rPr>
              <w:t>-784 bps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Digital &amp; Integration revenue of $1.01 billion increased 6% year on year driven by 17% growth in digital revenue, supported by greater adoption of digital technologies and higher sales of exploration data, particularly offshore U.S. This increase was partially offset by lower APS revenue due to a temporary pipeline disruption on an APS project in Ecuador.</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Sequentially, revenue experienced a seasonal decline of 13% following strong year-end digital sales while APS revenue was lower in Ecuador due to the pipeline disruption.</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Digital &amp; Integration pretax operating margin of 30% expanded 380 bps year on year, mostly due to improved profitability in digital, following higher uptake of digital technologies and higher sales of exploration data, and cost efficiency benefits.</w:t>
      </w:r>
    </w:p>
    <w:p>
      <w:pPr>
        <w:spacing w:after="0" w:line="1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Sequentially, pretax operating margin decreased 784 bps due to seasonally lower sales of digital and exploration data as well as lower APS revenue.</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220" w:type="dxa"/>
            <w:vAlign w:val="bottom"/>
            <w:gridSpan w:val="2"/>
          </w:tcPr>
          <w:p>
            <w:pPr>
              <w:ind w:left="21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1,557</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1,669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1,592</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1,700</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1,810</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-391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Reservoir Performance revenue of $1.70 billion declined 1% year on year with strong unconventional stimulation and intervention activity offset by lower evaluation and exploration activity across the international markets. Revenue was supported by increased stimulation and intervention activity in United Arab Emirates and Argentina, offset by lower revenue in Saudi Arabia, Russia, West Africa and East Asia.</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Sequentially, revenue declined 6% due to seasonal activity reductions in Europe &amp; Africa and the Middle East &amp; Asia. These declines were partially offset by strong stimulation activity in Latin America, mainly in Argentina, while North America revenue was essentially flat.</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Reservoir Performance pretax operating margin of 17% decreased 311 bps year on year and 391 bps sequentially due to reduced profitability from lower evaluation activity and project startup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220" w:type="dxa"/>
            <w:vAlign w:val="bottom"/>
            <w:gridSpan w:val="2"/>
          </w:tcPr>
          <w:p>
            <w:pPr>
              <w:ind w:left="210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2,381</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2,625</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2,707</w:t>
            </w:r>
          </w:p>
        </w:tc>
        <w:tc>
          <w:tcPr>
            <w:tcW w:w="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604</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57</w:t>
            </w:r>
          </w:p>
        </w:tc>
        <w:tc>
          <w:tcPr>
            <w:tcW w:w="80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2,977</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3,267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-9%</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681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690</w:t>
            </w: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-14%</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19 .8%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8"/>
              </w:rPr>
              <w:t>-106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Well Construction revenue of $ 2.98 billion declined 12% year on year reflecting lower drilling activity in Mexico, Saudi Arabia, U.S. land, India and offshore West Africa, partially offset by improved performance in United Arab Emirates, Kuwait, Argentina, North Africa and China.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Sequentially, revenue was 9% lower due to seasonal activity reductions across all areas.</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Well Construction pretax operating margin of 20% declined 71 bps year on year and 106 bps sequentially. Reduced activity across North America and international markets contributed to the margin contraction, partially mitigated by the effects of cost efficiencies.</w:t>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2,166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2,471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2,164</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240" w:type="dxa"/>
            <w:vAlign w:val="bottom"/>
          </w:tcPr>
          <w:p>
            <w:pPr>
              <w:spacing w:after="0"/>
              <w:rPr>
                <w:sz w:val="17"/>
                <w:szCs w:val="17"/>
                <w:color w:val="auto"/>
              </w:rPr>
            </w:pPr>
          </w:p>
        </w:tc>
        <w:tc>
          <w:tcPr>
            <w:tcW w:w="90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768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647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2,938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3,197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475</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506</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34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197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Production Systems revenue of $2.94 billion increased 4% year on year due to strong demand for surface production systems, completions and artificial lift along with strong growth in data center infrastructure solutions in North America.</w:t>
      </w:r>
    </w:p>
    <w:p>
      <w:pPr>
        <w:spacing w:after="0" w:line="15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Sequentially, revenue declined 8% driven by seasonally lower sales of artificial lift, midstream and surface production systems and completions, partially offset by higher revenue from data center infrastructure solutions.</w:t>
      </w:r>
    </w:p>
    <w:p>
      <w:pPr>
        <w:spacing w:after="0" w:line="1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Production Systems pretax operating margin of 16% increased 197 bps year on year due to improved profitability across a number of business lines driven by activity mix, execution efficiency and conversion of improved-price backlog.</w:t>
      </w:r>
    </w:p>
    <w:p>
      <w:pPr>
        <w:spacing w:after="0" w:line="154"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Sequentially, pretax operating margin increased by 34 bps due to cost efficiencies and improved profitability particularly in subsea production systems despite seasonally lower sales.</w:t>
      </w:r>
    </w:p>
    <w:p>
      <w:pPr>
        <w:sectPr>
          <w:pgSz w:w="11900" w:h="16838" w:orient="portrait"/>
          <w:cols w:equalWidth="0" w:num="1">
            <w:col w:w="11020"/>
          </w:cols>
          <w:pgMar w:left="440"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424" w:hanging="424"/>
        <w:spacing w:after="0" w:line="22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Mexico, SLB has been awarded a major drilling contract by Australian independent Woodside Energy for its ultra-deepwater Trion development project. SLB will oversee the delivery of 18 ultra-deepwater wells using an integrated services approach and AI-enabled drilling capabilities to improve operational efficiency and well quality. The full scope of the contract includes digital directional drilling services and hardware, logging while drilling (LWD), surface logging, cementing, drilling and completions fluids, completions, and wireline services. Services will begin in early 2026 and will be managed through SLB’s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service delivery centers.</w:t>
      </w:r>
    </w:p>
    <w:p>
      <w:pPr>
        <w:spacing w:after="0" w:line="85"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Norway, SLB has announced an agreement between its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and Vår Energi to deliver a sizeable subsea production systems work scope. This award leverages the existing strategic subsea partnership agreement between the two companies for standardized subsea equipment, supporting multiple upcoming oil and gas developments on the Norwegian Continental Shelf.</w:t>
      </w:r>
    </w:p>
    <w:p>
      <w:pPr>
        <w:spacing w:after="0" w:line="88" w:lineRule="exact"/>
        <w:rPr>
          <w:rFonts w:ascii="Arial" w:cs="Arial" w:eastAsia="Arial" w:hAnsi="Arial"/>
          <w:sz w:val="18"/>
          <w:szCs w:val="18"/>
          <w:color w:val="auto"/>
        </w:rPr>
      </w:pPr>
    </w:p>
    <w:p>
      <w:pPr>
        <w:ind w:left="424" w:right="2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 Norway, SLB, Aker BP, and StimWell Services have extended the Well Intervention and Stimulation Alliance for another five years. Formed in 2019 with the goal of boosting production in the Norwegian Continental Shelf, the alliance has set new benchmarks for safer, more efficient and cost-effective operations. Moving forward, the alliance aims to scale up digital transformation through deeper integration between subsurface and operational domains, expand the use of remote operations, and accelerate the deployment of new technologies.</w:t>
      </w:r>
    </w:p>
    <w:p>
      <w:pPr>
        <w:spacing w:after="0" w:line="81" w:lineRule="exact"/>
        <w:rPr>
          <w:rFonts w:ascii="Arial" w:cs="Arial" w:eastAsia="Arial" w:hAnsi="Arial"/>
          <w:sz w:val="18"/>
          <w:szCs w:val="18"/>
          <w:color w:val="auto"/>
        </w:rPr>
      </w:pPr>
    </w:p>
    <w:p>
      <w:pPr>
        <w:ind w:left="424" w:right="140" w:hanging="424"/>
        <w:spacing w:after="0" w:line="271"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Azerbaijan, bp awarded SLB a two-year contract extension for well construction measurements, fluids and well integrity services. This extension follows a previous three-year award and will run through April 2027.</w:t>
      </w:r>
    </w:p>
    <w:p>
      <w:pPr>
        <w:spacing w:after="0" w:line="59"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Kingdom of Saudi Arabia, Aramco awarded SLB a significant corporate purchase agreement for drilling fluid chemicals. The award covers a comprehensive portfolio, including innovative drilling fluid technologies and pioneering sustainable practices, such as transitioning from wooden pallets to reusable plastic pallets and introducing reusable bags for materials.</w:t>
      </w:r>
    </w:p>
    <w:p>
      <w:pPr>
        <w:spacing w:after="0" w:line="74" w:lineRule="exact"/>
        <w:rPr>
          <w:rFonts w:ascii="Arial" w:cs="Arial" w:eastAsia="Arial" w:hAnsi="Arial"/>
          <w:sz w:val="18"/>
          <w:szCs w:val="18"/>
          <w:color w:val="auto"/>
        </w:rPr>
      </w:pPr>
    </w:p>
    <w:p>
      <w:pPr>
        <w:ind w:left="424" w:right="300" w:hanging="424"/>
        <w:spacing w:after="0" w:line="24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Australia, a consortium of offshore operators has awarded SLB a major service contract for exploration and appraisal, development drilling and plug and abandonment. The contract includes services such as directional drilling, measurement while drilling, LWD, mud logging, drilling fluid, cementing, solids control, wireline, drillstem testing and tubing-conveyed perforating. The contract has a confirmed scope of one year, with an option to renew for an additional two years.</w:t>
      </w:r>
    </w:p>
    <w:p>
      <w:pPr>
        <w:sectPr>
          <w:pgSz w:w="11900" w:h="16838" w:orient="portrait"/>
          <w:cols w:equalWidth="0" w:num="1">
            <w:col w:w="11004"/>
          </w:cols>
          <w:pgMar w:left="436" w:top="269"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right="220" w:hanging="424"/>
        <w:spacing w:after="0" w:line="22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launched EWC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electric well control technologies, which include the pressure on-demand BOP control system, replacing traditional hydraulic systems with an electric power system to reduce capital and operating costs while enhancing the performance and safety of drilling operations. The first EWC technology enables precise, real-time control and monitoring of BOPs (blowout preventers) onshore and offshore, leveraging industrial internet of things (IIoT) components for instant pressure readouts without conventional gauges. This will help customers make better-informed decisions about the operation and maintenance of the well control system.</w:t>
      </w:r>
    </w:p>
    <w:p>
      <w:pPr>
        <w:spacing w:after="0" w:line="85" w:lineRule="exact"/>
        <w:rPr>
          <w:rFonts w:ascii="Arial" w:cs="Arial" w:eastAsia="Arial" w:hAnsi="Arial"/>
          <w:sz w:val="18"/>
          <w:szCs w:val="18"/>
          <w:color w:val="auto"/>
        </w:rPr>
      </w:pPr>
    </w:p>
    <w:p>
      <w:pPr>
        <w:ind w:left="424" w:right="60" w:hanging="424"/>
        <w:spacing w:after="0" w:line="22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introduced NovoSphere</w:t>
      </w:r>
      <w:r>
        <w:rPr>
          <w:rFonts w:ascii="Arial" w:cs="Arial" w:eastAsia="Arial" w:hAnsi="Arial"/>
          <w:sz w:val="26"/>
          <w:szCs w:val="26"/>
          <w:color w:val="auto"/>
          <w:vertAlign w:val="superscript"/>
        </w:rPr>
        <w:t>™</w:t>
      </w:r>
      <w:r>
        <w:rPr>
          <w:rFonts w:ascii="Arial" w:cs="Arial" w:eastAsia="Arial" w:hAnsi="Arial"/>
          <w:sz w:val="18"/>
          <w:szCs w:val="18"/>
          <w:color w:val="auto"/>
        </w:rPr>
        <w:t>, the industry’s only sourceless formation evaluation LWD service, delivering accurate formation density and porosity measurements without a chemical radioactive source. Advanced hardware and digital modeling enable sourceless density measurements for enhanced precision and accuracy across various lithologies. Combined with SLB’s high-speed telemetry system, the NovoSphere service transmits high-quality formation evaluation data to the surface in real time, enabling rapid and informed decisions on optimizing well placement and improving drilling efficiency.</w:t>
      </w:r>
    </w:p>
    <w:p>
      <w:pPr>
        <w:spacing w:after="0" w:line="86" w:lineRule="exact"/>
        <w:rPr>
          <w:rFonts w:ascii="Arial" w:cs="Arial" w:eastAsia="Arial" w:hAnsi="Arial"/>
          <w:sz w:val="18"/>
          <w:szCs w:val="18"/>
          <w:color w:val="auto"/>
        </w:rPr>
      </w:pPr>
    </w:p>
    <w:p>
      <w:pPr>
        <w:ind w:left="424" w:right="14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United Arab Emirates, ADNOC has initiated its electric completions campaign across its Onshore fields, in partnership with SLB. This campaign is a joint commitment to scale up installations and implement high-volume deployment to address drilling challenges and enhance water management, monitoring, control, data transmission and production optimization. Following ADNOC Onshore’s successful installation of six electric interval control valves in Bu Hasa field, the campaign will continue evaluating this technology’s value with additional wells.</w:t>
      </w:r>
    </w:p>
    <w:p>
      <w:pPr>
        <w:spacing w:after="0" w:line="81" w:lineRule="exact"/>
        <w:rPr>
          <w:rFonts w:ascii="Arial" w:cs="Arial" w:eastAsia="Arial" w:hAnsi="Arial"/>
          <w:sz w:val="18"/>
          <w:szCs w:val="18"/>
          <w:color w:val="auto"/>
        </w:rPr>
      </w:pPr>
    </w:p>
    <w:p>
      <w:pPr>
        <w:ind w:left="424" w:right="20" w:hanging="424"/>
        <w:spacing w:after="0" w:line="21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Egypt, SLB and ExxonMobil Egypt (Upstream) Limited uncovered a significant natural gas discovery in the offshore Mediterranean region using Quanta Geo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photorealistic reservoir geology service. With this fast and accurate logging technology, SLB provided critical real-time and post-operation insights to complement the findings of the ExxonMobil team.</w:t>
      </w:r>
    </w:p>
    <w:p>
      <w:pPr>
        <w:spacing w:after="0" w:line="87" w:lineRule="exact"/>
        <w:rPr>
          <w:rFonts w:ascii="Arial" w:cs="Arial" w:eastAsia="Arial" w:hAnsi="Arial"/>
          <w:sz w:val="18"/>
          <w:szCs w:val="18"/>
          <w:color w:val="auto"/>
        </w:rPr>
      </w:pPr>
    </w:p>
    <w:p>
      <w:pPr>
        <w:ind w:left="424"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India, SLB and Cairn Oil &amp; Gas, Vedanta Ltd., successfully implemented the low-temperature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sandstone stimulation solution in its western offshore field to solve productivity challenges caused by traditional acid treatments and stabilization fluids. This innovative low temperature, single-stage sandstone acidizing system improved operational efficiency by reducing fluid volume, storage needs and freshwater use. The treatment led to a remarkable 360% increase in oil production without water cut.</w:t>
      </w:r>
    </w:p>
    <w:p>
      <w:pPr>
        <w:spacing w:after="0" w:line="88" w:lineRule="exact"/>
        <w:rPr>
          <w:rFonts w:ascii="Arial" w:cs="Arial" w:eastAsia="Arial" w:hAnsi="Arial"/>
          <w:sz w:val="18"/>
          <w:szCs w:val="18"/>
          <w:color w:val="auto"/>
        </w:rPr>
      </w:pPr>
    </w:p>
    <w:p>
      <w:pPr>
        <w:ind w:left="424" w:right="200" w:hanging="424"/>
        <w:spacing w:after="0" w:line="22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Kuwait’s Burgan Field, SLB and Kuwait Oil Company (KOC) significantly boosted production while reducing costs using the SLB Hi-Ex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cement platform. This solution provided permanent zonal isolation, eliminating a 94% water cut and increasing productivity by 198% after reperforation. This success marks a major step forward in production enhancement and transforms KOC’s workover planning. The cost-effective approach minimizes intervention time and expenses by avoiding a workover rig for similar wells in the field.</w:t>
      </w:r>
    </w:p>
    <w:p>
      <w:pPr>
        <w:sectPr>
          <w:pgSz w:w="11900" w:h="16838" w:orient="portrait"/>
          <w:cols w:equalWidth="0" w:num="1">
            <w:col w:w="11004"/>
          </w:cols>
          <w:pgMar w:left="436" w:top="269"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54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424" w:right="42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Kuwait, KOC has awarded SLB a five-year contract to support its Kuwait Integrated Digital Field project. This initiative aims to develop a unified digital infrastructure that connects all parties and phases from planning to implementation, using advanced workflows and automation. SLB will deploy artificial intelligence (AI) and machine learning to deliver trend recognition and diagnostics automation. The Pipesim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steady-state multiphase flow simulator will provide real-time rate estimation and evaluate production optimization scenarios.</w:t>
      </w:r>
    </w:p>
    <w:p>
      <w:pPr>
        <w:spacing w:after="0" w:line="86" w:lineRule="exact"/>
        <w:rPr>
          <w:rFonts w:ascii="Arial" w:cs="Arial" w:eastAsia="Arial" w:hAnsi="Arial"/>
          <w:sz w:val="18"/>
          <w:szCs w:val="18"/>
          <w:color w:val="auto"/>
        </w:rPr>
      </w:pPr>
    </w:p>
    <w:p>
      <w:pPr>
        <w:ind w:left="424" w:right="200" w:hanging="424"/>
        <w:spacing w:after="0" w:line="22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announced a partnership with Shell to deploy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across its assets worldwide. The adoption of Petrel software is designed to increase digital capabilities and drive operating cost efficiencies. Shell will use Petrel software powered by advanced AI to deliver seismic interpretation workflows. The deployment aims to standardize infrastructure and workflows and accelerate scalable digital solutions, helping to improve cost operating efficiencies.</w:t>
      </w:r>
    </w:p>
    <w:p>
      <w:pPr>
        <w:spacing w:after="0" w:line="88" w:lineRule="exact"/>
        <w:rPr>
          <w:rFonts w:ascii="Arial" w:cs="Arial" w:eastAsia="Arial" w:hAnsi="Arial"/>
          <w:sz w:val="18"/>
          <w:szCs w:val="18"/>
          <w:color w:val="auto"/>
        </w:rPr>
      </w:pPr>
    </w:p>
    <w:p>
      <w:pPr>
        <w:ind w:left="424" w:right="20" w:hanging="424"/>
        <w:spacing w:after="0" w:line="22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recently launched OptiSite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facility, equipment and pipeline solutions, which will enable end-to-end oversight of an entire production network. The cloud-based solutions pair digital twins with AI to rapidly transform comprehensive data streams. This will allow predictive and advisory insights for individual users tailored to their own role and responsibility. It will help customers to make smarter and more proactive decisions on facility performance and emissions control, including process optimization, asset health and reliability, and pipeline integrity. OptiSite solutions are available on SLB’s cloud-based Delfi digital platform and use the recently launched Lumi data and AI platform to provide continuous access to operational data, including from legacy systems and advanced AI models.</w:t>
      </w:r>
    </w:p>
    <w:p>
      <w:pPr>
        <w:spacing w:after="0" w:line="87" w:lineRule="exact"/>
        <w:rPr>
          <w:rFonts w:ascii="Arial" w:cs="Arial" w:eastAsia="Arial" w:hAnsi="Arial"/>
          <w:sz w:val="18"/>
          <w:szCs w:val="18"/>
          <w:color w:val="auto"/>
        </w:rPr>
      </w:pPr>
    </w:p>
    <w:p>
      <w:pPr>
        <w:ind w:left="424" w:hanging="424"/>
        <w:spacing w:after="0" w:line="21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Argentina, YPF has awarded SLB a contract for production operations optimization software. In the substantial Vaca Muerta shale gas asset, YPF’s surface facilities team will use Olga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dynamic multiphase flow simulator to eliminate surface production bottlenecks during pipeline and facility upgrades.</w:t>
      </w:r>
    </w:p>
    <w:p>
      <w:pPr>
        <w:spacing w:after="0" w:line="87" w:lineRule="exact"/>
        <w:rPr>
          <w:rFonts w:ascii="Arial" w:cs="Arial" w:eastAsia="Arial" w:hAnsi="Arial"/>
          <w:sz w:val="18"/>
          <w:szCs w:val="18"/>
          <w:color w:val="auto"/>
        </w:rPr>
      </w:pPr>
    </w:p>
    <w:p>
      <w:pPr>
        <w:jc w:val="both"/>
        <w:ind w:left="424" w:right="300" w:hanging="424"/>
        <w:spacing w:after="0" w:line="24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Republic of Tanzania, Zanzibar Petroleum Regulatory Authority (ZPRA) awarded SLB a five-year contract to support prospect generation using Petrel subsurface software for geophysical interpretation. This integrated solution will enhance ZPRA’s technical workflows while providing the flexibility to scale with advanced functionalities as needed. By leveraging Petrel software, ZPRA can drive more informed exploration decisions and maximize asset potential.</w:t>
      </w:r>
    </w:p>
    <w:p>
      <w:pPr>
        <w:spacing w:after="0" w:line="79"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Egypt, SLB has signed a master agreement with the Egyptian General Petroleum Corporation (EGPC) to introduce intelligent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on-target well delivery solutions and well analytics. Under this agreement, SLB will provide a suite of advanced digital solutions to EGPC and operators in Egypt. These solutions are designed to optimize well delivery by leveraging real-time data and AI-driven insights to improve decision-making processes, increase efficiency, and minimize nonproductive time.</w:t>
      </w:r>
    </w:p>
    <w:p>
      <w:pPr>
        <w:spacing w:after="0" w:line="88" w:lineRule="exact"/>
        <w:rPr>
          <w:rFonts w:ascii="Arial" w:cs="Arial" w:eastAsia="Arial" w:hAnsi="Arial"/>
          <w:sz w:val="18"/>
          <w:szCs w:val="18"/>
          <w:color w:val="auto"/>
        </w:rPr>
      </w:pPr>
    </w:p>
    <w:p>
      <w:pPr>
        <w:ind w:left="424" w:right="80"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Arab Emirates, Dragon Oil Holdings Limited has signed a contract with SLB to implement the Dataiku AI platform across its global operations. Leveraging SLB’s deep domain expertise and the platform’s advanced capabilities, this collaboration aims to support Dragon Oil’s strategic goals in production optimization, cost reduction and risk mitigation across all managed assets. The scope includes the integration of enterprise data sources from Dragon Oil’s assets, along with training and upskilling of its petrotechnical experts. Additionally, SLB will deploy ready-to-use solutions across subsurface, drilling and production domains, incorporating advanced and secure generative AI solutions for end users.</w:t>
      </w:r>
    </w:p>
    <w:p>
      <w:pPr>
        <w:sectPr>
          <w:pgSz w:w="11900" w:h="16838" w:orient="portrait"/>
          <w:cols w:equalWidth="0" w:num="1">
            <w:col w:w="11024"/>
          </w:cols>
          <w:pgMar w:left="436" w:top="269" w:right="439" w:bottom="1440" w:gutter="0" w:footer="0" w:header="0"/>
        </w:sectPr>
      </w:pPr>
    </w:p>
    <w:bookmarkStart w:id="14" w:name="page15"/>
    <w:bookmarkEnd w:id="14"/>
    <w:p>
      <w:pPr>
        <w:ind w:left="424" w:hanging="424"/>
        <w:spacing w:after="0" w:line="22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Malaysia, Mubadala Energy (SK 320) Ltd, a Mubadala Energy company, awarded SLB a three-year digital transformation contract for intelligent production and health, safety and environment workflows. SLB will deploy its Agora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edge AI and IoT solutions and integrate all collected data into the Lumi platform’s Operations Data Foundation (powered by Cognite Data Fusion), enabling advanced analytics and scalability. The project focuses on AI-driven personal protective equipment monitoring, worker safety and fatigue management for production operations. It also tracks greenhouse gas emissions to enhance sustainability.</w:t>
      </w:r>
    </w:p>
    <w:p>
      <w:pPr>
        <w:spacing w:after="0" w:line="86" w:lineRule="exact"/>
        <w:rPr>
          <w:rFonts w:ascii="Arial" w:cs="Arial" w:eastAsia="Arial" w:hAnsi="Arial"/>
          <w:sz w:val="18"/>
          <w:szCs w:val="18"/>
          <w:color w:val="auto"/>
        </w:rPr>
      </w:pPr>
    </w:p>
    <w:p>
      <w:pPr>
        <w:ind w:left="424" w:right="80" w:hanging="424"/>
        <w:spacing w:after="0" w:line="242"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Indonesia, PT. Pertamina (Persero), a state-owned oil and natural gas corporation, awarded SLB a three-year contract to deploy AI, generative AI and machine learning solutions via the Lumi data and AI platform. The platform, which will be managed by Pertamina Digital Hub, a division operating under PT. Pertamina (Persero), will significantly enhance Pertamina’s decision-making processes, automate several operational tasks and uncover hidden patterns and trends within its data. By leveraging these advanced technologies, Pertamina Digital Hub aims to drive continuous innovation, streamline processes to improve efficiency and, ultimately, gain a sustainable competitive advantage.</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 ENERGY</w:t>
      </w:r>
    </w:p>
    <w:p>
      <w:pPr>
        <w:spacing w:after="0" w:line="104" w:lineRule="exact"/>
        <w:rPr>
          <w:sz w:val="20"/>
          <w:szCs w:val="20"/>
          <w:color w:val="auto"/>
        </w:rPr>
      </w:pPr>
    </w:p>
    <w:p>
      <w:pPr>
        <w:ind w:left="4" w:right="94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20" w:hanging="424"/>
        <w:spacing w:after="0" w:line="225"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Norway, SLB Capturi</w:t>
      </w:r>
      <w:r>
        <w:rPr>
          <w:rFonts w:ascii="Arial" w:cs="Arial" w:eastAsia="Arial" w:hAnsi="Arial"/>
          <w:sz w:val="26"/>
          <w:szCs w:val="26"/>
          <w:color w:val="auto"/>
          <w:vertAlign w:val="superscript"/>
        </w:rPr>
        <w:t>™</w:t>
      </w:r>
      <w:r>
        <w:rPr>
          <w:rFonts w:ascii="Arial" w:cs="Arial" w:eastAsia="Arial" w:hAnsi="Arial"/>
          <w:sz w:val="18"/>
          <w:szCs w:val="18"/>
          <w:color w:val="auto"/>
        </w:rPr>
        <w:t>, in collaboration with Aker Solutions, has been awarded an engineering, procurement, construction, installation and commissioning contract from Hafslund Celsio AS to deliver a carbon capture solution at its waste-to-energy facility in Klemetsrud, Oslo. The contract award includes delivery of a carbon capture plant, liquefaction system, temporary storage, and a loading facility at the waste incineration site. It also includes an intermediate CO</w:t>
      </w:r>
      <w:r>
        <w:rPr>
          <w:rFonts w:ascii="Arial" w:cs="Arial" w:eastAsia="Arial" w:hAnsi="Arial"/>
          <w:sz w:val="13"/>
          <w:szCs w:val="13"/>
          <w:color w:val="auto"/>
        </w:rPr>
        <w:t>2</w:t>
      </w:r>
      <w:r>
        <w:rPr>
          <w:rFonts w:ascii="Arial" w:cs="Arial" w:eastAsia="Arial" w:hAnsi="Arial"/>
          <w:sz w:val="18"/>
          <w:szCs w:val="18"/>
          <w:color w:val="auto"/>
        </w:rPr>
        <w:t xml:space="preserve"> storage and ship loading system at Oslo harbor, from where the CO</w:t>
      </w:r>
      <w:r>
        <w:rPr>
          <w:rFonts w:ascii="Arial" w:cs="Arial" w:eastAsia="Arial" w:hAnsi="Arial"/>
          <w:sz w:val="13"/>
          <w:szCs w:val="13"/>
          <w:color w:val="auto"/>
        </w:rPr>
        <w:t>2</w:t>
      </w:r>
      <w:r>
        <w:rPr>
          <w:rFonts w:ascii="Arial" w:cs="Arial" w:eastAsia="Arial" w:hAnsi="Arial"/>
          <w:sz w:val="18"/>
          <w:szCs w:val="18"/>
          <w:color w:val="auto"/>
        </w:rPr>
        <w:t xml:space="preserve"> will be transported to the Northern Lights permanent storage facility on the Norwegian Continental Shelf. When operational, the carbon capture plant is expected to capture 350,000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w:t>
      </w:r>
    </w:p>
    <w:p>
      <w:pPr>
        <w:spacing w:after="0" w:line="85" w:lineRule="exact"/>
        <w:rPr>
          <w:rFonts w:ascii="Arial" w:cs="Arial" w:eastAsia="Arial" w:hAnsi="Arial"/>
          <w:sz w:val="18"/>
          <w:szCs w:val="18"/>
          <w:color w:val="auto"/>
        </w:rPr>
      </w:pPr>
    </w:p>
    <w:p>
      <w:pPr>
        <w:ind w:left="424" w:right="40" w:hanging="424"/>
        <w:spacing w:after="0" w:line="22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Netherlands, SLB Capturi has completed commissioning and is handing over its modular carbon capture plant at Twence’s Hengelo waste-to-energy facility. The new plant has the capacity to capture up to 100,000 metric tons of CO</w:t>
      </w:r>
      <w:r>
        <w:rPr>
          <w:rFonts w:ascii="Arial" w:cs="Arial" w:eastAsia="Arial" w:hAnsi="Arial"/>
          <w:sz w:val="13"/>
          <w:szCs w:val="13"/>
          <w:color w:val="auto"/>
        </w:rPr>
        <w:t>2</w:t>
      </w:r>
      <w:r>
        <w:rPr>
          <w:rFonts w:ascii="Arial" w:cs="Arial" w:eastAsia="Arial" w:hAnsi="Arial"/>
          <w:sz w:val="18"/>
          <w:szCs w:val="18"/>
          <w:color w:val="auto"/>
        </w:rPr>
        <w:t xml:space="preserve"> per year, which will be used in applications for the horticulture and food and beverage sectors. The carbon capture plant is based on SLB Capturi’s standard, modular Just Catch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design, which reduces onsite installation and outfitting work—providing a more cost-efficient and easier-to-deploy option compared with other market alternatives.</w:t>
      </w:r>
    </w:p>
    <w:p>
      <w:pPr>
        <w:spacing w:after="0" w:line="86" w:lineRule="exact"/>
        <w:rPr>
          <w:rFonts w:ascii="Arial" w:cs="Arial" w:eastAsia="Arial" w:hAnsi="Arial"/>
          <w:sz w:val="18"/>
          <w:szCs w:val="18"/>
          <w:color w:val="auto"/>
        </w:rPr>
      </w:pPr>
    </w:p>
    <w:p>
      <w:pPr>
        <w:ind w:left="424" w:hanging="424"/>
        <w:spacing w:after="0" w:line="242"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and geothermal developer Star Energy Geothermal, a subsidiary of Indonesia’s largest renewable energy company Barito Renewables, announced a collaboration agreement to accelerate advanced technologies for geothermal asset development. The collaboration will combine Star Energy Geothermal’s extensive knowledge of geothermal development with SLB’s decades of experience developing and industrializing technology solutions for the energy sector. Working closely together, SLB and Star Energy Geothermal aim to deploy technologies that shift the economics of conventional geothermal projects and improve recovery rates of geothermal assets.</w:t>
      </w:r>
    </w:p>
    <w:p>
      <w:pPr>
        <w:spacing w:after="0" w:line="84"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Canada, SLB is working with DEEP Earth Energy Production Corp. to develop Canada’s first next-generation geothermal project in southeast Saskatchewan. This collaboration will leverage advanced horizontal drilling and production enhancement technologies to generate up to 30 megawatts of emissions-free baseload power. The project’s innovative engineering design and integrated development model unite developers, technology providers and infrastructure partners to expand the potential of geothermal energy.</w:t>
      </w:r>
    </w:p>
    <w:p>
      <w:pPr>
        <w:sectPr>
          <w:pgSz w:w="11900" w:h="16838" w:orient="portrait"/>
          <w:cols w:equalWidth="0" w:num="1">
            <w:col w:w="10944"/>
          </w:cols>
          <w:pgMar w:left="436" w:top="269" w:right="519" w:bottom="1440" w:gutter="0" w:footer="0" w:header="0"/>
        </w:sectPr>
      </w:pPr>
    </w:p>
    <w:bookmarkStart w:id="15" w:name="page16"/>
    <w:bookmarkEnd w:id="15"/>
    <w:p>
      <w:pPr>
        <w:ind w:left="424" w:hanging="424"/>
        <w:spacing w:after="0" w:line="242"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Romania, ROMGAZ has awarded SLB a contract to convert depleted gas fields into CO</w:t>
      </w:r>
      <w:r>
        <w:rPr>
          <w:rFonts w:ascii="Arial" w:cs="Arial" w:eastAsia="Arial" w:hAnsi="Arial"/>
          <w:sz w:val="13"/>
          <w:szCs w:val="13"/>
          <w:color w:val="auto"/>
        </w:rPr>
        <w:t>2</w:t>
      </w:r>
      <w:r>
        <w:rPr>
          <w:rFonts w:ascii="Arial" w:cs="Arial" w:eastAsia="Arial" w:hAnsi="Arial"/>
          <w:sz w:val="18"/>
          <w:szCs w:val="18"/>
          <w:color w:val="auto"/>
        </w:rPr>
        <w:t xml:space="preserve"> storage facilities, supporting both ROMGAZ’s decarbonization goals and the European Union’s climate objectives. Leveraging its expertise in subsurface characterization and reservoir engineering, SLB will develop a comprehensive framework to identify suitable CO</w:t>
      </w:r>
      <w:r>
        <w:rPr>
          <w:rFonts w:ascii="Arial" w:cs="Arial" w:eastAsia="Arial" w:hAnsi="Arial"/>
          <w:sz w:val="13"/>
          <w:szCs w:val="13"/>
          <w:color w:val="auto"/>
        </w:rPr>
        <w:t>2</w:t>
      </w:r>
      <w:r>
        <w:rPr>
          <w:rFonts w:ascii="Arial" w:cs="Arial" w:eastAsia="Arial" w:hAnsi="Arial"/>
          <w:sz w:val="18"/>
          <w:szCs w:val="18"/>
          <w:color w:val="auto"/>
        </w:rPr>
        <w:t xml:space="preserve"> storage sites, considering geological, technical and regulatory factors. This initiative aims to transform depleted gas reservoirs into viable CO</w:t>
      </w:r>
      <w:r>
        <w:rPr>
          <w:rFonts w:ascii="Arial" w:cs="Arial" w:eastAsia="Arial" w:hAnsi="Arial"/>
          <w:sz w:val="13"/>
          <w:szCs w:val="13"/>
          <w:color w:val="auto"/>
        </w:rPr>
        <w:t>2</w:t>
      </w:r>
      <w:r>
        <w:rPr>
          <w:rFonts w:ascii="Arial" w:cs="Arial" w:eastAsia="Arial" w:hAnsi="Arial"/>
          <w:sz w:val="18"/>
          <w:szCs w:val="18"/>
          <w:color w:val="auto"/>
        </w:rPr>
        <w:t xml:space="preserve"> storage solutions and provides essential support for industries with decarbonization mandates, such as fertilizer, cement and glass production.</w:t>
      </w:r>
    </w:p>
    <w:p>
      <w:pPr>
        <w:sectPr>
          <w:pgSz w:w="11900" w:h="16838" w:orient="portrait"/>
          <w:cols w:equalWidth="0" w:num="1">
            <w:col w:w="10784"/>
          </w:cols>
          <w:pgMar w:left="436" w:top="269" w:right="6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6"/>
          </w:tcPr>
          <w:p>
            <w:pPr>
              <w:ind w:left="1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color w:val="auto"/>
              </w:rPr>
              <w:t>Periods Ended March 31,</w:t>
            </w:r>
          </w:p>
        </w:tc>
        <w:tc>
          <w:tcPr>
            <w:tcW w:w="5980" w:type="dxa"/>
            <w:vAlign w:val="bottom"/>
            <w:vMerge w:val="restart"/>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auto"/>
            </w:tcBorders>
            <w:vMerge w:val="continue"/>
          </w:tcPr>
          <w:p>
            <w:pPr>
              <w:spacing w:after="0"/>
              <w:rPr>
                <w:sz w:val="14"/>
                <w:szCs w:val="14"/>
                <w:color w:val="auto"/>
              </w:rPr>
            </w:pPr>
          </w:p>
        </w:tc>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91"/>
              <w:spacing w:after="0" w:line="142"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8,490</w:t>
            </w:r>
          </w:p>
        </w:tc>
        <w:tc>
          <w:tcPr>
            <w:tcW w:w="78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8,707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6,884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172</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280" w:type="dxa"/>
            <w:vAlign w:val="bottom"/>
          </w:tcPr>
          <w:p>
            <w:pPr>
              <w:spacing w:after="0"/>
              <w:rPr>
                <w:sz w:val="17"/>
                <w:szCs w:val="17"/>
                <w:color w:val="auto"/>
              </w:rPr>
            </w:pPr>
          </w:p>
        </w:tc>
        <w:tc>
          <w:tcPr>
            <w:tcW w:w="1780" w:type="dxa"/>
            <w:vAlign w:val="bottom"/>
            <w:gridSpan w:val="3"/>
          </w:tcPr>
          <w:p>
            <w:pPr>
              <w:jc w:val="right"/>
              <w:ind w:right="780"/>
              <w:spacing w:after="0" w:line="202" w:lineRule="exact"/>
              <w:rPr>
                <w:sz w:val="20"/>
                <w:szCs w:val="20"/>
                <w:color w:val="auto"/>
              </w:rPr>
            </w:pPr>
            <w:r>
              <w:rPr>
                <w:rFonts w:ascii="Arial" w:cs="Arial" w:eastAsia="Arial" w:hAnsi="Arial"/>
                <w:sz w:val="18"/>
                <w:szCs w:val="18"/>
                <w:b w:val="1"/>
                <w:bCs w:val="1"/>
                <w:color w:val="auto"/>
              </w:rPr>
              <w:t>96</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48</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&amp; other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147</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234</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829</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780"/>
              <w:spacing w:after="0" w:line="202" w:lineRule="exact"/>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0.58</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1,366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1,380</w:t>
            </w:r>
          </w:p>
        </w:tc>
        <w:tc>
          <w:tcPr>
            <w:tcW w:w="780" w:type="dxa"/>
            <w:vAlign w:val="bottom"/>
            <w:gridSpan w:val="2"/>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2"/>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640</w:t>
            </w:r>
          </w:p>
        </w:tc>
        <w:tc>
          <w:tcPr>
            <w:tcW w:w="2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3,897</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8,604</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4,650</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1,444</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18,595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1,641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7,399</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14,637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2,963</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3,767</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49,002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10,221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936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3,475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15,036</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10,527</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2,691</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28,254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20,748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22,350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49,002</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Liquidity</w:t>
            </w:r>
          </w:p>
        </w:tc>
        <w:tc>
          <w:tcPr>
            <w:tcW w:w="53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w w:val="99"/>
              </w:rPr>
              <w:t>Mar. 31,</w:t>
            </w:r>
          </w:p>
        </w:tc>
        <w:tc>
          <w:tcPr>
            <w:tcW w:w="1120" w:type="dxa"/>
            <w:vAlign w:val="bottom"/>
            <w:gridSpan w:val="3"/>
          </w:tcPr>
          <w:p>
            <w:pPr>
              <w:jc w:val="right"/>
              <w:ind w:right="421"/>
              <w:spacing w:after="0"/>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4"/>
                <w:szCs w:val="14"/>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4"/>
                <w:szCs w:val="14"/>
                <w:color w:val="auto"/>
                <w:w w:val="97"/>
              </w:rPr>
              <w:t>Mar. 31,</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line="158" w:lineRule="exact"/>
              <w:rPr>
                <w:sz w:val="20"/>
                <w:szCs w:val="20"/>
                <w:color w:val="auto"/>
              </w:rPr>
            </w:pPr>
            <w:r>
              <w:rPr>
                <w:rFonts w:ascii="Arial" w:cs="Arial" w:eastAsia="Arial" w:hAnsi="Arial"/>
                <w:sz w:val="14"/>
                <w:szCs w:val="14"/>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6"/>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3,897</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4,669</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b w:val="1"/>
                <w:bCs w:val="1"/>
                <w:color w:val="auto"/>
              </w:rPr>
              <w:t>(3,475)</w:t>
            </w:r>
          </w:p>
        </w:tc>
        <w:tc>
          <w:tcPr>
            <w:tcW w:w="100" w:type="dxa"/>
            <w:vAlign w:val="bottom"/>
          </w:tcPr>
          <w:p>
            <w:pPr>
              <w:spacing w:after="0"/>
              <w:rPr>
                <w:sz w:val="17"/>
                <w:szCs w:val="17"/>
                <w:color w:val="auto"/>
              </w:rPr>
            </w:pPr>
          </w:p>
        </w:tc>
        <w:tc>
          <w:tcPr>
            <w:tcW w:w="102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(1,051)</w:t>
            </w:r>
          </w:p>
        </w:tc>
        <w:tc>
          <w:tcPr>
            <w:tcW w:w="1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b w:val="1"/>
                <w:bCs w:val="1"/>
                <w:color w:val="auto"/>
              </w:rPr>
              <w:t>(10,527)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w w:val="98"/>
              </w:rPr>
              <w:t>(11,023)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(10,740)</w:t>
            </w:r>
          </w:p>
        </w:tc>
        <w:tc>
          <w:tcPr>
            <w:tcW w:w="0" w:type="dxa"/>
            <w:vAlign w:val="bottom"/>
          </w:tcPr>
          <w:p>
            <w:pPr>
              <w:spacing w:after="0"/>
              <w:rPr>
                <w:sz w:val="1"/>
                <w:szCs w:val="1"/>
                <w:color w:val="auto"/>
              </w:rPr>
            </w:pPr>
          </w:p>
        </w:tc>
      </w:tr>
      <w:tr>
        <w:trPr>
          <w:trHeight w:val="209"/>
        </w:trPr>
        <w:tc>
          <w:tcPr>
            <w:tcW w:w="7020" w:type="dxa"/>
            <w:vAlign w:val="bottom"/>
            <w:gridSpan w:val="2"/>
          </w:tcPr>
          <w:p>
            <w:pPr>
              <w:spacing w:after="0" w:line="210" w:lineRule="exact"/>
              <w:rPr>
                <w:sz w:val="20"/>
                <w:szCs w:val="20"/>
                <w:color w:val="auto"/>
              </w:rPr>
            </w:pPr>
            <w:r>
              <w:rPr>
                <w:rFonts w:ascii="Arial" w:cs="Arial" w:eastAsia="Arial" w:hAnsi="Arial"/>
                <w:sz w:val="17"/>
                <w:szCs w:val="17"/>
                <w:color w:val="auto"/>
              </w:rPr>
              <w:t>Net Debt</w:t>
            </w:r>
            <w:r>
              <w:rPr>
                <w:rFonts w:ascii="Arial" w:cs="Arial" w:eastAsia="Arial" w:hAnsi="Arial"/>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(10,105</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Three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color w:val="auto"/>
              </w:rPr>
              <w:t>Three</w:t>
            </w:r>
          </w:p>
        </w:tc>
        <w:tc>
          <w:tcPr>
            <w:tcW w:w="0" w:type="dxa"/>
            <w:vAlign w:val="bottom"/>
          </w:tcPr>
          <w:p>
            <w:pPr>
              <w:spacing w:after="0"/>
              <w:rPr>
                <w:sz w:val="1"/>
                <w:szCs w:val="1"/>
                <w:color w:val="auto"/>
              </w:rPr>
            </w:pPr>
          </w:p>
        </w:tc>
      </w:tr>
      <w:tr>
        <w:trPr>
          <w:trHeight w:val="162"/>
        </w:trPr>
        <w:tc>
          <w:tcPr>
            <w:tcW w:w="676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67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31"/>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5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829</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Change in working capital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4"/>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Cash flow from operations</w:t>
            </w:r>
          </w:p>
        </w:tc>
        <w:tc>
          <w:tcPr>
            <w:tcW w:w="6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APS investments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(3)</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Stock repurchase program</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(2,300)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in net debt before impact of changes in foreign exchange rates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(2,592)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in Net Debt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(7,405)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4"/>
              </w:rPr>
              <w:t>(7,976)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(10,105)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4"/>
              </w:rPr>
              <w:t>(8,679)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6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2025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19"/>
          </w:tcPr>
          <w:p>
            <w:pPr>
              <w:jc w:val="right"/>
              <w:ind w:right="6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6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First Quarter 2025</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6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5"/>
          </w:tcPr>
          <w:p>
            <w:pPr>
              <w:jc w:val="right"/>
              <w:ind w:right="100"/>
              <w:spacing w:after="0" w:line="147" w:lineRule="exact"/>
              <w:rPr>
                <w:sz w:val="20"/>
                <w:szCs w:val="20"/>
                <w:color w:val="auto"/>
              </w:rPr>
            </w:pPr>
            <w:r>
              <w:rPr>
                <w:rFonts w:ascii="Arial" w:cs="Arial" w:eastAsia="Arial" w:hAnsi="Arial"/>
                <w:sz w:val="14"/>
                <w:szCs w:val="14"/>
                <w:color w:val="auto"/>
              </w:rPr>
              <w:t>Noncont.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Pretax</w:t>
            </w:r>
          </w:p>
        </w:tc>
        <w:tc>
          <w:tcPr>
            <w:tcW w:w="260" w:type="dxa"/>
            <w:vAlign w:val="bottom"/>
          </w:tcPr>
          <w:p>
            <w:pPr>
              <w:spacing w:after="0"/>
              <w:rPr>
                <w:sz w:val="14"/>
                <w:szCs w:val="14"/>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4"/>
                <w:szCs w:val="14"/>
                <w:color w:val="auto"/>
              </w:rPr>
            </w:pPr>
          </w:p>
        </w:tc>
        <w:tc>
          <w:tcPr>
            <w:tcW w:w="760" w:type="dxa"/>
            <w:vAlign w:val="bottom"/>
            <w:gridSpan w:val="5"/>
          </w:tcPr>
          <w:p>
            <w:pPr>
              <w:jc w:val="right"/>
              <w:ind w:right="12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color w:val="auto"/>
              </w:rPr>
              <w:t>EPS</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$1,063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158</w:t>
            </w:r>
          </w:p>
        </w:tc>
        <w:tc>
          <w:tcPr>
            <w:tcW w:w="8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8"/>
              </w:rPr>
              <w:t>— 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664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8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2"/>
          </w:tcPr>
          <w:p>
            <w:pPr>
              <w:jc w:val="center"/>
              <w:ind w:right="460"/>
              <w:spacing w:after="0"/>
              <w:rPr>
                <w:sz w:val="20"/>
                <w:szCs w:val="20"/>
                <w:color w:val="auto"/>
              </w:rPr>
            </w:pPr>
            <w:r>
              <w:rPr>
                <w:rFonts w:ascii="Arial" w:cs="Arial" w:eastAsia="Arial" w:hAnsi="Arial"/>
                <w:sz w:val="14"/>
                <w:szCs w:val="14"/>
                <w:b w:val="1"/>
                <w:bCs w:val="1"/>
                <w:color w:val="auto"/>
              </w:rPr>
              <w:t>First Quarter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6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color w:val="auto"/>
              </w:rPr>
              <w:t>Pretax</w:t>
            </w:r>
          </w:p>
        </w:tc>
        <w:tc>
          <w:tcPr>
            <w:tcW w:w="560" w:type="dxa"/>
            <w:vAlign w:val="bottom"/>
            <w:gridSpan w:val="3"/>
          </w:tcPr>
          <w:p>
            <w:pPr>
              <w:jc w:val="right"/>
              <w:ind w:right="2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EPS</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$1,357</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$1,068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64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68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6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265</w:t>
            </w:r>
          </w:p>
        </w:tc>
        <w:tc>
          <w:tcPr>
            <w:tcW w:w="440" w:type="dxa"/>
            <w:vAlign w:val="bottom"/>
            <w:gridSpan w:val="2"/>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0.75</w:t>
            </w:r>
          </w:p>
        </w:tc>
      </w:tr>
      <w:tr>
        <w:trPr>
          <w:trHeight w:val="20"/>
        </w:trPr>
        <w:tc>
          <w:tcPr>
            <w:tcW w:w="6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Fourth Quarter 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color w:val="auto"/>
              </w:rPr>
              <w:t>Noncont.</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$269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$1,095</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$ 0.77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4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Asset impairments </w:t>
            </w:r>
            <w:r>
              <w:rPr>
                <w:rFonts w:ascii="Arial" w:cs="Arial" w:eastAsia="Arial" w:hAnsi="Arial"/>
                <w:sz w:val="23"/>
                <w:szCs w:val="23"/>
                <w:color w:val="auto"/>
                <w:vertAlign w:val="superscript"/>
              </w:rPr>
              <w:t>(1)</w:t>
            </w: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162</w:t>
            </w: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4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63</w:t>
            </w:r>
          </w:p>
        </w:tc>
        <w:tc>
          <w:tcPr>
            <w:tcW w:w="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4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4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Gain on sale of investment </w:t>
            </w:r>
            <w:r>
              <w:rPr>
                <w:rFonts w:ascii="Arial" w:cs="Arial" w:eastAsia="Arial" w:hAnsi="Arial"/>
                <w:sz w:val="23"/>
                <w:szCs w:val="23"/>
                <w:color w:val="auto"/>
                <w:vertAlign w:val="superscript"/>
              </w:rPr>
              <w:t>(4)</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color w:val="auto"/>
              </w:rPr>
              <w:t>SLB net income, excluding charges &amp; credits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w:t>
            </w: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308</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$ 1,311</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6840" w:type="dxa"/>
            <w:vAlign w:val="bottom"/>
            <w:vMerge w:val="restart"/>
          </w:tcPr>
          <w:p>
            <w:pPr>
              <w:ind w:left="200"/>
              <w:spacing w:after="0"/>
              <w:rPr>
                <w:sz w:val="20"/>
                <w:szCs w:val="20"/>
                <w:color w:val="auto"/>
              </w:rPr>
            </w:pPr>
            <w:r>
              <w:rPr>
                <w:rFonts w:ascii="Arial" w:cs="Arial" w:eastAsia="Arial" w:hAnsi="Arial"/>
                <w:sz w:val="18"/>
                <w:szCs w:val="18"/>
                <w:color w:val="auto"/>
              </w:rPr>
              <w:t>Does not add due to rounding.</w:t>
            </w: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20" w:type="dxa"/>
            <w:vAlign w:val="bottom"/>
            <w:vMerge w:val="continue"/>
          </w:tcPr>
          <w:p>
            <w:pPr>
              <w:spacing w:after="0"/>
              <w:rPr>
                <w:sz w:val="24"/>
                <w:szCs w:val="24"/>
                <w:color w:val="auto"/>
              </w:rPr>
            </w:pPr>
          </w:p>
        </w:tc>
        <w:tc>
          <w:tcPr>
            <w:tcW w:w="6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640" w:hanging="424"/>
        <w:spacing w:after="0" w:line="187"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$14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$11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7"/>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rPr>
              <w:t>Mar. 31, 2025</w:t>
            </w:r>
          </w:p>
        </w:tc>
        <w:tc>
          <w:tcPr>
            <w:tcW w:w="100" w:type="dxa"/>
            <w:vAlign w:val="bottom"/>
          </w:tcPr>
          <w:p>
            <w:pPr>
              <w:spacing w:after="0"/>
              <w:rPr>
                <w:sz w:val="13"/>
                <w:szCs w:val="13"/>
                <w:color w:val="auto"/>
              </w:rPr>
            </w:pPr>
          </w:p>
        </w:tc>
        <w:tc>
          <w:tcPr>
            <w:tcW w:w="1520" w:type="dxa"/>
            <w:vAlign w:val="bottom"/>
            <w:gridSpan w:val="5"/>
          </w:tcPr>
          <w:p>
            <w:pPr>
              <w:jc w:val="right"/>
              <w:ind w:right="380"/>
              <w:spacing w:after="0" w:line="155" w:lineRule="exact"/>
              <w:rPr>
                <w:sz w:val="20"/>
                <w:szCs w:val="20"/>
                <w:color w:val="auto"/>
              </w:rPr>
            </w:pPr>
            <w:r>
              <w:rPr>
                <w:rFonts w:ascii="Arial" w:cs="Arial" w:eastAsia="Arial" w:hAnsi="Arial"/>
                <w:sz w:val="14"/>
                <w:szCs w:val="14"/>
                <w:color w:val="auto"/>
              </w:rPr>
              <w:t>Dec. 31, 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170"/>
              <w:spacing w:after="0" w:line="155" w:lineRule="exact"/>
              <w:rPr>
                <w:sz w:val="20"/>
                <w:szCs w:val="20"/>
                <w:color w:val="auto"/>
              </w:rPr>
            </w:pPr>
            <w:r>
              <w:rPr>
                <w:rFonts w:ascii="Arial" w:cs="Arial" w:eastAsia="Arial" w:hAnsi="Arial"/>
                <w:sz w:val="14"/>
                <w:szCs w:val="14"/>
                <w:color w:val="auto"/>
              </w:rPr>
              <w:t>Mar. 31,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$ 1,006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$ 1,156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3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282</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1,810</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2,977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589</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36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2,938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475</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3,197</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(96)</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$ 8,490</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1,063</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$ 9,284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1,387</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8,707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1,357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expected to be approximately $2.3 billion. This amount is excluding any impact from the anticipated closure of the announced acquisition of ChampionX.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first quarter of 2025?</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2025 was $660 million and free cash flow was $103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first quarter of 2025?</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first quarter of 2025 was $78 million. This consisted of interest income of $36 million and earnings of equity method investments of $42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2025?</w:t>
      </w:r>
    </w:p>
    <w:p>
      <w:pPr>
        <w:spacing w:after="0" w:line="103" w:lineRule="exact"/>
        <w:rPr>
          <w:rFonts w:ascii="Arial" w:cs="Arial" w:eastAsia="Arial" w:hAnsi="Arial"/>
          <w:sz w:val="18"/>
          <w:szCs w:val="18"/>
          <w:b w:val="1"/>
          <w:bCs w:val="1"/>
          <w:color w:val="auto"/>
        </w:rPr>
      </w:pPr>
    </w:p>
    <w:p>
      <w:pPr>
        <w:ind w:left="444" w:right="7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$36 million for the first quarter of 2025 decreased $9 million sequentially. Interest expense of $147 million increased $16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2025?</w:t>
      </w:r>
    </w:p>
    <w:p>
      <w:pPr>
        <w:spacing w:after="0" w:line="103"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2025, calculated in accordance with GAAP, was 22.0% as compared to 19.4% for the fourth quarter of 2024. Excluding charges and credits, the ETR for the first quarter of 2025 was 19.4% as compared to 18.7% for the fourth quarter of 2024.</w:t>
      </w:r>
    </w:p>
    <w:p>
      <w:pPr>
        <w:spacing w:after="0" w:line="74"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March 31, 2025,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4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1.360 billion shares of common stock outstanding as of March 31, 2025, and 1.401 billion shares outstanding as of December 31,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December 31,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Shares issued under employee stock purchase plan</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March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4"/>
          </w:cols>
          <w:pgMar w:left="436" w:top="269" w:right="479" w:bottom="1440" w:gutter="0" w:footer="0" w:header="0"/>
        </w:sectPr>
      </w:pPr>
    </w:p>
    <w:bookmarkStart w:id="22" w:name="page23"/>
    <w:bookmarkEnd w:id="22"/>
    <w:p>
      <w:pPr>
        <w:ind w:left="424" w:hanging="424"/>
        <w:spacing w:after="0" w:line="257"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first quarter of 2025 and fourth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1.366 billion during the first quarter of 2025 and 1.406 billion during the fourth quarter of 2024.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60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Fourth Quarter</w:t>
            </w:r>
          </w:p>
        </w:tc>
      </w:tr>
      <w:tr>
        <w:trPr>
          <w:trHeight w:val="171"/>
        </w:trPr>
        <w:tc>
          <w:tcPr>
            <w:tcW w:w="586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560" w:type="dxa"/>
            <w:vAlign w:val="bottom"/>
            <w:gridSpan w:val="2"/>
          </w:tcPr>
          <w:p>
            <w:pPr>
              <w:jc w:val="right"/>
              <w:ind w:right="236"/>
              <w:spacing w:after="0"/>
              <w:rPr>
                <w:sz w:val="20"/>
                <w:szCs w:val="20"/>
                <w:color w:val="auto"/>
              </w:rPr>
            </w:pPr>
            <w:r>
              <w:rPr>
                <w:rFonts w:ascii="Arial" w:cs="Arial" w:eastAsia="Arial" w:hAnsi="Arial"/>
                <w:sz w:val="14"/>
                <w:szCs w:val="14"/>
                <w:color w:val="auto"/>
              </w:rPr>
              <w:t>2024</w:t>
            </w:r>
          </w:p>
        </w:tc>
        <w:tc>
          <w:tcPr>
            <w:tcW w:w="40" w:type="dxa"/>
            <w:vAlign w:val="bottom"/>
          </w:tcPr>
          <w:p>
            <w:pPr>
              <w:spacing w:after="0"/>
              <w:rPr>
                <w:sz w:val="14"/>
                <w:szCs w:val="14"/>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1,366</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1,406</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1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9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— </w:t>
            </w:r>
          </w:p>
        </w:tc>
        <w:tc>
          <w:tcPr>
            <w:tcW w:w="1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first quarter of 2025, the fourth quarter of 2024, and the first quarter of 2024? What was SLB’s adjusted EBITDA margin for those periods?</w:t>
      </w:r>
    </w:p>
    <w:p>
      <w:pPr>
        <w:spacing w:after="0" w:line="28" w:lineRule="exact"/>
        <w:rPr>
          <w:rFonts w:ascii="Arial" w:cs="Arial" w:eastAsia="Arial" w:hAnsi="Arial"/>
          <w:sz w:val="18"/>
          <w:szCs w:val="18"/>
          <w:b w:val="1"/>
          <w:bCs w:val="1"/>
          <w:color w:val="auto"/>
        </w:rPr>
      </w:pPr>
    </w:p>
    <w:p>
      <w:pPr>
        <w:ind w:left="444"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$2.020 billion in the first quarter of 2025, $2.382 billion in the fourth quarter of 2024, and $2.057 billion in the first quarter of 2024.</w:t>
      </w:r>
    </w:p>
    <w:p>
      <w:pPr>
        <w:spacing w:after="0" w:line="45" w:lineRule="exact"/>
        <w:rPr>
          <w:rFonts w:ascii="Arial" w:cs="Arial" w:eastAsia="Arial" w:hAnsi="Arial"/>
          <w:sz w:val="18"/>
          <w:szCs w:val="18"/>
          <w:b w:val="1"/>
          <w:bCs w:val="1"/>
          <w:color w:val="auto"/>
        </w:rPr>
      </w:pPr>
    </w:p>
    <w:p>
      <w:pPr>
        <w:ind w:left="444"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margin was 23.8% in the first quarter of 2025, 25.7% in the fourth quarter of 2024, and 23.6% in the first quarter of 2024.</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gridSpan w:val="4"/>
          </w:tcPr>
          <w:p>
            <w:pPr>
              <w:ind w:left="500"/>
              <w:spacing w:after="0"/>
              <w:rPr>
                <w:sz w:val="20"/>
                <w:szCs w:val="20"/>
                <w:color w:val="auto"/>
              </w:rPr>
            </w:pPr>
            <w:r>
              <w:rPr>
                <w:rFonts w:ascii="Arial" w:cs="Arial" w:eastAsia="Arial" w:hAnsi="Arial"/>
                <w:sz w:val="14"/>
                <w:szCs w:val="14"/>
                <w:b w:val="1"/>
                <w:bCs w:val="1"/>
                <w:color w:val="auto"/>
              </w:rPr>
              <w:t>First Quarter</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Fourth Quarter</w:t>
            </w:r>
          </w:p>
        </w:tc>
        <w:tc>
          <w:tcPr>
            <w:tcW w:w="1500" w:type="dxa"/>
            <w:vAlign w:val="bottom"/>
            <w:gridSpan w:val="4"/>
          </w:tcPr>
          <w:p>
            <w:pPr>
              <w:ind w:left="46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5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234</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206</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2,020</w:t>
            </w:r>
          </w:p>
        </w:tc>
        <w:tc>
          <w:tcPr>
            <w:tcW w:w="4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2,382</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8,490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23.8%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ectPr>
          <w:pgSz w:w="11900" w:h="16838" w:orient="portrait"/>
          <w:cols w:equalWidth="0" w:num="1">
            <w:col w:w="10944"/>
          </w:cols>
          <w:pgMar w:left="436" w:top="269" w:right="519" w:bottom="1440" w:gutter="0" w:footer="0" w:header="0"/>
        </w:sectPr>
      </w:pPr>
    </w:p>
    <w:bookmarkStart w:id="23" w:name="page24"/>
    <w:bookmarkEnd w:id="23"/>
    <w:p>
      <w:pPr>
        <w:ind w:left="424" w:right="48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first quarter of 2025, the fourth quarter of 2024, and the first quarter of 2024?</w:t>
      </w:r>
    </w:p>
    <w:p>
      <w:pPr>
        <w:spacing w:after="0" w:line="28"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first quarter of 2025, the fourth quarter of 2024, and the first quarter of 2024 were as follows:</w:t>
      </w:r>
    </w:p>
    <w:p>
      <w:pPr>
        <w:sectPr>
          <w:pgSz w:w="11900" w:h="16838" w:orient="portrait"/>
          <w:cols w:equalWidth="0" w:num="1">
            <w:col w:w="11024"/>
          </w:cols>
          <w:pgMar w:left="436" w:top="2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620" w:type="dxa"/>
            <w:vAlign w:val="bottom"/>
            <w:gridSpan w:val="3"/>
          </w:tcPr>
          <w:p>
            <w:pPr>
              <w:ind w:left="680"/>
              <w:spacing w:after="0"/>
              <w:rPr>
                <w:sz w:val="20"/>
                <w:szCs w:val="20"/>
                <w:color w:val="auto"/>
              </w:rPr>
            </w:pPr>
            <w:r>
              <w:rPr>
                <w:rFonts w:ascii="Arial" w:cs="Arial" w:eastAsia="Arial" w:hAnsi="Arial"/>
                <w:sz w:val="14"/>
                <w:szCs w:val="14"/>
                <w:color w:val="auto"/>
              </w:rPr>
              <w:t>Fourth Quarter</w:t>
            </w:r>
          </w:p>
        </w:tc>
        <w:tc>
          <w:tcPr>
            <w:tcW w:w="1500" w:type="dxa"/>
            <w:vAlign w:val="bottom"/>
            <w:gridSpan w:val="3"/>
          </w:tcPr>
          <w:p>
            <w:pPr>
              <w:ind w:left="680"/>
              <w:spacing w:after="0"/>
              <w:rPr>
                <w:sz w:val="20"/>
                <w:szCs w:val="20"/>
                <w:color w:val="auto"/>
              </w:rPr>
            </w:pPr>
            <w:r>
              <w:rPr>
                <w:rFonts w:ascii="Arial" w:cs="Arial" w:eastAsia="Arial" w:hAnsi="Arial"/>
                <w:sz w:val="14"/>
                <w:szCs w:val="14"/>
                <w:color w:val="auto"/>
              </w:rPr>
              <w:t>First Quarter</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2024</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2024</w:t>
            </w:r>
          </w:p>
        </w:tc>
      </w:tr>
      <w:tr>
        <w:trPr>
          <w:trHeight w:val="177"/>
        </w:trPr>
        <w:tc>
          <w:tcPr>
            <w:tcW w:w="2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397</w:t>
            </w:r>
          </w:p>
        </w:tc>
        <w:tc>
          <w:tcPr>
            <w:tcW w:w="680" w:type="dxa"/>
            <w:vAlign w:val="bottom"/>
          </w:tcPr>
          <w:p>
            <w:pPr>
              <w:spacing w:after="0"/>
              <w:rPr>
                <w:sz w:val="15"/>
                <w:szCs w:val="15"/>
                <w:color w:val="auto"/>
              </w:rPr>
            </w:pPr>
          </w:p>
        </w:tc>
        <w:tc>
          <w:tcPr>
            <w:tcW w:w="20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396</w:t>
            </w:r>
          </w:p>
        </w:tc>
        <w:tc>
          <w:tcPr>
            <w:tcW w:w="70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377</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21"/>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-693420</wp:posOffset>
            </wp:positionV>
            <wp:extent cx="587184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-427990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-153670</wp:posOffset>
            </wp:positionV>
            <wp:extent cx="587184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4" w:space="720"/>
            <w:col w:w="4940"/>
          </w:cols>
          <w:pgMar w:left="436" w:top="269" w:right="439" w:bottom="1440" w:gutter="0" w:footer="0" w:header="0"/>
          <w:type w:val="continuous"/>
        </w:sectPr>
      </w:pPr>
    </w:p>
    <w:p>
      <w:pPr>
        <w:spacing w:after="0" w:line="38" w:lineRule="exact"/>
        <w:rPr>
          <w:sz w:val="20"/>
          <w:szCs w:val="20"/>
          <w:color w:val="auto"/>
        </w:rPr>
      </w:pPr>
    </w:p>
    <w:p>
      <w:pPr>
        <w:ind w:left="424" w:right="64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were their revenue and pretax operating income for the first quarter of 2025, the fourth quarter of 2024, and the first quarter of 2024?</w:t>
      </w:r>
    </w:p>
    <w:p>
      <w:pPr>
        <w:spacing w:after="0" w:line="28"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first quarter of 2025, the fourth quarter of 2024, and the first quarter of 2024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18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1,700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1,810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3,267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2,938</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3,197</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7,615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8,274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7,911</w:t>
            </w:r>
          </w:p>
        </w:tc>
        <w:tc>
          <w:tcPr>
            <w:tcW w:w="78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681</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475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1,346</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1,557</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1,429</w:t>
            </w:r>
          </w:p>
        </w:tc>
        <w:tc>
          <w:tcPr>
            <w:tcW w:w="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18.1%</w:t>
            </w:r>
          </w:p>
        </w:tc>
        <w:tc>
          <w:tcPr>
            <w:tcW w:w="7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5"/>
              </w:rPr>
              <w:t>-116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- 40 bps</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type w:val="continuous"/>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left="4"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April 25, 2025. The call is scheduled to begin at 9:30 a.m. U.S. Eastern time. To access the call, which is open to the public, please contact the conference call operator at +1</w:t>
      </w:r>
    </w:p>
    <w:p>
      <w:pPr>
        <w:spacing w:after="0" w:line="1" w:lineRule="exact"/>
        <w:rPr>
          <w:sz w:val="20"/>
          <w:szCs w:val="20"/>
          <w:color w:val="auto"/>
        </w:rPr>
      </w:pPr>
    </w:p>
    <w:p>
      <w:pPr>
        <w:ind w:left="4" w:right="120" w:hanging="4"/>
        <w:spacing w:after="0" w:line="239"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470-1428 within North America, or +1 (404) 975-4839 outside of North America, approximately 10 minutes prior to the call’s scheduled start time, and provide the access code 114893. At the conclusion of the conference call, an audio replay will be available until May 2, 2025, by dialling +1 (866) 813-9403 within North America, or +1 (929) 458-6194 outside of North America, and providing the access code 541892. The conference call will be webcasted simultaneously at https://events.q4inc.com/attendee/581727555 on a listen-only basis. A replay of the webcast will also be available at the same website until May 2, 2025.</w:t>
      </w:r>
    </w:p>
    <w:p>
      <w:pPr>
        <w:sectPr>
          <w:pgSz w:w="11900" w:h="16838" w:orient="portrait"/>
          <w:cols w:equalWidth="0" w:num="1">
            <w:col w:w="11004"/>
          </w:cols>
          <w:pgMar w:left="436" w:top="269" w:right="45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60"/>
          </w:cols>
          <w:pgMar w:left="436" w:top="269" w:right="459" w:bottom="1440" w:gutter="0" w:footer="0" w:header="0"/>
          <w:type w:val="continuous"/>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This first-quarter 2025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ectPr>
          <w:pgSz w:w="11900" w:h="16838" w:orient="portrait"/>
          <w:cols w:equalWidth="0" w:num="1">
            <w:col w:w="11004"/>
          </w:cols>
          <w:pgMar w:left="436" w:top="269" w:right="459" w:bottom="1440" w:gutter="0" w:footer="0" w:header="0"/>
          <w:type w:val="continuous"/>
        </w:sectPr>
      </w:pPr>
    </w:p>
    <w:bookmarkStart w:id="25" w:name="page26"/>
    <w:bookmarkEnd w:id="25"/>
    <w:p>
      <w:pPr>
        <w:ind w:right="4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can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4"/>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ldblquote"/>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8"/>
    </w:lvl>
  </w:abstractNum>
  <w:abstractNum w:abstractNumId="18">
    <w:nsid w:val="436C6125"/>
    <w:multiLevelType w:val="hybridMultilevel"/>
    <w:lvl w:ilvl="0">
      <w:lvlJc w:val="left"/>
      <w:lvlText w:val="%1)"/>
      <w:numFmt w:val="decimal"/>
      <w:start w:val="9"/>
    </w:lvl>
  </w:abstractNum>
  <w:abstractNum w:abstractNumId="19">
    <w:nsid w:val="628C895D"/>
    <w:multiLevelType w:val="hybridMultilevel"/>
    <w:lvl w:ilvl="0">
      <w:lvlJc w:val="left"/>
      <w:lvlText w:val="%1)"/>
      <w:numFmt w:val="decimal"/>
      <w:start w:val="10"/>
    </w:lvl>
  </w:abstractNum>
  <w:abstractNum w:abstractNumId="20">
    <w:nsid w:val="333AB105"/>
    <w:multiLevelType w:val="hybridMultilevel"/>
    <w:lvl w:ilvl="0">
      <w:lvlJc w:val="left"/>
      <w:lvlText w:val="%1)"/>
      <w:numFmt w:val="decimal"/>
      <w:start w:val="11"/>
    </w:lvl>
  </w:abstractNum>
  <w:abstractNum w:abstractNumId="21">
    <w:nsid w:val="721DA317"/>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2025-04-25T07:08:40Z</dcterms:created>
  <dcterms:modified xsi:type="dcterms:W3CDTF">2025-04-25T07:08:40Z</dcterms:modified>
</cp:coreProperties>
</file>