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333-248675</w:t>
      </w:r>
    </w:p>
    <w:p>
      <w:pPr>
        <w:spacing w:after="0" w:line="139"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C21128"/>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C21128"/>
        </w:rPr>
        <w:t>SUBJECT TO COMPLETION, DATED SEPTEMBER 9, 2020</w:t>
      </w:r>
    </w:p>
    <w:p>
      <w:pPr>
        <w:spacing w:after="0" w:line="333" w:lineRule="exact"/>
        <w:rPr>
          <w:sz w:val="24"/>
          <w:szCs w:val="24"/>
          <w:color w:val="auto"/>
        </w:rPr>
      </w:pPr>
    </w:p>
    <w:p>
      <w:pPr>
        <w:spacing w:after="0"/>
        <w:tabs>
          <w:tab w:leader="none" w:pos="1380" w:val="left"/>
          <w:tab w:leader="none" w:pos="2680" w:val="left"/>
        </w:tabs>
        <w:rPr>
          <w:sz w:val="20"/>
          <w:szCs w:val="20"/>
          <w:color w:val="auto"/>
        </w:rPr>
      </w:pPr>
      <w:r>
        <w:rPr>
          <w:rFonts w:ascii="Times New Roman" w:cs="Times New Roman" w:eastAsia="Times New Roman" w:hAnsi="Times New Roman"/>
          <w:sz w:val="18"/>
          <w:szCs w:val="18"/>
          <w:u w:val="single" w:color="auto"/>
          <w:color w:val="auto"/>
        </w:rPr>
        <w:t>PRELIMINARY</w:t>
        <w:tab/>
        <w:t>PROSPECTUS</w:t>
      </w:r>
      <w:r>
        <w:rPr>
          <w:sz w:val="20"/>
          <w:szCs w:val="20"/>
          <w:color w:val="auto"/>
        </w:rPr>
        <w:tab/>
      </w:r>
      <w:r>
        <w:rPr>
          <w:rFonts w:ascii="Times New Roman" w:cs="Times New Roman" w:eastAsia="Times New Roman" w:hAnsi="Times New Roman"/>
          <w:sz w:val="17"/>
          <w:szCs w:val="17"/>
          <w:u w:val="single" w:color="auto"/>
          <w:color w:val="auto"/>
        </w:rPr>
        <w:t>SUPPLEMENT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September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8272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Schlumberger Finance Canada Ltd.</w:t>
      </w:r>
    </w:p>
    <w:p>
      <w:pPr>
        <w:spacing w:after="0" w:line="136" w:lineRule="exact"/>
        <w:rPr>
          <w:sz w:val="24"/>
          <w:szCs w:val="24"/>
          <w:color w:val="auto"/>
        </w:rPr>
      </w:pPr>
    </w:p>
    <w:p>
      <w:pPr>
        <w:ind w:left="4840" w:hanging="1133"/>
        <w:spacing w:after="0"/>
        <w:tabs>
          <w:tab w:leader="none" w:pos="484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2025</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Fully and unconditionally guaranteed by</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4"/>
          <w:szCs w:val="24"/>
          <w:color w:val="auto"/>
        </w:rPr>
      </w:pPr>
    </w:p>
    <w:p>
      <w:pPr>
        <w:ind w:left="900"/>
        <w:spacing w:after="0"/>
        <w:tabs>
          <w:tab w:leader="none" w:pos="6540" w:val="left"/>
          <w:tab w:leader="none" w:pos="8900" w:val="left"/>
        </w:tabs>
        <w:rPr>
          <w:sz w:val="20"/>
          <w:szCs w:val="20"/>
          <w:color w:val="auto"/>
        </w:rPr>
      </w:pPr>
      <w:r>
        <w:rPr>
          <w:rFonts w:ascii="Times New Roman" w:cs="Times New Roman" w:eastAsia="Times New Roman" w:hAnsi="Times New Roman"/>
          <w:sz w:val="18"/>
          <w:szCs w:val="18"/>
          <w:color w:val="auto"/>
        </w:rPr>
        <w:t>Schlumberger Finance Canada Ltd. (the “Company”) is offering U.S.$</w:t>
      </w:r>
      <w:r>
        <w:rPr>
          <w:sz w:val="20"/>
          <w:szCs w:val="20"/>
          <w:color w:val="auto"/>
        </w:rPr>
        <w:tab/>
      </w:r>
      <w:r>
        <w:rPr>
          <w:rFonts w:ascii="Times New Roman" w:cs="Times New Roman" w:eastAsia="Times New Roman" w:hAnsi="Times New Roman"/>
          <w:sz w:val="18"/>
          <w:szCs w:val="18"/>
          <w:color w:val="auto"/>
        </w:rPr>
        <w:t>principal amount of its</w:t>
      </w:r>
      <w:r>
        <w:rPr>
          <w:sz w:val="20"/>
          <w:szCs w:val="20"/>
          <w:color w:val="auto"/>
        </w:rPr>
        <w:tab/>
      </w:r>
      <w:r>
        <w:rPr>
          <w:rFonts w:ascii="Times New Roman" w:cs="Times New Roman" w:eastAsia="Times New Roman" w:hAnsi="Times New Roman"/>
          <w:sz w:val="17"/>
          <w:szCs w:val="17"/>
          <w:color w:val="auto"/>
        </w:rPr>
        <w:t>% Senior Notes due 2025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4"/>
          <w:szCs w:val="24"/>
          <w:color w:val="auto"/>
        </w:rPr>
      </w:pPr>
    </w:p>
    <w:p>
      <w:pPr>
        <w:ind w:left="900"/>
        <w:spacing w:after="0"/>
        <w:tabs>
          <w:tab w:leader="none" w:pos="4460" w:val="left"/>
          <w:tab w:leader="none" w:pos="9720" w:val="left"/>
          <w:tab w:leader="none" w:pos="10700" w:val="left"/>
        </w:tabs>
        <w:rPr>
          <w:sz w:val="20"/>
          <w:szCs w:val="20"/>
          <w:color w:val="auto"/>
        </w:rPr>
      </w:pPr>
      <w:r>
        <w:rPr>
          <w:rFonts w:ascii="Times New Roman" w:cs="Times New Roman" w:eastAsia="Times New Roman" w:hAnsi="Times New Roman"/>
          <w:sz w:val="18"/>
          <w:szCs w:val="18"/>
          <w:color w:val="auto"/>
        </w:rPr>
        <w:t>The Notes will bear interest at a rate of</w:t>
      </w:r>
      <w:r>
        <w:rPr>
          <w:sz w:val="20"/>
          <w:szCs w:val="20"/>
          <w:color w:val="auto"/>
        </w:rPr>
        <w:tab/>
      </w:r>
      <w:r>
        <w:rPr>
          <w:rFonts w:ascii="Times New Roman" w:cs="Times New Roman" w:eastAsia="Times New Roman" w:hAnsi="Times New Roman"/>
          <w:sz w:val="18"/>
          <w:szCs w:val="18"/>
          <w:color w:val="auto"/>
        </w:rPr>
        <w:t>% per year. We will pay interest on the Notes semi-annually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of</w:t>
      </w:r>
    </w:p>
    <w:p>
      <w:pPr>
        <w:spacing w:after="0" w:line="27" w:lineRule="exact"/>
        <w:rPr>
          <w:sz w:val="24"/>
          <w:szCs w:val="24"/>
          <w:color w:val="auto"/>
        </w:rPr>
      </w:pPr>
    </w:p>
    <w:p>
      <w:pPr>
        <w:spacing w:after="0"/>
        <w:tabs>
          <w:tab w:leader="none" w:pos="2420" w:val="left"/>
        </w:tabs>
        <w:rPr>
          <w:sz w:val="20"/>
          <w:szCs w:val="20"/>
          <w:color w:val="auto"/>
        </w:rPr>
      </w:pPr>
      <w:r>
        <w:rPr>
          <w:rFonts w:ascii="Times New Roman" w:cs="Times New Roman" w:eastAsia="Times New Roman" w:hAnsi="Times New Roman"/>
          <w:sz w:val="18"/>
          <w:szCs w:val="18"/>
          <w:color w:val="auto"/>
        </w:rPr>
        <w:t>each year, beginning on</w:t>
      </w:r>
      <w:r>
        <w:rPr>
          <w:sz w:val="20"/>
          <w:szCs w:val="20"/>
          <w:color w:val="auto"/>
        </w:rPr>
        <w:tab/>
      </w:r>
      <w:r>
        <w:rPr>
          <w:rFonts w:ascii="Times New Roman" w:cs="Times New Roman" w:eastAsia="Times New Roman" w:hAnsi="Times New Roman"/>
          <w:sz w:val="18"/>
          <w:szCs w:val="18"/>
          <w:color w:val="auto"/>
        </w:rPr>
        <w:t>, 2021.</w:t>
      </w:r>
    </w:p>
    <w:p>
      <w:pPr>
        <w:spacing w:after="0" w:line="207" w:lineRule="exact"/>
        <w:rPr>
          <w:sz w:val="24"/>
          <w:szCs w:val="24"/>
          <w:color w:val="auto"/>
        </w:rPr>
      </w:pPr>
    </w:p>
    <w:p>
      <w:pPr>
        <w:ind w:right="120" w:firstLine="898"/>
        <w:spacing w:after="0" w:line="266" w:lineRule="auto"/>
        <w:rPr>
          <w:sz w:val="20"/>
          <w:szCs w:val="20"/>
          <w:color w:val="auto"/>
        </w:rPr>
      </w:pPr>
      <w:r>
        <w:rPr>
          <w:rFonts w:ascii="Times New Roman" w:cs="Times New Roman" w:eastAsia="Times New Roman" w:hAnsi="Times New Roman"/>
          <w:sz w:val="18"/>
          <w:szCs w:val="18"/>
          <w:color w:val="auto"/>
        </w:rPr>
        <w:t>The Notes will be fully and unconditionally guaranteed (the “Guarantee”) on a senior unsecured basis by Schlumberger Limited (the “Guarantor”), the ultimate parent company of the Company. The Guarantee will be the unsecured and unsubordinated obligation of the Guarantor and will rank equally with the Guarantor’s other unsecured and unsubordinated indebtedness from time to time outstanding.</w:t>
      </w:r>
    </w:p>
    <w:p>
      <w:pPr>
        <w:spacing w:after="0" w:line="176" w:lineRule="exact"/>
        <w:rPr>
          <w:sz w:val="24"/>
          <w:szCs w:val="24"/>
          <w:color w:val="auto"/>
        </w:rPr>
      </w:pPr>
    </w:p>
    <w:p>
      <w:pPr>
        <w:ind w:right="340" w:firstLine="898"/>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redemption prices described in this prospectus supplement, plus accrued and unpaid interest to the redemption date.</w:t>
      </w:r>
    </w:p>
    <w:p>
      <w:pPr>
        <w:spacing w:after="0" w:line="162" w:lineRule="exact"/>
        <w:rPr>
          <w:sz w:val="24"/>
          <w:szCs w:val="24"/>
          <w:color w:val="auto"/>
        </w:rPr>
      </w:pPr>
    </w:p>
    <w:p>
      <w:pPr>
        <w:ind w:right="860" w:firstLine="898"/>
        <w:spacing w:after="0" w:line="282" w:lineRule="auto"/>
        <w:rPr>
          <w:sz w:val="20"/>
          <w:szCs w:val="20"/>
          <w:color w:val="auto"/>
        </w:rPr>
      </w:pPr>
      <w:r>
        <w:rPr>
          <w:rFonts w:ascii="Times New Roman" w:cs="Times New Roman" w:eastAsia="Times New Roman" w:hAnsi="Times New Roman"/>
          <w:sz w:val="18"/>
          <w:szCs w:val="18"/>
          <w:color w:val="auto"/>
        </w:rPr>
        <w:t>The Notes will be the unsecured and unsubordinated obligations of the Company and will rank equally with its other unsecured and unsubordinated indebtedness from time to time outstanding.</w:t>
      </w:r>
    </w:p>
    <w:p>
      <w:pPr>
        <w:spacing w:after="0" w:line="16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Currently, there is no public market for the Notes.</w:t>
      </w:r>
    </w:p>
    <w:p>
      <w:pPr>
        <w:spacing w:after="0" w:line="104" w:lineRule="exact"/>
        <w:rPr>
          <w:sz w:val="24"/>
          <w:szCs w:val="24"/>
          <w:color w:val="auto"/>
        </w:rPr>
      </w:pPr>
    </w:p>
    <w:p>
      <w:pPr>
        <w:ind w:right="120" w:firstLine="898"/>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Notes involves risks. See “</w:t>
      </w:r>
      <w:hyperlink w:anchor="page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S-5 herein and in the documents we have incorporated by reference.</w:t>
      </w:r>
    </w:p>
    <w:p>
      <w:pPr>
        <w:spacing w:after="0" w:line="159" w:lineRule="exact"/>
        <w:rPr>
          <w:sz w:val="24"/>
          <w:szCs w:val="24"/>
          <w:color w:val="auto"/>
        </w:rPr>
      </w:pPr>
    </w:p>
    <w:p>
      <w:pPr>
        <w:ind w:right="120" w:firstLine="89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8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2520" w:type="dxa"/>
            <w:vAlign w:val="bottom"/>
            <w:gridSpan w:val="3"/>
          </w:tcPr>
          <w:p>
            <w:pPr>
              <w:ind w:left="2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(1)</w:t>
            </w:r>
          </w:p>
        </w:tc>
        <w:tc>
          <w:tcPr>
            <w:tcW w:w="1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the Company (before expenses)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85725</wp:posOffset>
            </wp:positionV>
            <wp:extent cx="779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137" w:lineRule="exact"/>
        <w:rPr>
          <w:sz w:val="24"/>
          <w:szCs w:val="24"/>
          <w:color w:val="auto"/>
        </w:rPr>
      </w:pPr>
    </w:p>
    <w:p>
      <w:pPr>
        <w:ind w:left="900"/>
        <w:spacing w:after="0"/>
        <w:tabs>
          <w:tab w:leader="none" w:pos="1320" w:val="left"/>
          <w:tab w:leader="none" w:pos="5420" w:val="left"/>
        </w:tabs>
        <w:rPr>
          <w:sz w:val="20"/>
          <w:szCs w:val="20"/>
          <w:color w:val="auto"/>
        </w:rPr>
      </w:pPr>
      <w:r>
        <w:rPr>
          <w:rFonts w:ascii="Times New Roman" w:cs="Times New Roman" w:eastAsia="Times New Roman" w:hAnsi="Times New Roman"/>
          <w:sz w:val="18"/>
          <w:szCs w:val="18"/>
          <w:color w:val="auto"/>
        </w:rPr>
        <w:t>(1)</w:t>
        <w:tab/>
        <w:t>Plus accrued interest on the Notes, if any, from</w:t>
      </w:r>
      <w:r>
        <w:rPr>
          <w:sz w:val="20"/>
          <w:szCs w:val="20"/>
          <w:color w:val="auto"/>
        </w:rPr>
        <w:tab/>
      </w:r>
      <w:r>
        <w:rPr>
          <w:rFonts w:ascii="Times New Roman" w:cs="Times New Roman" w:eastAsia="Times New Roman" w:hAnsi="Times New Roman"/>
          <w:sz w:val="17"/>
          <w:szCs w:val="17"/>
          <w:color w:val="auto"/>
        </w:rPr>
        <w:t>, 2020 to the date of delivery.</w:t>
      </w:r>
    </w:p>
    <w:p>
      <w:pPr>
        <w:spacing w:after="0" w:line="225" w:lineRule="exact"/>
        <w:rPr>
          <w:sz w:val="24"/>
          <w:szCs w:val="24"/>
          <w:color w:val="auto"/>
        </w:rPr>
      </w:pPr>
    </w:p>
    <w:p>
      <w:pPr>
        <w:ind w:left="900"/>
        <w:spacing w:after="0"/>
        <w:tabs>
          <w:tab w:leader="none" w:pos="7900" w:val="left"/>
        </w:tabs>
        <w:rPr>
          <w:sz w:val="20"/>
          <w:szCs w:val="20"/>
          <w:color w:val="auto"/>
        </w:rPr>
      </w:pPr>
      <w:r>
        <w:rPr>
          <w:rFonts w:ascii="Times New Roman" w:cs="Times New Roman" w:eastAsia="Times New Roman" w:hAnsi="Times New Roman"/>
          <w:sz w:val="18"/>
          <w:szCs w:val="18"/>
          <w:color w:val="auto"/>
        </w:rPr>
        <w:t>The underwriters expect to deliver the Notes to purchasers against payment on or about</w:t>
      </w:r>
      <w:r>
        <w:rPr>
          <w:sz w:val="20"/>
          <w:szCs w:val="20"/>
          <w:color w:val="auto"/>
        </w:rPr>
        <w:tab/>
      </w:r>
      <w:r>
        <w:rPr>
          <w:rFonts w:ascii="Times New Roman" w:cs="Times New Roman" w:eastAsia="Times New Roman" w:hAnsi="Times New Roman"/>
          <w:sz w:val="17"/>
          <w:szCs w:val="17"/>
          <w:color w:val="auto"/>
        </w:rPr>
        <w:t>, 2020, solely in book-entry form through the</w:t>
      </w:r>
    </w:p>
    <w:p>
      <w:pPr>
        <w:spacing w:after="0" w:line="27"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facilities of The Depository Trust Company and its participants, including Euroclear Bank S.A./ N.V., as operator of the Euroclear System, and Clearstream Banking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135255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43" w:lineRule="exact"/>
        <w:rPr>
          <w:sz w:val="24"/>
          <w:szCs w:val="24"/>
          <w:color w:val="auto"/>
        </w:rPr>
      </w:pPr>
    </w:p>
    <w:p>
      <w:pPr>
        <w:spacing w:after="0"/>
        <w:tabs>
          <w:tab w:leader="none" w:pos="2360" w:val="left"/>
          <w:tab w:leader="none" w:pos="7460" w:val="left"/>
          <w:tab w:leader="none" w:pos="950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Goldman Sachs &amp; Co. LLC</w:t>
      </w:r>
      <w:r>
        <w:rPr>
          <w:sz w:val="20"/>
          <w:szCs w:val="20"/>
          <w:color w:val="auto"/>
        </w:rPr>
        <w:tab/>
      </w:r>
      <w:r>
        <w:rPr>
          <w:rFonts w:ascii="Times New Roman" w:cs="Times New Roman" w:eastAsia="Times New Roman" w:hAnsi="Times New Roman"/>
          <w:sz w:val="25"/>
          <w:szCs w:val="25"/>
          <w:b w:val="1"/>
          <w:bCs w:val="1"/>
          <w:color w:val="auto"/>
        </w:rPr>
        <w:t>J.P. Morgan</w:t>
      </w:r>
      <w:r>
        <w:rPr>
          <w:sz w:val="20"/>
          <w:szCs w:val="20"/>
          <w:color w:val="auto"/>
        </w:rPr>
        <w:tab/>
      </w:r>
      <w:r>
        <w:rPr>
          <w:rFonts w:ascii="Times New Roman" w:cs="Times New Roman" w:eastAsia="Times New Roman" w:hAnsi="Times New Roman"/>
          <w:sz w:val="25"/>
          <w:szCs w:val="25"/>
          <w:b w:val="1"/>
          <w:bCs w:val="1"/>
          <w:color w:val="auto"/>
        </w:rPr>
        <w:t>Morgan Stanley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170180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226" w:right="339" w:bottom="731" w:gutter="0" w:footer="0" w:header="0"/>
        </w:sectPr>
      </w:pPr>
    </w:p>
    <w:p>
      <w:pPr>
        <w:spacing w:after="0" w:line="200" w:lineRule="exact"/>
        <w:rPr>
          <w:sz w:val="24"/>
          <w:szCs w:val="24"/>
          <w:color w:val="auto"/>
        </w:rPr>
      </w:pPr>
    </w:p>
    <w:p>
      <w:pPr>
        <w:spacing w:after="0" w:line="279"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8"/>
          <w:szCs w:val="18"/>
          <w:color w:val="auto"/>
        </w:rPr>
        <w:t>, 2020</w:t>
      </w:r>
    </w:p>
    <w:p>
      <w:pPr>
        <w:sectPr>
          <w:pgSz w:w="11900" w:h="16838" w:orient="portrait"/>
          <w:cols w:equalWidth="0" w:num="1">
            <w:col w:w="11240"/>
          </w:cols>
          <w:pgMar w:left="320" w:top="226" w:right="339" w:bottom="731"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6600" w:type="dxa"/>
            <w:vAlign w:val="bottom"/>
            <w:gridSpan w:val="3"/>
          </w:tcPr>
          <w:p>
            <w:pPr>
              <w:jc w:val="right"/>
              <w:ind w:right="4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4"/>
                <w:szCs w:val="24"/>
                <w:color w:val="auto"/>
              </w:rPr>
            </w:pPr>
          </w:p>
        </w:tc>
        <w:tc>
          <w:tcPr>
            <w:tcW w:w="6600" w:type="dxa"/>
            <w:vAlign w:val="bottom"/>
            <w:gridSpan w:val="3"/>
          </w:tcPr>
          <w:p>
            <w:pPr>
              <w:jc w:val="right"/>
              <w:ind w:right="468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391"/>
        </w:trPr>
        <w:tc>
          <w:tcPr>
            <w:tcW w:w="460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Cautionary Statement Regarding Forward-Looking Statements</w:t>
              </w:r>
            </w:hyperlink>
          </w:p>
        </w:tc>
        <w:tc>
          <w:tcPr>
            <w:tcW w:w="61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600" w:type="dxa"/>
            <w:vAlign w:val="bottom"/>
            <w:vMerge w:val="continue"/>
          </w:tcPr>
          <w:p>
            <w:pPr>
              <w:spacing w:after="0"/>
              <w:rPr>
                <w:sz w:val="16"/>
                <w:szCs w:val="16"/>
                <w:color w:val="auto"/>
              </w:rPr>
            </w:pPr>
          </w:p>
        </w:tc>
        <w:tc>
          <w:tcPr>
            <w:tcW w:w="6180" w:type="dxa"/>
            <w:vAlign w:val="bottom"/>
          </w:tcPr>
          <w:p>
            <w:pPr>
              <w:spacing w:after="0"/>
              <w:rPr>
                <w:sz w:val="16"/>
                <w:szCs w:val="16"/>
                <w:color w:val="auto"/>
              </w:rPr>
            </w:pPr>
          </w:p>
        </w:tc>
        <w:tc>
          <w:tcPr>
            <w:tcW w:w="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Summary</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The Offering</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Risk Factors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Use of Proceeds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Capitalization</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Description of the Notes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Certain Canadian Federal Income Tax Considerations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Material United States Federal Income Tax Considerations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Underwriting</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Legal Matters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Experts</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16"/>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Where You Can Find More Information</w:t>
              </w:r>
            </w:hyperlink>
          </w:p>
        </w:tc>
        <w:tc>
          <w:tcPr>
            <w:tcW w:w="6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234"/>
        </w:trPr>
        <w:tc>
          <w:tcPr>
            <w:tcW w:w="460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Incorporation of Documents by Reference</w:t>
              </w:r>
            </w:hyperlink>
          </w:p>
        </w:tc>
        <w:tc>
          <w:tcPr>
            <w:tcW w:w="618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6340" w:type="dxa"/>
            <w:vAlign w:val="bottom"/>
            <w:gridSpan w:val="3"/>
          </w:tcPr>
          <w:p>
            <w:pPr>
              <w:jc w:val="right"/>
              <w:ind w:right="51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391"/>
        </w:trPr>
        <w:tc>
          <w:tcPr>
            <w:tcW w:w="48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About this Prospectus</w:t>
              </w:r>
            </w:hyperlink>
          </w:p>
        </w:tc>
        <w:tc>
          <w:tcPr>
            <w:tcW w:w="60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4860" w:type="dxa"/>
            <w:vAlign w:val="bottom"/>
            <w:vMerge w:val="continue"/>
          </w:tcPr>
          <w:p>
            <w:pPr>
              <w:spacing w:after="0"/>
              <w:rPr>
                <w:sz w:val="16"/>
                <w:szCs w:val="16"/>
                <w:color w:val="auto"/>
              </w:rPr>
            </w:pPr>
          </w:p>
        </w:tc>
        <w:tc>
          <w:tcPr>
            <w:tcW w:w="602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About the Guarantor</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About the Company</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Cautionary Statement Regarding Forward-Looking Statements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Risk Factors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Where You Can Find More Information</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Incorporation of Documents by Reference</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Use of Proceeds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Description of Debt Securities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Plan of Distribution</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Validity of the Securities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48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Experts</w:t>
              </w:r>
            </w:hyperlink>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used in this prospectus supplement, unless otherwise stated or the context otherwise requires:</w:t>
      </w:r>
    </w:p>
    <w:p>
      <w:pPr>
        <w:spacing w:after="0" w:line="252" w:lineRule="exact"/>
        <w:rPr>
          <w:sz w:val="20"/>
          <w:szCs w:val="20"/>
          <w:color w:val="auto"/>
        </w:rPr>
      </w:pPr>
    </w:p>
    <w:p>
      <w:pPr>
        <w:ind w:left="1340" w:hanging="333"/>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refers to Schlumberger Finance Canada Ltd.;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or “Schlumberger Limited” refers to Schlumberger Limited, the ultimate parent of the Company;</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 refers to Schlumberger Limited and its consolidated subsidiaries, including the Company; and</w:t>
      </w:r>
    </w:p>
    <w:p>
      <w:pPr>
        <w:spacing w:after="0" w:line="252" w:lineRule="exact"/>
        <w:rPr>
          <w:rFonts w:ascii="Times New Roman" w:cs="Times New Roman" w:eastAsia="Times New Roman" w:hAnsi="Times New Roman"/>
          <w:sz w:val="18"/>
          <w:szCs w:val="18"/>
          <w:color w:val="auto"/>
        </w:rPr>
      </w:pPr>
    </w:p>
    <w:p>
      <w:pPr>
        <w:ind w:left="1340" w:right="180" w:hanging="333"/>
        <w:spacing w:after="0" w:line="282" w:lineRule="auto"/>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and similar expressions refer to Schlumberger Limited and its consolidated subsidiaries, including the Company, except when used in connection with the “Notes,” in which case these terms refer solely to the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80"/>
          </w:cols>
          <w:pgMar w:left="320" w:top="455" w:right="3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87" w:lineRule="exact"/>
        <w:rPr>
          <w:sz w:val="20"/>
          <w:szCs w:val="20"/>
          <w:color w:val="auto"/>
        </w:rPr>
      </w:pPr>
    </w:p>
    <w:p>
      <w:pPr>
        <w:ind w:right="20" w:firstLine="898"/>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 other person to provide you with information other than that contained or incorporated by reference in this prospectus supplement, the accompanying prospectus and any related free writing prospectus issued by us or on our behalf. The information contained or incorporated by reference in this prospectus supplement and the accompanying prospectus is accurate as of the date on the front cover of such documents only. Our business, properties, assets, results of operations or financial position may have changed since that date. Neither the delivery of this prospectus supplement nor of the accompanying prospectus, nor any sale made thereunder, shall under any circumstances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220"/>
          </w:cols>
          <w:pgMar w:left="320" w:top="455" w:right="3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20" w:firstLine="89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87" w:lineRule="exact"/>
        <w:rPr>
          <w:sz w:val="20"/>
          <w:szCs w:val="20"/>
          <w:color w:val="auto"/>
        </w:rPr>
      </w:pPr>
    </w:p>
    <w:p>
      <w:pPr>
        <w:ind w:firstLine="898"/>
        <w:spacing w:after="0" w:line="251" w:lineRule="auto"/>
        <w:rPr>
          <w:sz w:val="20"/>
          <w:szCs w:val="20"/>
          <w:color w:val="auto"/>
        </w:rPr>
      </w:pPr>
      <w:r>
        <w:rPr>
          <w:rFonts w:ascii="Times New Roman" w:cs="Times New Roman" w:eastAsia="Times New Roman" w:hAnsi="Times New Roman"/>
          <w:sz w:val="18"/>
          <w:szCs w:val="18"/>
          <w:color w:val="auto"/>
        </w:rPr>
        <w:t>Statements that are predictive in nature, that depend upon or refer to future events or conditions, or that include words such as “would,” “should,” “plans,” “likely,” “expects,” “predicts,” “anticipates,” “intends,” “believes,” “estimates,” “thinks,” “may,” “could,” “will” and similar expressions, are forward-looking statements. The following important factors, in addition to those discussed under “Risk Factors” on page S-5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our forecasts or expectations regarding business outlook; growth for the Schlumberger Group as a whole and for each of its segments (and for specified products or geographic areas within each segment); oil and natural gas demand and production growth; oil and natural gas prices; pricing; our response to, and preparedness for, the COVID-19 pandemic and other widespread health emergencies; access to raw materials; improvements in operating procedures and technology; capital expenditures by us and the oil and gas industry; our business strategy and the business strategies of our customers; our digital strategy; our restructuring efforts and charges recorded as a result of such efforts; our effective tax rate; our Asset Performance Solutions projects, joint ventures and alliances; future global economic and geopolitical conditions; and future results of operations. These statements are subject to risks and uncertainties, including, but not limited to, changing global economic conditions; changes in exploration and production spending by our customers and changes in the level of oil and natural gas exploration and development; the results of operations and financial condition of our customers and suppliers, particularly during extended periods of low prices for crude oil and natural gas; our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our supply chain; production declines; our inability to recognize intended benefits from our business strategies and initiatives, such as digital or new energy, as well as our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prospectus supplement and in the Guarantor’s most recent Forms 10-K, 10-Q, and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both the Company and the Guarantor disclaim any intention or obligation to update publicly or revise such statements, whether as a result of new information, future events or otherwise.</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200"/>
          </w:cols>
          <w:pgMar w:left="320" w:top="455" w:right="3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813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813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right="40" w:firstLine="869"/>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and the Guarantor’s Annual Report on Form 10-K for the year ended December 31, 2019 and its subsequent Quarterly Reports on Form 10-Q for the quarterly periods ended March 31, 2020 and June 30, 2020.</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left="200" w:right="200" w:firstLine="869"/>
        <w:spacing w:after="0" w:line="261" w:lineRule="auto"/>
        <w:rPr>
          <w:sz w:val="20"/>
          <w:szCs w:val="20"/>
          <w:color w:val="auto"/>
        </w:rPr>
      </w:pPr>
      <w:r>
        <w:rPr>
          <w:rFonts w:ascii="Times New Roman" w:cs="Times New Roman" w:eastAsia="Times New Roman" w:hAnsi="Times New Roman"/>
          <w:sz w:val="18"/>
          <w:szCs w:val="18"/>
          <w:color w:val="auto"/>
        </w:rPr>
        <w:t>We are the world’s leading provider of technology for reservoir characterization, drilling, production and processing to the oil and gas industry. With product sales and services in more than 120 countries, we supply the industry’s most comprehensive range of products and services, from exploration through production, and integrated pore-to-pipeline solutions that optimize hydrocarbon recovery to deliver reservoir performance sustainably. As of June 30, 2020, we employed approximately 85,000 people representing over 170 nationalities.</w:t>
      </w:r>
    </w:p>
    <w:p>
      <w:pPr>
        <w:spacing w:after="0" w:line="180" w:lineRule="exact"/>
        <w:rPr>
          <w:sz w:val="20"/>
          <w:szCs w:val="20"/>
          <w:color w:val="auto"/>
        </w:rPr>
      </w:pPr>
    </w:p>
    <w:p>
      <w:pPr>
        <w:ind w:left="200" w:firstLine="869"/>
        <w:spacing w:after="0" w:line="256" w:lineRule="auto"/>
        <w:rPr>
          <w:sz w:val="20"/>
          <w:szCs w:val="20"/>
          <w:color w:val="auto"/>
        </w:rPr>
      </w:pPr>
      <w:r>
        <w:rPr>
          <w:rFonts w:ascii="Times New Roman" w:cs="Times New Roman" w:eastAsia="Times New Roman" w:hAnsi="Times New Roman"/>
          <w:sz w:val="18"/>
          <w:szCs w:val="18"/>
          <w:color w:val="auto"/>
        </w:rPr>
        <w:t>We operate in each of the major oilfield service markets through four segments: Reservoir Characterization, Drilling, Production and Cameron. Each segment consists of a number of technology-based service and product lines, or Technologies. These Technologies cover the entire life cycle of the reservoir and correspond to a number of markets in which we hold leading positions. The role of the Technologies is to support the Schlumberger Group in providing the best possible service to customers and to ensure that we remain at the forefront of technology development and services integration. The Technologies are collectively responsible for driving performance throughout their businesses; overseeing operational processes, resource allocation and personnel; and delivering superior financial results.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the Guarantor</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Guarantor was founded in 1926 and is incorporated under the laws of Curaçao. The Guarantor is the ultimate parent of the Company.</w:t>
      </w:r>
    </w:p>
    <w:p>
      <w:pPr>
        <w:spacing w:after="0" w:line="225" w:lineRule="exact"/>
        <w:rPr>
          <w:sz w:val="20"/>
          <w:szCs w:val="20"/>
          <w:color w:val="auto"/>
        </w:rPr>
      </w:pPr>
    </w:p>
    <w:p>
      <w:pPr>
        <w:ind w:left="200" w:right="240" w:firstLine="869"/>
        <w:spacing w:after="0" w:line="282" w:lineRule="auto"/>
        <w:rPr>
          <w:sz w:val="20"/>
          <w:szCs w:val="20"/>
          <w:color w:val="auto"/>
        </w:rPr>
      </w:pPr>
      <w:r>
        <w:rPr>
          <w:rFonts w:ascii="Times New Roman" w:cs="Times New Roman" w:eastAsia="Times New Roman" w:hAnsi="Times New Roman"/>
          <w:sz w:val="18"/>
          <w:szCs w:val="18"/>
          <w:color w:val="auto"/>
        </w:rPr>
        <w:t>The Guarantor has executive offices in Paris, Houston, London and The Hague. The principal U.S. market for the Guarantor’s common stock is the New York Stock Exchange, where it is traded under the symbol “SLB.”</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9" w:lineRule="exact"/>
        <w:rPr>
          <w:sz w:val="20"/>
          <w:szCs w:val="20"/>
          <w:color w:val="auto"/>
        </w:rPr>
      </w:pPr>
    </w:p>
    <w:p>
      <w:pPr>
        <w:jc w:val="both"/>
        <w:ind w:left="200" w:right="120" w:firstLine="869"/>
        <w:spacing w:after="0" w:line="266" w:lineRule="auto"/>
        <w:rPr>
          <w:sz w:val="20"/>
          <w:szCs w:val="20"/>
          <w:color w:val="auto"/>
        </w:rPr>
      </w:pPr>
      <w:r>
        <w:rPr>
          <w:rFonts w:ascii="Times New Roman" w:cs="Times New Roman" w:eastAsia="Times New Roman" w:hAnsi="Times New Roman"/>
          <w:sz w:val="18"/>
          <w:szCs w:val="18"/>
          <w:color w:val="auto"/>
        </w:rPr>
        <w:t>Schlumberger Finance Canada Ltd. is incorporated in the Province of Alberta, Canada, and its executive offices are located at 200, 125 – 9th Avenue S.E., Calgary, Alberta. The Company’s principal activities are debt issuance and intercompany group financing. The Company is part of the Schlumberger Group and all of the shares of the Company are owned indirectly by the Guarantor.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40"/>
          </w:cols>
          <w:pgMar w:left="320" w:top="45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04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200" w:right="60" w:firstLine="86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3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8"/>
              </w:rPr>
              <w:t>Schlumberger Finance Canada Ltd.</w:t>
            </w:r>
          </w:p>
        </w:tc>
        <w:tc>
          <w:tcPr>
            <w:tcW w:w="26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7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3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Schlumberger Limited.</w:t>
            </w:r>
          </w:p>
        </w:tc>
        <w:tc>
          <w:tcPr>
            <w:tcW w:w="2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w:t>
            </w:r>
          </w:p>
        </w:tc>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U.S.$</w:t>
            </w:r>
          </w:p>
        </w:tc>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principal amount of</w:t>
            </w:r>
          </w:p>
        </w:tc>
        <w:tc>
          <w:tcPr>
            <w:tcW w:w="26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 Senior Notes due 2025.</w:t>
            </w:r>
          </w:p>
        </w:tc>
        <w:tc>
          <w:tcPr>
            <w:tcW w:w="1540" w:type="dxa"/>
            <w:vAlign w:val="bottom"/>
          </w:tcPr>
          <w:p>
            <w:pPr>
              <w:spacing w:after="0"/>
              <w:rPr>
                <w:sz w:val="24"/>
                <w:szCs w:val="24"/>
                <w:color w:val="auto"/>
              </w:rPr>
            </w:pPr>
          </w:p>
        </w:tc>
      </w:tr>
      <w:tr>
        <w:trPr>
          <w:trHeight w:val="47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3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The Notes will mature on</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 2025.</w:t>
            </w:r>
          </w:p>
        </w:tc>
        <w:tc>
          <w:tcPr>
            <w:tcW w:w="1540" w:type="dxa"/>
            <w:vAlign w:val="bottom"/>
          </w:tcPr>
          <w:p>
            <w:pPr>
              <w:spacing w:after="0"/>
              <w:rPr>
                <w:sz w:val="24"/>
                <w:szCs w:val="24"/>
                <w:color w:val="auto"/>
              </w:rPr>
            </w:pPr>
          </w:p>
        </w:tc>
      </w:tr>
      <w:tr>
        <w:trPr>
          <w:trHeight w:val="45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The Notes will bear interest at</w:t>
            </w:r>
          </w:p>
        </w:tc>
        <w:tc>
          <w:tcPr>
            <w:tcW w:w="4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per annum, and interest will be payable semi-</w:t>
            </w:r>
          </w:p>
        </w:tc>
      </w:tr>
      <w:tr>
        <w:trPr>
          <w:trHeight w:val="234"/>
        </w:trPr>
        <w:tc>
          <w:tcPr>
            <w:tcW w:w="3220" w:type="dxa"/>
            <w:vAlign w:val="bottom"/>
          </w:tcPr>
          <w:p>
            <w:pPr>
              <w:spacing w:after="0"/>
              <w:rPr>
                <w:sz w:val="20"/>
                <w:szCs w:val="20"/>
                <w:color w:val="auto"/>
              </w:rPr>
            </w:pPr>
          </w:p>
        </w:tc>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annually on</w:t>
            </w:r>
          </w:p>
        </w:tc>
        <w:tc>
          <w:tcPr>
            <w:tcW w:w="15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and</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of each year, beginning on</w:t>
            </w:r>
          </w:p>
        </w:tc>
        <w:tc>
          <w:tcPr>
            <w:tcW w:w="15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6"/>
              </w:rPr>
              <w:t>, 2021.</w:t>
            </w:r>
          </w:p>
        </w:tc>
      </w:tr>
      <w:tr>
        <w:trPr>
          <w:trHeight w:val="44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Guarantee</w:t>
            </w: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The Guarantor will fully and unconditionally guarantee the principal of, and any premium</w:t>
            </w:r>
          </w:p>
        </w:tc>
      </w:tr>
      <w:tr>
        <w:trPr>
          <w:trHeight w:val="216"/>
        </w:trPr>
        <w:tc>
          <w:tcPr>
            <w:tcW w:w="3220" w:type="dxa"/>
            <w:vAlign w:val="bottom"/>
          </w:tcPr>
          <w:p>
            <w:pPr>
              <w:spacing w:after="0"/>
              <w:rPr>
                <w:sz w:val="18"/>
                <w:szCs w:val="18"/>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and interest on, the Notes and the Company’s obligations under the Indenture, as described</w:t>
            </w:r>
          </w:p>
        </w:tc>
      </w:tr>
      <w:tr>
        <w:trPr>
          <w:trHeight w:val="234"/>
        </w:trPr>
        <w:tc>
          <w:tcPr>
            <w:tcW w:w="3220" w:type="dxa"/>
            <w:vAlign w:val="bottom"/>
          </w:tcPr>
          <w:p>
            <w:pPr>
              <w:spacing w:after="0"/>
              <w:rPr>
                <w:sz w:val="20"/>
                <w:szCs w:val="20"/>
                <w:color w:val="auto"/>
              </w:rPr>
            </w:pPr>
          </w:p>
        </w:tc>
        <w:tc>
          <w:tcPr>
            <w:tcW w:w="60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under “Description of the Notes—Guarantee.”</w:t>
            </w:r>
          </w:p>
        </w:tc>
        <w:tc>
          <w:tcPr>
            <w:tcW w:w="1540" w:type="dxa"/>
            <w:vAlign w:val="bottom"/>
          </w:tcPr>
          <w:p>
            <w:pPr>
              <w:spacing w:after="0"/>
              <w:rPr>
                <w:sz w:val="20"/>
                <w:szCs w:val="20"/>
                <w:color w:val="auto"/>
              </w:rPr>
            </w:pPr>
          </w:p>
        </w:tc>
      </w:tr>
      <w:tr>
        <w:trPr>
          <w:trHeight w:val="459"/>
        </w:trPr>
        <w:tc>
          <w:tcPr>
            <w:tcW w:w="3220" w:type="dxa"/>
            <w:vAlign w:val="bottom"/>
          </w:tcPr>
          <w:p>
            <w:pPr>
              <w:spacing w:after="0"/>
              <w:rPr>
                <w:sz w:val="24"/>
                <w:szCs w:val="24"/>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The Notes will not be guaranteed by any of the Guarantor’s subsidiaries.</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Minimum Denomination</w:t>
            </w:r>
          </w:p>
        </w:tc>
        <w:tc>
          <w:tcPr>
            <w:tcW w:w="60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U.S.$2,000 and integral multiples of U.S.$1,000 in excess thereof.</w:t>
            </w:r>
          </w:p>
        </w:tc>
        <w:tc>
          <w:tcPr>
            <w:tcW w:w="1540" w:type="dxa"/>
            <w:vAlign w:val="bottom"/>
          </w:tcPr>
          <w:p>
            <w:pPr>
              <w:spacing w:after="0"/>
              <w:rPr>
                <w:sz w:val="24"/>
                <w:szCs w:val="24"/>
                <w:color w:val="auto"/>
              </w:rPr>
            </w:pPr>
          </w:p>
        </w:tc>
      </w:tr>
      <w:tr>
        <w:trPr>
          <w:trHeight w:val="45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w:t>
            </w:r>
          </w:p>
        </w:tc>
      </w:tr>
      <w:tr>
        <w:trPr>
          <w:trHeight w:val="216"/>
        </w:trPr>
        <w:tc>
          <w:tcPr>
            <w:tcW w:w="3220" w:type="dxa"/>
            <w:vAlign w:val="bottom"/>
          </w:tcPr>
          <w:p>
            <w:pPr>
              <w:spacing w:after="0"/>
              <w:rPr>
                <w:sz w:val="18"/>
                <w:szCs w:val="18"/>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redemption prices described in this prospectus supplement plus accrued and unpaid interest</w:t>
            </w:r>
          </w:p>
        </w:tc>
      </w:tr>
      <w:tr>
        <w:trPr>
          <w:trHeight w:val="234"/>
        </w:trPr>
        <w:tc>
          <w:tcPr>
            <w:tcW w:w="3220" w:type="dxa"/>
            <w:vAlign w:val="bottom"/>
          </w:tcPr>
          <w:p>
            <w:pPr>
              <w:spacing w:after="0"/>
              <w:rPr>
                <w:sz w:val="20"/>
                <w:szCs w:val="20"/>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to the redemption date. See “Description of the Notes—Optional Redemption.”</w:t>
            </w:r>
          </w:p>
        </w:tc>
      </w:tr>
      <w:tr>
        <w:trPr>
          <w:trHeight w:val="44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Optional Tax Redemption</w:t>
            </w: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In the event that, as a result of certain tax law changes, the Company (or the Guarantor)</w:t>
            </w:r>
          </w:p>
        </w:tc>
      </w:tr>
      <w:tr>
        <w:trPr>
          <w:trHeight w:val="216"/>
        </w:trPr>
        <w:tc>
          <w:tcPr>
            <w:tcW w:w="3220" w:type="dxa"/>
            <w:vAlign w:val="bottom"/>
          </w:tcPr>
          <w:p>
            <w:pPr>
              <w:spacing w:after="0"/>
              <w:rPr>
                <w:sz w:val="18"/>
                <w:szCs w:val="18"/>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99"/>
              </w:rPr>
              <w:t>becomes obligated to pay additional amounts as described under “Description of the Notes—</w:t>
            </w:r>
          </w:p>
        </w:tc>
      </w:tr>
      <w:tr>
        <w:trPr>
          <w:trHeight w:val="216"/>
        </w:trPr>
        <w:tc>
          <w:tcPr>
            <w:tcW w:w="3220" w:type="dxa"/>
            <w:vAlign w:val="bottom"/>
          </w:tcPr>
          <w:p>
            <w:pPr>
              <w:spacing w:after="0"/>
              <w:rPr>
                <w:sz w:val="18"/>
                <w:szCs w:val="18"/>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Additional Amounts,” the Company (or the Guarantor) may redeem all of the Notes prior to</w:t>
            </w:r>
          </w:p>
        </w:tc>
      </w:tr>
      <w:tr>
        <w:trPr>
          <w:trHeight w:val="216"/>
        </w:trPr>
        <w:tc>
          <w:tcPr>
            <w:tcW w:w="3220" w:type="dxa"/>
            <w:vAlign w:val="bottom"/>
          </w:tcPr>
          <w:p>
            <w:pPr>
              <w:spacing w:after="0"/>
              <w:rPr>
                <w:sz w:val="18"/>
                <w:szCs w:val="18"/>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maturity at a redemption price equal to 100% of their principal amount plus accrued interest</w:t>
            </w:r>
          </w:p>
        </w:tc>
      </w:tr>
      <w:tr>
        <w:trPr>
          <w:trHeight w:val="216"/>
        </w:trPr>
        <w:tc>
          <w:tcPr>
            <w:tcW w:w="3220" w:type="dxa"/>
            <w:vAlign w:val="bottom"/>
          </w:tcPr>
          <w:p>
            <w:pPr>
              <w:spacing w:after="0"/>
              <w:rPr>
                <w:sz w:val="18"/>
                <w:szCs w:val="18"/>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to the date of redemption as described under “Description of the Notes—Redemption Upon</w:t>
            </w:r>
          </w:p>
        </w:tc>
      </w:tr>
      <w:tr>
        <w:trPr>
          <w:trHeight w:val="234"/>
        </w:trPr>
        <w:tc>
          <w:tcPr>
            <w:tcW w:w="3220" w:type="dxa"/>
            <w:vAlign w:val="bottom"/>
          </w:tcPr>
          <w:p>
            <w:pPr>
              <w:spacing w:after="0"/>
              <w:rPr>
                <w:sz w:val="20"/>
                <w:szCs w:val="20"/>
                <w:color w:val="auto"/>
              </w:rPr>
            </w:pPr>
          </w:p>
        </w:tc>
        <w:tc>
          <w:tcPr>
            <w:tcW w:w="3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Changes in Tax Law.”</w:t>
            </w:r>
          </w:p>
        </w:tc>
        <w:tc>
          <w:tcPr>
            <w:tcW w:w="26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41"/>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Payment of Additional Amounts</w:t>
            </w: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Any payments made by the Company, or the Guarantor under the Guarantee, will be made</w:t>
            </w:r>
          </w:p>
        </w:tc>
      </w:tr>
      <w:tr>
        <w:trPr>
          <w:trHeight w:val="234"/>
        </w:trPr>
        <w:tc>
          <w:tcPr>
            <w:tcW w:w="3220" w:type="dxa"/>
            <w:vAlign w:val="bottom"/>
          </w:tcPr>
          <w:p>
            <w:pPr>
              <w:spacing w:after="0"/>
              <w:rPr>
                <w:sz w:val="20"/>
                <w:szCs w:val="20"/>
                <w:color w:val="auto"/>
              </w:rPr>
            </w:pPr>
          </w:p>
        </w:tc>
        <w:tc>
          <w:tcPr>
            <w:tcW w:w="76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without withholding or deduction for taxes imposed by any jurisdiction in which the</w:t>
            </w:r>
          </w:p>
        </w:tc>
      </w:tr>
    </w:tbl>
    <w:p>
      <w:pPr>
        <w:ind w:left="4320" w:right="40"/>
        <w:spacing w:after="0" w:line="260" w:lineRule="auto"/>
        <w:rPr>
          <w:sz w:val="20"/>
          <w:szCs w:val="20"/>
          <w:color w:val="auto"/>
        </w:rPr>
      </w:pPr>
      <w:r>
        <w:rPr>
          <w:rFonts w:ascii="Times New Roman" w:cs="Times New Roman" w:eastAsia="Times New Roman" w:hAnsi="Times New Roman"/>
          <w:sz w:val="18"/>
          <w:szCs w:val="18"/>
          <w:color w:val="auto"/>
        </w:rPr>
        <w:t>Company or the Guarantor is incorporated, organized or resident for tax purposes or through which a payment is made on the Notes on their behalf. If any such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20"/>
          </w:cols>
          <w:pgMar w:left="320" w:top="455" w:right="5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740" w:type="dxa"/>
            <w:vAlign w:val="bottom"/>
            <w:tcBorders>
              <w:top w:val="single" w:sz="8" w:color="auto"/>
              <w:left w:val="single" w:sz="8" w:color="auto"/>
            </w:tcBorders>
          </w:tcPr>
          <w:p>
            <w:pPr>
              <w:spacing w:after="0"/>
              <w:rPr>
                <w:sz w:val="24"/>
                <w:szCs w:val="24"/>
                <w:color w:val="auto"/>
              </w:rPr>
            </w:pPr>
          </w:p>
        </w:tc>
        <w:tc>
          <w:tcPr>
            <w:tcW w:w="750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withholding or deduction is required with respect to Notes, the Company (or the Guarantor,</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if applicable) will pay, subject to certain exceptions, additional amounts necessary so that the</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net amount received by the beneficial owners after the withholding is not less than the</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amount that they would have received in the absence of the withholding.</w:t>
            </w:r>
          </w:p>
        </w:tc>
      </w:tr>
      <w:tr>
        <w:trPr>
          <w:trHeight w:val="454"/>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For more information on additional amounts and the situations in which the Company may</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be required to pay additional amounts, see “Description of the Notes—Additional Amounts.”</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Ranking</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Notes will rank equally and ratably with all other unsecured and unsubordinated</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indebtedness of the Company.</w:t>
            </w:r>
          </w:p>
        </w:tc>
      </w:tr>
      <w:tr>
        <w:trPr>
          <w:trHeight w:val="441"/>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Guarantee will rank equally and ratably with all other unsecured and unsubordinated</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indebtedness of the Guarantor.</w:t>
            </w:r>
          </w:p>
        </w:tc>
      </w:tr>
      <w:tr>
        <w:trPr>
          <w:trHeight w:val="459"/>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See “Description of the Notes—Ranking of the Notes and Guarantee.”</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Certain Covenants</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Company will issue the Notes under a base indenture with The Bank of New York</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Mellon, as trustee, as supplemented by a supplemental indenture (as supplemented, the</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“Indenture”). The Indenture will, among other things, restrict the ability of the Guarantor, the</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Company and the Guarantor’s other subsidiaries to:</w:t>
            </w:r>
          </w:p>
        </w:tc>
      </w:tr>
      <w:tr>
        <w:trPr>
          <w:trHeight w:val="459"/>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   incur indebtedness secured by liens on specified restricted properties; and</w:t>
            </w:r>
          </w:p>
        </w:tc>
      </w:tr>
      <w:tr>
        <w:trPr>
          <w:trHeight w:val="459"/>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   consolidate or merge under specific circumstances.</w:t>
            </w:r>
          </w:p>
        </w:tc>
      </w:tr>
      <w:tr>
        <w:trPr>
          <w:trHeight w:val="459"/>
        </w:trPr>
        <w:tc>
          <w:tcPr>
            <w:tcW w:w="3740" w:type="dxa"/>
            <w:vAlign w:val="bottom"/>
            <w:tcBorders>
              <w:left w:val="single" w:sz="8" w:color="auto"/>
            </w:tcBorders>
          </w:tcPr>
          <w:p>
            <w:pPr>
              <w:spacing w:after="0"/>
              <w:rPr>
                <w:sz w:val="24"/>
                <w:szCs w:val="24"/>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For more details, see “Description of the Notes—Certain Covenants.”</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net proceeds from the offering will be used for general corporate purposes, including the</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repayment of existing indebtedness. See “Use of Proceeds.”</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Absence of a Public Market for the Notes</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Notes are new securities and there is currently no existing market for the Notes.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Accordingly, there can be no assurances as to the development or liquidity of any market for</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Notes.</w:t>
            </w:r>
          </w:p>
        </w:tc>
      </w:tr>
      <w:tr>
        <w:trPr>
          <w:trHeight w:val="441"/>
        </w:trPr>
        <w:tc>
          <w:tcPr>
            <w:tcW w:w="37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Further Issuances</w:t>
            </w: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registered</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holders of the Notes, create and issue additional Notes having the same terms as, and ranking</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equally and ratably with, any of the outstanding Notes in all respects. Such additional Notes</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will also be fully and unconditionally guaranteed by the Guarantor (on the same terms and</w:t>
            </w:r>
          </w:p>
        </w:tc>
      </w:tr>
      <w:tr>
        <w:trPr>
          <w:trHeight w:val="216"/>
        </w:trPr>
        <w:tc>
          <w:tcPr>
            <w:tcW w:w="3740" w:type="dxa"/>
            <w:vAlign w:val="bottom"/>
            <w:tcBorders>
              <w:left w:val="single" w:sz="8" w:color="auto"/>
            </w:tcBorders>
          </w:tcPr>
          <w:p>
            <w:pPr>
              <w:spacing w:after="0"/>
              <w:rPr>
                <w:sz w:val="18"/>
                <w:szCs w:val="18"/>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with the same ranking as the Guarantee for the Notes). See “Description of the Notes—</w:t>
            </w:r>
          </w:p>
        </w:tc>
      </w:tr>
      <w:tr>
        <w:trPr>
          <w:trHeight w:val="234"/>
        </w:trPr>
        <w:tc>
          <w:tcPr>
            <w:tcW w:w="3740" w:type="dxa"/>
            <w:vAlign w:val="bottom"/>
            <w:tcBorders>
              <w:left w:val="single" w:sz="8" w:color="auto"/>
            </w:tcBorders>
          </w:tcPr>
          <w:p>
            <w:pPr>
              <w:spacing w:after="0"/>
              <w:rPr>
                <w:sz w:val="20"/>
                <w:szCs w:val="20"/>
                <w:color w:val="auto"/>
              </w:rPr>
            </w:pPr>
          </w:p>
        </w:tc>
        <w:tc>
          <w:tcPr>
            <w:tcW w:w="75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Further Issuances.”</w:t>
            </w:r>
          </w:p>
        </w:tc>
      </w:tr>
      <w:tr>
        <w:trPr>
          <w:trHeight w:val="240"/>
        </w:trPr>
        <w:tc>
          <w:tcPr>
            <w:tcW w:w="3740" w:type="dxa"/>
            <w:vAlign w:val="bottom"/>
            <w:tcBorders>
              <w:left w:val="single" w:sz="8" w:color="auto"/>
              <w:bottom w:val="single" w:sz="8" w:color="auto"/>
            </w:tcBorders>
          </w:tcPr>
          <w:p>
            <w:pPr>
              <w:spacing w:after="0"/>
              <w:rPr>
                <w:sz w:val="20"/>
                <w:szCs w:val="20"/>
                <w:color w:val="auto"/>
              </w:rPr>
            </w:pPr>
          </w:p>
        </w:tc>
        <w:tc>
          <w:tcPr>
            <w:tcW w:w="7500" w:type="dxa"/>
            <w:vAlign w:val="bottom"/>
            <w:tcBorders>
              <w:bottom w:val="single" w:sz="8" w:color="auto"/>
              <w:right w:val="single" w:sz="8" w:color="auto"/>
            </w:tcBorders>
          </w:tcPr>
          <w:p>
            <w:pPr>
              <w:spacing w:after="0"/>
              <w:rPr>
                <w:sz w:val="20"/>
                <w:szCs w:val="20"/>
                <w:color w:val="auto"/>
              </w:rPr>
            </w:pPr>
          </w:p>
        </w:tc>
      </w:tr>
      <w:tr>
        <w:trPr>
          <w:trHeight w:val="604"/>
        </w:trPr>
        <w:tc>
          <w:tcPr>
            <w:tcW w:w="3740" w:type="dxa"/>
            <w:vAlign w:val="bottom"/>
          </w:tcPr>
          <w:p>
            <w:pPr>
              <w:spacing w:after="0"/>
              <w:rPr>
                <w:sz w:val="24"/>
                <w:szCs w:val="24"/>
                <w:color w:val="auto"/>
              </w:rPr>
            </w:pPr>
          </w:p>
        </w:tc>
        <w:tc>
          <w:tcPr>
            <w:tcW w:w="75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455"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414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Assumption by a Subsidiary</w:t>
            </w:r>
          </w:p>
        </w:tc>
        <w:tc>
          <w:tcPr>
            <w:tcW w:w="710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w:t>
            </w:r>
          </w:p>
        </w:tc>
      </w:tr>
      <w:tr>
        <w:trPr>
          <w:trHeight w:val="216"/>
        </w:trPr>
        <w:tc>
          <w:tcPr>
            <w:tcW w:w="414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 the issuer of the Notes and the Company will be released from its liability as obligor under</w:t>
            </w:r>
          </w:p>
        </w:tc>
      </w:tr>
      <w:tr>
        <w:trPr>
          <w:trHeight w:val="234"/>
        </w:trPr>
        <w:tc>
          <w:tcPr>
            <w:tcW w:w="414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Notes. See “Description of the Notes—Assumption by a Subsidiary.”</w:t>
            </w:r>
          </w:p>
        </w:tc>
      </w:tr>
      <w:tr>
        <w:trPr>
          <w:trHeight w:val="441"/>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Indenture, including the Guarantee contained therein, and the Notes will be governed by,</w:t>
            </w:r>
          </w:p>
        </w:tc>
      </w:tr>
      <w:tr>
        <w:trPr>
          <w:trHeight w:val="234"/>
        </w:trPr>
        <w:tc>
          <w:tcPr>
            <w:tcW w:w="414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 construed in accordance with, the laws of the State of New York.</w:t>
            </w:r>
          </w:p>
        </w:tc>
      </w:tr>
      <w:tr>
        <w:trPr>
          <w:trHeight w:val="459"/>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Trustee, Registrar, Paying Agent and Transfer Agent</w:t>
            </w: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54"/>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 investment in the Notes involves risk. You should carefully consider the information set</w:t>
            </w:r>
          </w:p>
        </w:tc>
      </w:tr>
      <w:tr>
        <w:trPr>
          <w:trHeight w:val="216"/>
        </w:trPr>
        <w:tc>
          <w:tcPr>
            <w:tcW w:w="414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forth in the section entitled “Risk Factors” beginning on page S-5 of this prospectus</w:t>
            </w:r>
          </w:p>
        </w:tc>
      </w:tr>
      <w:tr>
        <w:trPr>
          <w:trHeight w:val="216"/>
        </w:trPr>
        <w:tc>
          <w:tcPr>
            <w:tcW w:w="414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supplement and in the documents we have incorporated by reference before deciding whether</w:t>
            </w:r>
          </w:p>
        </w:tc>
      </w:tr>
      <w:tr>
        <w:trPr>
          <w:trHeight w:val="234"/>
        </w:trPr>
        <w:tc>
          <w:tcPr>
            <w:tcW w:w="414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 invest in the Notes.</w:t>
            </w:r>
          </w:p>
        </w:tc>
      </w:tr>
      <w:tr>
        <w:trPr>
          <w:trHeight w:val="240"/>
        </w:trPr>
        <w:tc>
          <w:tcPr>
            <w:tcW w:w="4140" w:type="dxa"/>
            <w:vAlign w:val="bottom"/>
            <w:tcBorders>
              <w:left w:val="single" w:sz="8" w:color="auto"/>
              <w:bottom w:val="single" w:sz="8" w:color="auto"/>
            </w:tcBorders>
          </w:tcPr>
          <w:p>
            <w:pPr>
              <w:spacing w:after="0"/>
              <w:rPr>
                <w:sz w:val="20"/>
                <w:szCs w:val="20"/>
                <w:color w:val="auto"/>
              </w:rPr>
            </w:pPr>
          </w:p>
        </w:tc>
        <w:tc>
          <w:tcPr>
            <w:tcW w:w="7100" w:type="dxa"/>
            <w:vAlign w:val="bottom"/>
            <w:tcBorders>
              <w:bottom w:val="single" w:sz="8" w:color="auto"/>
              <w:right w:val="single" w:sz="8" w:color="auto"/>
            </w:tcBorders>
          </w:tcPr>
          <w:p>
            <w:pPr>
              <w:spacing w:after="0"/>
              <w:rPr>
                <w:sz w:val="20"/>
                <w:szCs w:val="20"/>
                <w:color w:val="auto"/>
              </w:rPr>
            </w:pPr>
          </w:p>
        </w:tc>
      </w:tr>
      <w:tr>
        <w:trPr>
          <w:trHeight w:val="604"/>
        </w:trPr>
        <w:tc>
          <w:tcPr>
            <w:tcW w:w="4140" w:type="dxa"/>
            <w:vAlign w:val="bottom"/>
          </w:tcPr>
          <w:p>
            <w:pPr>
              <w:spacing w:after="0"/>
              <w:rPr>
                <w:sz w:val="24"/>
                <w:szCs w:val="24"/>
                <w:color w:val="auto"/>
              </w:rPr>
            </w:pPr>
          </w:p>
        </w:tc>
        <w:tc>
          <w:tcPr>
            <w:tcW w:w="7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455"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firstLine="898"/>
        <w:spacing w:after="0" w:line="271" w:lineRule="auto"/>
        <w:rPr>
          <w:sz w:val="20"/>
          <w:szCs w:val="20"/>
          <w:color w:val="auto"/>
        </w:rPr>
      </w:pPr>
      <w:r>
        <w:rPr>
          <w:rFonts w:ascii="Times New Roman" w:cs="Times New Roman" w:eastAsia="Times New Roman" w:hAnsi="Times New Roman"/>
          <w:sz w:val="17"/>
          <w:szCs w:val="17"/>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2019 and its Quarterly Reports on Form 10-Q for the quarterly periods ended March 31, 2020 and June 30, 2020, including the risk factor disclosed in Item 8.01 of the Guarantor’s Current Report on Form</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8-K filed on April 17, 2020, before making a decision to invest in the Notes. If any of the matters included in the “Risk Factors” sections were to occur, the Schlumberger Group’s business, properties, assets, financial condition, results of operations, cash flows or prospects could be materially adversely affected. Additional risks and uncertainties not currently known to the Schlumberger Group or that the Schlumberger Group currently deems immaterial may also adversely affect the Schlumberger Group’s business, reputation, financial condition, results of operations, cash flows and prospects.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has significantly reduced demand for our services, and has had, and may continue to have, a material adverse impact on our financial condition, results of operations and cash flows.</w:t>
      </w:r>
    </w:p>
    <w:p>
      <w:pPr>
        <w:spacing w:after="0" w:line="159" w:lineRule="exact"/>
        <w:rPr>
          <w:sz w:val="20"/>
          <w:szCs w:val="20"/>
          <w:color w:val="auto"/>
        </w:rPr>
      </w:pPr>
    </w:p>
    <w:p>
      <w:pPr>
        <w:ind w:right="100" w:firstLine="898"/>
        <w:spacing w:after="0" w:line="256" w:lineRule="auto"/>
        <w:rPr>
          <w:sz w:val="20"/>
          <w:szCs w:val="20"/>
          <w:color w:val="auto"/>
        </w:rPr>
      </w:pPr>
      <w:r>
        <w:rPr>
          <w:rFonts w:ascii="Times New Roman" w:cs="Times New Roman" w:eastAsia="Times New Roman" w:hAnsi="Times New Roman"/>
          <w:sz w:val="18"/>
          <w:szCs w:val="18"/>
          <w:color w:val="auto"/>
        </w:rPr>
        <w:t>The effects of the COVID-19 (coronavirus) pandemic, including actions taken by businesses and governments, have resulted in a significant and swift reduction in international and U.S. economic activity. These effects have adversely affected the demand for oil and natural gas, as well as for our services and products. The collapse in the demand for oil caused by this unprecedented global health and economic crisis, coupled with oil oversupply, has had, and is reasonably likely to continue to have, a material adverse impact on the demand for our services and products. The decline in our customers’ demand for our services and products has had, and is likely to continue to have, a material adverse impact on our financial condition, results of operations and cash flows.</w:t>
      </w:r>
    </w:p>
    <w:p>
      <w:pPr>
        <w:spacing w:after="0" w:line="187" w:lineRule="exact"/>
        <w:rPr>
          <w:sz w:val="20"/>
          <w:szCs w:val="20"/>
          <w:color w:val="auto"/>
        </w:rPr>
      </w:pPr>
    </w:p>
    <w:p>
      <w:pPr>
        <w:ind w:right="20" w:firstLine="898"/>
        <w:spacing w:after="0" w:line="261" w:lineRule="auto"/>
        <w:rPr>
          <w:sz w:val="20"/>
          <w:szCs w:val="20"/>
          <w:color w:val="auto"/>
        </w:rPr>
      </w:pPr>
      <w:r>
        <w:rPr>
          <w:rFonts w:ascii="Times New Roman" w:cs="Times New Roman" w:eastAsia="Times New Roman" w:hAnsi="Times New Roman"/>
          <w:sz w:val="18"/>
          <w:szCs w:val="18"/>
          <w:color w:val="auto"/>
        </w:rPr>
        <w:t>While the full impact of the COVID-19 outbreak is not yet known, we are closely monitoring the effects of the pandemic on commodity demands and on our customers, as well as on our operations and employees. These effects have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180"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The extent to which our operating and financial results are affected by COVID-19 will depend on various factors and consequences beyond our control, such as the duration and scope of the pandemic; additional actions by businesses and governments in response to the pandemic; and the speed and effectiveness of responses to combat the virus. COVID-19, and the volatile regional and global economic conditions stemming from the pandemic, could also aggravate the other risk factors that we identify in our Annual Report on Form 10-K for the fiscal year ended December 31, 2019. COVID-19 may also materially adversely affect our operating and financial results in a manner that is not currently known to us or that we do not currently consider to present significant risks to our operations.</w:t>
      </w:r>
    </w:p>
    <w:p>
      <w:pPr>
        <w:spacing w:after="0" w:line="18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and the Guarantor’s ability to service their debt depends on the Schlumberger Group’s future performance, which may not generate cash required to service their debt.</w:t>
      </w:r>
    </w:p>
    <w:p>
      <w:pPr>
        <w:spacing w:after="0" w:line="159" w:lineRule="exact"/>
        <w:rPr>
          <w:sz w:val="20"/>
          <w:szCs w:val="20"/>
          <w:color w:val="auto"/>
        </w:rPr>
      </w:pPr>
    </w:p>
    <w:p>
      <w:pPr>
        <w:ind w:right="80" w:firstLine="898"/>
        <w:spacing w:after="0" w:line="258" w:lineRule="auto"/>
        <w:rPr>
          <w:sz w:val="20"/>
          <w:szCs w:val="20"/>
          <w:color w:val="auto"/>
        </w:rPr>
      </w:pPr>
      <w:r>
        <w:rPr>
          <w:rFonts w:ascii="Times New Roman" w:cs="Times New Roman" w:eastAsia="Times New Roman" w:hAnsi="Times New Roman"/>
          <w:sz w:val="18"/>
          <w:szCs w:val="18"/>
          <w:color w:val="auto"/>
        </w:rPr>
        <w:t>The Company’s ability to make scheduled payments on the Notes depends on the Schlumberger Group’s future operating and financial performance and ability to generate cash. This will be affected by the Schlumberger Group’s ability to successfully implement its business strategy, as well as by general economic, financial, competitive, regulatory, technical and other factors beyond its control. If the Schlumberger Group cannot generate sufficient cash to meet its debt service obligations or fund its other business needs, the Company or the Guarantor may, among other things, need to refinance all or a portion of its obligations, including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40"/>
          </w:cols>
          <w:pgMar w:left="320" w:top="455"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and the Guarantee will be subordinated to any secured indebtedness of the Company and the Guarantor.</w:t>
      </w:r>
    </w:p>
    <w:p>
      <w:pPr>
        <w:spacing w:after="0" w:line="229" w:lineRule="exact"/>
        <w:rPr>
          <w:sz w:val="20"/>
          <w:szCs w:val="20"/>
          <w:color w:val="auto"/>
        </w:rPr>
      </w:pPr>
    </w:p>
    <w:p>
      <w:pPr>
        <w:ind w:right="80" w:firstLine="898"/>
        <w:spacing w:after="0" w:line="254" w:lineRule="auto"/>
        <w:rPr>
          <w:sz w:val="20"/>
          <w:szCs w:val="20"/>
          <w:color w:val="auto"/>
        </w:rPr>
      </w:pPr>
      <w:r>
        <w:rPr>
          <w:rFonts w:ascii="Times New Roman" w:cs="Times New Roman" w:eastAsia="Times New Roman" w:hAnsi="Times New Roman"/>
          <w:sz w:val="18"/>
          <w:szCs w:val="18"/>
          <w:color w:val="auto"/>
        </w:rPr>
        <w:t>The Notes will be unsecured and unsubordinated obligations of the Company and will rank pari passu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pari passu in right of payment to all other existing and future unsecured and unsubordinated indebtedness of the Guarantor, and senior in 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Guarantee and the Notes will be structurally subordinated to the obligations of the Guarantor’s subsidiaries other than the Company.</w:t>
      </w:r>
    </w:p>
    <w:p>
      <w:pPr>
        <w:spacing w:after="0" w:line="229" w:lineRule="exact"/>
        <w:rPr>
          <w:sz w:val="20"/>
          <w:szCs w:val="20"/>
          <w:color w:val="auto"/>
        </w:rPr>
      </w:pPr>
    </w:p>
    <w:p>
      <w:pPr>
        <w:ind w:right="60" w:firstLine="898"/>
        <w:spacing w:after="0" w:line="255" w:lineRule="auto"/>
        <w:rPr>
          <w:sz w:val="20"/>
          <w:szCs w:val="20"/>
          <w:color w:val="auto"/>
        </w:rPr>
      </w:pPr>
      <w:r>
        <w:rPr>
          <w:rFonts w:ascii="Times New Roman" w:cs="Times New Roman" w:eastAsia="Times New Roman" w:hAnsi="Times New Roman"/>
          <w:sz w:val="18"/>
          <w:szCs w:val="18"/>
          <w:color w:val="auto"/>
        </w:rPr>
        <w:t>The Guarantor currently conducts its operations through its subsidiaries. The Company’s principal activities are debt issuance and intercompany group financing. Accordingly, the Guarantor’s ability to meet its obligations, including payment of principal and interest (including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89" w:lineRule="exact"/>
        <w:rPr>
          <w:sz w:val="20"/>
          <w:szCs w:val="20"/>
          <w:color w:val="auto"/>
        </w:rPr>
      </w:pPr>
    </w:p>
    <w:p>
      <w:pPr>
        <w:ind w:firstLine="898"/>
        <w:spacing w:after="0" w:line="258" w:lineRule="auto"/>
        <w:rPr>
          <w:sz w:val="20"/>
          <w:szCs w:val="20"/>
          <w:color w:val="auto"/>
        </w:rPr>
      </w:pPr>
      <w:r>
        <w:rPr>
          <w:rFonts w:ascii="Times New Roman" w:cs="Times New Roman" w:eastAsia="Times New Roman" w:hAnsi="Times New Roman"/>
          <w:sz w:val="18"/>
          <w:szCs w:val="18"/>
          <w:color w:val="auto"/>
        </w:rPr>
        <w:t>As a result, the Guarantee will be structurally subordinated to the obligations and liabilities of all of the Guarantor’s subsidiaries (other than the Company’s obligations and liabilities with respect to the Notes). As of June 30, 2020, the Guarantor had accounts payable and accrued liabilities of approximately U.S.$9.8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trading market for the Notes and an active trading market for the Notes may not develop, in which case you may not be able to resell the Notes.</w:t>
      </w:r>
    </w:p>
    <w:p>
      <w:pPr>
        <w:spacing w:after="0" w:line="159" w:lineRule="exact"/>
        <w:rPr>
          <w:sz w:val="20"/>
          <w:szCs w:val="20"/>
          <w:color w:val="auto"/>
        </w:rPr>
      </w:pPr>
    </w:p>
    <w:p>
      <w:pPr>
        <w:ind w:right="20" w:firstLine="898"/>
        <w:spacing w:after="0" w:line="255" w:lineRule="auto"/>
        <w:rPr>
          <w:sz w:val="20"/>
          <w:szCs w:val="20"/>
          <w:color w:val="auto"/>
        </w:rPr>
      </w:pPr>
      <w:r>
        <w:rPr>
          <w:rFonts w:ascii="Times New Roman" w:cs="Times New Roman" w:eastAsia="Times New Roman" w:hAnsi="Times New Roman"/>
          <w:sz w:val="18"/>
          <w:szCs w:val="18"/>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our and the Guarantor’s financial performance, the market for similar securities and the interest of securities dealers in making a market in the Notes. In addition, changes in the overall market for investment grade securities and changes in our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320" w:top="455"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may be unable to recover in civil proceedings for U.S. securities laws violations.</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The Company is incorporated under the laws of the Province of Alberta, Canada and does not have any assets in the United States. It is anticipated that some or all of the directors and executive officers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and executive officers, or to enforce any judgments obtained in U.S. courts predicated upon civil liability provisions of the U.S. securities laws. In addition, the Company cannot assure you that civil liabilities predicated upon the federal securities laws of the United States will be enforceable in Canada.</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60"/>
          </w:cols>
          <w:pgMar w:left="320" w:top="455" w:right="5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We estimate that the net proceeds (after deducting the underwriting discount and the estimated expenses of the offering payable by us) from the</w:t>
      </w:r>
    </w:p>
    <w:p>
      <w:pPr>
        <w:spacing w:after="0" w:line="39"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sale of the Notes will be approximately U.S.$ . The net proceeds from the offering will be used for general corporate purposes, including the repayment of existing indebtedness.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455"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sets forth the Guarantor’s and its consolidated subsidiaries’ unaudited capitalization as of June 30, 2020:</w:t>
      </w:r>
    </w:p>
    <w:p>
      <w:pPr>
        <w:spacing w:after="0" w:line="252" w:lineRule="exact"/>
        <w:rPr>
          <w:sz w:val="20"/>
          <w:szCs w:val="20"/>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52" w:lineRule="exact"/>
        <w:rPr>
          <w:rFonts w:ascii="Times New Roman" w:cs="Times New Roman" w:eastAsia="Times New Roman" w:hAnsi="Times New Roman"/>
          <w:sz w:val="18"/>
          <w:szCs w:val="18"/>
          <w:color w:val="auto"/>
        </w:rPr>
      </w:pPr>
    </w:p>
    <w:p>
      <w:pPr>
        <w:ind w:left="1340" w:right="340" w:hanging="333"/>
        <w:spacing w:after="0" w:line="282" w:lineRule="auto"/>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the sale of $350,000,000 of 2.650% Senior Notes due 2030 issued by Schlumberger Investment SA and guaranteed by Schlumberger Limited in August 2020; and</w:t>
      </w:r>
    </w:p>
    <w:p>
      <w:pPr>
        <w:spacing w:after="0" w:line="18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adjusted to give effect to the sale of the Notes in this offering.</w:t>
      </w:r>
    </w:p>
    <w:p>
      <w:pPr>
        <w:spacing w:after="0" w:line="225"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This table should be read in conjunction with the Guarantor’s and its consolidated subsidiaries’ unaudited consolidated financial statements and the related notes as reported in the Guarantor’s Quarterly Report on Form 10-Q for the quarterly period ended June 30, 2020, which is incorporated by reference in this prospectus supplement and accompanying prospectus. See “Incorporation of Documents by Reference.”</w:t>
      </w:r>
    </w:p>
    <w:p>
      <w:pPr>
        <w:spacing w:after="0" w:line="196"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Further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8"/>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 term borrowings and current portion of long-term debt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6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offered hereby</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17,366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Limited stockholders’ equity</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12,040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12,040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29,406</w:t>
            </w:r>
          </w:p>
        </w:tc>
        <w:tc>
          <w:tcPr>
            <w:tcW w:w="62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29,756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660"/>
              <w:spacing w:after="0"/>
              <w:rPr>
                <w:sz w:val="20"/>
                <w:szCs w:val="20"/>
                <w:color w:val="auto"/>
              </w:rPr>
            </w:pPr>
            <w:r>
              <w:rPr>
                <w:rFonts w:ascii="Times New Roman" w:cs="Times New Roman" w:eastAsia="Times New Roman" w:hAnsi="Times New Roman"/>
                <w:sz w:val="18"/>
                <w:szCs w:val="18"/>
                <w:color w:val="auto"/>
              </w:rPr>
              <w:t>S-9</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ind w:left="900"/>
        <w:spacing w:after="0"/>
        <w:tabs>
          <w:tab w:leader="none" w:pos="6680" w:val="left"/>
          <w:tab w:leader="none" w:pos="9080" w:val="left"/>
        </w:tabs>
        <w:rPr>
          <w:sz w:val="20"/>
          <w:szCs w:val="20"/>
          <w:color w:val="auto"/>
        </w:rPr>
      </w:pPr>
      <w:r>
        <w:rPr>
          <w:rFonts w:ascii="Times New Roman" w:cs="Times New Roman" w:eastAsia="Times New Roman" w:hAnsi="Times New Roman"/>
          <w:sz w:val="18"/>
          <w:szCs w:val="18"/>
          <w:color w:val="auto"/>
        </w:rPr>
        <w:t>Schlumberger Finance Canada Ltd. (the “Company”) is offering U.S.$</w:t>
      </w:r>
      <w:r>
        <w:rPr>
          <w:sz w:val="20"/>
          <w:szCs w:val="20"/>
          <w:color w:val="auto"/>
        </w:rPr>
        <w:tab/>
      </w:r>
      <w:r>
        <w:rPr>
          <w:rFonts w:ascii="Times New Roman" w:cs="Times New Roman" w:eastAsia="Times New Roman" w:hAnsi="Times New Roman"/>
          <w:sz w:val="18"/>
          <w:szCs w:val="18"/>
          <w:color w:val="auto"/>
        </w:rPr>
        <w:t>principal amount of its</w:t>
      </w:r>
      <w:r>
        <w:rPr>
          <w:sz w:val="20"/>
          <w:szCs w:val="20"/>
          <w:color w:val="auto"/>
        </w:rPr>
        <w:tab/>
      </w:r>
      <w:r>
        <w:rPr>
          <w:rFonts w:ascii="Times New Roman" w:cs="Times New Roman" w:eastAsia="Times New Roman" w:hAnsi="Times New Roman"/>
          <w:sz w:val="17"/>
          <w:szCs w:val="17"/>
          <w:color w:val="auto"/>
        </w:rPr>
        <w:t>% Senior Notes due 2025</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“Notes”). The Notes are to be issued under a base indenture to be dated as of the closing date of this offering (the “Base Indenture”), as supplemented by a supplemental indenture to be dated as of the closing date of this offering (the Base Indenture as so supplemented, the “Indenture”), among the Company, Schlumberger Limited, as guarantor (the “Guarantor”), and The Bank of New York Mellon, as trustee (the “Trustee”). When we refer to the Indenture, we are referring to such Base Indenture, as so supplemented, unless the context requires otherwise. The Guarantor will fully and unconditionally guarantee the Notes under a guarantee contained in the Indenture (the “Guarantee”). The terms of the Notes include those stated in the Indenture. A form of the Base Indenture is filed as an exhibit to the registration statement of which this prospectus supplement and the accompanying prospectus are a part.</w:t>
      </w:r>
    </w:p>
    <w:p>
      <w:pPr>
        <w:spacing w:after="0" w:line="190" w:lineRule="exact"/>
        <w:rPr>
          <w:sz w:val="20"/>
          <w:szCs w:val="20"/>
          <w:color w:val="auto"/>
        </w:rPr>
      </w:pPr>
    </w:p>
    <w:p>
      <w:pPr>
        <w:ind w:right="20" w:firstLine="898"/>
        <w:spacing w:after="0" w:line="266" w:lineRule="auto"/>
        <w:rPr>
          <w:sz w:val="20"/>
          <w:szCs w:val="20"/>
          <w:color w:val="auto"/>
        </w:rPr>
      </w:pPr>
      <w:r>
        <w:rPr>
          <w:rFonts w:ascii="Times New Roman" w:cs="Times New Roman" w:eastAsia="Times New Roman" w:hAnsi="Times New Roman"/>
          <w:sz w:val="18"/>
          <w:szCs w:val="18"/>
          <w:color w:val="auto"/>
        </w:rPr>
        <w:t>The Indenture will not limit the amount of debt that may be issued thereunder. The Company may issue debt securities from time to time under the Indenture in separate series (each, a “series”), each up to the aggregate principal amount authorized by the Company for such series. The Notes will constitute a single series of debt securities under the Indenture.</w:t>
      </w:r>
    </w:p>
    <w:p>
      <w:pPr>
        <w:spacing w:after="0" w:line="176" w:lineRule="exact"/>
        <w:rPr>
          <w:sz w:val="20"/>
          <w:szCs w:val="20"/>
          <w:color w:val="auto"/>
        </w:rPr>
      </w:pPr>
    </w:p>
    <w:p>
      <w:pPr>
        <w:jc w:val="both"/>
        <w:ind w:right="560" w:firstLine="898"/>
        <w:spacing w:after="0" w:line="266" w:lineRule="auto"/>
        <w:rPr>
          <w:sz w:val="20"/>
          <w:szCs w:val="20"/>
          <w:color w:val="auto"/>
        </w:rPr>
      </w:pPr>
      <w:r>
        <w:rPr>
          <w:rFonts w:ascii="Times New Roman" w:cs="Times New Roman" w:eastAsia="Times New Roman" w:hAnsi="Times New Roman"/>
          <w:sz w:val="18"/>
          <w:szCs w:val="18"/>
          <w:color w:val="auto"/>
        </w:rPr>
        <w:t>As used in this “Description of the Notes,” the terms “we,” “us” and “our” and similar expressions refer to the Company; and the terms “Guarantor” and “Schlumberger Limited” refer to our parent company, Schlumberger Limited, and not to any of its subsidiaries, in each case unless otherwise stated or the context otherwise requires.</w:t>
      </w:r>
    </w:p>
    <w:p>
      <w:pPr>
        <w:spacing w:after="0" w:line="176"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will have rights under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firstLine="898"/>
        <w:spacing w:after="0" w:line="256" w:lineRule="auto"/>
        <w:rPr>
          <w:sz w:val="20"/>
          <w:szCs w:val="20"/>
          <w:color w:val="auto"/>
        </w:rPr>
      </w:pPr>
      <w:r>
        <w:rPr>
          <w:rFonts w:ascii="Times New Roman" w:cs="Times New Roman" w:eastAsia="Times New Roman" w:hAnsi="Times New Roman"/>
          <w:sz w:val="18"/>
          <w:szCs w:val="18"/>
          <w:color w:val="auto"/>
        </w:rPr>
        <w:t>The Notes are initially issuable in an aggregate principal amount of U.S.$ and will mature on , 2025. Interest on the Notes will be payable in U.S. dollars at the office of the Paying Agent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applicable maturity date.</w:t>
      </w:r>
    </w:p>
    <w:p>
      <w:pPr>
        <w:spacing w:after="0" w:line="187" w:lineRule="exact"/>
        <w:rPr>
          <w:sz w:val="20"/>
          <w:szCs w:val="20"/>
          <w:color w:val="auto"/>
        </w:rPr>
      </w:pPr>
    </w:p>
    <w:p>
      <w:pPr>
        <w:ind w:right="120" w:firstLine="898"/>
        <w:spacing w:after="0" w:line="261" w:lineRule="auto"/>
        <w:rPr>
          <w:sz w:val="20"/>
          <w:szCs w:val="20"/>
          <w:color w:val="auto"/>
        </w:rPr>
      </w:pPr>
      <w:r>
        <w:rPr>
          <w:rFonts w:ascii="Times New Roman" w:cs="Times New Roman" w:eastAsia="Times New Roman" w:hAnsi="Times New Roman"/>
          <w:sz w:val="18"/>
          <w:szCs w:val="18"/>
          <w:color w:val="auto"/>
        </w:rPr>
        <w:t>The Company may create and issue additional Notes under the Indenture with the same terms as the Notes offered hereby (other than the date of issuance and in certain circumstances the date from which interest thereon will begin to accrue). The Notes issued by the Company and any additional Notes subsequently issued by the Company under the Indenture will be treated as a single class for all purposes under the Indenture, including, without limitation, waivers, amendments and redemptions. See “—Further Issuances.”</w:t>
      </w:r>
    </w:p>
    <w:p>
      <w:pPr>
        <w:spacing w:after="0" w:line="180" w:lineRule="exact"/>
        <w:rPr>
          <w:sz w:val="20"/>
          <w:szCs w:val="20"/>
          <w:color w:val="auto"/>
        </w:rPr>
      </w:pPr>
    </w:p>
    <w:p>
      <w:pPr>
        <w:ind w:right="80" w:firstLine="898"/>
        <w:spacing w:after="0" w:line="282" w:lineRule="auto"/>
        <w:rPr>
          <w:sz w:val="20"/>
          <w:szCs w:val="20"/>
          <w:color w:val="auto"/>
        </w:rPr>
      </w:pPr>
      <w:r>
        <w:rPr>
          <w:rFonts w:ascii="Times New Roman" w:cs="Times New Roman" w:eastAsia="Times New Roman" w:hAnsi="Times New Roman"/>
          <w:sz w:val="18"/>
          <w:szCs w:val="18"/>
          <w:color w:val="auto"/>
        </w:rPr>
        <w:t>The Notes will be issued only in registered form without interest coupons, in minimum denominations of U.S.$2,000 and in integral multiples of U.S.$1,000 in excess thereof.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20"/>
          </w:cols>
          <w:pgMar w:left="320" w:top="455" w:right="3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898"/>
        <w:spacing w:after="0" w:line="263" w:lineRule="auto"/>
        <w:rPr>
          <w:sz w:val="20"/>
          <w:szCs w:val="20"/>
          <w:color w:val="auto"/>
        </w:rPr>
      </w:pPr>
      <w:r>
        <w:rPr>
          <w:rFonts w:ascii="Times New Roman" w:cs="Times New Roman" w:eastAsia="Times New Roman" w:hAnsi="Times New Roman"/>
          <w:sz w:val="18"/>
          <w:szCs w:val="18"/>
          <w:color w:val="auto"/>
        </w:rPr>
        <w:t>The Notes will bear interest at % per annum. Interest on the Notes will accrue from , 2020 and will be payable by the Company on and of each year, beginning on , 2021 to the person in whose name such Note is registered, subject to certain exceptions as provided in the Indenture, at the close of business on the and immediately preceding such interest payment date (whether or not a business day).</w:t>
      </w:r>
    </w:p>
    <w:p>
      <w:pPr>
        <w:spacing w:after="0" w:line="4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Notes are not subject to any mandatory redemption or any sinking fund provision.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9"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Schlumberger Limited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Schlumberger Limited will:</w:t>
      </w:r>
    </w:p>
    <w:p>
      <w:pPr>
        <w:spacing w:after="0" w:line="252" w:lineRule="exact"/>
        <w:rPr>
          <w:sz w:val="20"/>
          <w:szCs w:val="20"/>
          <w:color w:val="auto"/>
        </w:rPr>
      </w:pPr>
    </w:p>
    <w:p>
      <w:pPr>
        <w:ind w:left="1340" w:right="220" w:hanging="333"/>
        <w:spacing w:after="0" w:line="312" w:lineRule="auto"/>
        <w:tabs>
          <w:tab w:leader="none" w:pos="13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166" w:lineRule="exact"/>
        <w:rPr>
          <w:rFonts w:ascii="Times New Roman" w:cs="Times New Roman" w:eastAsia="Times New Roman" w:hAnsi="Times New Roman"/>
          <w:sz w:val="17"/>
          <w:szCs w:val="17"/>
          <w:color w:val="auto"/>
        </w:rPr>
      </w:pPr>
    </w:p>
    <w:p>
      <w:pPr>
        <w:ind w:left="1340" w:right="160" w:hanging="333"/>
        <w:spacing w:after="0" w:line="282" w:lineRule="auto"/>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158"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17"/>
          <w:szCs w:val="17"/>
          <w:b w:val="1"/>
          <w:bCs w:val="1"/>
          <w:color w:val="auto"/>
        </w:rPr>
        <w:t>Ranking of the Notes and the Guarantee</w:t>
      </w:r>
    </w:p>
    <w:p>
      <w:pPr>
        <w:spacing w:after="0" w:line="2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Notes will be:</w:t>
      </w:r>
    </w:p>
    <w:p>
      <w:pPr>
        <w:spacing w:after="0" w:line="252" w:lineRule="exact"/>
        <w:rPr>
          <w:sz w:val="20"/>
          <w:szCs w:val="20"/>
          <w:color w:val="auto"/>
        </w:rPr>
      </w:pPr>
    </w:p>
    <w:p>
      <w:pPr>
        <w:ind w:left="1340" w:right="820" w:hanging="333"/>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Company and will rank equally and ratably with all of the Company’s other unsecured and unsubordinated indebtedness; and</w:t>
      </w:r>
    </w:p>
    <w:p>
      <w:pPr>
        <w:spacing w:after="0" w:line="188" w:lineRule="exact"/>
        <w:rPr>
          <w:rFonts w:ascii="Times New Roman" w:cs="Times New Roman" w:eastAsia="Times New Roman" w:hAnsi="Times New Roman"/>
          <w:sz w:val="18"/>
          <w:szCs w:val="18"/>
          <w:color w:val="auto"/>
        </w:rPr>
      </w:pPr>
    </w:p>
    <w:p>
      <w:pPr>
        <w:ind w:left="1340" w:right="340" w:hanging="333"/>
        <w:spacing w:after="0" w:line="282"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on a senior unsecured basis by the Guarantor, which Guarantee will rank equally and ratably with all other unsecured and unsubordinated indebtedness of the Guarantor.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229" w:lineRule="exact"/>
        <w:rPr>
          <w:sz w:val="20"/>
          <w:szCs w:val="20"/>
          <w:color w:val="auto"/>
        </w:rPr>
      </w:pPr>
    </w:p>
    <w:p>
      <w:pPr>
        <w:ind w:right="20" w:firstLine="898"/>
        <w:spacing w:after="0" w:line="253" w:lineRule="auto"/>
        <w:rPr>
          <w:sz w:val="20"/>
          <w:szCs w:val="20"/>
          <w:color w:val="auto"/>
        </w:rPr>
      </w:pPr>
      <w:r>
        <w:rPr>
          <w:rFonts w:ascii="Times New Roman" w:cs="Times New Roman" w:eastAsia="Times New Roman" w:hAnsi="Times New Roman"/>
          <w:sz w:val="18"/>
          <w:szCs w:val="18"/>
          <w:color w:val="auto"/>
        </w:rPr>
        <w:t>All payments made by the Company under or with respect to the Notes, or by the Guarantor with respect to its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Notes) or any political subdivision thereof or therein (each, together with each Relevant Tax Jurisdiction, a “Tax Jurisdiction”) will at any time be required to be made from any payments made or deemed made by or on behalf of the Company under or with respect to the Notes, as applicable, or the Guarantor under or with respect to its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40"/>
          </w:cols>
          <w:pgMar w:left="320" w:top="455"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203" w:lineRule="exact"/>
        <w:rPr>
          <w:sz w:val="20"/>
          <w:szCs w:val="20"/>
          <w:color w:val="auto"/>
        </w:rPr>
      </w:pPr>
    </w:p>
    <w:p>
      <w:pPr>
        <w:ind w:left="1340" w:hanging="441"/>
        <w:spacing w:after="0" w:line="256"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existence of any actual or deemed present or former connection between the holder or the beneficial owner of such Notes or Guarantees, as applicable,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214" w:lineRule="exact"/>
        <w:rPr>
          <w:rFonts w:ascii="Times New Roman" w:cs="Times New Roman" w:eastAsia="Times New Roman" w:hAnsi="Times New Roman"/>
          <w:sz w:val="18"/>
          <w:szCs w:val="18"/>
          <w:color w:val="auto"/>
        </w:rPr>
      </w:pPr>
    </w:p>
    <w:p>
      <w:pPr>
        <w:ind w:left="1340" w:right="320" w:hanging="441"/>
        <w:spacing w:after="0" w:line="266"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such Note been presented on the last day of such 30-day period);</w:t>
      </w:r>
    </w:p>
    <w:p>
      <w:pPr>
        <w:spacing w:after="0" w:line="202"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252" w:lineRule="exact"/>
        <w:rPr>
          <w:rFonts w:ascii="Times New Roman" w:cs="Times New Roman" w:eastAsia="Times New Roman" w:hAnsi="Times New Roman"/>
          <w:sz w:val="18"/>
          <w:szCs w:val="18"/>
          <w:color w:val="auto"/>
        </w:rPr>
      </w:pPr>
    </w:p>
    <w:p>
      <w:pPr>
        <w:ind w:left="1340" w:right="40" w:hanging="441"/>
        <w:spacing w:after="0" w:line="266"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202" w:lineRule="exact"/>
        <w:rPr>
          <w:rFonts w:ascii="Times New Roman" w:cs="Times New Roman" w:eastAsia="Times New Roman" w:hAnsi="Times New Roman"/>
          <w:sz w:val="18"/>
          <w:szCs w:val="18"/>
          <w:color w:val="auto"/>
        </w:rPr>
      </w:pPr>
    </w:p>
    <w:p>
      <w:pPr>
        <w:ind w:left="1340" w:right="200" w:hanging="441"/>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188"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Notes or the Guarantee;</w:t>
      </w:r>
    </w:p>
    <w:p>
      <w:pPr>
        <w:spacing w:after="0" w:line="252" w:lineRule="exact"/>
        <w:rPr>
          <w:rFonts w:ascii="Times New Roman" w:cs="Times New Roman" w:eastAsia="Times New Roman" w:hAnsi="Times New Roman"/>
          <w:sz w:val="18"/>
          <w:szCs w:val="18"/>
          <w:color w:val="auto"/>
        </w:rPr>
      </w:pPr>
    </w:p>
    <w:p>
      <w:pPr>
        <w:ind w:left="1340" w:right="240" w:hanging="441"/>
        <w:spacing w:after="0" w:line="255"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Note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215"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applicable to a payment made to any holder or beneficial owner of the Notes with which the Company, the Guarantor or a transferee of the Notes do not deal at arm’s length (within the meaning of the Income Tax Act (Canada)) at the time of making such payment;</w:t>
      </w:r>
    </w:p>
    <w:p>
      <w:pPr>
        <w:spacing w:after="0" w:line="202" w:lineRule="exact"/>
        <w:rPr>
          <w:rFonts w:ascii="Times New Roman" w:cs="Times New Roman" w:eastAsia="Times New Roman" w:hAnsi="Times New Roman"/>
          <w:sz w:val="18"/>
          <w:szCs w:val="18"/>
          <w:color w:val="auto"/>
        </w:rPr>
      </w:pPr>
    </w:p>
    <w:p>
      <w:pPr>
        <w:ind w:left="1340" w:right="580" w:hanging="441"/>
        <w:spacing w:after="0" w:line="282"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under or with respect to the Notes or the Guarantee that is deemed under subsection 214(6) of the Income Tax Act (Canada) to be a dividend; or</w:t>
      </w:r>
    </w:p>
    <w:p>
      <w:pPr>
        <w:spacing w:after="0" w:line="188"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(9) above.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455" w:right="3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898"/>
        <w:spacing w:after="0" w:line="253" w:lineRule="auto"/>
        <w:rPr>
          <w:sz w:val="20"/>
          <w:szCs w:val="20"/>
          <w:color w:val="auto"/>
        </w:rPr>
      </w:pPr>
      <w:r>
        <w:rPr>
          <w:rFonts w:ascii="Times New Roman" w:cs="Times New Roman" w:eastAsia="Times New Roman" w:hAnsi="Times New Roman"/>
          <w:sz w:val="18"/>
          <w:szCs w:val="18"/>
          <w:color w:val="auto"/>
        </w:rPr>
        <w:t>The Company and the Guarantor, jointly and severally, will indemnify and hold harmless the holders and beneficial owners of the Notes, and, upon written request of any holder or beneficial owner, reimburse such holder or beneficial owner for the amount of (i) any Taxes levied or imposed under the laws of Canada or any political subdivision thereof (“Canadian Taxes”) and payable by such holder or beneficial owner in connection with payments made under or with respect to the Notes held by such holder or beneficial owner or under the Guarantee (including, for greater certainty, any Taxes payable under Section 803 of the regulations under the Income Tax Act (Canada)); and (ii) any Canadian Taxes levied or imposed with respect to any reimbursement under the foregoing clause (i) or this clause (ii), so that the net amount received by such holder or beneficial owner after such reimbursement will not be less than the net amount such holder or beneficial owner would have received if the Canadian Taxes giving rise to the reimbursement described in clauses (i) and/or (ii) had not been imposed; provided, however, that the indemnification or reimbursement obligations provided for in this paragraph will not extend to Canadian Taxes (a) for which the applicable holder or beneficial owner would not have been eligible to receive payment of Additional Amounts hereunder by virtue of clauses (1) through (5) and (7) through (9) above (or any combination thereof) if the Company or the Guarantor had been required to withhold from such payments, (b) to the extent such holder or beneficial owner received Additional Amounts with respect to such payments or (c) to the extent any such Canadian Taxes are computed by reference to such holder or beneficial owner’s net income, revenue, profits or capital.</w:t>
      </w:r>
    </w:p>
    <w:p>
      <w:pPr>
        <w:spacing w:after="0" w:line="187"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In addition to the foregoing, the Company and the Guarantor, as the case may be,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Notes, or the Indenture, Guarantee or any other document or instrument referred to therein.</w:t>
      </w:r>
    </w:p>
    <w:p>
      <w:pPr>
        <w:spacing w:after="0" w:line="180" w:lineRule="exact"/>
        <w:rPr>
          <w:sz w:val="20"/>
          <w:szCs w:val="20"/>
          <w:color w:val="auto"/>
        </w:rPr>
      </w:pPr>
    </w:p>
    <w:p>
      <w:pPr>
        <w:ind w:right="20" w:firstLine="898"/>
        <w:spacing w:after="0" w:line="255" w:lineRule="auto"/>
        <w:rPr>
          <w:sz w:val="20"/>
          <w:szCs w:val="20"/>
          <w:color w:val="auto"/>
        </w:rPr>
      </w:pPr>
      <w:r>
        <w:rPr>
          <w:rFonts w:ascii="Times New Roman" w:cs="Times New Roman" w:eastAsia="Times New Roman" w:hAnsi="Times New Roman"/>
          <w:sz w:val="18"/>
          <w:szCs w:val="18"/>
          <w:color w:val="auto"/>
        </w:rPr>
        <w:t>If the Company or the Guarantor, as the case may be, becomes aware that it will be obligated to pay Additional Amounts with respect to any payment under or with respect to the Notes,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89" w:lineRule="exact"/>
        <w:rPr>
          <w:sz w:val="20"/>
          <w:szCs w:val="20"/>
          <w:color w:val="auto"/>
        </w:rPr>
      </w:pPr>
    </w:p>
    <w:p>
      <w:pPr>
        <w:ind w:right="140" w:firstLine="898"/>
        <w:spacing w:after="0" w:line="266" w:lineRule="auto"/>
        <w:rPr>
          <w:sz w:val="20"/>
          <w:szCs w:val="20"/>
          <w:color w:val="auto"/>
        </w:rPr>
      </w:pPr>
      <w:r>
        <w:rPr>
          <w:rFonts w:ascii="Times New Roman" w:cs="Times New Roman" w:eastAsia="Times New Roman" w:hAnsi="Times New Roman"/>
          <w:sz w:val="18"/>
          <w:szCs w:val="18"/>
          <w:color w:val="auto"/>
        </w:rPr>
        <w:t>The Company or the Guarantor, as the case may be, will make all withholdings and deductions required by law in respect of the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76" w:lineRule="exact"/>
        <w:rPr>
          <w:sz w:val="20"/>
          <w:szCs w:val="20"/>
          <w:color w:val="auto"/>
        </w:rPr>
      </w:pPr>
    </w:p>
    <w:p>
      <w:pPr>
        <w:ind w:right="280" w:firstLine="898"/>
        <w:spacing w:after="0" w:line="261" w:lineRule="auto"/>
        <w:rPr>
          <w:sz w:val="20"/>
          <w:szCs w:val="20"/>
          <w:color w:val="auto"/>
        </w:rPr>
      </w:pPr>
      <w:r>
        <w:rPr>
          <w:rFonts w:ascii="Times New Roman" w:cs="Times New Roman" w:eastAsia="Times New Roman" w:hAnsi="Times New Roman"/>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0" w:lineRule="exact"/>
        <w:rPr>
          <w:sz w:val="20"/>
          <w:szCs w:val="20"/>
          <w:color w:val="auto"/>
        </w:rPr>
      </w:pPr>
    </w:p>
    <w:p>
      <w:pPr>
        <w:jc w:val="both"/>
        <w:ind w:right="320" w:firstLine="898"/>
        <w:spacing w:after="0" w:line="261" w:lineRule="auto"/>
        <w:rPr>
          <w:sz w:val="20"/>
          <w:szCs w:val="20"/>
          <w:color w:val="auto"/>
        </w:rPr>
      </w:pPr>
      <w:r>
        <w:rPr>
          <w:rFonts w:ascii="Times New Roman" w:cs="Times New Roman" w:eastAsia="Times New Roman" w:hAnsi="Times New Roman"/>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will be deemed to include mention of the payment of Additional Amounts to the extent that, in such context, Additional Amounts are, were or would be payable in respect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455"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898"/>
        <w:spacing w:after="0" w:line="261"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any transfer by a holder or beneficial owner of the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80" w:lineRule="exact"/>
        <w:rPr>
          <w:sz w:val="20"/>
          <w:szCs w:val="20"/>
          <w:color w:val="auto"/>
        </w:rPr>
      </w:pPr>
    </w:p>
    <w:p>
      <w:pPr>
        <w:ind w:right="300" w:firstLine="898"/>
        <w:spacing w:after="0" w:line="266" w:lineRule="auto"/>
        <w:rPr>
          <w:sz w:val="20"/>
          <w:szCs w:val="20"/>
          <w:color w:val="auto"/>
        </w:rPr>
      </w:pPr>
      <w:r>
        <w:rPr>
          <w:rFonts w:ascii="Times New Roman" w:cs="Times New Roman" w:eastAsia="Times New Roman" w:hAnsi="Times New Roman"/>
          <w:sz w:val="18"/>
          <w:szCs w:val="18"/>
          <w:color w:val="auto"/>
        </w:rPr>
        <w:t>Notwithstanding any provision herein or in the Indenture, the Notes or the Guarantee to the contrary, none of the Trustee, the Registrar, any transfer agent or any Paying Agent will be required to determine the identity of a beneficial owner or be liable for any determination thereof by the Company or the Guarantor.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9" w:lineRule="exact"/>
        <w:rPr>
          <w:sz w:val="20"/>
          <w:szCs w:val="20"/>
          <w:color w:val="auto"/>
        </w:rPr>
      </w:pPr>
    </w:p>
    <w:p>
      <w:pPr>
        <w:ind w:right="240" w:firstLine="898"/>
        <w:spacing w:after="0" w:line="282" w:lineRule="auto"/>
        <w:rPr>
          <w:sz w:val="20"/>
          <w:szCs w:val="20"/>
          <w:color w:val="auto"/>
        </w:rPr>
      </w:pPr>
      <w:r>
        <w:rPr>
          <w:rFonts w:ascii="Times New Roman" w:cs="Times New Roman" w:eastAsia="Times New Roman" w:hAnsi="Times New Roman"/>
          <w:sz w:val="18"/>
          <w:szCs w:val="18"/>
          <w:color w:val="auto"/>
        </w:rPr>
        <w:t>Prior to , ( months prior to their maturity date), the Notes may be redeemed in whole at any time or in part from time to time, at the Company’s option, at a redemption price equal to the greater of:</w:t>
      </w:r>
    </w:p>
    <w:p>
      <w:pPr>
        <w:spacing w:after="0" w:line="189" w:lineRule="exact"/>
        <w:rPr>
          <w:sz w:val="20"/>
          <w:szCs w:val="20"/>
          <w:color w:val="auto"/>
        </w:rPr>
      </w:pPr>
    </w:p>
    <w:p>
      <w:pPr>
        <w:ind w:left="1340" w:hanging="333"/>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then outstanding, and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on such Notes to be redeemed that would</w:t>
      </w:r>
    </w:p>
    <w:p>
      <w:pPr>
        <w:spacing w:after="0" w:line="27" w:lineRule="exact"/>
        <w:rPr>
          <w:sz w:val="20"/>
          <w:szCs w:val="20"/>
          <w:color w:val="auto"/>
        </w:rPr>
      </w:pPr>
    </w:p>
    <w:p>
      <w:pPr>
        <w:ind w:left="1340" w:right="140"/>
        <w:spacing w:after="0" w:line="250" w:lineRule="auto"/>
        <w:rPr>
          <w:sz w:val="20"/>
          <w:szCs w:val="20"/>
          <w:color w:val="auto"/>
        </w:rPr>
      </w:pPr>
      <w:r>
        <w:rPr>
          <w:rFonts w:ascii="Times New Roman" w:cs="Times New Roman" w:eastAsia="Times New Roman" w:hAnsi="Times New Roman"/>
          <w:sz w:val="18"/>
          <w:szCs w:val="18"/>
          <w:color w:val="auto"/>
        </w:rPr>
        <w:t>have been payable in respect of such Notes calculated as if the maturity date of such Notes was , ( months prior to their maturity date) (not including any portion of such payments of interest accrued to the date of redemption) discounted to the date of redemption on a semiannual basis (assuming a 360-day year consisting of twelve 30-day months) at the applicable treasury rate</w:t>
      </w:r>
    </w:p>
    <w:p>
      <w:pPr>
        <w:spacing w:after="0" w:line="1" w:lineRule="exact"/>
        <w:rPr>
          <w:sz w:val="20"/>
          <w:szCs w:val="20"/>
          <w:color w:val="auto"/>
        </w:rPr>
      </w:pPr>
    </w:p>
    <w:p>
      <w:pPr>
        <w:ind w:left="1340" w:right="840"/>
        <w:spacing w:after="0" w:line="260" w:lineRule="auto"/>
        <w:rPr>
          <w:sz w:val="20"/>
          <w:szCs w:val="20"/>
          <w:color w:val="auto"/>
        </w:rPr>
      </w:pPr>
      <w:r>
        <w:rPr>
          <w:rFonts w:ascii="Times New Roman" w:cs="Times New Roman" w:eastAsia="Times New Roman" w:hAnsi="Times New Roman"/>
          <w:sz w:val="18"/>
          <w:szCs w:val="18"/>
          <w:color w:val="auto"/>
        </w:rPr>
        <w:t>plus basis points, plus accrued and unpaid interest on the principal amount being redeemed to (but not including) the redemption date.</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w:t>
      </w:r>
    </w:p>
    <w:p>
      <w:pPr>
        <w:spacing w:after="0" w:line="252" w:lineRule="exact"/>
        <w:rPr>
          <w:sz w:val="20"/>
          <w:szCs w:val="20"/>
          <w:color w:val="auto"/>
        </w:rPr>
      </w:pPr>
    </w:p>
    <w:p>
      <w:pPr>
        <w:ind w:left="1340" w:right="80" w:hanging="333"/>
        <w:spacing w:after="0" w:line="255"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215" w:lineRule="exact"/>
        <w:rPr>
          <w:rFonts w:ascii="Times New Roman" w:cs="Times New Roman" w:eastAsia="Times New Roman" w:hAnsi="Times New Roman"/>
          <w:sz w:val="18"/>
          <w:szCs w:val="18"/>
          <w:color w:val="auto"/>
        </w:rPr>
      </w:pPr>
    </w:p>
    <w:p>
      <w:pPr>
        <w:jc w:val="both"/>
        <w:ind w:left="1340" w:right="60" w:hanging="333"/>
        <w:spacing w:after="0" w:line="261"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treasury rate will be calculated on the third business day preceding the redemption date.</w:t>
      </w:r>
    </w:p>
    <w:p>
      <w:pPr>
        <w:spacing w:after="0" w:line="225" w:lineRule="exact"/>
        <w:rPr>
          <w:sz w:val="20"/>
          <w:szCs w:val="20"/>
          <w:color w:val="auto"/>
        </w:rPr>
      </w:pPr>
    </w:p>
    <w:p>
      <w:pPr>
        <w:ind w:right="140" w:firstLine="898"/>
        <w:spacing w:after="0" w:line="266" w:lineRule="auto"/>
        <w:rPr>
          <w:sz w:val="20"/>
          <w:szCs w:val="20"/>
          <w:color w:val="auto"/>
        </w:rPr>
      </w:pPr>
      <w:r>
        <w:rPr>
          <w:rFonts w:ascii="Times New Roman" w:cs="Times New Roman" w:eastAsia="Times New Roman" w:hAnsi="Times New Roman"/>
          <w:sz w:val="18"/>
          <w:szCs w:val="18"/>
          <w:color w:val="auto"/>
        </w:rPr>
        <w:t>Notwithstanding the foregoing, beginning on , (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pacing w:after="0" w:line="176" w:lineRule="exact"/>
        <w:rPr>
          <w:sz w:val="20"/>
          <w:szCs w:val="20"/>
          <w:color w:val="auto"/>
        </w:rPr>
      </w:pPr>
    </w:p>
    <w:p>
      <w:pPr>
        <w:ind w:firstLine="898"/>
        <w:spacing w:after="0" w:line="282" w:lineRule="auto"/>
        <w:rPr>
          <w:sz w:val="20"/>
          <w:szCs w:val="20"/>
          <w:color w:val="auto"/>
        </w:rPr>
      </w:pPr>
      <w:r>
        <w:rPr>
          <w:rFonts w:ascii="Times New Roman" w:cs="Times New Roman" w:eastAsia="Times New Roman" w:hAnsi="Times New Roman"/>
          <w:sz w:val="18"/>
          <w:szCs w:val="18"/>
          <w:color w:val="auto"/>
        </w:rPr>
        <w:t>“comparable treasury issue” means the U.S. Treasury security selected by an independent investment banker as having an actual or interpolated maturity comparable to the remaining term (“remaining life”)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455"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6220" w:val="left"/>
          <w:tab w:leader="none" w:pos="6980" w:val="left"/>
        </w:tabs>
        <w:rPr>
          <w:sz w:val="20"/>
          <w:szCs w:val="20"/>
          <w:color w:val="auto"/>
        </w:rPr>
      </w:pPr>
      <w:r>
        <w:rPr>
          <w:rFonts w:ascii="Times New Roman" w:cs="Times New Roman" w:eastAsia="Times New Roman" w:hAnsi="Times New Roman"/>
          <w:sz w:val="18"/>
          <w:szCs w:val="18"/>
          <w:color w:val="auto"/>
        </w:rPr>
        <w:t>Notes to be redeemed (assuming that such Notes to be redeemed matured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that would be utilized, at the time of selection and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customary financial practice, in pricing new issues of corporate debt securities of comparable maturity to the remaining term of such Notes</w:t>
      </w:r>
    </w:p>
    <w:p>
      <w:pPr>
        <w:spacing w:after="0" w:line="9" w:lineRule="exact"/>
        <w:rPr>
          <w:sz w:val="20"/>
          <w:szCs w:val="20"/>
          <w:color w:val="auto"/>
        </w:rPr>
      </w:pPr>
    </w:p>
    <w:p>
      <w:pPr>
        <w:spacing w:after="0"/>
        <w:tabs>
          <w:tab w:leader="none" w:pos="3460" w:val="left"/>
          <w:tab w:leader="none" w:pos="4220" w:val="left"/>
        </w:tabs>
        <w:rPr>
          <w:sz w:val="20"/>
          <w:szCs w:val="20"/>
          <w:color w:val="auto"/>
        </w:rPr>
      </w:pPr>
      <w:r>
        <w:rPr>
          <w:rFonts w:ascii="Times New Roman" w:cs="Times New Roman" w:eastAsia="Times New Roman" w:hAnsi="Times New Roman"/>
          <w:sz w:val="18"/>
          <w:szCs w:val="18"/>
          <w:color w:val="auto"/>
        </w:rPr>
        <w:t>(assuming that such Notes matured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160" w:firstLine="898"/>
        <w:spacing w:after="0" w:line="266" w:lineRule="auto"/>
        <w:rPr>
          <w:sz w:val="20"/>
          <w:szCs w:val="20"/>
          <w:color w:val="auto"/>
        </w:rPr>
      </w:pPr>
      <w:r>
        <w:rPr>
          <w:rFonts w:ascii="Times New Roman" w:cs="Times New Roman" w:eastAsia="Times New Roman" w:hAnsi="Times New Roman"/>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76" w:lineRule="exact"/>
        <w:rPr>
          <w:sz w:val="20"/>
          <w:szCs w:val="20"/>
          <w:color w:val="auto"/>
        </w:rPr>
      </w:pPr>
    </w:p>
    <w:p>
      <w:pPr>
        <w:jc w:val="both"/>
        <w:ind w:right="400" w:firstLine="898"/>
        <w:spacing w:after="0" w:line="266" w:lineRule="auto"/>
        <w:rPr>
          <w:sz w:val="20"/>
          <w:szCs w:val="20"/>
          <w:color w:val="auto"/>
        </w:rPr>
      </w:pPr>
      <w:r>
        <w:rPr>
          <w:rFonts w:ascii="Times New Roman" w:cs="Times New Roman" w:eastAsia="Times New Roman" w:hAnsi="Times New Roman"/>
          <w:sz w:val="18"/>
          <w:szCs w:val="18"/>
          <w:color w:val="auto"/>
        </w:rPr>
        <w:t>“independent investment banker” means either BofA Securities, Inc., Goldman Sachs &amp; Co. LLC, J.P. Morgan Securities LLC or Morgan Stanley &amp; Co. LLC, or, if these firms are unwilling or unable to select the comparable treasury issue, an independent investment banking institution of national standing appointed by the Company.</w:t>
      </w:r>
    </w:p>
    <w:p>
      <w:pPr>
        <w:spacing w:after="0" w:line="176" w:lineRule="exact"/>
        <w:rPr>
          <w:sz w:val="20"/>
          <w:szCs w:val="20"/>
          <w:color w:val="auto"/>
        </w:rPr>
      </w:pPr>
    </w:p>
    <w:p>
      <w:pPr>
        <w:ind w:right="220" w:firstLine="898"/>
        <w:spacing w:after="0" w:line="261" w:lineRule="auto"/>
        <w:rPr>
          <w:sz w:val="20"/>
          <w:szCs w:val="20"/>
          <w:color w:val="auto"/>
        </w:rPr>
      </w:pPr>
      <w:r>
        <w:rPr>
          <w:rFonts w:ascii="Times New Roman" w:cs="Times New Roman" w:eastAsia="Times New Roman" w:hAnsi="Times New Roman"/>
          <w:sz w:val="18"/>
          <w:szCs w:val="18"/>
          <w:color w:val="auto"/>
        </w:rPr>
        <w:t>“reference treasury dealer” means (1) BofA Securities, Inc., Goldman Sachs &amp; Co. LLC, J.P. Morgan Securities LLC and Morgan Stanley &amp; Co. LLC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180" w:lineRule="exact"/>
        <w:rPr>
          <w:sz w:val="20"/>
          <w:szCs w:val="20"/>
          <w:color w:val="auto"/>
        </w:rPr>
      </w:pPr>
    </w:p>
    <w:p>
      <w:pPr>
        <w:ind w:right="140" w:firstLine="898"/>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0" w:lineRule="exact"/>
        <w:rPr>
          <w:sz w:val="20"/>
          <w:szCs w:val="20"/>
          <w:color w:val="auto"/>
        </w:rPr>
      </w:pPr>
    </w:p>
    <w:p>
      <w:pPr>
        <w:ind w:right="180" w:firstLine="898"/>
        <w:spacing w:after="0" w:line="282" w:lineRule="auto"/>
        <w:rPr>
          <w:sz w:val="20"/>
          <w:szCs w:val="20"/>
          <w:color w:val="auto"/>
        </w:rPr>
      </w:pPr>
      <w:r>
        <w:rPr>
          <w:rFonts w:ascii="Times New Roman" w:cs="Times New Roman" w:eastAsia="Times New Roman" w:hAnsi="Times New Roman"/>
          <w:sz w:val="18"/>
          <w:szCs w:val="18"/>
          <w:color w:val="auto"/>
        </w:rPr>
        <w:t>For the avoidance of doubt, the Trustee shall have no obligation to determine or calculate any rate, price or amount in respect of any optional redemption under the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Upon Changes in Tax Law</w:t>
      </w:r>
    </w:p>
    <w:p>
      <w:pPr>
        <w:spacing w:after="0" w:line="229" w:lineRule="exact"/>
        <w:rPr>
          <w:sz w:val="20"/>
          <w:szCs w:val="20"/>
          <w:color w:val="auto"/>
        </w:rPr>
      </w:pPr>
    </w:p>
    <w:p>
      <w:pPr>
        <w:ind w:right="60" w:firstLine="898"/>
        <w:spacing w:after="0" w:line="254" w:lineRule="auto"/>
        <w:rPr>
          <w:sz w:val="20"/>
          <w:szCs w:val="20"/>
          <w:color w:val="auto"/>
        </w:rPr>
      </w:pPr>
      <w:r>
        <w:rPr>
          <w:rFonts w:ascii="Times New Roman" w:cs="Times New Roman" w:eastAsia="Times New Roman" w:hAnsi="Times New Roman"/>
          <w:sz w:val="18"/>
          <w:szCs w:val="18"/>
          <w:color w:val="auto"/>
        </w:rPr>
        <w:t>The Company or the Guarantor may redeem the Notes, in whole but not in part, at its discretion at any time upon giving not less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215" w:lineRule="exact"/>
        <w:rPr>
          <w:sz w:val="20"/>
          <w:szCs w:val="20"/>
          <w:color w:val="auto"/>
        </w:rPr>
      </w:pPr>
    </w:p>
    <w:p>
      <w:pPr>
        <w:ind w:left="1340" w:right="80" w:hanging="441"/>
        <w:spacing w:after="0" w:line="261"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Notes (the “Issue Date”) (or, if the applicable Relevant Tax Jurisdiction became a Relevant Tax Jurisdiction on a date after the Issue Date, such later date),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455"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right="340" w:hanging="441"/>
        <w:spacing w:after="0" w:line="261"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0" w:lineRule="exact"/>
        <w:rPr>
          <w:sz w:val="20"/>
          <w:szCs w:val="20"/>
          <w:color w:val="auto"/>
        </w:rPr>
      </w:pPr>
    </w:p>
    <w:p>
      <w:pPr>
        <w:ind w:firstLine="898"/>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Notes was then due, and the obligation to pay Additional Amounts must be in effect at the time such notice is given. Prior to the giving of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92"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160" w:lineRule="exact"/>
        <w:rPr>
          <w:sz w:val="20"/>
          <w:szCs w:val="20"/>
          <w:color w:val="auto"/>
        </w:rPr>
      </w:pPr>
    </w:p>
    <w:p>
      <w:pPr>
        <w:ind w:right="440" w:firstLine="898"/>
        <w:spacing w:after="0" w:line="267" w:lineRule="auto"/>
        <w:rPr>
          <w:sz w:val="20"/>
          <w:szCs w:val="20"/>
          <w:color w:val="auto"/>
        </w:rPr>
      </w:pPr>
      <w:r>
        <w:rPr>
          <w:rFonts w:ascii="Times New Roman" w:cs="Times New Roman" w:eastAsia="Times New Roman" w:hAnsi="Times New Roman"/>
          <w:sz w:val="18"/>
          <w:szCs w:val="18"/>
          <w:color w:val="auto"/>
        </w:rPr>
        <w:t xml:space="preserve">The foregoing will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229" w:lineRule="exact"/>
        <w:rPr>
          <w:sz w:val="20"/>
          <w:szCs w:val="20"/>
          <w:color w:val="auto"/>
        </w:rPr>
      </w:pPr>
    </w:p>
    <w:p>
      <w:pPr>
        <w:ind w:right="220" w:firstLine="898"/>
        <w:spacing w:after="0" w:line="266" w:lineRule="auto"/>
        <w:rPr>
          <w:sz w:val="20"/>
          <w:szCs w:val="20"/>
          <w:color w:val="auto"/>
        </w:rPr>
      </w:pPr>
      <w:r>
        <w:rPr>
          <w:rFonts w:ascii="Times New Roman" w:cs="Times New Roman" w:eastAsia="Times New Roman" w:hAnsi="Times New Roman"/>
          <w:sz w:val="18"/>
          <w:szCs w:val="18"/>
          <w:color w:val="auto"/>
        </w:rPr>
        <w:t>If fewer than all of the Notes are to be redeemed at any time, the Trustee will select Notes in definitive, non-global form for redemption on a pro rata basis (or, in the case of Notes issued in global form as discussed under “—Book-Entry, Delivery and Form,” such Notes to be redeemed will be selected in accordance with the procedures of the depository therefor) unless otherwise required by law or applicable stock exchange.</w:t>
      </w:r>
    </w:p>
    <w:p>
      <w:pPr>
        <w:spacing w:after="0" w:line="176" w:lineRule="exact"/>
        <w:rPr>
          <w:sz w:val="20"/>
          <w:szCs w:val="20"/>
          <w:color w:val="auto"/>
        </w:rPr>
      </w:pPr>
    </w:p>
    <w:p>
      <w:pPr>
        <w:ind w:right="80" w:firstLine="898"/>
        <w:spacing w:after="0" w:line="266" w:lineRule="auto"/>
        <w:rPr>
          <w:sz w:val="20"/>
          <w:szCs w:val="20"/>
          <w:color w:val="auto"/>
        </w:rPr>
      </w:pPr>
      <w:r>
        <w:rPr>
          <w:rFonts w:ascii="Times New Roman" w:cs="Times New Roman" w:eastAsia="Times New Roman" w:hAnsi="Times New Roman"/>
          <w:sz w:val="18"/>
          <w:szCs w:val="18"/>
          <w:color w:val="auto"/>
        </w:rPr>
        <w:t>No Notes in principal amount of U.S.$2,000 or less can be redeemed in part. Notices of redemption will be given at least 10 but not more than 60 days before the redemption date to each holder of Notes to be redeemed, except that redemption notices may be given more than 60 days prior to a redemption date if the notice is issued in connection with a defeasance of the Notes or a satisfaction and discharge of the Indenture.</w:t>
      </w:r>
    </w:p>
    <w:p>
      <w:pPr>
        <w:spacing w:after="0" w:line="176" w:lineRule="exact"/>
        <w:rPr>
          <w:sz w:val="20"/>
          <w:szCs w:val="20"/>
          <w:color w:val="auto"/>
        </w:rPr>
      </w:pPr>
    </w:p>
    <w:p>
      <w:pPr>
        <w:ind w:right="80" w:firstLine="898"/>
        <w:spacing w:after="0" w:line="258"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83" w:lineRule="exact"/>
        <w:rPr>
          <w:sz w:val="20"/>
          <w:szCs w:val="20"/>
          <w:color w:val="auto"/>
        </w:rPr>
      </w:pPr>
    </w:p>
    <w:p>
      <w:pPr>
        <w:ind w:right="180" w:firstLine="898"/>
        <w:spacing w:after="0" w:line="281" w:lineRule="auto"/>
        <w:rPr>
          <w:sz w:val="20"/>
          <w:szCs w:val="20"/>
          <w:color w:val="auto"/>
        </w:rPr>
      </w:pPr>
      <w:r>
        <w:rPr>
          <w:rFonts w:ascii="Times New Roman" w:cs="Times New Roman" w:eastAsia="Times New Roman" w:hAnsi="Times New Roman"/>
          <w:sz w:val="17"/>
          <w:szCs w:val="17"/>
          <w:color w:val="auto"/>
        </w:rPr>
        <w:t>The Trustee will not be liable for selections made as contemplated in this section. Notices to holders of definitive, non-global Notes will be mailed to them at their registered addresses. For Notes which are represented by global Notes held on behalf of The Depository Trust Company (“DTC”), Euroclear Bank S.A./ N.V., as operator of the Euroclear System (“Euroclear”) and Clearstream Banking S.A. (“Clearstream”), notices may be given by delivery of the relevant notices to DTC, Euroclear or Clearstream for communication to entitled account holders in substitution for the aforesaid mailing.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455"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right="40" w:firstLine="898"/>
        <w:spacing w:after="0" w:line="258" w:lineRule="auto"/>
        <w:rPr>
          <w:sz w:val="20"/>
          <w:szCs w:val="20"/>
          <w:color w:val="auto"/>
        </w:rPr>
      </w:pPr>
      <w:r>
        <w:rPr>
          <w:rFonts w:ascii="Times New Roman" w:cs="Times New Roman" w:eastAsia="Times New Roman" w:hAnsi="Times New Roman"/>
          <w:sz w:val="18"/>
          <w:szCs w:val="18"/>
          <w:color w:val="auto"/>
        </w:rPr>
        <w:t>Other than the restrictions on liens described below, the Indenture and the Notes will not contain any covenants or other provisions designed to protect holders of the Notes in the event of a highly leveraged transaction. The Indenture and the Notes also will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229" w:lineRule="exact"/>
        <w:rPr>
          <w:sz w:val="20"/>
          <w:szCs w:val="20"/>
          <w:color w:val="auto"/>
        </w:rPr>
      </w:pPr>
    </w:p>
    <w:p>
      <w:pPr>
        <w:ind w:firstLine="898"/>
        <w:spacing w:after="0" w:line="254" w:lineRule="auto"/>
        <w:rPr>
          <w:sz w:val="20"/>
          <w:szCs w:val="20"/>
          <w:color w:val="auto"/>
        </w:rPr>
      </w:pPr>
      <w:r>
        <w:rPr>
          <w:rFonts w:ascii="Times New Roman" w:cs="Times New Roman" w:eastAsia="Times New Roman" w:hAnsi="Times New Roman"/>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so determine, any of its other indebtedness or the indebtedness of any such restricted subsidiary then existing or thereafter created ranking on a parity with the Notes or Guarantee)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215" w:lineRule="exact"/>
        <w:rPr>
          <w:sz w:val="20"/>
          <w:szCs w:val="20"/>
          <w:color w:val="auto"/>
        </w:rPr>
      </w:pPr>
    </w:p>
    <w:p>
      <w:pPr>
        <w:ind w:left="1340" w:hanging="441"/>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the Notes;</w:t>
      </w:r>
    </w:p>
    <w:p>
      <w:pPr>
        <w:spacing w:after="0" w:line="252" w:lineRule="exact"/>
        <w:rPr>
          <w:rFonts w:ascii="Times New Roman" w:cs="Times New Roman" w:eastAsia="Times New Roman" w:hAnsi="Times New Roman"/>
          <w:sz w:val="18"/>
          <w:szCs w:val="18"/>
          <w:color w:val="auto"/>
        </w:rPr>
      </w:pPr>
    </w:p>
    <w:p>
      <w:pPr>
        <w:ind w:left="1340" w:right="200" w:hanging="441"/>
        <w:spacing w:after="0" w:line="282"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188" w:lineRule="exact"/>
        <w:rPr>
          <w:rFonts w:ascii="Times New Roman" w:cs="Times New Roman" w:eastAsia="Times New Roman" w:hAnsi="Times New Roman"/>
          <w:sz w:val="18"/>
          <w:szCs w:val="18"/>
          <w:color w:val="auto"/>
        </w:rPr>
      </w:pPr>
    </w:p>
    <w:p>
      <w:pPr>
        <w:ind w:left="1340" w:right="80" w:hanging="441"/>
        <w:spacing w:after="0" w:line="258"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210"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252" w:lineRule="exact"/>
        <w:rPr>
          <w:rFonts w:ascii="Times New Roman" w:cs="Times New Roman" w:eastAsia="Times New Roman" w:hAnsi="Times New Roman"/>
          <w:sz w:val="18"/>
          <w:szCs w:val="18"/>
          <w:color w:val="auto"/>
        </w:rPr>
      </w:pPr>
    </w:p>
    <w:p>
      <w:pPr>
        <w:ind w:left="1340" w:right="380" w:hanging="441"/>
        <w:spacing w:after="0" w:line="261"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Canada,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206"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252" w:lineRule="exact"/>
        <w:rPr>
          <w:rFonts w:ascii="Times New Roman" w:cs="Times New Roman" w:eastAsia="Times New Roman" w:hAnsi="Times New Roman"/>
          <w:sz w:val="18"/>
          <w:szCs w:val="18"/>
          <w:color w:val="auto"/>
        </w:rPr>
      </w:pPr>
    </w:p>
    <w:p>
      <w:pPr>
        <w:ind w:left="1340" w:right="20" w:hanging="441"/>
        <w:spacing w:after="0" w:line="282"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right="400"/>
        <w:spacing w:after="0" w:line="282" w:lineRule="auto"/>
        <w:rPr>
          <w:sz w:val="20"/>
          <w:szCs w:val="20"/>
          <w:color w:val="auto"/>
        </w:rPr>
      </w:pPr>
      <w:r>
        <w:rPr>
          <w:rFonts w:ascii="Times New Roman" w:cs="Times New Roman" w:eastAsia="Times New Roman" w:hAnsi="Times New Roman"/>
          <w:sz w:val="18"/>
          <w:szCs w:val="18"/>
          <w:color w:val="auto"/>
        </w:rPr>
        <w:t>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89" w:lineRule="exact"/>
        <w:rPr>
          <w:sz w:val="20"/>
          <w:szCs w:val="20"/>
          <w:color w:val="auto"/>
        </w:rPr>
      </w:pPr>
    </w:p>
    <w:p>
      <w:pPr>
        <w:ind w:left="1340" w:right="240" w:hanging="441"/>
        <w:spacing w:after="0" w:line="28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188"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in connection with the acquisition of property or assets, or a project financed with, non-recourse debt; and</w:t>
      </w:r>
    </w:p>
    <w:p>
      <w:pPr>
        <w:spacing w:after="0" w:line="252" w:lineRule="exact"/>
        <w:rPr>
          <w:rFonts w:ascii="Times New Roman" w:cs="Times New Roman" w:eastAsia="Times New Roman" w:hAnsi="Times New Roman"/>
          <w:sz w:val="18"/>
          <w:szCs w:val="18"/>
          <w:color w:val="auto"/>
        </w:rPr>
      </w:pPr>
    </w:p>
    <w:p>
      <w:pPr>
        <w:ind w:left="1340" w:right="120" w:hanging="441"/>
        <w:spacing w:after="0" w:line="261"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foregoing covenant and certain other provisions of the Indenture use the following defined terms.</w:t>
      </w:r>
    </w:p>
    <w:p>
      <w:pPr>
        <w:spacing w:after="0" w:line="225" w:lineRule="exact"/>
        <w:rPr>
          <w:sz w:val="20"/>
          <w:szCs w:val="20"/>
          <w:color w:val="auto"/>
        </w:rPr>
      </w:pPr>
    </w:p>
    <w:p>
      <w:pPr>
        <w:ind w:right="40" w:firstLine="898"/>
        <w:spacing w:after="0" w:line="256" w:lineRule="auto"/>
        <w:rPr>
          <w:sz w:val="20"/>
          <w:szCs w:val="20"/>
          <w:color w:val="auto"/>
        </w:rPr>
      </w:pPr>
      <w:r>
        <w:rPr>
          <w:rFonts w:ascii="Times New Roman" w:cs="Times New Roman" w:eastAsia="Times New Roman" w:hAnsi="Times New Roman"/>
          <w:sz w:val="18"/>
          <w:szCs w:val="18"/>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7" w:lineRule="exact"/>
        <w:rPr>
          <w:sz w:val="20"/>
          <w:szCs w:val="20"/>
          <w:color w:val="auto"/>
        </w:rPr>
      </w:pPr>
    </w:p>
    <w:p>
      <w:pPr>
        <w:ind w:right="720" w:firstLine="898"/>
        <w:spacing w:after="0" w:line="282" w:lineRule="auto"/>
        <w:rPr>
          <w:sz w:val="20"/>
          <w:szCs w:val="20"/>
          <w:color w:val="auto"/>
        </w:rPr>
      </w:pPr>
      <w:r>
        <w:rPr>
          <w:rFonts w:ascii="Times New Roman" w:cs="Times New Roman" w:eastAsia="Times New Roman" w:hAnsi="Times New Roman"/>
          <w:sz w:val="18"/>
          <w:szCs w:val="18"/>
          <w:color w:val="auto"/>
        </w:rPr>
        <w:t>“consolidated net worth” means the amount of total stockholders’ equity shown in the Guarantor’s most recent quarterly consolidated statement of financial position.</w:t>
      </w:r>
    </w:p>
    <w:p>
      <w:pPr>
        <w:spacing w:after="0" w:line="162" w:lineRule="exact"/>
        <w:rPr>
          <w:sz w:val="20"/>
          <w:szCs w:val="20"/>
          <w:color w:val="auto"/>
        </w:rPr>
      </w:pPr>
    </w:p>
    <w:p>
      <w:pPr>
        <w:ind w:right="60" w:firstLine="898"/>
        <w:spacing w:after="0" w:line="282" w:lineRule="auto"/>
        <w:rPr>
          <w:sz w:val="20"/>
          <w:szCs w:val="20"/>
          <w:color w:val="auto"/>
        </w:rPr>
      </w:pPr>
      <w:r>
        <w:rPr>
          <w:rFonts w:ascii="Times New Roman" w:cs="Times New Roman" w:eastAsia="Times New Roman" w:hAnsi="Times New Roman"/>
          <w:sz w:val="18"/>
          <w:szCs w:val="18"/>
          <w:color w:val="auto"/>
        </w:rPr>
        <w:t>“mortgage” means and includes any mortgage, pledge, lien, security interest, conditional sale or other title retention agreement or other similar encumbrance.</w:t>
      </w:r>
    </w:p>
    <w:p>
      <w:pPr>
        <w:spacing w:after="0" w:line="162" w:lineRule="exact"/>
        <w:rPr>
          <w:sz w:val="20"/>
          <w:szCs w:val="20"/>
          <w:color w:val="auto"/>
        </w:rPr>
      </w:pPr>
    </w:p>
    <w:p>
      <w:pPr>
        <w:jc w:val="both"/>
        <w:ind w:firstLine="898"/>
        <w:spacing w:after="0" w:line="266" w:lineRule="auto"/>
        <w:rPr>
          <w:sz w:val="20"/>
          <w:szCs w:val="20"/>
          <w:color w:val="auto"/>
        </w:rPr>
      </w:pPr>
      <w:r>
        <w:rPr>
          <w:rFonts w:ascii="Times New Roman" w:cs="Times New Roman" w:eastAsia="Times New Roman" w:hAnsi="Times New Roman"/>
          <w:sz w:val="18"/>
          <w:szCs w:val="18"/>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76" w:lineRule="exact"/>
        <w:rPr>
          <w:sz w:val="20"/>
          <w:szCs w:val="20"/>
          <w:color w:val="auto"/>
        </w:rPr>
      </w:pPr>
    </w:p>
    <w:p>
      <w:pPr>
        <w:ind w:right="40" w:firstLine="898"/>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62" w:lineRule="exact"/>
        <w:rPr>
          <w:sz w:val="20"/>
          <w:szCs w:val="20"/>
          <w:color w:val="auto"/>
        </w:rPr>
      </w:pPr>
    </w:p>
    <w:p>
      <w:pPr>
        <w:jc w:val="both"/>
        <w:ind w:firstLine="898"/>
        <w:spacing w:after="0" w:line="261" w:lineRule="auto"/>
        <w:rPr>
          <w:sz w:val="20"/>
          <w:szCs w:val="20"/>
          <w:color w:val="auto"/>
        </w:rPr>
      </w:pPr>
      <w:r>
        <w:rPr>
          <w:rFonts w:ascii="Times New Roman" w:cs="Times New Roman" w:eastAsia="Times New Roman" w:hAnsi="Times New Roman"/>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“restricted subsidiary” means any subsidiary of the Guarantor which owns a restricted property.</w:t>
      </w:r>
    </w:p>
    <w:p>
      <w:pPr>
        <w:spacing w:after="0" w:line="225"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“subsidiary” means, with respect to any specified person, (a) any corporation, association or other business entity of which more than 50% of the total voting power of shares of capital stock entitled (without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40"/>
          </w:cols>
          <w:pgMar w:left="32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Amalgamation, Merger and Sale of Assets</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Neither the Company nor the Guarantor may consolidate, amalgamate or merge with or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 as applicable,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87" w:lineRule="exact"/>
        <w:rPr>
          <w:sz w:val="20"/>
          <w:szCs w:val="20"/>
          <w:color w:val="auto"/>
        </w:rPr>
      </w:pPr>
    </w:p>
    <w:p>
      <w:pPr>
        <w:ind w:right="80" w:firstLine="898"/>
        <w:spacing w:after="0" w:line="261" w:lineRule="auto"/>
        <w:rPr>
          <w:sz w:val="20"/>
          <w:szCs w:val="20"/>
          <w:color w:val="auto"/>
        </w:rPr>
      </w:pPr>
      <w:r>
        <w:rPr>
          <w:rFonts w:ascii="Times New Roman" w:cs="Times New Roman" w:eastAsia="Times New Roman" w:hAnsi="Times New Roman"/>
          <w:sz w:val="18"/>
          <w:szCs w:val="18"/>
          <w:color w:val="auto"/>
        </w:rPr>
        <w:t>It is possible that a merger, transfer, or other transaction could be treated for U.S. federal income tax purposes as a taxable exchange by the beneficial owners of the Notes for new securities, which could result in beneficial owners of the Notes recognizing taxable gain or loss for U.S. federal income tax purposes. A merger, transfer, lease or other transaction could also have adverse tax consequences to beneficial owners of the Notes under other tax laws to which the beneficial owners are subject.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 by a Subsidiary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the Indenture and the Notes, provided that:</w:t>
      </w:r>
    </w:p>
    <w:p>
      <w:pPr>
        <w:spacing w:after="0" w:line="252" w:lineRule="exact"/>
        <w:rPr>
          <w:sz w:val="20"/>
          <w:szCs w:val="20"/>
          <w:color w:val="auto"/>
        </w:rPr>
      </w:pPr>
    </w:p>
    <w:p>
      <w:pPr>
        <w:ind w:left="1340" w:right="120" w:hanging="441"/>
        <w:spacing w:after="0" w:line="28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expressly assumes such obligations in an assumption agreement or supplemental indenture duly executed and delivered to the Trustee, and</w:t>
      </w:r>
    </w:p>
    <w:p>
      <w:pPr>
        <w:spacing w:after="0" w:line="188" w:lineRule="exact"/>
        <w:rPr>
          <w:rFonts w:ascii="Times New Roman" w:cs="Times New Roman" w:eastAsia="Times New Roman" w:hAnsi="Times New Roman"/>
          <w:sz w:val="18"/>
          <w:szCs w:val="18"/>
          <w:color w:val="auto"/>
        </w:rPr>
      </w:pPr>
    </w:p>
    <w:p>
      <w:pPr>
        <w:ind w:left="1340" w:right="80" w:hanging="441"/>
        <w:spacing w:after="0" w:line="282"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62"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Upon any such assumption, the person so assuming the Company’s obligations under the Indenture and the Notes will succeed to, and be substituted for, and may exercise any right and power of, the Company under the Notes and the Indenture with the same effect as if such person had been the issuer thereof, and the Company will be released from its liability as obligor under the Notes. An Officer’s Certificate and an opinion of counsel will be delivered to the Trustee, which will serve as conclusive evidence of compliance with these provisions.</w:t>
      </w:r>
    </w:p>
    <w:p>
      <w:pPr>
        <w:spacing w:after="0" w:line="178" w:lineRule="exact"/>
        <w:rPr>
          <w:sz w:val="20"/>
          <w:szCs w:val="20"/>
          <w:color w:val="auto"/>
        </w:rPr>
      </w:pPr>
    </w:p>
    <w:p>
      <w:pPr>
        <w:jc w:val="both"/>
        <w:ind w:right="60" w:firstLine="898"/>
        <w:spacing w:after="0" w:line="277" w:lineRule="auto"/>
        <w:rPr>
          <w:sz w:val="20"/>
          <w:szCs w:val="20"/>
          <w:color w:val="auto"/>
        </w:rPr>
      </w:pPr>
      <w:r>
        <w:rPr>
          <w:rFonts w:ascii="Times New Roman" w:cs="Times New Roman" w:eastAsia="Times New Roman" w:hAnsi="Times New Roman"/>
          <w:sz w:val="17"/>
          <w:szCs w:val="17"/>
          <w:i w:val="1"/>
          <w:iCs w:val="1"/>
          <w:color w:val="auto"/>
        </w:rPr>
        <w:t>An assumption of the Company’s obligations as the issuer of the Notes by a subsidiary of the Guarantor may be treated for U.S. and Canadian federal income tax purposes as a taxable exchange of the Notes for new Notes issued by such subsidiary of the Guarantor. In that event, beneficial owners of such Notes may recognize taxable gain for U.S. federal income tax purposes, generally in an amount equal to the excess (if any) of the “issue price” of the new Notes over their basis in the old Notes, as well as other possible adverse tax consequences. We do not expect that a taxable exchange of the Notes for new Notes will generally have any adverse Canadian federal income tax consequences. Beneficial owners of Notes who are U.S. persons for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U.S. federal income tax purposes should consult their tax advisors regarding the U.S. and Canadian federal, state, provincial and local, and any other relevant, income tax consequences of an assumption of the Company’s obligations as issuer of Notes by a subsidiary of the Guarantor.</w:t>
      </w:r>
    </w:p>
    <w:p>
      <w:pPr>
        <w:spacing w:after="0" w:line="266" w:lineRule="exact"/>
        <w:rPr>
          <w:sz w:val="20"/>
          <w:szCs w:val="20"/>
          <w:color w:val="auto"/>
        </w:rPr>
      </w:pPr>
    </w:p>
    <w:p>
      <w:pPr>
        <w:ind w:right="40" w:firstLine="898"/>
        <w:spacing w:after="0" w:line="256" w:lineRule="auto"/>
        <w:rPr>
          <w:sz w:val="20"/>
          <w:szCs w:val="20"/>
          <w:color w:val="auto"/>
        </w:rPr>
      </w:pPr>
      <w:r>
        <w:rPr>
          <w:rFonts w:ascii="Times New Roman" w:cs="Times New Roman" w:eastAsia="Times New Roman" w:hAnsi="Times New Roman"/>
          <w:sz w:val="18"/>
          <w:szCs w:val="18"/>
          <w:i w:val="1"/>
          <w:iCs w:val="1"/>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old Notes or the new Notes are “traded on an established market” for purposes of determining the “issue price” of the new Notes for U.S. federal income tax purposes. If such subsidiary determines that either the old Notes or the new Notes are “traded on an established market,” then it will make available to holders on the Guarantor’s website (www.slb.com) within 90 days after an assumption its determination that the old Notes or the new Notes are “traded on an established market” for these purposes and the “issue price” of the new Notes. The information on or accessible through the Guarantor’s website is not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will be “Events of Default” with respect to the Notes:</w:t>
      </w:r>
    </w:p>
    <w:p>
      <w:pPr>
        <w:spacing w:after="0" w:line="252" w:lineRule="exact"/>
        <w:rPr>
          <w:sz w:val="20"/>
          <w:szCs w:val="20"/>
          <w:color w:val="auto"/>
        </w:rPr>
      </w:pPr>
    </w:p>
    <w:p>
      <w:pPr>
        <w:ind w:left="1340" w:hanging="333"/>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the Notes within 30 days after such interest becomes due and payable;</w:t>
      </w:r>
    </w:p>
    <w:p>
      <w:pPr>
        <w:spacing w:after="0" w:line="252" w:lineRule="exact"/>
        <w:rPr>
          <w:rFonts w:ascii="Times New Roman" w:cs="Times New Roman" w:eastAsia="Times New Roman" w:hAnsi="Times New Roman"/>
          <w:sz w:val="18"/>
          <w:szCs w:val="18"/>
          <w:color w:val="auto"/>
        </w:rPr>
      </w:pPr>
    </w:p>
    <w:p>
      <w:pPr>
        <w:ind w:left="1340" w:right="260" w:hanging="333"/>
        <w:spacing w:after="0" w:line="282"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principal of the Notes at maturity, or if applicable, the redemption price, when the same become due and payable;</w:t>
      </w:r>
    </w:p>
    <w:p>
      <w:pPr>
        <w:spacing w:after="0" w:line="188" w:lineRule="exact"/>
        <w:rPr>
          <w:rFonts w:ascii="Times New Roman" w:cs="Times New Roman" w:eastAsia="Times New Roman" w:hAnsi="Times New Roman"/>
          <w:sz w:val="18"/>
          <w:szCs w:val="18"/>
          <w:color w:val="auto"/>
        </w:rPr>
      </w:pPr>
    </w:p>
    <w:p>
      <w:pPr>
        <w:ind w:left="1340" w:right="40" w:hanging="333"/>
        <w:spacing w:after="0" w:line="261"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Notes) for 90 days after written notice by the Trustee or by the holders of at least 25% in principal amount of all outstanding debt securities affected by that failure;</w:t>
      </w:r>
    </w:p>
    <w:p>
      <w:pPr>
        <w:spacing w:after="0" w:line="206" w:lineRule="exact"/>
        <w:rPr>
          <w:rFonts w:ascii="Times New Roman" w:cs="Times New Roman" w:eastAsia="Times New Roman" w:hAnsi="Times New Roman"/>
          <w:sz w:val="18"/>
          <w:szCs w:val="18"/>
          <w:color w:val="auto"/>
        </w:rPr>
      </w:pPr>
    </w:p>
    <w:p>
      <w:pPr>
        <w:ind w:left="1340" w:hanging="333"/>
        <w:spacing w:after="0" w:line="266"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the Guarantee of the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20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the Company or the Guarantor.</w:t>
      </w:r>
    </w:p>
    <w:p>
      <w:pPr>
        <w:spacing w:after="0" w:line="225"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A default under the Notes or another series of debt securities issued under the Indenture will not necessarily be a default under another series of debt securities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176" w:lineRule="exact"/>
        <w:rPr>
          <w:sz w:val="20"/>
          <w:szCs w:val="20"/>
          <w:color w:val="auto"/>
        </w:rPr>
      </w:pPr>
    </w:p>
    <w:p>
      <w:pPr>
        <w:ind w:right="20" w:firstLine="898"/>
        <w:spacing w:after="0" w:line="256" w:lineRule="auto"/>
        <w:rPr>
          <w:sz w:val="20"/>
          <w:szCs w:val="20"/>
          <w:color w:val="auto"/>
        </w:rPr>
      </w:pPr>
      <w:r>
        <w:rPr>
          <w:rFonts w:ascii="Times New Roman" w:cs="Times New Roman" w:eastAsia="Times New Roman" w:hAnsi="Times New Roman"/>
          <w:sz w:val="18"/>
          <w:szCs w:val="18"/>
          <w:color w:val="auto"/>
        </w:rPr>
        <w:t>If an Event of Default for the Notes occurs and is continuing, the Trustee or the holders of at least 25% in principal amount of such outstanding Notes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may in some cases rescind this accelerated payment requirement.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40"/>
          </w:cols>
          <w:pgMar w:left="320" w:top="455"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holder of Notes may pursue any remedy under the Indenture applicable to such Notes only if:</w:t>
      </w:r>
    </w:p>
    <w:p>
      <w:pPr>
        <w:spacing w:after="0" w:line="252" w:lineRule="exact"/>
        <w:rPr>
          <w:sz w:val="20"/>
          <w:szCs w:val="20"/>
          <w:color w:val="auto"/>
        </w:rPr>
      </w:pPr>
    </w:p>
    <w:p>
      <w:pPr>
        <w:ind w:left="1340" w:hanging="333"/>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such outstanding Notes make a written request to the Trustee to pursue the remedy;</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to the Trustee indemnity or security reasonably satisfactory to the Trustee;</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and</w:t>
      </w:r>
    </w:p>
    <w:p>
      <w:pPr>
        <w:spacing w:after="0" w:line="252" w:lineRule="exact"/>
        <w:rPr>
          <w:rFonts w:ascii="Times New Roman" w:cs="Times New Roman" w:eastAsia="Times New Roman" w:hAnsi="Times New Roman"/>
          <w:sz w:val="18"/>
          <w:szCs w:val="18"/>
          <w:color w:val="auto"/>
        </w:rPr>
      </w:pPr>
    </w:p>
    <w:p>
      <w:pPr>
        <w:ind w:left="1340" w:right="320" w:hanging="333"/>
        <w:spacing w:after="0" w:line="282"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such outstanding Notes do not give the Trustee a direction inconsistent with the request.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This provision does not, however, affect the right of a holder of Notes to sue for enforcement of any overdue payment with respect to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right="120" w:firstLine="898"/>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Notes issued by the Company (or of all outstanding debt securities under the Indenture affected, voting as one class) may direct the time, method and place of:</w:t>
      </w:r>
    </w:p>
    <w:p>
      <w:pPr>
        <w:spacing w:after="0" w:line="189" w:lineRule="exact"/>
        <w:rPr>
          <w:sz w:val="20"/>
          <w:szCs w:val="20"/>
          <w:color w:val="auto"/>
        </w:rPr>
      </w:pPr>
    </w:p>
    <w:p>
      <w:pPr>
        <w:ind w:left="1340" w:hanging="333"/>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with respect to such Notes; and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not relating to or arising under an Event of Default with respect to such Notes.</w:t>
      </w:r>
    </w:p>
    <w:p>
      <w:pPr>
        <w:spacing w:after="0" w:line="225" w:lineRule="exact"/>
        <w:rPr>
          <w:sz w:val="20"/>
          <w:szCs w:val="20"/>
          <w:color w:val="auto"/>
        </w:rPr>
      </w:pPr>
    </w:p>
    <w:p>
      <w:pPr>
        <w:ind w:right="680" w:firstLine="898"/>
        <w:spacing w:after="0" w:line="282" w:lineRule="auto"/>
        <w:rPr>
          <w:sz w:val="20"/>
          <w:szCs w:val="20"/>
          <w:color w:val="auto"/>
        </w:rPr>
      </w:pPr>
      <w:r>
        <w:rPr>
          <w:rFonts w:ascii="Times New Roman" w:cs="Times New Roman" w:eastAsia="Times New Roman" w:hAnsi="Times New Roman"/>
          <w:sz w:val="18"/>
          <w:szCs w:val="18"/>
          <w:color w:val="auto"/>
        </w:rPr>
        <w:t>The Indenture requires the Company to file with the Trustee each year an Officer’s Certificate as to its compliance with the covenants contained in the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ind w:right="100" w:firstLine="898"/>
        <w:spacing w:after="0" w:line="254"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additional Notes, if any) voting as a single class (including, without limitation, consents obtained in connection with a tender offer or exchange offer for, or purchase of, such Notes) (other than in respect of a provision contained in the Indenture that cannot be modified or amended without the consent of the holder of each outstanding Note affected thereby).</w:t>
      </w:r>
    </w:p>
    <w:p>
      <w:pPr>
        <w:spacing w:after="0" w:line="188" w:lineRule="exact"/>
        <w:rPr>
          <w:sz w:val="20"/>
          <w:szCs w:val="20"/>
          <w:color w:val="auto"/>
        </w:rPr>
      </w:pPr>
    </w:p>
    <w:p>
      <w:pPr>
        <w:ind w:firstLine="898"/>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Notes affected thereby, an amendment, supplement or waiver may not (with respect to any Notes held by a non-consenting holder):</w:t>
      </w:r>
    </w:p>
    <w:p>
      <w:pPr>
        <w:spacing w:after="0" w:line="189" w:lineRule="exact"/>
        <w:rPr>
          <w:sz w:val="20"/>
          <w:szCs w:val="20"/>
          <w:color w:val="auto"/>
        </w:rPr>
      </w:pPr>
    </w:p>
    <w:p>
      <w:pPr>
        <w:ind w:left="1340" w:hanging="333"/>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Notes;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20"/>
          </w:cols>
          <w:pgMar w:left="32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hanging="333"/>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the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Notes or change the time at which the Notes may or must be redeemed;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Notes payable in currency other than as originally stated in the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the Notes;</w:t>
      </w:r>
    </w:p>
    <w:p>
      <w:pPr>
        <w:spacing w:after="0" w:line="252" w:lineRule="exact"/>
        <w:rPr>
          <w:rFonts w:ascii="Times New Roman" w:cs="Times New Roman" w:eastAsia="Times New Roman" w:hAnsi="Times New Roman"/>
          <w:sz w:val="18"/>
          <w:szCs w:val="18"/>
          <w:color w:val="auto"/>
        </w:rPr>
      </w:pPr>
    </w:p>
    <w:p>
      <w:pPr>
        <w:ind w:left="1340" w:right="60" w:hanging="333"/>
        <w:spacing w:after="0" w:line="282"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aggregate principal amount of the Notes necessary to waive compliance with certain provisions of the Indenture such Notes were issued under or to make any change in this provision for modification; or</w:t>
      </w:r>
    </w:p>
    <w:p>
      <w:pPr>
        <w:spacing w:after="0" w:line="18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the Notes.</w:t>
      </w:r>
    </w:p>
    <w:p>
      <w:pPr>
        <w:spacing w:after="0" w:line="225" w:lineRule="exact"/>
        <w:rPr>
          <w:sz w:val="20"/>
          <w:szCs w:val="20"/>
          <w:color w:val="auto"/>
        </w:rPr>
      </w:pPr>
    </w:p>
    <w:p>
      <w:pPr>
        <w:ind w:right="580" w:firstLine="898"/>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Notes, the Company, the Guarantor and the Trustee may amend or supplement the Indenture, the Notes or Guarantee in certain circumstances, including:</w:t>
      </w:r>
    </w:p>
    <w:p>
      <w:pPr>
        <w:spacing w:after="0" w:line="189" w:lineRule="exact"/>
        <w:rPr>
          <w:sz w:val="20"/>
          <w:szCs w:val="20"/>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52" w:lineRule="exact"/>
        <w:rPr>
          <w:rFonts w:ascii="Times New Roman" w:cs="Times New Roman" w:eastAsia="Times New Roman" w:hAnsi="Times New Roman"/>
          <w:sz w:val="18"/>
          <w:szCs w:val="18"/>
          <w:color w:val="auto"/>
        </w:rPr>
      </w:pPr>
    </w:p>
    <w:p>
      <w:pPr>
        <w:ind w:left="1340" w:hanging="333"/>
        <w:spacing w:after="0" w:line="258"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the Guarantor’s obligations under the Indenture, and the Notes or the Guarantee, as applicable, by a successor upon any merger, amalgamation, consolidation or asset transfer in accordance with the requirements under “— Consolidation, Amalgamation, Merger and Sale of Assets” or to provide for the assumption of the Company’s obligations under the Indenture and the Notes by a subsidiary of the Guarantor in accordance with the requirements under “—Assumption by a Subsidiary” above;</w:t>
      </w:r>
    </w:p>
    <w:p>
      <w:pPr>
        <w:spacing w:after="0" w:line="210"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Notes or for the addition of an additional obligor on the Notes;</w:t>
      </w:r>
    </w:p>
    <w:p>
      <w:pPr>
        <w:spacing w:after="0" w:line="252" w:lineRule="exact"/>
        <w:rPr>
          <w:rFonts w:ascii="Times New Roman" w:cs="Times New Roman" w:eastAsia="Times New Roman" w:hAnsi="Times New Roman"/>
          <w:sz w:val="18"/>
          <w:szCs w:val="18"/>
          <w:color w:val="auto"/>
        </w:rPr>
      </w:pPr>
    </w:p>
    <w:p>
      <w:pPr>
        <w:ind w:left="1340" w:right="660" w:hanging="333"/>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of 1939, as amended, if applicable;</w:t>
      </w:r>
    </w:p>
    <w:p>
      <w:pPr>
        <w:spacing w:after="0" w:line="18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the outstanding Notes or to surrender any rights the Company has under the Indenture;</w:t>
      </w:r>
    </w:p>
    <w:p>
      <w:pPr>
        <w:spacing w:after="0" w:line="252" w:lineRule="exact"/>
        <w:rPr>
          <w:rFonts w:ascii="Times New Roman" w:cs="Times New Roman" w:eastAsia="Times New Roman" w:hAnsi="Times New Roman"/>
          <w:sz w:val="18"/>
          <w:szCs w:val="18"/>
          <w:color w:val="auto"/>
        </w:rPr>
      </w:pPr>
    </w:p>
    <w:p>
      <w:pPr>
        <w:jc w:val="both"/>
        <w:ind w:left="1340" w:right="300" w:hanging="333"/>
        <w:spacing w:after="0" w:line="266"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provided that any such change or elimination will not become effective with respect to any outstanding Notes created prior to the execution of such supplemental indenture which is entitled to the benefit of such provision;</w:t>
      </w:r>
    </w:p>
    <w:p>
      <w:pPr>
        <w:spacing w:after="0" w:line="20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w:t>
      </w:r>
    </w:p>
    <w:p>
      <w:pPr>
        <w:spacing w:after="0" w:line="252" w:lineRule="exact"/>
        <w:rPr>
          <w:rFonts w:ascii="Times New Roman" w:cs="Times New Roman" w:eastAsia="Times New Roman" w:hAnsi="Times New Roman"/>
          <w:sz w:val="18"/>
          <w:szCs w:val="18"/>
          <w:color w:val="auto"/>
        </w:rPr>
      </w:pPr>
    </w:p>
    <w:p>
      <w:pPr>
        <w:ind w:left="1340" w:right="100" w:hanging="333"/>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Notes; provided that such additional Notes have the same terms as, and will be deemed part of the same series as, the Notes to the extent required under the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20"/>
          </w:cols>
          <w:pgMar w:left="32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right="120" w:hanging="333"/>
        <w:spacing w:after="0" w:line="312"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and appointment of a successor trustee with respect to the Notes and to add to or change any of the provisions of the Indenture as are necessary to provide for or facilitate the administration of the trust by more than one trustee;</w:t>
      </w:r>
    </w:p>
    <w:p>
      <w:pPr>
        <w:spacing w:after="0" w:line="166" w:lineRule="exact"/>
        <w:rPr>
          <w:rFonts w:ascii="Times New Roman" w:cs="Times New Roman" w:eastAsia="Times New Roman" w:hAnsi="Times New Roman"/>
          <w:sz w:val="17"/>
          <w:szCs w:val="17"/>
          <w:color w:val="auto"/>
        </w:rPr>
      </w:pPr>
    </w:p>
    <w:p>
      <w:pPr>
        <w:ind w:left="1340" w:hanging="333"/>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the Notes; and</w:t>
      </w:r>
    </w:p>
    <w:p>
      <w:pPr>
        <w:spacing w:after="0" w:line="252"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the outstanding Notes in any material respect.</w:t>
      </w:r>
    </w:p>
    <w:p>
      <w:pPr>
        <w:spacing w:after="0" w:line="225"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It will not be necessary for the consent of the holders to approve the particular form of any proposed supplement, amendment or waiver, but it will be sufficient if such consent approves the substance of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Stockholders and Certain Others</w:t>
      </w:r>
    </w:p>
    <w:p>
      <w:pPr>
        <w:spacing w:after="0" w:line="229"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right="220" w:firstLine="898"/>
        <w:spacing w:after="0" w:line="266" w:lineRule="auto"/>
        <w:rPr>
          <w:sz w:val="20"/>
          <w:szCs w:val="20"/>
          <w:color w:val="auto"/>
        </w:rPr>
      </w:pPr>
      <w:r>
        <w:rPr>
          <w:rFonts w:ascii="Times New Roman" w:cs="Times New Roman" w:eastAsia="Times New Roman" w:hAnsi="Times New Roman"/>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203" w:lineRule="exact"/>
        <w:rPr>
          <w:sz w:val="20"/>
          <w:szCs w:val="20"/>
          <w:color w:val="auto"/>
        </w:rPr>
      </w:pPr>
    </w:p>
    <w:p>
      <w:pPr>
        <w:ind w:left="1340" w:right="360" w:hanging="333"/>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discharged from its obligations with respect to such Notes, except as described in the paragraph immediately below (“legal defeasance”); or</w:t>
      </w:r>
    </w:p>
    <w:p>
      <w:pPr>
        <w:spacing w:after="0" w:line="188" w:lineRule="exact"/>
        <w:rPr>
          <w:rFonts w:ascii="Times New Roman" w:cs="Times New Roman" w:eastAsia="Times New Roman" w:hAnsi="Times New Roman"/>
          <w:sz w:val="18"/>
          <w:szCs w:val="18"/>
          <w:color w:val="auto"/>
        </w:rPr>
      </w:pPr>
    </w:p>
    <w:p>
      <w:pPr>
        <w:ind w:left="1340" w:right="440" w:hanging="333"/>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 longer have any obligation to comply with the restrictive covenants under the Indenture with respect to the Notes, and the related Events of Default will no longer apply to the Company (“covenant defeasance”).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w:t>
      </w:r>
    </w:p>
    <w:p>
      <w:pPr>
        <w:spacing w:after="0" w:line="225" w:lineRule="exact"/>
        <w:rPr>
          <w:sz w:val="20"/>
          <w:szCs w:val="20"/>
          <w:color w:val="auto"/>
        </w:rPr>
      </w:pPr>
    </w:p>
    <w:p>
      <w:pPr>
        <w:ind w:right="20" w:firstLine="898"/>
        <w:spacing w:after="0" w:line="258" w:lineRule="auto"/>
        <w:rPr>
          <w:sz w:val="20"/>
          <w:szCs w:val="20"/>
          <w:color w:val="auto"/>
        </w:rPr>
      </w:pPr>
      <w:r>
        <w:rPr>
          <w:rFonts w:ascii="Times New Roman" w:cs="Times New Roman" w:eastAsia="Times New Roman" w:hAnsi="Times New Roman"/>
          <w:sz w:val="18"/>
          <w:szCs w:val="18"/>
          <w:color w:val="auto"/>
        </w:rPr>
        <w:t>If we exercise our legal defeasance option with respect to the Notes, the Company and the Guarantor will be deemed to have paid and discharged the entire indebtedness represented by the outstanding Notes and the Guarantee, and to have satisfied all other obligations under such Notes, the Guarantee and the Indenture, except as to (i) the Company’s obligations to register the transfer or exchange of the Notes, replace stolen, lost or mutilated Notes, pay Additional Amounts, maintain paying agencies, and hold moneys for payment in trust, and (ii) the obligation of the Company and the Guarantor to compensate and indemnify the Trustee.</w:t>
      </w:r>
    </w:p>
    <w:p>
      <w:pPr>
        <w:spacing w:after="0" w:line="183" w:lineRule="exact"/>
        <w:rPr>
          <w:sz w:val="20"/>
          <w:szCs w:val="20"/>
          <w:color w:val="auto"/>
        </w:rPr>
      </w:pPr>
    </w:p>
    <w:p>
      <w:pPr>
        <w:ind w:right="20" w:firstLine="898"/>
        <w:spacing w:after="0" w:line="266" w:lineRule="auto"/>
        <w:rPr>
          <w:sz w:val="20"/>
          <w:szCs w:val="20"/>
          <w:color w:val="auto"/>
        </w:rPr>
      </w:pPr>
      <w:r>
        <w:rPr>
          <w:rFonts w:ascii="Times New Roman" w:cs="Times New Roman" w:eastAsia="Times New Roman" w:hAnsi="Times New Roman"/>
          <w:sz w:val="18"/>
          <w:szCs w:val="18"/>
          <w:color w:val="auto"/>
        </w:rPr>
        <w:t>In the case of covenant defeasance, certain Events of Default (not including non-payment, bankruptcy, receivership, rehabilitation and insolvency events) will no longer apply. Except as specified in the Indenture, however, the remainder of the Indenture and the Notes and the Guarantee will be unaffected by the occurrence of covenant defeasance, and the Notes will continue to be deemed “outstanding” for all other purposes under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20"/>
          </w:cols>
          <w:pgMar w:left="320" w:top="455"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Indenture other than for the purposes of any direction, waiver, consent or declaration or act of holders (and the consequences of any thereof) in connection with any of the defeased covenants.</w:t>
      </w:r>
    </w:p>
    <w:p>
      <w:pPr>
        <w:spacing w:after="0" w:line="162" w:lineRule="exact"/>
        <w:rPr>
          <w:sz w:val="20"/>
          <w:szCs w:val="20"/>
          <w:color w:val="auto"/>
        </w:rPr>
      </w:pPr>
    </w:p>
    <w:p>
      <w:pPr>
        <w:ind w:right="20" w:firstLine="898"/>
        <w:spacing w:after="0" w:line="254" w:lineRule="auto"/>
        <w:rPr>
          <w:sz w:val="20"/>
          <w:szCs w:val="20"/>
          <w:color w:val="auto"/>
        </w:rPr>
      </w:pPr>
      <w:r>
        <w:rPr>
          <w:rFonts w:ascii="Times New Roman" w:cs="Times New Roman" w:eastAsia="Times New Roman" w:hAnsi="Times New Roman"/>
          <w:sz w:val="18"/>
          <w:szCs w:val="18"/>
          <w:color w:val="auto"/>
        </w:rPr>
        <w:t>In addition to the other requirements, we will be required to deliver to the Trustee (i) an opinion of counsel or a tax ruling to the effect that the deposit and related defeasance would not cause the beneficial owners of the Notes to recognize income, gain or loss for U.S. federal income tax purposes, and (ii) an opinion of counsel or an advance tax ruling from the Canada Revenue Agency (or successor agency) to the effect that the beneficial owners of the Notes will not recognize income, gain, or loss for Canadian federal, provincial or territorial income tax purposes as a result of the deposit and related defeasance and will be subject to Canadian federal, provincial or territorial income or other Canadian tax on the same amounts, in the same manner, and at the same times as would have been the case if such deposit and related defeasance had not occurred. If the Company elects legal defeasance, that opinion of counsel must be based upon a ruling from the U.S. Internal Revenue Service and from the Canada Revenue Agency (or successor agency) or changes in law to that effect.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9"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The Bank of New York Mellon will be trustee under the Indenture. The Trustee performs services for the Guarantor and its subsidiaries in the ordinary course of business.</w:t>
      </w:r>
    </w:p>
    <w:p>
      <w:pPr>
        <w:spacing w:after="0" w:line="162"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or security reasonably satisfactory to it.</w:t>
      </w:r>
    </w:p>
    <w:p>
      <w:pPr>
        <w:spacing w:after="0" w:line="176" w:lineRule="exact"/>
        <w:rPr>
          <w:sz w:val="20"/>
          <w:szCs w:val="20"/>
          <w:color w:val="auto"/>
        </w:rPr>
      </w:pPr>
    </w:p>
    <w:p>
      <w:pPr>
        <w:ind w:right="160" w:firstLine="898"/>
        <w:spacing w:after="0" w:line="261" w:lineRule="auto"/>
        <w:rPr>
          <w:sz w:val="20"/>
          <w:szCs w:val="20"/>
          <w:color w:val="auto"/>
        </w:rPr>
      </w:pPr>
      <w:r>
        <w:rPr>
          <w:rFonts w:ascii="Times New Roman" w:cs="Times New Roman" w:eastAsia="Times New Roman" w:hAnsi="Times New Roman"/>
          <w:sz w:val="18"/>
          <w:szCs w:val="18"/>
          <w:color w:val="auto"/>
        </w:rPr>
        <w:t>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of 1939, as amended), it must eliminate such conflict, resign or obtain an order from the Securities and Exchange Commission (the “SEC”) permitting it to remain as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229"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We will maintain a paying agent (the “Paying Agent”) for the Notes in the Borough of Manhattan, City of New York. Upon written notice to the Trustee accompanied by an Officer’s Certificate, we may appoint one or more Paying Agents, other than the Trustee, for the Notes. If we fail to appoint or maintain another entity as Paying Agent, the Trustee will act as such. The Company, the Guarantor or any of the Guarantor’s subsidiaries, upon notice to the Trustee, may act as Paying Agent. The initial Paying Agent will be The Bank of New York Mellon in New York.</w:t>
      </w:r>
    </w:p>
    <w:p>
      <w:pPr>
        <w:spacing w:after="0" w:line="180" w:lineRule="exact"/>
        <w:rPr>
          <w:sz w:val="20"/>
          <w:szCs w:val="20"/>
          <w:color w:val="auto"/>
        </w:rPr>
      </w:pPr>
    </w:p>
    <w:p>
      <w:pPr>
        <w:ind w:right="220" w:firstLine="898"/>
        <w:spacing w:after="0" w:line="261" w:lineRule="auto"/>
        <w:rPr>
          <w:sz w:val="20"/>
          <w:szCs w:val="20"/>
          <w:color w:val="auto"/>
        </w:rPr>
      </w:pPr>
      <w:r>
        <w:rPr>
          <w:rFonts w:ascii="Times New Roman" w:cs="Times New Roman" w:eastAsia="Times New Roman" w:hAnsi="Times New Roman"/>
          <w:sz w:val="18"/>
          <w:szCs w:val="18"/>
          <w:color w:val="auto"/>
        </w:rPr>
        <w:t>We will also maintain a registrar (the “Registrar”) with an office in the Borough of Manhattan, City of New York. Upon written notice to the Trustee accompanied by an Officer’s Certificate, we may appoint one or more registrars, other than the Trustee, for the Notes. If we fail to appoint or maintain another entity as Registrar, the Trustee will act as such. The Company, the Guarantor or any of the Guarantor’s subsidiaries, upon notice to the Trustee, may act as Registrar. The initial Registrar will be The Bank of New York Mellon in New York.</w:t>
      </w:r>
    </w:p>
    <w:p>
      <w:pPr>
        <w:spacing w:after="0" w:line="180" w:lineRule="exact"/>
        <w:rPr>
          <w:sz w:val="20"/>
          <w:szCs w:val="20"/>
          <w:color w:val="auto"/>
        </w:rPr>
      </w:pPr>
    </w:p>
    <w:p>
      <w:pPr>
        <w:ind w:right="20" w:firstLine="898"/>
        <w:spacing w:after="0" w:line="258" w:lineRule="auto"/>
        <w:rPr>
          <w:sz w:val="20"/>
          <w:szCs w:val="20"/>
          <w:color w:val="auto"/>
        </w:rPr>
      </w:pPr>
      <w:r>
        <w:rPr>
          <w:rFonts w:ascii="Times New Roman" w:cs="Times New Roman" w:eastAsia="Times New Roman" w:hAnsi="Times New Roman"/>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the Notes. If we fail to appoint or maintain another entity as transfer agent, the Trustee will act as such. The Company, the Guarantor or any of the Guarantor’s subsidiaries, upon notice to the Trustee, may act as transfer agent. The initial transfer agent will be The Bank of New York Mellon in New York.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40"/>
          </w:cols>
          <w:pgMar w:left="32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898"/>
        <w:spacing w:after="0" w:line="282" w:lineRule="auto"/>
        <w:rPr>
          <w:sz w:val="20"/>
          <w:szCs w:val="20"/>
          <w:color w:val="auto"/>
        </w:rPr>
      </w:pPr>
      <w:r>
        <w:rPr>
          <w:rFonts w:ascii="Times New Roman" w:cs="Times New Roman" w:eastAsia="Times New Roman" w:hAnsi="Times New Roman"/>
          <w:sz w:val="18"/>
          <w:szCs w:val="18"/>
          <w:color w:val="auto"/>
        </w:rPr>
        <w:t>The Registrar will maintain a register reflecting ownership of Notes outstanding from time to time and the Paying Agent will make payments on and facilitate transfer of Notes on our behalf.</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may change any Paying Agents, Registrars or transfer agents without prior notice to the holders of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229" w:lineRule="exact"/>
        <w:rPr>
          <w:sz w:val="20"/>
          <w:szCs w:val="20"/>
          <w:color w:val="auto"/>
        </w:rPr>
      </w:pPr>
    </w:p>
    <w:p>
      <w:pPr>
        <w:ind w:firstLine="898"/>
        <w:spacing w:after="0" w:line="255" w:lineRule="auto"/>
        <w:rPr>
          <w:sz w:val="20"/>
          <w:szCs w:val="20"/>
          <w:color w:val="auto"/>
        </w:rPr>
      </w:pPr>
      <w:r>
        <w:rPr>
          <w:rFonts w:ascii="Times New Roman" w:cs="Times New Roman" w:eastAsia="Times New Roman" w:hAnsi="Times New Roman"/>
          <w:sz w:val="18"/>
          <w:szCs w:val="18"/>
          <w:color w:val="auto"/>
        </w:rPr>
        <w:t>The Company may, from time to time, without notice to or consent of the registered holders of the Notes, increase the principal amount of such Notes that may be issued under the Indenture and issue such increased principal amount (or any portion thereof), in which case any such additional Notes so issued will have the same form and terms (other than the date of issuance and, under certain circumstances, the date from which interest thereon will begin to accrue), and will carry the same right to receive accrued and unpaid interest, as the Notes previously issued, and such additional Notes will form a single series with the previously issued Notes, including for purposes of 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ind w:right="300" w:firstLine="898"/>
        <w:spacing w:after="0" w:line="266" w:lineRule="auto"/>
        <w:rPr>
          <w:sz w:val="20"/>
          <w:szCs w:val="20"/>
          <w:color w:val="auto"/>
        </w:rPr>
      </w:pPr>
      <w:r>
        <w:rPr>
          <w:rFonts w:ascii="Times New Roman" w:cs="Times New Roman" w:eastAsia="Times New Roman" w:hAnsi="Times New Roman"/>
          <w:sz w:val="18"/>
          <w:szCs w:val="18"/>
          <w:color w:val="auto"/>
        </w:rPr>
        <w:t>We will issue the Notes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76" w:lineRule="exact"/>
        <w:rPr>
          <w:sz w:val="20"/>
          <w:szCs w:val="20"/>
          <w:color w:val="auto"/>
        </w:rPr>
      </w:pPr>
    </w:p>
    <w:p>
      <w:pPr>
        <w:ind w:right="120" w:firstLine="898"/>
        <w:spacing w:after="0" w:line="282" w:lineRule="auto"/>
        <w:rPr>
          <w:sz w:val="20"/>
          <w:szCs w:val="20"/>
          <w:color w:val="auto"/>
        </w:rPr>
      </w:pPr>
      <w:r>
        <w:rPr>
          <w:rFonts w:ascii="Times New Roman" w:cs="Times New Roman" w:eastAsia="Times New Roman" w:hAnsi="Times New Roman"/>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62" w:lineRule="exact"/>
        <w:rPr>
          <w:sz w:val="20"/>
          <w:szCs w:val="20"/>
          <w:color w:val="auto"/>
        </w:rPr>
      </w:pPr>
    </w:p>
    <w:p>
      <w:pPr>
        <w:ind w:firstLine="898"/>
        <w:spacing w:after="0" w:line="255" w:lineRule="auto"/>
        <w:rPr>
          <w:sz w:val="20"/>
          <w:szCs w:val="20"/>
          <w:color w:val="auto"/>
        </w:rPr>
      </w:pPr>
      <w:r>
        <w:rPr>
          <w:rFonts w:ascii="Times New Roman" w:cs="Times New Roman" w:eastAsia="Times New Roman" w:hAnsi="Times New Roman"/>
          <w:sz w:val="18"/>
          <w:szCs w:val="18"/>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represented by a global Note can be exchanged for definitive securities in registered form only if:</w:t>
      </w:r>
    </w:p>
    <w:p>
      <w:pPr>
        <w:spacing w:after="0" w:line="252" w:lineRule="exact"/>
        <w:rPr>
          <w:sz w:val="20"/>
          <w:szCs w:val="20"/>
          <w:color w:val="auto"/>
        </w:rPr>
      </w:pPr>
    </w:p>
    <w:p>
      <w:pPr>
        <w:ind w:left="1340" w:right="140" w:hanging="333"/>
        <w:spacing w:after="0" w:line="266"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202"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Notes will no longer be represented by a global Note and execute and deliver to the Trustee an Officer’s Certificate to such effect.</w:t>
      </w:r>
    </w:p>
    <w:p>
      <w:pPr>
        <w:spacing w:after="0" w:line="162" w:lineRule="exact"/>
        <w:rPr>
          <w:sz w:val="20"/>
          <w:szCs w:val="20"/>
          <w:color w:val="auto"/>
        </w:rPr>
      </w:pPr>
    </w:p>
    <w:p>
      <w:pPr>
        <w:jc w:val="both"/>
        <w:ind w:right="500" w:firstLine="898"/>
        <w:spacing w:after="0" w:line="266" w:lineRule="auto"/>
        <w:rPr>
          <w:sz w:val="20"/>
          <w:szCs w:val="20"/>
          <w:color w:val="auto"/>
        </w:rPr>
      </w:pPr>
      <w:r>
        <w:rPr>
          <w:rFonts w:ascii="Times New Roman" w:cs="Times New Roman" w:eastAsia="Times New Roman" w:hAnsi="Times New Roman"/>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20"/>
          </w:cols>
          <w:pgMar w:left="320" w:top="455" w:right="3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firstLine="898"/>
        <w:spacing w:after="0" w:line="266" w:lineRule="auto"/>
        <w:rPr>
          <w:sz w:val="20"/>
          <w:szCs w:val="20"/>
          <w:color w:val="auto"/>
        </w:rPr>
      </w:pPr>
      <w:r>
        <w:rPr>
          <w:rFonts w:ascii="Times New Roman" w:cs="Times New Roman" w:eastAsia="Times New Roman" w:hAnsi="Times New Roman"/>
          <w:sz w:val="18"/>
          <w:szCs w:val="18"/>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203" w:lineRule="exact"/>
        <w:rPr>
          <w:sz w:val="20"/>
          <w:szCs w:val="20"/>
          <w:color w:val="auto"/>
        </w:rPr>
      </w:pPr>
    </w:p>
    <w:p>
      <w:pPr>
        <w:ind w:left="1340" w:right="480" w:hanging="333"/>
        <w:spacing w:after="0" w:line="282"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Note represented by a global Note;</w:t>
      </w:r>
    </w:p>
    <w:p>
      <w:pPr>
        <w:spacing w:after="0" w:line="188" w:lineRule="exact"/>
        <w:rPr>
          <w:rFonts w:ascii="Times New Roman" w:cs="Times New Roman" w:eastAsia="Times New Roman" w:hAnsi="Times New Roman"/>
          <w:sz w:val="18"/>
          <w:szCs w:val="18"/>
          <w:color w:val="auto"/>
        </w:rPr>
      </w:pPr>
    </w:p>
    <w:p>
      <w:pPr>
        <w:ind w:left="1340" w:right="300" w:hanging="333"/>
        <w:spacing w:after="0" w:line="282"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188"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supervision or review of any of DTC’s records relating to those beneficial ownership interests.</w:t>
      </w:r>
    </w:p>
    <w:p>
      <w:pPr>
        <w:spacing w:after="0" w:line="225" w:lineRule="exact"/>
        <w:rPr>
          <w:sz w:val="20"/>
          <w:szCs w:val="20"/>
          <w:color w:val="auto"/>
        </w:rPr>
      </w:pPr>
    </w:p>
    <w:p>
      <w:pPr>
        <w:ind w:right="20" w:firstLine="898"/>
        <w:spacing w:after="0" w:line="256" w:lineRule="auto"/>
        <w:rPr>
          <w:sz w:val="20"/>
          <w:szCs w:val="20"/>
          <w:color w:val="auto"/>
        </w:rPr>
      </w:pPr>
      <w:r>
        <w:rPr>
          <w:rFonts w:ascii="Times New Roman" w:cs="Times New Roman" w:eastAsia="Times New Roman" w:hAnsi="Times New Roman"/>
          <w:sz w:val="18"/>
          <w:szCs w:val="18"/>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229" w:lineRule="exact"/>
        <w:rPr>
          <w:sz w:val="20"/>
          <w:szCs w:val="20"/>
          <w:color w:val="auto"/>
        </w:rPr>
      </w:pPr>
    </w:p>
    <w:p>
      <w:pPr>
        <w:ind w:firstLine="898"/>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88"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0" w:lineRule="exact"/>
        <w:rPr>
          <w:sz w:val="20"/>
          <w:szCs w:val="20"/>
          <w:color w:val="auto"/>
        </w:rPr>
      </w:pPr>
    </w:p>
    <w:p>
      <w:pPr>
        <w:ind w:right="320" w:firstLine="898"/>
        <w:spacing w:after="0" w:line="261" w:lineRule="auto"/>
        <w:rPr>
          <w:sz w:val="20"/>
          <w:szCs w:val="20"/>
          <w:color w:val="auto"/>
        </w:rPr>
      </w:pPr>
      <w:r>
        <w:rPr>
          <w:rFonts w:ascii="Times New Roman" w:cs="Times New Roman" w:eastAsia="Times New Roman" w:hAnsi="Times New Roman"/>
          <w:sz w:val="18"/>
          <w:szCs w:val="18"/>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40"/>
          </w:cols>
          <w:pgMar w:left="320" w:top="455"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firstLine="898"/>
        <w:spacing w:after="0" w:line="266"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76" w:lineRule="exact"/>
        <w:rPr>
          <w:sz w:val="20"/>
          <w:szCs w:val="20"/>
          <w:color w:val="auto"/>
        </w:rPr>
      </w:pPr>
    </w:p>
    <w:p>
      <w:pPr>
        <w:ind w:right="20" w:firstLine="898"/>
        <w:spacing w:after="0" w:line="254" w:lineRule="auto"/>
        <w:rPr>
          <w:sz w:val="20"/>
          <w:szCs w:val="20"/>
          <w:color w:val="auto"/>
        </w:rPr>
      </w:pPr>
      <w:r>
        <w:rPr>
          <w:rFonts w:ascii="Times New Roman" w:cs="Times New Roman" w:eastAsia="Times New Roman" w:hAnsi="Times New Roman"/>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92"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229" w:lineRule="exact"/>
        <w:rPr>
          <w:sz w:val="20"/>
          <w:szCs w:val="20"/>
          <w:color w:val="auto"/>
        </w:rPr>
      </w:pPr>
    </w:p>
    <w:p>
      <w:pPr>
        <w:ind w:right="20" w:firstLine="898"/>
        <w:spacing w:after="0" w:line="253" w:lineRule="auto"/>
        <w:rPr>
          <w:sz w:val="20"/>
          <w:szCs w:val="20"/>
          <w:color w:val="auto"/>
        </w:rPr>
      </w:pPr>
      <w:r>
        <w:rPr>
          <w:rFonts w:ascii="Times New Roman" w:cs="Times New Roman" w:eastAsia="Times New Roman" w:hAnsi="Times New Roman"/>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94" w:lineRule="exact"/>
        <w:rPr>
          <w:sz w:val="20"/>
          <w:szCs w:val="20"/>
          <w:color w:val="auto"/>
        </w:rPr>
      </w:pPr>
    </w:p>
    <w:p>
      <w:pPr>
        <w:ind w:right="460" w:firstLine="898"/>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20"/>
          </w:cols>
          <w:pgMar w:left="320" w:top="455"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Euroclear Operator advises us that it is regulated and examined by the Belgian banking and Finance Commission and the National Bank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207" w:lineRule="exact"/>
        <w:rPr>
          <w:sz w:val="20"/>
          <w:szCs w:val="20"/>
          <w:color w:val="auto"/>
        </w:rPr>
      </w:pPr>
    </w:p>
    <w:p>
      <w:pPr>
        <w:ind w:right="340" w:firstLine="898"/>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87" w:lineRule="exact"/>
        <w:rPr>
          <w:sz w:val="20"/>
          <w:szCs w:val="20"/>
          <w:color w:val="auto"/>
        </w:rPr>
      </w:pPr>
    </w:p>
    <w:p>
      <w:pPr>
        <w:ind w:right="540" w:firstLine="898"/>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right="220" w:firstLine="898"/>
        <w:spacing w:after="0" w:line="261" w:lineRule="auto"/>
        <w:rPr>
          <w:sz w:val="20"/>
          <w:szCs w:val="20"/>
          <w:color w:val="auto"/>
        </w:rPr>
      </w:pPr>
      <w:r>
        <w:rPr>
          <w:rFonts w:ascii="Times New Roman" w:cs="Times New Roman" w:eastAsia="Times New Roman" w:hAnsi="Times New Roman"/>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229" w:lineRule="exact"/>
        <w:rPr>
          <w:sz w:val="20"/>
          <w:szCs w:val="20"/>
          <w:color w:val="auto"/>
        </w:rPr>
      </w:pPr>
    </w:p>
    <w:p>
      <w:pPr>
        <w:ind w:right="40" w:firstLine="898"/>
        <w:spacing w:after="0" w:line="258" w:lineRule="auto"/>
        <w:rPr>
          <w:sz w:val="20"/>
          <w:szCs w:val="20"/>
          <w:color w:val="auto"/>
        </w:rPr>
      </w:pPr>
      <w:r>
        <w:rPr>
          <w:rFonts w:ascii="Times New Roman" w:cs="Times New Roman" w:eastAsia="Times New Roman" w:hAnsi="Times New Roman"/>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3" w:lineRule="exact"/>
        <w:rPr>
          <w:sz w:val="20"/>
          <w:szCs w:val="20"/>
          <w:color w:val="auto"/>
        </w:rPr>
      </w:pPr>
    </w:p>
    <w:p>
      <w:pPr>
        <w:ind w:right="80" w:firstLine="898"/>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92" w:lineRule="exact"/>
        <w:rPr>
          <w:sz w:val="20"/>
          <w:szCs w:val="20"/>
          <w:color w:val="auto"/>
        </w:rPr>
      </w:pPr>
    </w:p>
    <w:p>
      <w:pPr>
        <w:ind w:right="760" w:firstLine="898"/>
        <w:spacing w:after="0" w:line="282" w:lineRule="auto"/>
        <w:rPr>
          <w:sz w:val="20"/>
          <w:szCs w:val="20"/>
          <w:color w:val="auto"/>
        </w:rPr>
      </w:pPr>
      <w:r>
        <w:rPr>
          <w:rFonts w:ascii="Times New Roman" w:cs="Times New Roman" w:eastAsia="Times New Roman" w:hAnsi="Times New Roman"/>
          <w:sz w:val="18"/>
          <w:szCs w:val="18"/>
          <w:color w:val="auto"/>
        </w:rPr>
        <w:t>Because of time-zone differences, credits of Notes received through Clearstream or Euroclear as a result of a transaction with a DTC participant will be made during subsequent securities settlement processing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20"/>
          </w:cols>
          <w:pgMar w:left="320" w:top="455" w:right="3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0" w:lineRule="exact"/>
        <w:rPr>
          <w:sz w:val="20"/>
          <w:szCs w:val="20"/>
          <w:color w:val="auto"/>
        </w:rPr>
      </w:pPr>
    </w:p>
    <w:p>
      <w:pPr>
        <w:ind w:right="20" w:firstLine="898"/>
        <w:spacing w:after="0" w:line="255" w:lineRule="auto"/>
        <w:rPr>
          <w:sz w:val="20"/>
          <w:szCs w:val="20"/>
          <w:color w:val="auto"/>
        </w:rPr>
      </w:pPr>
      <w:r>
        <w:rPr>
          <w:rFonts w:ascii="Times New Roman" w:cs="Times New Roman" w:eastAsia="Times New Roman" w:hAnsi="Times New Roman"/>
          <w:sz w:val="18"/>
          <w:szCs w:val="18"/>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9" w:lineRule="exact"/>
        <w:rPr>
          <w:sz w:val="20"/>
          <w:szCs w:val="20"/>
          <w:color w:val="auto"/>
        </w:rPr>
      </w:pPr>
    </w:p>
    <w:p>
      <w:pPr>
        <w:ind w:right="60" w:firstLine="898"/>
        <w:spacing w:after="0" w:line="258"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00"/>
          </w:cols>
          <w:pgMar w:left="320" w:top="455" w:right="3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229" w:lineRule="exact"/>
        <w:rPr>
          <w:sz w:val="20"/>
          <w:szCs w:val="20"/>
          <w:color w:val="auto"/>
        </w:rPr>
      </w:pPr>
    </w:p>
    <w:p>
      <w:pPr>
        <w:ind w:firstLine="898"/>
        <w:spacing w:after="0" w:line="252" w:lineRule="auto"/>
        <w:rPr>
          <w:sz w:val="20"/>
          <w:szCs w:val="20"/>
          <w:color w:val="auto"/>
        </w:rPr>
      </w:pPr>
      <w:r>
        <w:rPr>
          <w:rFonts w:ascii="Times New Roman" w:cs="Times New Roman" w:eastAsia="Times New Roman" w:hAnsi="Times New Roman"/>
          <w:sz w:val="18"/>
          <w:szCs w:val="18"/>
          <w:color w:val="auto"/>
        </w:rPr>
        <w:t xml:space="preserve">The following is, as of the date of this prospectus supplement, a summary of the principal Canadian federal income tax considerations generally applicable to a Non-Canadian Holder (as defined below) who acquires, as beneficial owner, Notes issued hereunder (including entitlement to receive all payments, including interest and principal, made in respect thereof) for cash at their original issue price pursuant to this prospectus supplement and the accompanying prospectus. This summary is based on the facts set out in this prospectus supplement, the accompanying prospectus, the current provisions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“Tax Act”), relevant jurisprudence, and our counsel’s understanding of the current published administrative policies and assessing practices of the Canada Revenue Agency (the “CRA”), made publicly available in writing, all as in effect as of the date of this prospectus supplement. Except for specifically proposed amendments to the Tax Act that have been publicly announced by or on behalf of the Minister of Finance (Canada) prior to the date of this prospectus supplement (“Tax Proposals”), this summary does not otherwise take into account or anticipate proposed or possible changes in law, whether by judicial, regulatory, legislative or governmental decision or action, or changes in the administrative policies and assessing practices of the CRA, nor does it consider the tax legislation of any province, territory or foreign jurisdiction which may differ from the Canadian federal income tax considerations discussed herein. This summary assumes that all Tax Proposals will be enacted as proposed. No assurances can be given that the Tax Proposals will be enacted as currently proposed, or at all. This summary is not exhaustive of all possible Canadian federal income tax considerations and is of a general nature only and is not intended to be, and should not be construed to be, legal or tax advice to any prospective purchaser of Notes. The tax considerations applicable to a purchaser will depend on such purchaser’s personal circumstances. </w:t>
      </w:r>
      <w:r>
        <w:rPr>
          <w:rFonts w:ascii="Times New Roman" w:cs="Times New Roman" w:eastAsia="Times New Roman" w:hAnsi="Times New Roman"/>
          <w:sz w:val="18"/>
          <w:szCs w:val="18"/>
          <w:b w:val="1"/>
          <w:bCs w:val="1"/>
          <w:color w:val="auto"/>
        </w:rPr>
        <w:t>Accordingly, all prospective purchasers are urged to consult their own tax advisors regarding the income tax consequences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associated with purchasing, holding and disposing of the Notes, having regard to their own particular circumstances.</w:t>
      </w:r>
    </w:p>
    <w:p>
      <w:pPr>
        <w:spacing w:after="0" w:line="195" w:lineRule="exact"/>
        <w:rPr>
          <w:sz w:val="20"/>
          <w:szCs w:val="20"/>
          <w:color w:val="auto"/>
        </w:rPr>
      </w:pPr>
    </w:p>
    <w:p>
      <w:pPr>
        <w:ind w:right="80" w:firstLine="898"/>
        <w:spacing w:after="0" w:line="253" w:lineRule="auto"/>
        <w:rPr>
          <w:sz w:val="20"/>
          <w:szCs w:val="20"/>
          <w:color w:val="auto"/>
        </w:rPr>
      </w:pPr>
      <w:r>
        <w:rPr>
          <w:rFonts w:ascii="Times New Roman" w:cs="Times New Roman" w:eastAsia="Times New Roman" w:hAnsi="Times New Roman"/>
          <w:sz w:val="18"/>
          <w:szCs w:val="18"/>
          <w:color w:val="auto"/>
        </w:rPr>
        <w:t>This summary is only applicable to a purchaser who, at all relevant times, for the purposes of the Tax Act: (i) is not resident in Canada and is not deemed to be resident in Canada; (ii) does not use or hold, and is not deemed to use or hold, Notes in, or in the course of, carrying on a business in Canada; (iii) is not an insurer who carries on an insurance business, or is deemed to carry on an insurance business, in Canada and/or elsewhere; (iv) deals at arm’s length with us, the Guarantor, each of the underwriters, any Subsidiary of the Guarantor that is resident in Canada for purposes of the Tax Act and that assumes the obligations of the issuer under the Notes and the Indenture (a “Substituted Issuer”) and with any transferee who is resident in Canada (or deemed to be resident in Canada) and to whom the purchaser assigns or otherwise transfers Notes; and (v) is not a “specified shareholder” of us or any Substituted Issuer that is a resident of Canada for purposes of the Tax Act within the meaning of subsection 18(5) of the Tax Act or a person that does not deal at arm’s length with any such specified shareholder (each such purchaser is referred to herein as a “Non-Canadian Holder”). Generally, a “specified shareholder” of a corporation is a person that owns or is deemed to own, either alone or together with persons with whom the shareholder does not deal at arm’s length for purposes of the Tax Act, shares of the capital stock of the corporation that either (a) give the holders of such shares 25% or more of the votes that could be cast at an annual meeting of the shareholders of the corporation or (b) have a fair market value of 25% or more of the fair market value of all of the issued and outstanding shares of capital stock of the corporation.</w:t>
      </w:r>
    </w:p>
    <w:p>
      <w:pPr>
        <w:spacing w:after="0" w:line="190" w:lineRule="exact"/>
        <w:rPr>
          <w:sz w:val="20"/>
          <w:szCs w:val="20"/>
          <w:color w:val="auto"/>
        </w:rPr>
      </w:pPr>
    </w:p>
    <w:p>
      <w:pPr>
        <w:ind w:right="20" w:firstLine="898"/>
        <w:spacing w:after="0" w:line="256" w:lineRule="auto"/>
        <w:rPr>
          <w:sz w:val="20"/>
          <w:szCs w:val="20"/>
          <w:color w:val="auto"/>
        </w:rPr>
      </w:pPr>
      <w:r>
        <w:rPr>
          <w:rFonts w:ascii="Times New Roman" w:cs="Times New Roman" w:eastAsia="Times New Roman" w:hAnsi="Times New Roman"/>
          <w:sz w:val="18"/>
          <w:szCs w:val="18"/>
          <w:color w:val="auto"/>
        </w:rPr>
        <w:t>No Canadian withholding tax will apply to interest, principal, premium, bonus or penalty paid or credited, or deemed to be paid or credited, to a Non-Canadian Holder on the Notes, or the proceeds received by a Non- Canadian Holder on the disposition of a Note, including on a redemption, payment on maturity, repurchase or the assumption of the issuer’s obligations under the Notes and the Indenture by a Substituted Issuer. No other tax on income or gains will be payable under the Tax Act by a Non-Canadian Holder on interest, principal, premium, bonus or penalty paid or credited, or deemed to be paid or credited, or on the proceeds received on the disposition of a Note, including on a redemption, payment on maturity, repurchase or the assumption of the issuer’s obligations under the Notes and the Indenture by a Substituted Issuer.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consequences to U.S. Holders (as defined below) relating to the ownership and disposition of Notes as of the date hereof, and does not purport to be to be a complete analysis of all the potential tax considerations relating thereto. Except where noted, this summary deals only with Notes that are held as capital assets (within the meaning of Section 1221 of the Code (as defined below)) by a beneficial owner who acquired the Notes upon original issuance at their “issue price,” which will equal the first price to the public (not including bond houses, brokers or similar persons or organizations acting in the capacity of underwriters, placement agents or wholesalers) at which a substantial amount of Notes are sold for money.</w:t>
      </w:r>
    </w:p>
    <w:p>
      <w:pPr>
        <w:spacing w:after="0" w:line="187" w:lineRule="exact"/>
        <w:rPr>
          <w:sz w:val="20"/>
          <w:szCs w:val="20"/>
          <w:color w:val="auto"/>
        </w:rPr>
      </w:pPr>
    </w:p>
    <w:p>
      <w:pPr>
        <w:ind w:right="100" w:firstLine="898"/>
        <w:spacing w:after="0" w:line="256"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a Note that, for U.S. federal income tax purposes, is: (a) an individual citizen or resident of the United States; (b) a corporation (or other entity treated as a corporation for U.S. federal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87" w:lineRule="exact"/>
        <w:rPr>
          <w:sz w:val="20"/>
          <w:szCs w:val="20"/>
          <w:color w:val="auto"/>
        </w:rPr>
      </w:pPr>
    </w:p>
    <w:p>
      <w:pPr>
        <w:ind w:right="100" w:firstLine="898"/>
        <w:spacing w:after="0" w:line="266" w:lineRule="auto"/>
        <w:rPr>
          <w:sz w:val="20"/>
          <w:szCs w:val="20"/>
          <w:color w:val="auto"/>
        </w:rPr>
      </w:pPr>
      <w:r>
        <w:rPr>
          <w:rFonts w:ascii="Times New Roman" w:cs="Times New Roman" w:eastAsia="Times New Roman" w:hAnsi="Times New Roman"/>
          <w:sz w:val="18"/>
          <w:szCs w:val="18"/>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176" w:lineRule="exact"/>
        <w:rPr>
          <w:sz w:val="20"/>
          <w:szCs w:val="20"/>
          <w:color w:val="auto"/>
        </w:rPr>
      </w:pPr>
    </w:p>
    <w:p>
      <w:pPr>
        <w:ind w:right="80" w:firstLine="898"/>
        <w:spacing w:after="0" w:line="252"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(including the alternative minimum tax and timing rules under Section 451(b) of the Code that apply to persons that maintain certain specified financial statements)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a trader in securities that elects to use a mark-to-market method of tax accounting for your securities holdings, a bank or other financial institution, a regulated investment company, a real estate investment trust, an employee stock ownership plan, a pass-through entity (or an owner of a pass-through entity), a corporation that accumulates earnings to avoid tax, an insurance company, a tax-exempt organization, a person that owns Notes as part of a straddle, hedge, constructive sale, conversion, or other integrated transaction for U.S. federal income tax purposes, a person that purchases or sells Notes as part of a wash sale for tax purposes, or a person whose functional currency for tax purposes is not the U.S. dollar). A change in law may alter significantly the tax considerations that we describe in this summary.</w:t>
      </w:r>
    </w:p>
    <w:p>
      <w:pPr>
        <w:spacing w:after="0" w:line="192" w:lineRule="exact"/>
        <w:rPr>
          <w:sz w:val="20"/>
          <w:szCs w:val="20"/>
          <w:color w:val="auto"/>
        </w:rPr>
      </w:pPr>
    </w:p>
    <w:p>
      <w:pPr>
        <w:ind w:right="140" w:firstLine="898"/>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Notes, you should consult your own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Contingent Payments</w:t>
      </w:r>
    </w:p>
    <w:p>
      <w:pPr>
        <w:spacing w:after="0" w:line="229" w:lineRule="exact"/>
        <w:rPr>
          <w:sz w:val="20"/>
          <w:szCs w:val="20"/>
          <w:color w:val="auto"/>
        </w:rPr>
      </w:pPr>
    </w:p>
    <w:p>
      <w:pPr>
        <w:ind w:firstLine="898"/>
        <w:spacing w:after="0" w:line="269" w:lineRule="auto"/>
        <w:rPr>
          <w:sz w:val="20"/>
          <w:szCs w:val="20"/>
          <w:color w:val="auto"/>
        </w:rPr>
      </w:pPr>
      <w:r>
        <w:rPr>
          <w:rFonts w:ascii="Times New Roman" w:cs="Times New Roman" w:eastAsia="Times New Roman" w:hAnsi="Times New Roman"/>
          <w:sz w:val="17"/>
          <w:szCs w:val="17"/>
          <w:color w:val="auto"/>
        </w:rPr>
        <w:t>We may become obligated to pay an amount in excess of the stated interest and/or the principal amount of the Notes, as described, for example, in “Description of the Notes—Optional Redemption” and “Description of the Notes—Additional Amounts.” The obligation to make these payments may cause a special method of accounting for interest income and expense arising with respect to debt instruments that provide for one or more contingent payments (“contingent payment debt instruments”) to apply. The relevant U.S. Treasury regulations state, however, that, for purposes of determining whether a debt instrument is a contingent payment debt instrument, remote or incidental contingencies are ignored. We believe and intend to take the position that the Notes are not contingent payment debt instruments under United States federal income tax law because the contingency that would require us to make any of these contingent payments is remote, or is incidental. Our determination is binding on you, unless you disclose in the proper manner to the IRS that you are taking a different position. Our determination is not, however, binding on the IRS, and if the IRS successfully takes a contrary position, you may be required (i) to accrue interest income at a rate higher than the stated interest rate on the Notes, and (ii) to treat as ordinary income, rather than capital gain, a portion or all of any gain on the sale or retirement of the Notes. You should consult your tax advisor about the risk of the Notes being treated as contingent payment debt instruments. The remainder of this discussion assumes that the Notes are not contingent payment debt instruments.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Interest on a Note will generally be taxable to you as ordinary interest income as it accrues or is received by you, in accordance with your usual method of accounting for U.S. federal income tax purposes. Interest income from the Notes will constitute foreign-source income, which may be relevant to you in calculating your foreign tax credit limitation. The limitation on foreign taxes eligible for credit is calculated separately with respect to specific classes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Dispositions of Notes</w:t>
      </w:r>
    </w:p>
    <w:p>
      <w:pPr>
        <w:spacing w:after="0" w:line="229" w:lineRule="exact"/>
        <w:rPr>
          <w:sz w:val="20"/>
          <w:szCs w:val="20"/>
          <w:color w:val="auto"/>
        </w:rPr>
      </w:pPr>
    </w:p>
    <w:p>
      <w:pPr>
        <w:ind w:right="120" w:firstLine="898"/>
        <w:spacing w:after="0" w:line="258" w:lineRule="auto"/>
        <w:rPr>
          <w:sz w:val="20"/>
          <w:szCs w:val="20"/>
          <w:color w:val="auto"/>
        </w:rPr>
      </w:pPr>
      <w:r>
        <w:rPr>
          <w:rFonts w:ascii="Times New Roman" w:cs="Times New Roman" w:eastAsia="Times New Roman" w:hAnsi="Times New Roman"/>
          <w:sz w:val="18"/>
          <w:szCs w:val="18"/>
          <w:color w:val="auto"/>
        </w:rPr>
        <w:t>If, upon the sale, exchange, redemption, retirement or other taxable 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w:t>
      </w:r>
    </w:p>
    <w:p>
      <w:pPr>
        <w:spacing w:after="0" w:line="183"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Tax on Net Investment Income</w:t>
      </w:r>
    </w:p>
    <w:p>
      <w:pPr>
        <w:spacing w:after="0" w:line="229" w:lineRule="exact"/>
        <w:rPr>
          <w:sz w:val="20"/>
          <w:szCs w:val="20"/>
          <w:color w:val="auto"/>
        </w:rPr>
      </w:pPr>
    </w:p>
    <w:p>
      <w:pPr>
        <w:ind w:firstLine="898"/>
        <w:spacing w:after="0" w:line="255" w:lineRule="auto"/>
        <w:rPr>
          <w:sz w:val="20"/>
          <w:szCs w:val="20"/>
          <w:color w:val="auto"/>
        </w:rPr>
      </w:pPr>
      <w:r>
        <w:rPr>
          <w:rFonts w:ascii="Times New Roman" w:cs="Times New Roman" w:eastAsia="Times New Roman" w:hAnsi="Times New Roman"/>
          <w:sz w:val="18"/>
          <w:szCs w:val="18"/>
          <w:color w:val="auto"/>
        </w:rPr>
        <w:t>U.S. persons that are individuals, estates, or certain trusts are generally subject to a 3.8% tax on the 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you recognize with respect to the Notes, unless such income or gain is derived in the ordinary course of the conduct of your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firstLine="898"/>
        <w:spacing w:after="0" w:line="258" w:lineRule="auto"/>
        <w:rPr>
          <w:sz w:val="20"/>
          <w:szCs w:val="20"/>
          <w:color w:val="auto"/>
        </w:rPr>
      </w:pPr>
      <w:r>
        <w:rPr>
          <w:rFonts w:ascii="Times New Roman" w:cs="Times New Roman" w:eastAsia="Times New Roman" w:hAnsi="Times New Roman"/>
          <w:sz w:val="18"/>
          <w:szCs w:val="18"/>
          <w:color w:val="auto"/>
        </w:rPr>
        <w:t>U.S. federal backup withholding will apply to interest on the Notes and proceeds from the sale or other disposition of the Notes unless (a) you are an exempt recipient and, when required, demonstrate this fact, (b) you provide a correct taxpayer identification number and otherwise comply with applicable requirements of the backup withholding rules, or (c) in certain circumstances, you certify under penalty of perjury that you are not subject to backup withholding. The backup withholding rate is currently 24%. A U.S. Holder who does not provide a correct taxpayer identification number may also be subject to penalties imposed by the IRS.</w:t>
      </w:r>
    </w:p>
    <w:p>
      <w:pPr>
        <w:spacing w:after="0" w:line="183" w:lineRule="exact"/>
        <w:rPr>
          <w:sz w:val="20"/>
          <w:szCs w:val="20"/>
          <w:color w:val="auto"/>
        </w:rPr>
      </w:pPr>
    </w:p>
    <w:p>
      <w:pPr>
        <w:ind w:right="300" w:firstLine="898"/>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credit against your U.S. federal income tax liability and may entitle you to a refund, provided the required information is timely furnished to the IRS.</w:t>
      </w:r>
    </w:p>
    <w:p>
      <w:pPr>
        <w:spacing w:after="0" w:line="162" w:lineRule="exact"/>
        <w:rPr>
          <w:sz w:val="20"/>
          <w:szCs w:val="20"/>
          <w:color w:val="auto"/>
        </w:rPr>
      </w:pPr>
    </w:p>
    <w:p>
      <w:pPr>
        <w:ind w:right="160" w:firstLine="898"/>
        <w:spacing w:after="0" w:line="282" w:lineRule="auto"/>
        <w:rPr>
          <w:sz w:val="20"/>
          <w:szCs w:val="20"/>
          <w:color w:val="auto"/>
        </w:rPr>
      </w:pPr>
      <w:r>
        <w:rPr>
          <w:rFonts w:ascii="Times New Roman" w:cs="Times New Roman" w:eastAsia="Times New Roman" w:hAnsi="Times New Roman"/>
          <w:sz w:val="18"/>
          <w:szCs w:val="18"/>
          <w:color w:val="auto"/>
        </w:rPr>
        <w:t>You will also be subject to information reporting on interest on the Notes and proceeds from the sale or other disposition of the Notes, unless you are an exempt recipient and appropriately establish that exemption.</w:t>
      </w:r>
    </w:p>
    <w:p>
      <w:pPr>
        <w:spacing w:after="0" w:line="158" w:lineRule="exact"/>
        <w:rPr>
          <w:sz w:val="20"/>
          <w:szCs w:val="20"/>
          <w:color w:val="auto"/>
        </w:rPr>
      </w:pPr>
    </w:p>
    <w:p>
      <w:pPr>
        <w:ind w:right="360" w:firstLine="898"/>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non-U.S., state, local or other tax laws, and of any pending or subsequent changes in applicable laws.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00"/>
          </w:cols>
          <w:pgMar w:left="320" w:top="455" w:right="3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firstLine="89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contained in an underwriting agreement, dated as of the date of this prospectus supplement among us, the Guarantor and the underwriters named below, for whom BofA Securities, Inc., Goldman Sachs &amp; Co. LLC, J.P. Morgan Securities LLC and Morgan Stanley &amp; Co. LLC are acting as representatives, we have agreed to sell to each underwriter, and each underwriter has severally agreed to purchase from us, the principal amount of Notes that appears opposite its name in the table below:</w:t>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3"/>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898"/>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 The offering of the Notes by the underwriters is subject to receipt and acceptance and subject to the underwriters’ right to reject any order in whole or in part.</w:t>
      </w:r>
    </w:p>
    <w:p>
      <w:pPr>
        <w:spacing w:after="0" w:line="183" w:lineRule="exact"/>
        <w:rPr>
          <w:sz w:val="20"/>
          <w:szCs w:val="20"/>
          <w:color w:val="auto"/>
        </w:rPr>
      </w:pPr>
    </w:p>
    <w:p>
      <w:pPr>
        <w:ind w:right="120" w:firstLine="898"/>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w:t>
      </w:r>
    </w:p>
    <w:p>
      <w:pPr>
        <w:ind w:right="20" w:firstLine="720"/>
        <w:spacing w:after="0" w:line="255" w:lineRule="auto"/>
        <w:rPr>
          <w:sz w:val="20"/>
          <w:szCs w:val="20"/>
          <w:color w:val="auto"/>
        </w:rPr>
      </w:pPr>
      <w:r>
        <w:rPr>
          <w:rFonts w:ascii="Times New Roman" w:cs="Times New Roman" w:eastAsia="Times New Roman" w:hAnsi="Times New Roman"/>
          <w:sz w:val="18"/>
          <w:szCs w:val="18"/>
          <w:color w:val="auto"/>
        </w:rPr>
        <w:t>% of the principal amount of the Notes. Any underwriter may allow, and any such dealer may reallow, a concession not in excess of %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will pay to the underwriters in connection with the offering of the Notes:</w:t>
      </w:r>
    </w:p>
    <w:p>
      <w:pPr>
        <w:spacing w:after="0" w:line="246"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Paid by Us</w:t>
            </w:r>
          </w:p>
        </w:tc>
        <w:tc>
          <w:tcPr>
            <w:tcW w:w="316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r>
      <w:tr>
        <w:trPr>
          <w:trHeight w:val="210"/>
        </w:trPr>
        <w:tc>
          <w:tcPr>
            <w:tcW w:w="260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2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260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4"/>
        </w:trPr>
        <w:tc>
          <w:tcPr>
            <w:tcW w:w="9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Expenses associated with this offering to be paid by us, other than underwriting discounts, are estimated to be approximately U.S.$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firstLine="898"/>
        <w:spacing w:after="0" w:line="282" w:lineRule="auto"/>
        <w:rPr>
          <w:sz w:val="20"/>
          <w:szCs w:val="20"/>
          <w:color w:val="auto"/>
        </w:rPr>
      </w:pPr>
      <w:r>
        <w:rPr>
          <w:rFonts w:ascii="Times New Roman" w:cs="Times New Roman" w:eastAsia="Times New Roman" w:hAnsi="Times New Roman"/>
          <w:sz w:val="18"/>
          <w:szCs w:val="18"/>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162" w:lineRule="exact"/>
        <w:rPr>
          <w:sz w:val="20"/>
          <w:szCs w:val="20"/>
          <w:color w:val="auto"/>
        </w:rPr>
      </w:pPr>
    </w:p>
    <w:p>
      <w:pPr>
        <w:ind w:right="100" w:firstLine="898"/>
        <w:spacing w:after="0" w:line="258" w:lineRule="auto"/>
        <w:rPr>
          <w:sz w:val="20"/>
          <w:szCs w:val="20"/>
          <w:color w:val="auto"/>
        </w:rPr>
      </w:pPr>
      <w:r>
        <w:rPr>
          <w:rFonts w:ascii="Times New Roman" w:cs="Times New Roman" w:eastAsia="Times New Roman" w:hAnsi="Times New Roman"/>
          <w:sz w:val="18"/>
          <w:szCs w:val="18"/>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455"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898"/>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229" w:lineRule="exact"/>
        <w:rPr>
          <w:sz w:val="20"/>
          <w:szCs w:val="20"/>
          <w:color w:val="auto"/>
        </w:rPr>
      </w:pPr>
    </w:p>
    <w:p>
      <w:pPr>
        <w:ind w:firstLine="898"/>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or the United Kingdom.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No. 2017/1129 (as amended, the “Prospectus Regulation”).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and the United Kingdom may be unlawful under the PRIIPs Regulation. This prospectus supplement has been prepared on the basis that any offer of Notes in any Member State of the EEA and the United Kingdom will be made pursuant to an exemption under the Prospectus Regulation from the requirement to publish a prospectus for offers of Notes. This prospectus supplement is not a prospectus for the purposes of the Prospectus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firstLine="898"/>
        <w:spacing w:after="0" w:line="255"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Luxembourg</w:t>
      </w:r>
    </w:p>
    <w:p>
      <w:pPr>
        <w:spacing w:after="0" w:line="229" w:lineRule="exact"/>
        <w:rPr>
          <w:sz w:val="20"/>
          <w:szCs w:val="20"/>
          <w:color w:val="auto"/>
        </w:rPr>
      </w:pPr>
    </w:p>
    <w:p>
      <w:pPr>
        <w:ind w:right="180" w:firstLine="898"/>
        <w:spacing w:after="0" w:line="266" w:lineRule="auto"/>
        <w:rPr>
          <w:sz w:val="20"/>
          <w:szCs w:val="20"/>
          <w:color w:val="auto"/>
        </w:rPr>
      </w:pPr>
      <w:r>
        <w:rPr>
          <w:rFonts w:ascii="Times New Roman" w:cs="Times New Roman" w:eastAsia="Times New Roman" w:hAnsi="Times New Roman"/>
          <w:sz w:val="18"/>
          <w:szCs w:val="18"/>
          <w:color w:val="auto"/>
        </w:rPr>
        <w:t>The terms and conditions relating to this prospectus supplement have not been approved by and will not be submitted for approval to the Luxembourg Financial Services Authority (</w:t>
      </w:r>
      <w:r>
        <w:rPr>
          <w:rFonts w:ascii="Times New Roman" w:cs="Times New Roman" w:eastAsia="Times New Roman" w:hAnsi="Times New Roman"/>
          <w:sz w:val="18"/>
          <w:szCs w:val="18"/>
          <w:i w:val="1"/>
          <w:iCs w:val="1"/>
          <w:color w:val="auto"/>
        </w:rPr>
        <w:t>Commission de Surveillance du Secteur Financier</w:t>
      </w:r>
      <w:r>
        <w:rPr>
          <w:rFonts w:ascii="Times New Roman" w:cs="Times New Roman" w:eastAsia="Times New Roman" w:hAnsi="Times New Roman"/>
          <w:sz w:val="18"/>
          <w:szCs w:val="18"/>
          <w:color w:val="auto"/>
        </w:rPr>
        <w:t>) for purposes of public offering or sale in the Grand Duchy of Luxembourg (“Luxembourg”).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right="20" w:firstLine="898"/>
        <w:spacing w:after="0" w:line="253"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9" w:lineRule="exact"/>
        <w:rPr>
          <w:sz w:val="20"/>
          <w:szCs w:val="20"/>
          <w:color w:val="auto"/>
        </w:rPr>
      </w:pPr>
    </w:p>
    <w:p>
      <w:pPr>
        <w:ind w:right="20" w:firstLine="898"/>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(Act No. 25 of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firstLine="898"/>
        <w:spacing w:after="0" w:line="254"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has been, and neither will be,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Where any Notes are subscribed or purchased under Section 275 by a relevant person which is:</w:t>
      </w:r>
    </w:p>
    <w:p>
      <w:pPr>
        <w:spacing w:after="0" w:line="252" w:lineRule="exact"/>
        <w:rPr>
          <w:sz w:val="20"/>
          <w:szCs w:val="20"/>
          <w:color w:val="auto"/>
        </w:rPr>
      </w:pPr>
    </w:p>
    <w:p>
      <w:pPr>
        <w:ind w:left="1340" w:right="520" w:hanging="441"/>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1340" w:right="140" w:hanging="441"/>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03" w:lineRule="exact"/>
        <w:rPr>
          <w:sz w:val="20"/>
          <w:szCs w:val="20"/>
          <w:color w:val="auto"/>
        </w:rPr>
      </w:pPr>
    </w:p>
    <w:p>
      <w:pPr>
        <w:ind w:left="1340" w:hanging="441"/>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 (i)(B) of the SFA;</w:t>
      </w:r>
    </w:p>
    <w:p>
      <w:pPr>
        <w:spacing w:after="0" w:line="188"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52"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52" w:lineRule="exact"/>
        <w:rPr>
          <w:rFonts w:ascii="Times New Roman" w:cs="Times New Roman" w:eastAsia="Times New Roman" w:hAnsi="Times New Roman"/>
          <w:sz w:val="18"/>
          <w:szCs w:val="18"/>
          <w:color w:val="auto"/>
        </w:rPr>
      </w:pPr>
    </w:p>
    <w:p>
      <w:pPr>
        <w:ind w:left="1340" w:hanging="441"/>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52" w:lineRule="exact"/>
        <w:rPr>
          <w:rFonts w:ascii="Times New Roman" w:cs="Times New Roman" w:eastAsia="Times New Roman" w:hAnsi="Times New Roman"/>
          <w:sz w:val="18"/>
          <w:szCs w:val="18"/>
          <w:color w:val="auto"/>
        </w:rPr>
      </w:pPr>
    </w:p>
    <w:p>
      <w:pPr>
        <w:ind w:left="1340" w:right="580" w:hanging="441"/>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right="180" w:firstLine="898"/>
        <w:spacing w:after="0" w:line="266" w:lineRule="auto"/>
        <w:rPr>
          <w:sz w:val="20"/>
          <w:szCs w:val="20"/>
          <w:color w:val="auto"/>
        </w:rPr>
      </w:pPr>
      <w:r>
        <w:rPr>
          <w:rFonts w:ascii="Times New Roman" w:cs="Times New Roman" w:eastAsia="Times New Roman" w:hAnsi="Times New Roman"/>
          <w:sz w:val="18"/>
          <w:szCs w:val="18"/>
          <w:color w:val="auto"/>
        </w:rPr>
        <w:t>Notification under Section 309B(1) of the SFA—The Notes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229" w:lineRule="exact"/>
        <w:rPr>
          <w:sz w:val="20"/>
          <w:szCs w:val="20"/>
          <w:color w:val="auto"/>
        </w:rPr>
      </w:pPr>
    </w:p>
    <w:p>
      <w:pPr>
        <w:ind w:right="80" w:firstLine="898"/>
        <w:spacing w:after="0" w:line="258"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229" w:lineRule="exact"/>
        <w:rPr>
          <w:sz w:val="20"/>
          <w:szCs w:val="20"/>
          <w:color w:val="auto"/>
        </w:rPr>
      </w:pPr>
    </w:p>
    <w:p>
      <w:pPr>
        <w:ind w:right="60" w:firstLine="898"/>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or sell the Notes in Taiwan.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00"/>
          </w:cols>
          <w:pgMar w:left="320" w:top="455" w:right="3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and Sale of the Notes</w:t>
      </w:r>
    </w:p>
    <w:p>
      <w:pPr>
        <w:spacing w:after="0" w:line="229" w:lineRule="exact"/>
        <w:rPr>
          <w:sz w:val="20"/>
          <w:szCs w:val="20"/>
          <w:color w:val="auto"/>
        </w:rPr>
      </w:pPr>
    </w:p>
    <w:p>
      <w:pPr>
        <w:ind w:right="80" w:firstLine="898"/>
        <w:spacing w:after="0" w:line="261"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seventh business day following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T+7, to specify alternative settlement arrangements to prevent a failed settlement.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firstLine="898"/>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Schlumberger Group and to persons and entities with relationships with the Schlumberger Group, for which they received or will receive customary fees and expenses.</w:t>
      </w:r>
    </w:p>
    <w:p>
      <w:pPr>
        <w:spacing w:after="0" w:line="183" w:lineRule="exact"/>
        <w:rPr>
          <w:sz w:val="20"/>
          <w:szCs w:val="20"/>
          <w:color w:val="auto"/>
        </w:rPr>
      </w:pPr>
    </w:p>
    <w:p>
      <w:pPr>
        <w:ind w:right="140" w:firstLine="898"/>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80"/>
          </w:cols>
          <w:pgMar w:left="320" w:top="455" w:right="3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notes offered hereby will be passed upon for us by Gibson, Dunn &amp; Crutcher LLP, New York, New York, Bennett Jones LLP, Calgary, Alberta and STvB Advocaten (Europe) N.V., Amsterdam, and for the underwriters by Davis Polk &amp; Wardwell LLP, New York, New York.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firstLine="898"/>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Schlumberger Limited’s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80" w:firstLine="898"/>
        <w:spacing w:after="0" w:line="282" w:lineRule="auto"/>
        <w:rPr>
          <w:sz w:val="20"/>
          <w:szCs w:val="20"/>
          <w:color w:val="auto"/>
        </w:rPr>
      </w:pPr>
      <w:r>
        <w:rPr>
          <w:rFonts w:ascii="Times New Roman" w:cs="Times New Roman" w:eastAsia="Times New Roman" w:hAnsi="Times New Roman"/>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62" w:lineRule="exact"/>
        <w:rPr>
          <w:sz w:val="20"/>
          <w:szCs w:val="20"/>
          <w:color w:val="auto"/>
        </w:rPr>
      </w:pPr>
    </w:p>
    <w:p>
      <w:pPr>
        <w:ind w:right="160" w:firstLine="898"/>
        <w:spacing w:after="0" w:line="261" w:lineRule="auto"/>
        <w:rPr>
          <w:sz w:val="20"/>
          <w:szCs w:val="20"/>
          <w:color w:val="auto"/>
        </w:rPr>
      </w:pPr>
      <w:r>
        <w:rPr>
          <w:rFonts w:ascii="Times New Roman" w:cs="Times New Roman" w:eastAsia="Times New Roman" w:hAnsi="Times New Roman"/>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supplement and the accompanying prospectus are for informational purposes only and are not intended to be hyperlinks. Accordingly, no information found on or accessible through such internet addresses is intended or deemed to be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right="240" w:firstLine="89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Schlumberger Group and its financial condition, business and results.</w:t>
      </w:r>
    </w:p>
    <w:p>
      <w:pPr>
        <w:spacing w:after="0" w:line="183" w:lineRule="exact"/>
        <w:rPr>
          <w:sz w:val="20"/>
          <w:szCs w:val="20"/>
          <w:color w:val="auto"/>
        </w:rPr>
      </w:pPr>
    </w:p>
    <w:p>
      <w:pPr>
        <w:ind w:right="20" w:firstLine="898"/>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and the accompanying prospectus the following documents listed below and any other filings made by the Guarantor under Section 13(a), 13(c), 14 or 15(d) of the Exchange Act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207" w:lineRule="exact"/>
        <w:rPr>
          <w:sz w:val="20"/>
          <w:szCs w:val="20"/>
          <w:color w:val="auto"/>
        </w:rPr>
      </w:pPr>
    </w:p>
    <w:p>
      <w:pPr>
        <w:ind w:left="1340" w:right="200" w:hanging="333"/>
        <w:spacing w:after="0" w:line="266"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w:t>
      </w:r>
      <w:hyperlink r:id="rId59">
        <w:r>
          <w:rPr>
            <w:rFonts w:ascii="Times New Roman" w:cs="Times New Roman" w:eastAsia="Times New Roman" w:hAnsi="Times New Roman"/>
            <w:sz w:val="18"/>
            <w:szCs w:val="18"/>
            <w:u w:val="single" w:color="auto"/>
            <w:color w:val="0000EE"/>
          </w:rPr>
          <w:t>Annual Report on Form 10-K for the fiscal year ended December 31, 2019</w:t>
        </w:r>
      </w:hyperlink>
      <w:r>
        <w:rPr>
          <w:rFonts w:ascii="Times New Roman" w:cs="Times New Roman" w:eastAsia="Times New Roman" w:hAnsi="Times New Roman"/>
          <w:sz w:val="18"/>
          <w:szCs w:val="18"/>
          <w:color w:val="auto"/>
        </w:rPr>
        <w:t xml:space="preserve">, as filed with the SEC on January 22, 2020 (including the portions of the </w:t>
      </w:r>
      <w:hyperlink r:id="rId60">
        <w:r>
          <w:rPr>
            <w:rFonts w:ascii="Times New Roman" w:cs="Times New Roman" w:eastAsia="Times New Roman" w:hAnsi="Times New Roman"/>
            <w:sz w:val="18"/>
            <w:szCs w:val="18"/>
            <w:u w:val="single" w:color="auto"/>
            <w:color w:val="0000EE"/>
          </w:rPr>
          <w:t>proxy statement for the Guarantor’s 2020 annual meeting of stockholders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by reference therein);</w:t>
      </w:r>
    </w:p>
    <w:p>
      <w:pPr>
        <w:spacing w:after="0" w:line="202" w:lineRule="exact"/>
        <w:rPr>
          <w:rFonts w:ascii="Times New Roman" w:cs="Times New Roman" w:eastAsia="Times New Roman" w:hAnsi="Times New Roman"/>
          <w:sz w:val="18"/>
          <w:szCs w:val="18"/>
          <w:color w:val="auto"/>
        </w:rPr>
      </w:pPr>
    </w:p>
    <w:p>
      <w:pPr>
        <w:ind w:left="1340" w:right="120" w:hanging="333"/>
        <w:spacing w:after="0" w:line="282"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Quarterly Reports on Form 10-Q for the fiscal quarters ended </w:t>
      </w:r>
      <w:hyperlink r:id="rId61">
        <w:r>
          <w:rPr>
            <w:rFonts w:ascii="Times New Roman" w:cs="Times New Roman" w:eastAsia="Times New Roman" w:hAnsi="Times New Roman"/>
            <w:sz w:val="18"/>
            <w:szCs w:val="18"/>
            <w:u w:val="single" w:color="auto"/>
            <w:color w:val="0000EE"/>
          </w:rPr>
          <w:t>March 31,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June 30, 2020</w:t>
        </w:r>
      </w:hyperlink>
      <w:r>
        <w:rPr>
          <w:rFonts w:ascii="Times New Roman" w:cs="Times New Roman" w:eastAsia="Times New Roman" w:hAnsi="Times New Roman"/>
          <w:sz w:val="18"/>
          <w:szCs w:val="18"/>
          <w:color w:val="auto"/>
        </w:rPr>
        <w:t>, as filed with the SEC on April 22, 2020 and July 29, 2020, respectively; and</w:t>
      </w:r>
    </w:p>
    <w:p>
      <w:pPr>
        <w:spacing w:after="0" w:line="9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340" w:right="120" w:hanging="333"/>
        <w:spacing w:after="0" w:line="282" w:lineRule="auto"/>
        <w:tabs>
          <w:tab w:leader="none" w:pos="1340" w:val="left"/>
        </w:tabs>
        <w:numPr>
          <w:ilvl w:val="0"/>
          <w:numId w:val="27"/>
        </w:numPr>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auto"/>
          </w:rPr>
          <w:t xml:space="preserve">the Guarantor’s Current Reports on Form 8-K as filed with the SEC on </w:t>
        </w:r>
        <w:r>
          <w:rPr>
            <w:rFonts w:ascii="Times New Roman" w:cs="Times New Roman" w:eastAsia="Times New Roman" w:hAnsi="Times New Roman"/>
            <w:sz w:val="18"/>
            <w:szCs w:val="18"/>
            <w:u w:val="single" w:color="auto"/>
            <w:color w:val="0000EE"/>
          </w:rPr>
          <w:t>February 14,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17, 2020 (Item 8.01</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only)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June 16, 2020 (Item 2.05 only)</w:t>
        </w:r>
      </w:hyperlink>
      <w:hyperlink r:id="rId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June 26, 2020</w:t>
        </w:r>
      </w:hyperlink>
      <w:hyperlink r:id="rId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 xml:space="preserve">July 24, 2020 (Item 5.02 only) </w:t>
        </w:r>
      </w:hyperlink>
      <w:hyperlink r:id="rId6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August 11, 2020</w:t>
        </w:r>
      </w:hyperlink>
      <w:hyperlink r:id="rId64">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firstLine="898"/>
        <w:spacing w:after="0" w:line="256" w:lineRule="auto"/>
        <w:rPr>
          <w:sz w:val="20"/>
          <w:szCs w:val="20"/>
          <w:color w:val="auto"/>
        </w:rPr>
      </w:pPr>
      <w:r>
        <w:rPr>
          <w:rFonts w:ascii="Times New Roman" w:cs="Times New Roman" w:eastAsia="Times New Roman" w:hAnsi="Times New Roman"/>
          <w:sz w:val="18"/>
          <w:szCs w:val="18"/>
          <w:color w:val="auto"/>
        </w:rPr>
        <w:t>Any statement contained in this prospectus supplement and accompanying prospectus or in a document incorporated or deemed to be incorporated by reference in this prospectus supplement and accompanying prospectus will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will be deemed, except as so modified or superseded, to constitute a part of this prospectus supplement and accompanying prospectus.</w:t>
      </w:r>
    </w:p>
    <w:p>
      <w:pPr>
        <w:spacing w:after="0" w:line="187" w:lineRule="exact"/>
        <w:rPr>
          <w:rFonts w:ascii="Times New Roman" w:cs="Times New Roman" w:eastAsia="Times New Roman" w:hAnsi="Times New Roman"/>
          <w:sz w:val="18"/>
          <w:szCs w:val="18"/>
          <w:color w:val="0000EE"/>
        </w:rPr>
      </w:pPr>
    </w:p>
    <w:p>
      <w:pPr>
        <w:ind w:firstLine="898"/>
        <w:spacing w:after="0" w:line="266" w:lineRule="auto"/>
        <w:rPr>
          <w:sz w:val="20"/>
          <w:szCs w:val="20"/>
          <w:color w:val="auto"/>
        </w:rPr>
      </w:pPr>
      <w:r>
        <w:rPr>
          <w:rFonts w:ascii="Times New Roman" w:cs="Times New Roman" w:eastAsia="Times New Roman" w:hAnsi="Times New Roman"/>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76" w:lineRule="exact"/>
        <w:rPr>
          <w:rFonts w:ascii="Times New Roman" w:cs="Times New Roman" w:eastAsia="Times New Roman" w:hAnsi="Times New Roman"/>
          <w:sz w:val="18"/>
          <w:szCs w:val="18"/>
          <w:color w:val="0000EE"/>
        </w:rPr>
      </w:pPr>
    </w:p>
    <w:p>
      <w:pPr>
        <w:ind w:right="80" w:firstLine="898"/>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76"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375-3535</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0000EE"/>
        </w:rPr>
      </w:pPr>
    </w:p>
    <w:p>
      <w:pPr>
        <w:ind w:right="80" w:firstLine="898"/>
        <w:spacing w:after="0" w:line="282" w:lineRule="auto"/>
        <w:rPr>
          <w:sz w:val="20"/>
          <w:szCs w:val="20"/>
          <w:color w:val="auto"/>
        </w:rPr>
      </w:pPr>
      <w:r>
        <w:rPr>
          <w:rFonts w:ascii="Times New Roman" w:cs="Times New Roman" w:eastAsia="Times New Roman" w:hAnsi="Times New Roman"/>
          <w:sz w:val="18"/>
          <w:szCs w:val="18"/>
          <w:color w:val="auto"/>
        </w:rPr>
        <w:t>Except as provided above, no other information (including information on or accessible through the Guarantor’s website) is incorporated by reference into this prospectus supplement and accompanying prospectus.</w:t>
      </w:r>
    </w:p>
    <w:p>
      <w:pPr>
        <w:spacing w:after="0" w:line="94"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060"/>
          </w:cols>
          <w:pgMar w:left="320" w:top="455" w:right="5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97155</wp:posOffset>
            </wp:positionV>
            <wp:extent cx="1482725" cy="334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4827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Schlumberger Finance Canada Ltd.</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Senior Debt Securities</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Fully and Unconditionally Guaranteed by</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Schlumberger Finance Canada Ltd. (the “Company”) may, from time to time, offer to sell senior debt securities. Schlumberger Limited (the “Guarantor”), the ultimate parent company of the Company, will fully and unconditionally guarantee such senior debt securities.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firstLine="44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securities involves risks. You should carefully consider the information in the “</w:t>
      </w:r>
      <w:hyperlink w:anchor="page50">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section beginning on page 4 of this prospectus, including those risks incorporated by reference in this prospectus and in any prospectus supplement, before deciding whether to invest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9, 2020</w:t>
      </w:r>
    </w:p>
    <w:p>
      <w:pPr>
        <w:sectPr>
          <w:pgSz w:w="11900" w:h="16838" w:orient="portrait"/>
          <w:cols w:equalWidth="0" w:num="1">
            <w:col w:w="11080"/>
          </w:cols>
          <w:pgMar w:left="320" w:top="455" w:right="4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6280" w:type="dxa"/>
            <w:vAlign w:val="bottom"/>
          </w:tcPr>
          <w:p>
            <w:pPr>
              <w:spacing w:after="0"/>
              <w:rPr>
                <w:sz w:val="20"/>
                <w:szCs w:val="20"/>
                <w:color w:val="auto"/>
              </w:rPr>
            </w:pPr>
          </w:p>
        </w:tc>
      </w:tr>
      <w:tr>
        <w:trPr>
          <w:trHeight w:val="513"/>
        </w:trPr>
        <w:tc>
          <w:tcPr>
            <w:tcW w:w="4800" w:type="dxa"/>
            <w:vAlign w:val="bottom"/>
          </w:tcPr>
          <w:p>
            <w:pPr>
              <w:spacing w:after="0"/>
              <w:rPr>
                <w:sz w:val="24"/>
                <w:szCs w:val="24"/>
                <w:color w:val="auto"/>
              </w:rPr>
            </w:pPr>
          </w:p>
        </w:tc>
        <w:tc>
          <w:tcPr>
            <w:tcW w:w="6280" w:type="dxa"/>
            <w:vAlign w:val="bottom"/>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About this Prospectus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About the Guarantor</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About the Company</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Cautionary Statement Regarding Forward-Looking Statements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Risk Factors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Where You Can Find More Information</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Incorporation of Documents by Reference</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Use of Proceeds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Description of Debt Securities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Plan of Distribution</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Validity of the Securities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Experts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otherwise stated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refers to Schlumberger Finance Canada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or “Schlumberger” refers to Schlumberger Limited, the ultimate parent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 refers to Schlumberger Limited and its consolidated subsidiaries, including the Company;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and similar expressions refer to Schlumberger Limited and its consolidated subsidiaries, including the Company, except when used in connection with “securities,” in which case these terms refer only to the Company.</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as described under “Where You Can Find More Information.”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Guarantor</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Guarantor, together with its subsidiaries, is the world’s leading provider of technology for reservoir characterization, drilling, production and processing to the oil and gas industry. With product sales and services in more than 120 countries, Schlumberger supplies the industry’s most comprehensive range of products and services, from exploration through production, and integrated pore-to-pipeline solutions that optimize hydrocarbon recovery to deliver reservoir performance sustainably. As of June 30, 2020, we employed approximately 85,000 people representing over 170 nationalities.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Guarantor was founded in 1926 and is incorporated under the laws of Curaçao. The Guarantor is the ultimate parent of the Company.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Guarantor has executive offices in Paris, Houston, London and The Hague. The principal U.S. market for Schlumberger’s common stock is the New York Stock Exchange, where it is traded under the symbol “SLB.”</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Schlumberger Finance Canada Ltd. is incorporated in the Province of Alberta, Canada, and its executive offices are located at 200, 125 – 9th Avenue S.E., Calgary, Alberta. The Company’s principal activities are debt issuance and intercompany group financing. The Company is part of the Schlumberger Group, and all of the shares of the Company are owned indirectly by the Guarantor.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Statements that are predictive in nature, that depend upon or refer to future events or conditions, or that include words such as “would,” “should,” “plans,” “likely,” “expects,” “predicts,” “anticipates,” “intends,” “believes,” “estimates,” “thinks,” “may,” “could,” “will” and similar expressions, are forward-looking statements. The following important factors, in addition to those discussed under “Risk Factors” on page 4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8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forecasts or expectations regarding business outlook;</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for the Schlumberger Group as a whole and for each of its segments (and for specified products or geographic areas within each segment);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demand and production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response to, and preparedness for, the COVID-19 pandemic and other widespread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raw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operating procedures and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by the Schlumberger Group and the oil and gas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strategies of the Schlumberger Group and its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digital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restructuring efforts and charges recorded as a result of such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effective tax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Asset Performance Solutions projects, joint ventures and alliances;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economic and geopolitical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results of operations.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statements are subject to risks and uncertainties, including, but not limited to:</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exploration and production spending by the Schlumberger Group’s customers and changes in the level of oil and natural gas exploration and development;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and financial condition of the Schlumberger Group’s customers and suppliers, particularly during extended periods of low prices for crude oil and natural gas;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inability to sufficiently monetize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future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geopolitical and business conditions in key regions of the world;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seasonal factors;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effects of health pandemics;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modifications, delays or cancellations;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Schlumberger Group’s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declines;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inability to recognize intended benefits from its business strategies and initiatives, such as digital or new energy, as well as its restructuring and structural cost reduction plans;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technology to meet new challenges in exploration;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alternative energy sources or product substitutes;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detailed in this prospectus and in the Guarantor’s most recent Forms 10-K, 10-Q, and 8-K filed with or furnished to the SEC.</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the consequences of any such development changes), or should our underlying assumptions prove incorrect, actual outcomes may vary materially from those reflected in our forward-looking statements.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both the Company and the Guarantor disclaim any intention or obligation to update publicly or revise such statements, whether as a result of new information, future events or otherwise.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2019 and the Guarantor’s Quarterly Reports on Form 10-Q for the fiscal quarters ended March 31, 2020 and June 30, 2020, respectively,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Schlumberger Investor Relations, 5599 San Felipe, 17th Floor, Houston, Texas 77056.</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80" w:lineRule="exact"/>
        <w:rPr>
          <w:sz w:val="20"/>
          <w:szCs w:val="20"/>
          <w:color w:val="auto"/>
        </w:rPr>
      </w:pPr>
    </w:p>
    <w:p>
      <w:pPr>
        <w:jc w:val="both"/>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We are incorporating by reference into this prospectus the following documents listed below and any other filings made by the Guarantor under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70" w:lineRule="exact"/>
        <w:rPr>
          <w:sz w:val="20"/>
          <w:szCs w:val="20"/>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w:t>
      </w:r>
      <w:hyperlink r:id="rId59">
        <w:r>
          <w:rPr>
            <w:rFonts w:ascii="Times New Roman" w:cs="Times New Roman" w:eastAsia="Times New Roman" w:hAnsi="Times New Roman"/>
            <w:sz w:val="18"/>
            <w:szCs w:val="18"/>
            <w:u w:val="single" w:color="auto"/>
            <w:color w:val="0000EE"/>
          </w:rPr>
          <w:t>Annual Report on Form 10-K for the fiscal year ended December 31,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January 22, 2020 (including the portions of the </w:t>
      </w:r>
      <w:hyperlink r:id="rId60">
        <w:r>
          <w:rPr>
            <w:rFonts w:ascii="Times New Roman" w:cs="Times New Roman" w:eastAsia="Times New Roman" w:hAnsi="Times New Roman"/>
            <w:sz w:val="18"/>
            <w:szCs w:val="18"/>
            <w:u w:val="single" w:color="auto"/>
            <w:color w:val="0000EE"/>
          </w:rPr>
          <w:t>proxy statement for the Guarantor’s 2020 annual meeting of stockholders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by reference therein);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Quarterly Reports on Form 10-Q for the fiscal quarters ended </w:t>
      </w:r>
      <w:hyperlink r:id="rId61">
        <w:r>
          <w:rPr>
            <w:rFonts w:ascii="Times New Roman" w:cs="Times New Roman" w:eastAsia="Times New Roman" w:hAnsi="Times New Roman"/>
            <w:sz w:val="18"/>
            <w:szCs w:val="18"/>
            <w:u w:val="single" w:color="auto"/>
            <w:color w:val="0000EE"/>
          </w:rPr>
          <w:t>March 31,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June 30,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April 22, 2020 and July 29, 2020, respectively;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3"/>
        </w:numPr>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auto"/>
          </w:rPr>
          <w:t xml:space="preserve">the Guarantor’s Current Reports on Form 8-K as filed with the SEC on </w:t>
        </w:r>
        <w:r>
          <w:rPr>
            <w:rFonts w:ascii="Times New Roman" w:cs="Times New Roman" w:eastAsia="Times New Roman" w:hAnsi="Times New Roman"/>
            <w:sz w:val="18"/>
            <w:szCs w:val="18"/>
            <w:u w:val="single" w:color="auto"/>
            <w:color w:val="0000EE"/>
          </w:rPr>
          <w:t>February 14, 2020, April 1, 2020, April 17, 2020 (Item 8.01</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 xml:space="preserve">only), </w:t>
        </w:r>
      </w:hyperlink>
      <w:hyperlink r:id="rId65">
        <w:r>
          <w:rPr>
            <w:rFonts w:ascii="Times New Roman" w:cs="Times New Roman" w:eastAsia="Times New Roman" w:hAnsi="Times New Roman"/>
            <w:sz w:val="18"/>
            <w:szCs w:val="18"/>
            <w:u w:val="single" w:color="auto"/>
            <w:color w:val="0000EE"/>
          </w:rPr>
          <w:t xml:space="preserve">June 16, 2020 (Item 2.05 only), </w:t>
        </w:r>
      </w:hyperlink>
      <w:hyperlink r:id="rId66">
        <w:r>
          <w:rPr>
            <w:rFonts w:ascii="Times New Roman" w:cs="Times New Roman" w:eastAsia="Times New Roman" w:hAnsi="Times New Roman"/>
            <w:sz w:val="18"/>
            <w:szCs w:val="18"/>
            <w:u w:val="single" w:color="auto"/>
            <w:color w:val="0000EE"/>
          </w:rPr>
          <w:t xml:space="preserve">June 26, 2020, </w:t>
        </w:r>
      </w:hyperlink>
      <w:hyperlink r:id="rId67">
        <w:r>
          <w:rPr>
            <w:rFonts w:ascii="Times New Roman" w:cs="Times New Roman" w:eastAsia="Times New Roman" w:hAnsi="Times New Roman"/>
            <w:sz w:val="18"/>
            <w:szCs w:val="18"/>
            <w:u w:val="single" w:color="auto"/>
            <w:color w:val="0000EE"/>
          </w:rPr>
          <w:t xml:space="preserve">July 24, 2020 (Item 5.02 only) </w:t>
        </w:r>
      </w:hyperlink>
      <w:hyperlink r:id="rId6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August 11, 2020</w:t>
        </w:r>
      </w:hyperlink>
      <w:hyperlink r:id="rId64">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87" w:lineRule="exact"/>
        <w:rPr>
          <w:rFonts w:ascii="Times New Roman" w:cs="Times New Roman" w:eastAsia="Times New Roman" w:hAnsi="Times New Roman"/>
          <w:sz w:val="18"/>
          <w:szCs w:val="18"/>
          <w:color w:val="0000EE"/>
        </w:rPr>
      </w:pPr>
    </w:p>
    <w:p>
      <w:pPr>
        <w:jc w:val="both"/>
        <w:ind w:left="120" w:right="840" w:firstLine="440"/>
        <w:spacing w:after="0" w:line="266" w:lineRule="auto"/>
        <w:rPr>
          <w:sz w:val="20"/>
          <w:szCs w:val="20"/>
          <w:color w:val="auto"/>
        </w:rPr>
      </w:pPr>
      <w:r>
        <w:rPr>
          <w:rFonts w:ascii="Times New Roman" w:cs="Times New Roman" w:eastAsia="Times New Roman" w:hAnsi="Times New Roman"/>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08"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5500" w:hanging="438"/>
        <w:spacing w:after="0"/>
        <w:tabs>
          <w:tab w:leader="none" w:pos="5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375-3535</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Except as provided above, no other information (including information on or accessible through the Guarantor’s website) is incorporated by reference into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Certain defined terms used in this description but not defined below have the meanings assigned to them in an indenture, which we refer to as the indenture, to be entered into among us, Schlumberger Limited, as guarantor, and The Bank of New York Mellon, as trustee, as may be amended, modified and/or supplemented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debt securities that we may issue will be senior debt securities that will be issued under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form of indenture has been filed as an exhibit to the registration statement of which this prospectus is a part. The indenture is subject to, and is governed by, the Trust Indenture Act of 1939, as amended (the “Trust Indenture Act”).</w:t>
      </w:r>
    </w:p>
    <w:p>
      <w:pPr>
        <w:spacing w:after="0" w:line="187"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for the following and other possible terms of each series of the debt securities with respect to which this prospectus is being delivered:</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of the series to be issued;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of the debt securities of the series is payable;</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authenticating agents or paying agents with respect to such series, if different from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defer the payment of interest and the duration of such extension or deferral;</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by us, in whole or in part, at our option;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trustee’s certificate of authentication for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or integral multiples of $1,000 in excess thereof, the denominations in which the debt securities of the series will be issuable;</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payment of the principal of, premium, if any, and interest on, debt securities of the series will be payable;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debt securities of the series that will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repurchase or remarketing rights;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when a specified event occurs;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 including provisions for original issue discount securities, if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of a series may be defeased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on the debt securities of the series,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debt securities of the series;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debt securities of such series if other than those appointed in the indenture;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debt securities of any series that do not bear interest, the dates for certain required reports to the trustee.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Guarantor will fully and unconditionally guarantee the due and punctual payment of the principal of, and any premium and interest on, the debt securities, and all other amounts payable under the indenture when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Guarantor will:</w:t>
      </w:r>
    </w:p>
    <w:p>
      <w:pPr>
        <w:spacing w:after="0" w:line="131" w:lineRule="exact"/>
        <w:rPr>
          <w:sz w:val="20"/>
          <w:szCs w:val="20"/>
          <w:color w:val="auto"/>
        </w:rPr>
      </w:pPr>
    </w:p>
    <w:p>
      <w:pPr>
        <w:ind w:left="1080" w:right="3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the Debt Securities and the Guarantee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debt securities of any series will be:</w:t>
      </w:r>
    </w:p>
    <w:p>
      <w:pPr>
        <w:spacing w:after="0" w:line="131" w:lineRule="exact"/>
        <w:rPr>
          <w:sz w:val="20"/>
          <w:szCs w:val="20"/>
          <w:color w:val="auto"/>
        </w:rPr>
      </w:pPr>
    </w:p>
    <w:p>
      <w:pPr>
        <w:ind w:left="1080" w:right="9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Company and will rank equally and ratably with all of the Company’s other unsecured and unsubordinated indebtedness;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on a senior unsecured basis by the Guarantor, which Guarantee will rank equally and ratably with all other unsecured and unsubordinated indebtedness of the Guarantor.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21"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All payments made by the Company under or with respect to its debt securities, or by the Guarantor with respect to its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w:t>
      </w:r>
    </w:p>
    <w:p>
      <w:pPr>
        <w:spacing w:after="0" w:line="3" w:lineRule="exact"/>
        <w:rPr>
          <w:sz w:val="20"/>
          <w:szCs w:val="20"/>
          <w:color w:val="auto"/>
        </w:rPr>
      </w:pPr>
    </w:p>
    <w:p>
      <w:pPr>
        <w:ind w:left="120" w:hanging="4"/>
        <w:spacing w:after="0" w:line="251" w:lineRule="auto"/>
        <w:tabs>
          <w:tab w:leader="none" w:pos="3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its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98"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existence of any actual or deemed present or former connection between the holder or the beneficial owner of such debt securities or guarantees, as applicable,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30-day period);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81"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debt securities or the Guarantee;</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94" w:lineRule="exact"/>
        <w:rPr>
          <w:rFonts w:ascii="Times New Roman" w:cs="Times New Roman" w:eastAsia="Times New Roman" w:hAnsi="Times New Roman"/>
          <w:sz w:val="18"/>
          <w:szCs w:val="18"/>
          <w:color w:val="auto"/>
        </w:rPr>
      </w:pPr>
    </w:p>
    <w:p>
      <w:pPr>
        <w:ind w:left="1080" w:right="360" w:hanging="532"/>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applicable to a payment made to any holder or beneficial owner of the debt securities with which the Company, the Guarantor or a transferee of the debt securities do not deal at arm’s length (within the meaning of the Income Tax Act (Canada)) at the time of making such payment;</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under or with respect to the debt securities or the Guarantee that is deemed under subsection 214(6) of the Income Tax Act (Canada) to be a dividend;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(9) above.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and the Guarantor, jointly and severally, will indemnify and hold harmless the holders and beneficial owners of debt securities, and, upon written request of any holder or beneficial owner, reimburse such holder or beneficial owner for the amount of (i) any Taxes levied or imposed under the laws of Canada or any political subdivision thereof (“Canadian Taxes”) and payable by such holder or beneficial owner in connection with payments made under or with respect to the debt securities held by such holder or beneficial owner or under the Guarantee (including, for greater certainty, any Taxes payable under Section 803 of the regulations under the Income Tax Act (Canada)); and (ii) any Canadian Taxes levied or imposed with respect to any reimbursement under the foregoing clause (i) or this clause (ii), so that the net amount received by such holder or beneficial owner after such reimbursement will not be less than the net amount such holder or beneficial owner would have received if the Canadian Taxes giving rise to the reimbursement described in clauses (i) and/or (ii) had not been imposed; provided, however, that the indemnification or reimbursement obligations provided for in this paragraph will not extend to Canadian Taxes (a) for which the applicable holder or beneficial owner would not have been eligible to receive payment of Additional Amounts hereunder by virtue of clauses (1) through (5) and (7) through (9) above (or any combination thereof) if the Company or the Guarantor had been required to withhold from such payments, (b) to the extent such holder or beneficial owner received Additional Amounts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with respect to such payments or (c) to the extent any such Canadian Taxes are computed by reference to such holder or beneficial owner’s net income, revenue, profits or capital.</w:t>
      </w:r>
    </w:p>
    <w:p>
      <w:pPr>
        <w:spacing w:after="0" w:line="162" w:lineRule="exact"/>
        <w:rPr>
          <w:sz w:val="20"/>
          <w:szCs w:val="20"/>
          <w:color w:val="auto"/>
        </w:rPr>
      </w:pPr>
    </w:p>
    <w:p>
      <w:pPr>
        <w:jc w:val="both"/>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In addition to the foregoing, the Company and the Guarantor, as the case may be,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debt securities, or the related indenture, Guarantee or any other document or instrument referred to therein.</w:t>
      </w:r>
    </w:p>
    <w:p>
      <w:pPr>
        <w:spacing w:after="0" w:line="164"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If the Company or the Guarantor, as the case may be, becomes aware that it will be obligated to pay Additional Amounts with respect to any payment under or with respect to the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71"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Company or the Guarantor, as the case may be, will make all withholdings and deductions required by law in respect of the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any transfer by a holder or beneficial owner of the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any provision in the indenture, the debt securities or any Guarantee to the contrary, none</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of the trustee, the Registrar, any transfer agent or any Paying Agent will be required to determine the identity of a beneficial owner or be liable for any determination thereof by the Company or the Guarantor.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Upon Changes in Tax Law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may redeem the debt securities (and the Guarantor may redeem any debt securities which it has guaranteed), in whole but not in part, at its discretion at any time upon giving not less than 10 nor more than 60 days’ prior notice to the holders of such debt securities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100" w:lineRule="exact"/>
        <w:rPr>
          <w:sz w:val="20"/>
          <w:szCs w:val="20"/>
          <w:color w:val="auto"/>
        </w:rPr>
      </w:pPr>
    </w:p>
    <w:p>
      <w:pPr>
        <w:ind w:left="1080" w:right="6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85"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the giving of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74"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foregoing will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the debt securities of such series (or any Guarantee) and any political subdivision thereof or therein.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If fewer than all of the debt securities of a series are to be redeemed at any time, the trustee will select the debt securities of such series in definitive, non-global form for redemption on a pro rata basis (or, in the case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debt securities issued in global form as discussed under “—Book-Entry, Delivery and Form,” such debt securities of such series to be redeemed will be selected in accordance with the procedures of the depository therefor) unless otherwise required by law or applicable stock exchange.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 debt securities in principal amount of less than the minimum authorized denomination can be redeemed in part. Unless otherwise described in a prospectus supplement relating to any debt securities, notices of redemption will be given at least 10 but not more than 60 days before the redemption date to each holder of debt securities of such series to be redeemed, except that redemption notices may be given more than 60 days prior to a redemption date if the notice is issued in connection with a defeasance of the debt securities of such series or a satisfaction and discharge of the indenture.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actual or constructive notice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will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94"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any debt securities;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Canada,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in connection with the acquisition of property or assets, or a project financed with, non-recourse debt; and</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means the amount of total stockholders’ equity shown in the Guarantor’s most recent quarterly consolidated statement of financial position.</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“mortgage” means and includes any mortgage, pledge, lien, security interest, conditional sale or other title retention agreement or other similar encumbrance.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subsidiary” means any subsidiary of the Guarantor which owns a restricted property.</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Amalgamation, Merger and Sale of Assets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Neither the Company nor the Guarantor may consolidate, amalgamate or merge with or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would become an event of default, shall have happened and be continuing. An officer’s certificate and an opinion of counsel will be delivered to the trustee, which will serve as conclusive evidence of compliance with these provisions.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a merger, transfer, or other transaction could be treated for U.S. federal income tax purposes as a taxable exchange by the beneficial owners of debt securities or guarantees for new securities, which could result in beneficial owners of debt securities or guarantees recognizing taxable gain or loss for U.S. federal income tax purposes. A merger, transfer, lease or other transaction could also have adverse tax consequences to beneficial owners of debt securities or guarantees under other tax laws to which the beneficial owners are subject.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Assumption by a Subsidiary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the indenture and the debt securities, provided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w:t>
      </w:r>
    </w:p>
    <w:p>
      <w:pPr>
        <w:spacing w:after="0" w:line="112" w:lineRule="exact"/>
        <w:rPr>
          <w:sz w:val="20"/>
          <w:szCs w:val="20"/>
          <w:color w:val="auto"/>
        </w:rPr>
      </w:pPr>
    </w:p>
    <w:p>
      <w:pPr>
        <w:ind w:left="540" w:right="340" w:hanging="424"/>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expressly assumes such obligations in an assumption agreement or supplemental indenture duly executed and delivered to the trustee, and</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17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An assumption of the Company’s obligations as the issuer of the debt securities by a subsidiary of the Guarantor may be treated for U.S. and Canadian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We do not expect that a taxable exchange of the Company’s debt securities for new debt securities will generally have any adverse Canadian federal income tax consequences. Beneficial owners of debt securities who are U.S. persons for U.S. federal income tax purposes should consult their tax advisors regarding the U.S. and Canadian federal, state, provincial and local, and any other relevant, income tax consequences of an assumption of the Company’s obligations as issuer of debt securities by a subsidiary of the Guarantor.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will be “Events of Default” with respect to debt securities of a particular series, except to the extent provided in the officer’s certificate and resolution of the board of directors or the supplemental indenture pursuant to which a series of debt securities is issued:</w:t>
      </w:r>
    </w:p>
    <w:p>
      <w:pPr>
        <w:spacing w:after="0" w:line="67" w:lineRule="exact"/>
        <w:rPr>
          <w:sz w:val="20"/>
          <w:szCs w:val="20"/>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any of the debt securities of such series within 30 days after such interest becomes due and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principal on any of the debt securities of such series at maturity, or if applicable, the redemption price, when the same become due and payable;</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sinking fund installment as and when the same becomes due and payable by the terms of the debt securities of such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covenants or agreements in any of the debt securities of such series or the indenture (other than an agreement or covenant that the Company has included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81" w:lineRule="exact"/>
        <w:rPr>
          <w:sz w:val="20"/>
          <w:szCs w:val="20"/>
          <w:color w:val="auto"/>
        </w:rPr>
      </w:pPr>
    </w:p>
    <w:p>
      <w:pPr>
        <w:jc w:val="both"/>
        <w:ind w:left="1080" w:right="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the Company or the Guarantor.</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holder of debt securities of any series may pursue any remedy under the indenture applicable to the debt securities of that series only if:</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debt securities of such series then outstanding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to the trustee indemnity or security reasonably satisfactory to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outstanding debt securities of that series do not give the trustee a direction inconsistent with the request.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any holder to sue for enforcement of any overdue payment with respect to the debt securities of such series.</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with respect to the debt securities of such series;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not relating to or arising under an event of default with respect to the debt securities of such series.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the Company to file with the trustee each year an officer’s certificate as to its compliance with the covenants contained in the indenture.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indenture that cannot be modified or amended without the consent of the holder of each outstanding debt security affected thereby).</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outstanding debt securities of any series, an amendment, supplement or waiver may not (with respect to any debt securities held by a non-consenting holder):</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of such series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any debt security of such series or change the time at which any debt security of such series may or must be redeemed;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any debt security of such series payable in currency other than as originally stated in such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any debt security of such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aggregate principal amount of the debt securities of such series necessary to waive compliance with certain provisions of the indenture the debt securities of such series were issued under or to make any change in this provision for modification;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the debt securities.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the Guarantor’s obligations under the indenture, and such series of debt securities or the Guarantee, as applicable, by a successor upon any merger, amalgamation, consolidation or asset transfer in accordance with the requirements under “—Consolidation, Amalgamation, Merger and Sale of Assets” or to provide for the assumption of the Company’s obligations under the indenture by a subsidiary of the Guarantor in accordance with the requirements under “—Assumption by a Subsidiary” above;</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of any series in addition to or in place of certificated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debt securities or for the addition of an additional obligor on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if applicable;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any outstanding series of debt securities or to surrender any rights the Company has under the indenture;</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debt securities of any series; provided that such additional debt securities have the same terms as, and will be deemed part of the same series as, the applicable series of debt securities to the extent required under the indenture;</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any series of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its outstanding debt securities of such series in any material respect.</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will be deemed not to affect the rights under the indenture of the holders of securities of any other series. It will not be necessary for the consent of the holders to approve the particular form of any proposed supplement, amendment or waiver, but it will be sufficient if such consent approves the substance of 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Stockholders and Certain Others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81" w:lineRule="exact"/>
        <w:rPr>
          <w:sz w:val="20"/>
          <w:szCs w:val="20"/>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discharged from its obligations with respect to the debt securities of such series, except as described in the paragraph immediately below (“legal defeasance”);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exercise our legal defeasance option with respect to any series of debt securities, the Company and the Guarantor will be deemed to have paid and discharged the entire indebtedness represented by the outstanding debt securities of such series and any related Guarantee, and to have satisfied all other obligations under such debt securities, such Guarantee and the indenture, except as to (i) the Company’s obligations to register the transfer or exchange of debt securities of such series, replace stolen, lost or mutilated debt securities, pay Additional Amounts, maintain paying agencies, and hold moneys for payment in trust, and (ii) the obligation of the Company and the Guarantor to compensate and indemnify the trustee.</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case of covenant defeasance, certain Events of Default (not including non-payment, bankruptcy, receivership, rehabilitation and insolvency events) will no longer apply. Except as specified in the indenture, however, the remainder of the indenture and such debt securities and the related Guarantee will be unaffected by the occurrence of covenant defeasance, and such debt securities will continue to be deemed “outstanding” for all other purposes under the indenture other than for the purposes of any direction, waiver, consent or declaration or act of holders (and the consequences of any thereof) in connection with any of the defeased covenants.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other requirements, we will be required to deliver to the trustee (i) an opinion of counsel or a tax ruling to the effect that the deposit and related defeasance would not cause the beneficial owners of the debt securities of such series to recognize income, gain or loss for U.S. federal income tax purposes, and (ii) an opinion of counsel or an advance tax ruling from the Canada Revenue Agency (or successor agency) to the effect that the beneficial owners of the debt securities will not recognize income, gain, or loss for Canadian federal, provincial or territorial income tax purposes as a result of the deposit and related defeasance and will be subject to Canadian federal, provincial or territorial income or other Canadian tax on the same amounts, in the same manner, and at the same times as would have been the case if such deposit and related defeasance had not occurred. If the Company elects legal defeasance, that opinion of counsel must be based upon a ruling from the U.S. Internal Revenue Service and from the Canada Revenue Agency (or successor agency) or changes in law to that effect.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Bank of New York Mellon will be trustee under the indenture. The trustee performs services for the Guarantor and its subsidiaries in the ordinary course of business.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or security reasonably satisfactory to it.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 permitting it to remain as trustee.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Debt Securities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maintain one or more paying agents (each, a “Paying Agent”) for any debt securities we issue in the Borough of Manhattan, City of New York. Upon written notice to the trustee accompanied by an officer’s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Registrar will maintain a register reflecting ownership of debt securities outstanding from time to time and the Paying Agent will make payments on and facilitate transfer of debt securities on our behalf.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change any Paying Agents, Registrars or transfer agents without prior notice to the holders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80" w:right="3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that global security will be exchangeable for definitive securities in registered form and notify the trustee of such decision in writing.</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85" w:lineRule="exact"/>
        <w:rPr>
          <w:sz w:val="20"/>
          <w:szCs w:val="20"/>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debt security represented by a global security;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jc w:val="both"/>
        <w:ind w:left="120" w:right="260" w:firstLine="440"/>
        <w:spacing w:after="0" w:line="270" w:lineRule="auto"/>
        <w:rPr>
          <w:sz w:val="20"/>
          <w:szCs w:val="20"/>
          <w:color w:val="auto"/>
        </w:rPr>
      </w:pPr>
      <w:r>
        <w:rPr>
          <w:rFonts w:ascii="Times New Roman" w:cs="Times New Roman" w:eastAsia="Times New Roman" w:hAnsi="Times New Roman"/>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w:t>
      </w:r>
    </w:p>
    <w:p>
      <w:pPr>
        <w:spacing w:after="0" w:line="3" w:lineRule="exact"/>
        <w:rPr>
          <w:sz w:val="20"/>
          <w:szCs w:val="20"/>
          <w:color w:val="auto"/>
        </w:rPr>
      </w:pPr>
    </w:p>
    <w:p>
      <w:pPr>
        <w:ind w:left="120" w:right="280"/>
        <w:spacing w:after="0" w:line="252" w:lineRule="auto"/>
        <w:rPr>
          <w:sz w:val="20"/>
          <w:szCs w:val="20"/>
          <w:color w:val="auto"/>
        </w:rPr>
      </w:pPr>
      <w:r>
        <w:rPr>
          <w:rFonts w:ascii="Times New Roman" w:cs="Times New Roman" w:eastAsia="Times New Roman" w:hAnsi="Times New Roman"/>
          <w:sz w:val="18"/>
          <w:szCs w:val="18"/>
          <w:color w:val="auto"/>
        </w:rPr>
        <w:t>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Euroclear Operator advises us that it is regulated and examined by the Belgian banking and Finance Commission and the National Bank of Belgium.</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5" w:right="5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offered pursuant to this prospectus in any of the following ways:</w:t>
      </w:r>
    </w:p>
    <w:p>
      <w:pPr>
        <w:spacing w:after="0" w:line="13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brokers, dealers, agents or direct purchasers and their compensation in a prospectus supplement.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debt securities and guarantees offered hereby will be passed upon for us by Gibson, Dunn &amp; Crutcher LLP, New York, New York. Certain matters of Canadian law will be passed upon by Bennett Jones, LLP, Calgary, Alberta.</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Schlumberger Limited’s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320" w:top="455" w:right="539" w:bottom="1440" w:gutter="0" w:footer="0" w:header="0"/>
        </w:sectPr>
      </w:pPr>
    </w:p>
    <w:bookmarkStart w:id="74" w:name="page75"/>
    <w:bookmarkEnd w:id="7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43"/>
          <w:szCs w:val="43"/>
          <w:b w:val="1"/>
          <w:bCs w:val="1"/>
          <w:color w:val="auto"/>
        </w:rPr>
        <w:t>Schlumberger Finance Canada Ltd.</w:t>
      </w:r>
    </w:p>
    <w:p>
      <w:pPr>
        <w:spacing w:after="0" w:line="244" w:lineRule="exact"/>
        <w:rPr>
          <w:sz w:val="20"/>
          <w:szCs w:val="20"/>
          <w:color w:val="auto"/>
        </w:rPr>
      </w:pPr>
    </w:p>
    <w:p>
      <w:pPr>
        <w:ind w:left="4840" w:hanging="1131"/>
        <w:spacing w:after="0"/>
        <w:tabs>
          <w:tab w:leader="none" w:pos="4840" w:val="left"/>
        </w:tabs>
        <w:numPr>
          <w:ilvl w:val="0"/>
          <w:numId w:val="5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Senior Notes due 2025</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Fully and unconditionally guaranteed by</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1905635</wp:posOffset>
            </wp:positionV>
            <wp:extent cx="47148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320040</wp:posOffset>
            </wp:positionV>
            <wp:extent cx="1482725" cy="3346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14827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80"/>
        <w:spacing w:after="0"/>
        <w:tabs>
          <w:tab w:leader="none" w:pos="5040" w:val="left"/>
          <w:tab w:leader="none" w:pos="6420" w:val="left"/>
        </w:tabs>
        <w:rPr>
          <w:sz w:val="20"/>
          <w:szCs w:val="20"/>
          <w:color w:val="auto"/>
        </w:rPr>
      </w:pPr>
      <w:r>
        <w:rPr>
          <w:rFonts w:ascii="Times New Roman" w:cs="Times New Roman" w:eastAsia="Times New Roman" w:hAnsi="Times New Roman"/>
          <w:sz w:val="18"/>
          <w:szCs w:val="18"/>
          <w:b w:val="1"/>
          <w:bCs w:val="1"/>
          <w:color w:val="auto"/>
        </w:rPr>
        <w:t>PRELIMINARY</w:t>
        <w:tab/>
        <w:t>PROSPECTUS</w:t>
      </w:r>
      <w:r>
        <w:rPr>
          <w:sz w:val="20"/>
          <w:szCs w:val="20"/>
          <w:color w:val="auto"/>
        </w:rPr>
        <w:tab/>
      </w:r>
      <w:r>
        <w:rPr>
          <w:rFonts w:ascii="Times New Roman" w:cs="Times New Roman" w:eastAsia="Times New Roman" w:hAnsi="Times New Roman"/>
          <w:sz w:val="17"/>
          <w:szCs w:val="17"/>
          <w:b w:val="1"/>
          <w:bCs w:val="1"/>
          <w:color w:val="auto"/>
        </w:rPr>
        <w:t>SUPPLEMENT</w:t>
      </w:r>
    </w:p>
    <w:p>
      <w:pPr>
        <w:spacing w:after="0" w:line="1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165735</wp:posOffset>
            </wp:positionV>
            <wp:extent cx="47148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BofA Securities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Goldman Sachs &amp; Co. LLC</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J.P. Morgan</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1622425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1664970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2"/>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8"/>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Roman"/>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713"/>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713"/>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lvl w:ilvl="1">
      <w:lvlJc w:val="left"/>
      <w:lvlText w:val="(%2)"/>
      <w:numFmt w:val="decimal"/>
      <w:start w:val="1"/>
    </w:lvl>
  </w:abstractNum>
  <w:abstractNum w:abstractNumId="40">
    <w:nsid w:val="684A481A"/>
    <w:multiLevelType w:val="hybridMultilevel"/>
    <w:lvl w:ilvl="0">
      <w:lvlJc w:val="left"/>
      <w:lvlText w:val="(%1)"/>
      <w:numFmt w:val="decimal"/>
      <w:start w:val="2"/>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3"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jpe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jpe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59" Type="http://schemas.openxmlformats.org/officeDocument/2006/relationships/hyperlink" Target="http://www.sec.gov/ix?doc=/Archives/edgar/data/87347/000156459020001578/slb-10k_20191231.htm" TargetMode="External"/><Relationship Id="rId60" Type="http://schemas.openxmlformats.org/officeDocument/2006/relationships/hyperlink" Target="http://www.sec.gov/Archives/edgar/data/87347/000130817920000009/lslb2020_def14a.htm" TargetMode="External"/><Relationship Id="rId61" Type="http://schemas.openxmlformats.org/officeDocument/2006/relationships/hyperlink" Target="http://www.sec.gov/ix?doc=/Archives/edgar/data/87347/000156459020017823/slb-10q_20200331.htm" TargetMode="External"/><Relationship Id="rId62" Type="http://schemas.openxmlformats.org/officeDocument/2006/relationships/hyperlink" Target="http://www.sec.gov/ix?doc=/Archives/edgar/data/87347/000156459020034137/slb-10q_20200630.htm" TargetMode="External"/><Relationship Id="rId64" Type="http://schemas.openxmlformats.org/officeDocument/2006/relationships/hyperlink" Target="http://www.sec.gov/ix?doc=/Archives/edgar/data/87347/000119312520109899/d905144d8k.htm" TargetMode="External"/><Relationship Id="rId65" Type="http://schemas.openxmlformats.org/officeDocument/2006/relationships/hyperlink" Target="http://www.sec.gov/ix?doc=/Archives/edgar/data/87347/000119312520170138/d944136d8k.htm" TargetMode="External"/><Relationship Id="rId66" Type="http://schemas.openxmlformats.org/officeDocument/2006/relationships/hyperlink" Target="http://www.sec.gov/ix?doc=/Archives/edgar/data/87347/000119312520180957/d925505d8k.htm" TargetMode="External"/><Relationship Id="rId67" Type="http://schemas.openxmlformats.org/officeDocument/2006/relationships/hyperlink" Target="http://www.sec.gov/ix?doc=/Archives/edgar/data/87347/000119312520198628/d79341d8k.htm" TargetMode="External"/><Relationship Id="rId68" Type="http://schemas.openxmlformats.org/officeDocument/2006/relationships/hyperlink" Target="http://www.sec.gov/ix?doc=/Archives/edgar/data/87347/000119312520216304/d92653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2020-09-09T08:26:38Z</dcterms:created>
  <dcterms:modified xsi:type="dcterms:W3CDTF">2020-09-09T08:26:38Z</dcterms:modified>
</cp:coreProperties>
</file>